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36" w:rsidRPr="00F7369B" w:rsidRDefault="0071628E" w:rsidP="005B5836">
      <w:pPr>
        <w:pStyle w:val="1-MainHeading"/>
        <w:rPr>
          <w:rFonts w:cstheme="minorHAnsi"/>
        </w:rPr>
      </w:pPr>
      <w:bookmarkStart w:id="0" w:name="_Toc51066728"/>
      <w:r w:rsidRPr="00F7369B">
        <w:rPr>
          <w:rFonts w:cstheme="minorHAnsi"/>
        </w:rPr>
        <w:t>5.09</w:t>
      </w:r>
      <w:r w:rsidR="00D07340" w:rsidRPr="00F7369B">
        <w:rPr>
          <w:rFonts w:cstheme="minorHAnsi"/>
        </w:rPr>
        <w:tab/>
      </w:r>
      <w:r w:rsidR="00BC71DE" w:rsidRPr="00F7369B">
        <w:rPr>
          <w:rFonts w:cstheme="minorHAnsi"/>
        </w:rPr>
        <w:t>MENINGOCOCCAL POLYSACCHARIDE SEROGROUPS A, C, W-135 AND Y CONJUGATE VACCINE</w:t>
      </w:r>
      <w:r w:rsidR="00D07340" w:rsidRPr="00F7369B">
        <w:rPr>
          <w:rFonts w:cstheme="minorHAnsi"/>
        </w:rPr>
        <w:br/>
      </w:r>
      <w:r w:rsidR="00BC71DE" w:rsidRPr="00F7369B">
        <w:rPr>
          <w:rFonts w:cstheme="minorHAnsi"/>
        </w:rPr>
        <w:t>Injection 0.5</w:t>
      </w:r>
      <w:r w:rsidR="00071AE1" w:rsidRPr="00F7369B">
        <w:rPr>
          <w:rFonts w:cstheme="minorHAnsi"/>
        </w:rPr>
        <w:t xml:space="preserve"> </w:t>
      </w:r>
      <w:r w:rsidR="006F4328" w:rsidRPr="00F7369B">
        <w:rPr>
          <w:rFonts w:cstheme="minorHAnsi"/>
        </w:rPr>
        <w:t>mL</w:t>
      </w:r>
      <w:r w:rsidR="00D07340" w:rsidRPr="00F7369B">
        <w:rPr>
          <w:rFonts w:cstheme="minorHAnsi"/>
        </w:rPr>
        <w:t>,</w:t>
      </w:r>
      <w:r w:rsidR="00D07340" w:rsidRPr="00F7369B">
        <w:rPr>
          <w:rFonts w:cstheme="minorHAnsi"/>
        </w:rPr>
        <w:br/>
      </w:r>
      <w:r w:rsidR="006F4328" w:rsidRPr="00F7369B">
        <w:rPr>
          <w:rFonts w:cstheme="minorHAnsi"/>
        </w:rPr>
        <w:t>MenQuadfi</w:t>
      </w:r>
      <w:r w:rsidR="00D07340" w:rsidRPr="00F7369B">
        <w:rPr>
          <w:rFonts w:cstheme="minorHAnsi"/>
          <w:vertAlign w:val="superscript"/>
        </w:rPr>
        <w:t>®</w:t>
      </w:r>
      <w:r w:rsidR="00D07340" w:rsidRPr="00F7369B">
        <w:rPr>
          <w:rFonts w:cstheme="minorHAnsi"/>
        </w:rPr>
        <w:t>,</w:t>
      </w:r>
      <w:r w:rsidR="00D07340" w:rsidRPr="00F7369B">
        <w:rPr>
          <w:rFonts w:cstheme="minorHAnsi"/>
        </w:rPr>
        <w:br/>
      </w:r>
      <w:r w:rsidR="00BC71DE" w:rsidRPr="00F7369B">
        <w:rPr>
          <w:rFonts w:cstheme="minorHAnsi"/>
        </w:rPr>
        <w:t>Sanofi-Aventis Australia Pty Ltd</w:t>
      </w:r>
      <w:bookmarkStart w:id="1" w:name="_Toc22897637"/>
      <w:bookmarkStart w:id="2" w:name="_Toc51066729"/>
      <w:bookmarkEnd w:id="0"/>
    </w:p>
    <w:p w:rsidR="00D07340" w:rsidRPr="00F7369B" w:rsidRDefault="00D07340" w:rsidP="00D07340">
      <w:pPr>
        <w:pStyle w:val="2-SectionHeading"/>
        <w:rPr>
          <w:rFonts w:cstheme="minorHAnsi"/>
        </w:rPr>
      </w:pPr>
      <w:bookmarkStart w:id="3" w:name="_Toc51066730"/>
      <w:bookmarkEnd w:id="1"/>
      <w:bookmarkEnd w:id="2"/>
      <w:r w:rsidRPr="00F7369B">
        <w:rPr>
          <w:rFonts w:cstheme="minorHAnsi"/>
        </w:rPr>
        <w:t>Purpose of submission</w:t>
      </w:r>
      <w:bookmarkEnd w:id="3"/>
    </w:p>
    <w:p w:rsidR="00AB384E" w:rsidRPr="00F7369B" w:rsidRDefault="00A005B7" w:rsidP="004E1512">
      <w:pPr>
        <w:pStyle w:val="3-BodyText"/>
        <w:rPr>
          <w:rFonts w:cstheme="minorHAnsi"/>
        </w:rPr>
      </w:pPr>
      <w:r w:rsidRPr="00F7369B">
        <w:rPr>
          <w:rFonts w:cstheme="minorHAnsi"/>
        </w:rPr>
        <w:t>The submission requested</w:t>
      </w:r>
      <w:r w:rsidR="00ED7749" w:rsidRPr="00F7369B">
        <w:rPr>
          <w:rFonts w:cstheme="minorHAnsi"/>
        </w:rPr>
        <w:t xml:space="preserve"> </w:t>
      </w:r>
      <w:r w:rsidR="004E1512" w:rsidRPr="00F7369B">
        <w:rPr>
          <w:rFonts w:cstheme="minorHAnsi"/>
        </w:rPr>
        <w:t>listing</w:t>
      </w:r>
      <w:r w:rsidR="006E451E" w:rsidRPr="00F7369B">
        <w:rPr>
          <w:rFonts w:cstheme="minorHAnsi"/>
        </w:rPr>
        <w:t xml:space="preserve"> on the </w:t>
      </w:r>
      <w:r w:rsidR="006E451E" w:rsidRPr="00F7369B">
        <w:rPr>
          <w:rFonts w:cstheme="minorHAnsi"/>
          <w:i/>
        </w:rPr>
        <w:t xml:space="preserve">National </w:t>
      </w:r>
      <w:r w:rsidR="009F13C3" w:rsidRPr="00F7369B">
        <w:rPr>
          <w:rFonts w:cstheme="minorHAnsi"/>
          <w:i/>
        </w:rPr>
        <w:t>Health (</w:t>
      </w:r>
      <w:r w:rsidR="006E451E" w:rsidRPr="00F7369B">
        <w:rPr>
          <w:rFonts w:cstheme="minorHAnsi"/>
          <w:i/>
        </w:rPr>
        <w:t xml:space="preserve">Immunisation Program </w:t>
      </w:r>
      <w:r w:rsidR="009F13C3" w:rsidRPr="00F7369B">
        <w:rPr>
          <w:rFonts w:cstheme="minorHAnsi"/>
          <w:i/>
        </w:rPr>
        <w:t>– Designated Vaccines)</w:t>
      </w:r>
      <w:r w:rsidR="006E451E" w:rsidRPr="00F7369B">
        <w:rPr>
          <w:rFonts w:cstheme="minorHAnsi"/>
          <w:i/>
        </w:rPr>
        <w:t xml:space="preserve"> </w:t>
      </w:r>
      <w:r w:rsidR="00AA454D" w:rsidRPr="00F7369B">
        <w:rPr>
          <w:rFonts w:cstheme="minorHAnsi"/>
          <w:i/>
        </w:rPr>
        <w:t>Determination</w:t>
      </w:r>
      <w:r w:rsidR="009F13C3" w:rsidRPr="00F7369B">
        <w:rPr>
          <w:rFonts w:cstheme="minorHAnsi"/>
          <w:i/>
        </w:rPr>
        <w:t xml:space="preserve"> 2014 (No.1)</w:t>
      </w:r>
      <w:r w:rsidR="00AA454D" w:rsidRPr="00F7369B">
        <w:rPr>
          <w:rFonts w:cstheme="minorHAnsi"/>
        </w:rPr>
        <w:t xml:space="preserve"> </w:t>
      </w:r>
      <w:r w:rsidR="00DE54C7" w:rsidRPr="00F7369B">
        <w:rPr>
          <w:rFonts w:cstheme="minorHAnsi"/>
        </w:rPr>
        <w:t xml:space="preserve">(the Determination) </w:t>
      </w:r>
      <w:r w:rsidR="00ED7749" w:rsidRPr="00F7369B">
        <w:rPr>
          <w:rFonts w:cstheme="minorHAnsi"/>
        </w:rPr>
        <w:t>for</w:t>
      </w:r>
      <w:r w:rsidR="004E1512" w:rsidRPr="00F7369B">
        <w:rPr>
          <w:rFonts w:cstheme="minorHAnsi"/>
        </w:rPr>
        <w:t xml:space="preserve"> the prevention of invasive meningococcal disease (IMD) caused by </w:t>
      </w:r>
      <w:r w:rsidR="004E1512" w:rsidRPr="00F7369B">
        <w:rPr>
          <w:rFonts w:cstheme="minorHAnsi"/>
          <w:i/>
        </w:rPr>
        <w:t>Neisseria meningitidis</w:t>
      </w:r>
      <w:r w:rsidR="004E1512" w:rsidRPr="00F7369B">
        <w:rPr>
          <w:rFonts w:cstheme="minorHAnsi"/>
        </w:rPr>
        <w:t xml:space="preserve"> serogroups A, C, W135, and Y (MenA, MenC, MenW135 and MenY, respectively). </w:t>
      </w:r>
    </w:p>
    <w:p w:rsidR="00F750EE" w:rsidRPr="00F7369B" w:rsidRDefault="009407C9" w:rsidP="00F83972">
      <w:pPr>
        <w:pStyle w:val="3-BodyText"/>
        <w:rPr>
          <w:rFonts w:cstheme="minorHAnsi"/>
        </w:rPr>
      </w:pPr>
      <w:r w:rsidRPr="00F7369B">
        <w:rPr>
          <w:rFonts w:cstheme="minorHAnsi"/>
        </w:rPr>
        <w:t xml:space="preserve">The submission requested </w:t>
      </w:r>
      <w:r w:rsidR="00DE54C7" w:rsidRPr="00F7369B">
        <w:rPr>
          <w:rFonts w:cstheme="minorHAnsi"/>
        </w:rPr>
        <w:t>listing</w:t>
      </w:r>
      <w:r w:rsidR="00AB384E" w:rsidRPr="00F7369B">
        <w:rPr>
          <w:rFonts w:cstheme="minorHAnsi"/>
        </w:rPr>
        <w:t xml:space="preserve"> meningococcal serogroup A, C, W-135 and Y Polysaccharide Tetanus Toxoid Conjugate (MenACWY-TT) vaccine (referred to herein by the brand name MenQuadfi</w:t>
      </w:r>
      <w:r w:rsidR="004A4018" w:rsidRPr="00F7369B">
        <w:rPr>
          <w:rFonts w:cstheme="minorHAnsi"/>
        </w:rPr>
        <w:t>®</w:t>
      </w:r>
      <w:r w:rsidR="00AB384E" w:rsidRPr="00F7369B">
        <w:rPr>
          <w:rFonts w:cstheme="minorHAnsi"/>
        </w:rPr>
        <w:t xml:space="preserve">) </w:t>
      </w:r>
      <w:r w:rsidR="00DE54C7" w:rsidRPr="00F7369B">
        <w:rPr>
          <w:rFonts w:cstheme="minorHAnsi"/>
        </w:rPr>
        <w:t xml:space="preserve">on the Determination </w:t>
      </w:r>
      <w:r w:rsidR="00380A60" w:rsidRPr="00F7369B">
        <w:rPr>
          <w:rFonts w:cstheme="minorHAnsi"/>
        </w:rPr>
        <w:t>as an alternative MenACWY vaccine to the NIP</w:t>
      </w:r>
      <w:r w:rsidR="00DE54C7" w:rsidRPr="00F7369B">
        <w:rPr>
          <w:rFonts w:cstheme="minorHAnsi"/>
        </w:rPr>
        <w:t>-</w:t>
      </w:r>
      <w:r w:rsidR="00380A60" w:rsidRPr="00F7369B">
        <w:rPr>
          <w:rFonts w:cstheme="minorHAnsi"/>
        </w:rPr>
        <w:t>listed MenACWY-TT vaccine (referred to herein by the brand name Nimenrix</w:t>
      </w:r>
      <w:r w:rsidR="004A4018" w:rsidRPr="00F7369B">
        <w:rPr>
          <w:rFonts w:cstheme="minorHAnsi"/>
        </w:rPr>
        <w:t>®</w:t>
      </w:r>
      <w:r w:rsidR="00380A60" w:rsidRPr="00F7369B">
        <w:rPr>
          <w:rFonts w:cstheme="minorHAnsi"/>
        </w:rPr>
        <w:t xml:space="preserve">) </w:t>
      </w:r>
      <w:r w:rsidRPr="00F7369B">
        <w:rPr>
          <w:rFonts w:cstheme="minorHAnsi"/>
        </w:rPr>
        <w:t xml:space="preserve">for the prevention of meningococcal disease in the same populations </w:t>
      </w:r>
      <w:r w:rsidR="00F83972" w:rsidRPr="00F7369B">
        <w:rPr>
          <w:rFonts w:cstheme="minorHAnsi"/>
        </w:rPr>
        <w:t>(</w:t>
      </w:r>
      <w:r w:rsidR="00AB384E" w:rsidRPr="00F7369B">
        <w:rPr>
          <w:rFonts w:cstheme="minorHAnsi"/>
        </w:rPr>
        <w:t>exc</w:t>
      </w:r>
      <w:r w:rsidR="00F83972" w:rsidRPr="00F7369B">
        <w:rPr>
          <w:rFonts w:cstheme="minorHAnsi"/>
        </w:rPr>
        <w:t>luding</w:t>
      </w:r>
      <w:r w:rsidR="00AB384E" w:rsidRPr="00F7369B">
        <w:rPr>
          <w:rFonts w:cstheme="minorHAnsi"/>
        </w:rPr>
        <w:t xml:space="preserve"> children &lt;12 months of age with specific </w:t>
      </w:r>
      <w:r w:rsidR="00023908" w:rsidRPr="00F7369B">
        <w:rPr>
          <w:rFonts w:cstheme="minorHAnsi"/>
        </w:rPr>
        <w:t>medical</w:t>
      </w:r>
      <w:r w:rsidRPr="00F7369B">
        <w:rPr>
          <w:rFonts w:cstheme="minorHAnsi"/>
        </w:rPr>
        <w:t xml:space="preserve"> risk</w:t>
      </w:r>
      <w:r w:rsidR="00AB384E" w:rsidRPr="00F7369B">
        <w:rPr>
          <w:rFonts w:cstheme="minorHAnsi"/>
        </w:rPr>
        <w:t xml:space="preserve"> conditions</w:t>
      </w:r>
      <w:r w:rsidR="00F83972" w:rsidRPr="00F7369B">
        <w:rPr>
          <w:rFonts w:cstheme="minorHAnsi"/>
        </w:rPr>
        <w:t>)</w:t>
      </w:r>
      <w:r w:rsidRPr="00F7369B">
        <w:rPr>
          <w:rFonts w:cstheme="minorHAnsi"/>
        </w:rPr>
        <w:t>.</w:t>
      </w:r>
      <w:r w:rsidR="00ED7749" w:rsidRPr="00F7369B">
        <w:rPr>
          <w:rFonts w:cstheme="minorHAnsi"/>
          <w:i/>
        </w:rPr>
        <w:t xml:space="preserve"> </w:t>
      </w:r>
      <w:r w:rsidR="00ED7749" w:rsidRPr="00F7369B">
        <w:rPr>
          <w:rFonts w:cstheme="minorHAnsi"/>
        </w:rPr>
        <w:t>The PBAC ha</w:t>
      </w:r>
      <w:r w:rsidR="003456D2" w:rsidRPr="00F7369B">
        <w:rPr>
          <w:rFonts w:cstheme="minorHAnsi"/>
        </w:rPr>
        <w:t>d</w:t>
      </w:r>
      <w:r w:rsidR="00ED7749" w:rsidRPr="00F7369B">
        <w:rPr>
          <w:rFonts w:cstheme="minorHAnsi"/>
        </w:rPr>
        <w:t xml:space="preserve"> not previously considered </w:t>
      </w:r>
      <w:r w:rsidR="00992DA9" w:rsidRPr="00F7369B">
        <w:rPr>
          <w:rFonts w:cstheme="minorHAnsi"/>
        </w:rPr>
        <w:t>MenQuadfi</w:t>
      </w:r>
      <w:r w:rsidR="00ED7749" w:rsidRPr="00F7369B">
        <w:rPr>
          <w:rFonts w:cstheme="minorHAnsi"/>
        </w:rPr>
        <w:t>.</w:t>
      </w:r>
    </w:p>
    <w:p w:rsidR="0038574B" w:rsidRPr="00F7369B" w:rsidRDefault="004257CE" w:rsidP="00D07340">
      <w:pPr>
        <w:pStyle w:val="3-BodyText"/>
        <w:rPr>
          <w:rFonts w:cstheme="minorHAnsi"/>
        </w:rPr>
      </w:pPr>
      <w:r w:rsidRPr="00F7369B">
        <w:rPr>
          <w:rFonts w:cstheme="minorHAnsi"/>
        </w:rPr>
        <w:t>The submission requested a l</w:t>
      </w:r>
      <w:r w:rsidR="00D07340" w:rsidRPr="00F7369B">
        <w:rPr>
          <w:rFonts w:cstheme="minorHAnsi"/>
        </w:rPr>
        <w:t xml:space="preserve">isting </w:t>
      </w:r>
      <w:r w:rsidRPr="00F7369B">
        <w:rPr>
          <w:rFonts w:cstheme="minorHAnsi"/>
        </w:rPr>
        <w:t xml:space="preserve">based on </w:t>
      </w:r>
      <w:r w:rsidR="00D07340" w:rsidRPr="00F7369B">
        <w:rPr>
          <w:rFonts w:cstheme="minorHAnsi"/>
        </w:rPr>
        <w:t>a cost-minimisatio</w:t>
      </w:r>
      <w:r w:rsidR="0038574B" w:rsidRPr="00F7369B">
        <w:rPr>
          <w:rFonts w:cstheme="minorHAnsi"/>
        </w:rPr>
        <w:t>n</w:t>
      </w:r>
      <w:r w:rsidR="00D07340" w:rsidRPr="00F7369B">
        <w:rPr>
          <w:rFonts w:cstheme="minorHAnsi"/>
        </w:rPr>
        <w:t xml:space="preserve"> analysis versus </w:t>
      </w:r>
      <w:r w:rsidR="0038574B" w:rsidRPr="00F7369B">
        <w:rPr>
          <w:rFonts w:cstheme="minorHAnsi"/>
        </w:rPr>
        <w:t>Nimenrix</w:t>
      </w:r>
      <w:r w:rsidR="00D07340" w:rsidRPr="00F7369B">
        <w:rPr>
          <w:rFonts w:cstheme="minorHAnsi"/>
        </w:rPr>
        <w:t>.</w:t>
      </w:r>
      <w:r w:rsidR="0046483C" w:rsidRPr="00F7369B">
        <w:rPr>
          <w:rFonts w:cstheme="minorHAnsi"/>
        </w:rPr>
        <w:t xml:space="preserve"> The key components of the submission are presented in Table 1. </w:t>
      </w:r>
    </w:p>
    <w:p w:rsidR="007B7D81" w:rsidRPr="00F7369B" w:rsidRDefault="007B7D81" w:rsidP="007B7D81">
      <w:pPr>
        <w:pStyle w:val="TableFigureHeading"/>
        <w:rPr>
          <w:rStyle w:val="CommentReference"/>
          <w:rFonts w:cstheme="minorHAnsi"/>
          <w:szCs w:val="24"/>
        </w:rPr>
      </w:pPr>
      <w:r w:rsidRPr="00F7369B">
        <w:rPr>
          <w:rStyle w:val="CommentReference"/>
          <w:rFonts w:cstheme="minorHAnsi"/>
          <w:b/>
          <w:szCs w:val="24"/>
        </w:rPr>
        <w:lastRenderedPageBreak/>
        <w:t xml:space="preserve">Table </w:t>
      </w:r>
      <w:r w:rsidR="00071AE1" w:rsidRPr="00F7369B">
        <w:rPr>
          <w:rStyle w:val="CommentReference"/>
          <w:rFonts w:cstheme="minorHAnsi"/>
          <w:b/>
          <w:szCs w:val="24"/>
        </w:rPr>
        <w:t>1</w:t>
      </w:r>
      <w:r w:rsidRPr="00F7369B">
        <w:rPr>
          <w:rStyle w:val="CommentReference"/>
          <w:rFonts w:cstheme="minorHAnsi"/>
          <w:b/>
          <w:szCs w:val="24"/>
        </w:rPr>
        <w:t>: Key components of the clinical issue addressed by the submission</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ey components of the clinical issue addressed by the submission"/>
      </w:tblPr>
      <w:tblGrid>
        <w:gridCol w:w="1271"/>
        <w:gridCol w:w="7746"/>
      </w:tblGrid>
      <w:tr w:rsidR="0038574B" w:rsidRPr="00F7369B" w:rsidTr="00665877">
        <w:trPr>
          <w:tblHeader/>
        </w:trPr>
        <w:tc>
          <w:tcPr>
            <w:tcW w:w="705" w:type="pct"/>
            <w:vAlign w:val="center"/>
          </w:tcPr>
          <w:p w:rsidR="0038574B" w:rsidRPr="00F7369B" w:rsidRDefault="0038574B" w:rsidP="00AE628C">
            <w:pPr>
              <w:pStyle w:val="In-tableHeading"/>
              <w:rPr>
                <w:rFonts w:cstheme="minorHAnsi"/>
                <w:lang w:val="en-AU"/>
              </w:rPr>
            </w:pPr>
            <w:r w:rsidRPr="00F7369B">
              <w:rPr>
                <w:rFonts w:cstheme="minorHAnsi"/>
                <w:lang w:val="en-AU"/>
              </w:rPr>
              <w:t>Component</w:t>
            </w:r>
          </w:p>
        </w:tc>
        <w:tc>
          <w:tcPr>
            <w:tcW w:w="4295" w:type="pct"/>
            <w:vAlign w:val="center"/>
          </w:tcPr>
          <w:p w:rsidR="0038574B" w:rsidRPr="00F7369B" w:rsidRDefault="0038574B" w:rsidP="00AE628C">
            <w:pPr>
              <w:pStyle w:val="In-tableHeading"/>
              <w:rPr>
                <w:rFonts w:cstheme="minorHAnsi"/>
                <w:lang w:val="en-AU"/>
              </w:rPr>
            </w:pPr>
            <w:r w:rsidRPr="00F7369B">
              <w:rPr>
                <w:rFonts w:cstheme="minorHAnsi"/>
                <w:lang w:val="en-AU"/>
              </w:rPr>
              <w:t>Description</w:t>
            </w:r>
          </w:p>
        </w:tc>
      </w:tr>
      <w:tr w:rsidR="0038574B" w:rsidRPr="00F7369B" w:rsidTr="00665877">
        <w:trPr>
          <w:tblHeader/>
        </w:trPr>
        <w:tc>
          <w:tcPr>
            <w:tcW w:w="705" w:type="pct"/>
            <w:vAlign w:val="center"/>
          </w:tcPr>
          <w:p w:rsidR="0038574B" w:rsidRPr="00F7369B" w:rsidRDefault="0038574B" w:rsidP="00AE628C">
            <w:pPr>
              <w:pStyle w:val="TableText0"/>
              <w:rPr>
                <w:rFonts w:cstheme="minorHAnsi"/>
              </w:rPr>
            </w:pPr>
            <w:r w:rsidRPr="00F7369B">
              <w:rPr>
                <w:rFonts w:cstheme="minorHAnsi"/>
              </w:rPr>
              <w:t>Population</w:t>
            </w:r>
          </w:p>
        </w:tc>
        <w:tc>
          <w:tcPr>
            <w:tcW w:w="4295" w:type="pct"/>
            <w:vAlign w:val="center"/>
          </w:tcPr>
          <w:p w:rsidR="0038574B" w:rsidRPr="00F7369B" w:rsidRDefault="00B04F69" w:rsidP="00BF72E0">
            <w:pPr>
              <w:pStyle w:val="Table"/>
              <w:numPr>
                <w:ilvl w:val="0"/>
                <w:numId w:val="18"/>
              </w:numPr>
              <w:ind w:left="360"/>
              <w:rPr>
                <w:rFonts w:ascii="Arial Narrow" w:eastAsiaTheme="majorEastAsia" w:hAnsi="Arial Narrow"/>
                <w:bCs/>
                <w:sz w:val="20"/>
                <w:szCs w:val="24"/>
                <w:lang w:eastAsia="en-AU"/>
              </w:rPr>
            </w:pPr>
            <w:r w:rsidRPr="00F7369B">
              <w:rPr>
                <w:rFonts w:ascii="Arial Narrow" w:eastAsiaTheme="majorEastAsia" w:hAnsi="Arial Narrow"/>
                <w:bCs/>
                <w:sz w:val="20"/>
                <w:szCs w:val="24"/>
                <w:lang w:eastAsia="en-AU"/>
              </w:rPr>
              <w:t>Children</w:t>
            </w:r>
            <w:r w:rsidR="0038574B" w:rsidRPr="00F7369B">
              <w:rPr>
                <w:rFonts w:ascii="Arial Narrow" w:eastAsiaTheme="majorEastAsia" w:hAnsi="Arial Narrow"/>
                <w:bCs/>
                <w:sz w:val="20"/>
                <w:szCs w:val="24"/>
                <w:lang w:eastAsia="en-AU"/>
              </w:rPr>
              <w:t xml:space="preserve"> who are 12 months old; </w:t>
            </w:r>
            <w:r w:rsidR="00520073" w:rsidRPr="00F7369B">
              <w:rPr>
                <w:rFonts w:ascii="Arial Narrow" w:eastAsiaTheme="majorEastAsia" w:hAnsi="Arial Narrow"/>
                <w:bCs/>
                <w:sz w:val="20"/>
                <w:szCs w:val="24"/>
                <w:lang w:eastAsia="en-AU"/>
              </w:rPr>
              <w:t>or</w:t>
            </w:r>
          </w:p>
          <w:p w:rsidR="0038574B" w:rsidRPr="00F7369B" w:rsidRDefault="0038574B" w:rsidP="00BF72E0">
            <w:pPr>
              <w:pStyle w:val="Table"/>
              <w:numPr>
                <w:ilvl w:val="0"/>
                <w:numId w:val="18"/>
              </w:numPr>
              <w:ind w:left="360"/>
              <w:rPr>
                <w:rFonts w:ascii="Arial Narrow" w:eastAsiaTheme="majorEastAsia" w:hAnsi="Arial Narrow"/>
                <w:bCs/>
                <w:sz w:val="20"/>
                <w:szCs w:val="24"/>
                <w:lang w:eastAsia="en-AU"/>
              </w:rPr>
            </w:pPr>
            <w:r w:rsidRPr="00F7369B">
              <w:rPr>
                <w:rFonts w:ascii="Arial Narrow" w:eastAsiaTheme="majorEastAsia" w:hAnsi="Arial Narrow"/>
                <w:bCs/>
                <w:sz w:val="20"/>
                <w:szCs w:val="24"/>
                <w:lang w:eastAsia="en-AU"/>
              </w:rPr>
              <w:t>Adolescents who are at least 14 years old but less than 20 years of age; or</w:t>
            </w:r>
          </w:p>
          <w:p w:rsidR="0038574B" w:rsidRPr="00F7369B" w:rsidRDefault="00CA06D4" w:rsidP="00563E41">
            <w:pPr>
              <w:pStyle w:val="Table"/>
              <w:rPr>
                <w:rFonts w:ascii="Arial Narrow" w:eastAsiaTheme="majorEastAsia" w:hAnsi="Arial Narrow"/>
                <w:bCs/>
                <w:sz w:val="20"/>
                <w:szCs w:val="24"/>
                <w:lang w:eastAsia="en-AU"/>
              </w:rPr>
            </w:pPr>
            <w:r>
              <w:rPr>
                <w:rFonts w:ascii="Arial Narrow" w:eastAsiaTheme="majorEastAsia" w:hAnsi="Arial Narrow"/>
                <w:bCs/>
                <w:sz w:val="20"/>
                <w:szCs w:val="24"/>
                <w:lang w:eastAsia="en-AU"/>
              </w:rPr>
              <w:t xml:space="preserve">        </w:t>
            </w:r>
            <w:r w:rsidR="0038574B" w:rsidRPr="00F7369B">
              <w:rPr>
                <w:rFonts w:ascii="Arial Narrow" w:eastAsiaTheme="majorEastAsia" w:hAnsi="Arial Narrow"/>
                <w:bCs/>
                <w:sz w:val="20"/>
                <w:szCs w:val="24"/>
                <w:lang w:eastAsia="en-AU"/>
              </w:rPr>
              <w:t xml:space="preserve">Specific medically at-risk subjects ≥12 months of age, including those: </w:t>
            </w:r>
          </w:p>
          <w:p w:rsidR="0038574B" w:rsidRPr="00F7369B" w:rsidRDefault="0038574B" w:rsidP="00BF72E0">
            <w:pPr>
              <w:pStyle w:val="TableBullets"/>
              <w:numPr>
                <w:ilvl w:val="0"/>
                <w:numId w:val="18"/>
              </w:numPr>
              <w:ind w:left="360"/>
              <w:rPr>
                <w:rFonts w:ascii="Arial Narrow" w:hAnsi="Arial Narrow" w:cstheme="minorHAnsi"/>
                <w:bCs/>
                <w:sz w:val="20"/>
                <w:szCs w:val="24"/>
                <w:lang w:eastAsia="en-AU" w:bidi="ar-SA"/>
              </w:rPr>
            </w:pPr>
            <w:r w:rsidRPr="00F7369B">
              <w:rPr>
                <w:rFonts w:ascii="Arial Narrow" w:hAnsi="Arial Narrow" w:cstheme="minorHAnsi"/>
                <w:bCs/>
                <w:sz w:val="20"/>
                <w:szCs w:val="24"/>
                <w:lang w:eastAsia="en-AU" w:bidi="ar-SA"/>
              </w:rPr>
              <w:t>With congenital or acquired asplenia (e.g. splenectomy or hyposplenia); or</w:t>
            </w:r>
          </w:p>
          <w:p w:rsidR="0038574B" w:rsidRPr="00F7369B" w:rsidRDefault="0038574B" w:rsidP="00BF72E0">
            <w:pPr>
              <w:pStyle w:val="TableBullets"/>
              <w:numPr>
                <w:ilvl w:val="0"/>
                <w:numId w:val="18"/>
              </w:numPr>
              <w:ind w:left="360"/>
              <w:rPr>
                <w:rFonts w:ascii="Arial Narrow" w:hAnsi="Arial Narrow" w:cstheme="minorHAnsi"/>
                <w:bCs/>
                <w:sz w:val="20"/>
                <w:szCs w:val="24"/>
                <w:lang w:eastAsia="en-AU" w:bidi="ar-SA"/>
              </w:rPr>
            </w:pPr>
            <w:r w:rsidRPr="00F7369B">
              <w:rPr>
                <w:rFonts w:ascii="Arial Narrow" w:hAnsi="Arial Narrow" w:cstheme="minorHAnsi"/>
                <w:bCs/>
                <w:sz w:val="20"/>
                <w:szCs w:val="24"/>
                <w:lang w:eastAsia="en-AU" w:bidi="ar-SA"/>
              </w:rPr>
              <w:t>With complement deficiency; or</w:t>
            </w:r>
          </w:p>
          <w:p w:rsidR="0038574B" w:rsidRPr="00F7369B" w:rsidRDefault="0038574B" w:rsidP="00BF72E0">
            <w:pPr>
              <w:pStyle w:val="TableBullets"/>
              <w:numPr>
                <w:ilvl w:val="0"/>
                <w:numId w:val="18"/>
              </w:numPr>
              <w:ind w:left="360"/>
              <w:rPr>
                <w:rFonts w:ascii="Arial Narrow" w:hAnsi="Arial Narrow" w:cstheme="minorHAnsi"/>
                <w:bCs/>
                <w:sz w:val="20"/>
                <w:szCs w:val="24"/>
                <w:lang w:eastAsia="en-AU" w:bidi="ar-SA"/>
              </w:rPr>
            </w:pPr>
            <w:r w:rsidRPr="00F7369B">
              <w:rPr>
                <w:rFonts w:ascii="Arial Narrow" w:hAnsi="Arial Narrow" w:cstheme="minorHAnsi"/>
                <w:bCs/>
                <w:sz w:val="20"/>
                <w:szCs w:val="24"/>
                <w:lang w:eastAsia="en-AU" w:bidi="ar-SA"/>
              </w:rPr>
              <w:t>Who are undergoing eculizumab treatment</w:t>
            </w:r>
            <w:r w:rsidR="00894909" w:rsidRPr="00F7369B">
              <w:rPr>
                <w:rFonts w:ascii="Arial Narrow" w:hAnsi="Arial Narrow" w:cstheme="minorHAnsi"/>
                <w:bCs/>
                <w:sz w:val="20"/>
                <w:szCs w:val="24"/>
                <w:lang w:eastAsia="en-AU" w:bidi="ar-SA"/>
              </w:rPr>
              <w:t>.</w:t>
            </w:r>
          </w:p>
        </w:tc>
      </w:tr>
      <w:tr w:rsidR="0038574B" w:rsidRPr="00F7369B" w:rsidTr="00665877">
        <w:trPr>
          <w:tblHeader/>
        </w:trPr>
        <w:tc>
          <w:tcPr>
            <w:tcW w:w="705" w:type="pct"/>
            <w:vAlign w:val="center"/>
          </w:tcPr>
          <w:p w:rsidR="0038574B" w:rsidRPr="00F7369B" w:rsidRDefault="0038574B" w:rsidP="00AE628C">
            <w:pPr>
              <w:pStyle w:val="TableText0"/>
              <w:rPr>
                <w:rFonts w:cstheme="minorHAnsi"/>
              </w:rPr>
            </w:pPr>
            <w:r w:rsidRPr="00F7369B">
              <w:rPr>
                <w:rFonts w:cstheme="minorHAnsi"/>
              </w:rPr>
              <w:t>Intervention</w:t>
            </w:r>
          </w:p>
        </w:tc>
        <w:tc>
          <w:tcPr>
            <w:tcW w:w="4295" w:type="pct"/>
            <w:vAlign w:val="center"/>
          </w:tcPr>
          <w:p w:rsidR="0038574B" w:rsidRPr="00F7369B" w:rsidRDefault="00B04F69" w:rsidP="00BF72E0">
            <w:pPr>
              <w:pStyle w:val="Table"/>
              <w:numPr>
                <w:ilvl w:val="0"/>
                <w:numId w:val="19"/>
              </w:numPr>
              <w:rPr>
                <w:rFonts w:ascii="Arial Narrow" w:eastAsiaTheme="majorEastAsia" w:hAnsi="Arial Narrow"/>
                <w:bCs/>
                <w:sz w:val="20"/>
                <w:szCs w:val="24"/>
                <w:lang w:eastAsia="en-AU"/>
              </w:rPr>
            </w:pPr>
            <w:r w:rsidRPr="00F7369B">
              <w:rPr>
                <w:rFonts w:ascii="Arial Narrow" w:eastAsiaTheme="majorEastAsia" w:hAnsi="Arial Narrow"/>
                <w:bCs/>
                <w:sz w:val="20"/>
                <w:szCs w:val="24"/>
                <w:lang w:eastAsia="en-AU"/>
              </w:rPr>
              <w:t>Children</w:t>
            </w:r>
            <w:r w:rsidR="0038574B" w:rsidRPr="00F7369B">
              <w:rPr>
                <w:rFonts w:ascii="Arial Narrow" w:eastAsiaTheme="majorEastAsia" w:hAnsi="Arial Narrow"/>
                <w:bCs/>
                <w:sz w:val="20"/>
                <w:szCs w:val="24"/>
                <w:lang w:eastAsia="en-AU"/>
              </w:rPr>
              <w:t xml:space="preserve"> and adolescents: A single dose of MenQuadfi administered </w:t>
            </w:r>
            <w:r w:rsidR="004257CE" w:rsidRPr="00F7369B">
              <w:rPr>
                <w:rFonts w:ascii="Arial Narrow" w:eastAsiaTheme="majorEastAsia" w:hAnsi="Arial Narrow"/>
                <w:bCs/>
                <w:sz w:val="20"/>
                <w:szCs w:val="24"/>
                <w:lang w:eastAsia="en-AU"/>
              </w:rPr>
              <w:t xml:space="preserve">for </w:t>
            </w:r>
            <w:r w:rsidR="00520073" w:rsidRPr="00F7369B">
              <w:rPr>
                <w:rFonts w:ascii="Arial Narrow" w:eastAsiaTheme="majorEastAsia" w:hAnsi="Arial Narrow"/>
                <w:bCs/>
                <w:sz w:val="20"/>
                <w:szCs w:val="24"/>
                <w:lang w:eastAsia="en-AU"/>
              </w:rPr>
              <w:t>subjects in populations a) or b</w:t>
            </w:r>
            <w:r w:rsidR="004257CE" w:rsidRPr="00F7369B">
              <w:rPr>
                <w:rFonts w:ascii="Arial Narrow" w:eastAsiaTheme="majorEastAsia" w:hAnsi="Arial Narrow"/>
                <w:bCs/>
                <w:sz w:val="20"/>
                <w:szCs w:val="24"/>
                <w:lang w:eastAsia="en-AU"/>
              </w:rPr>
              <w:t xml:space="preserve">) </w:t>
            </w:r>
          </w:p>
          <w:p w:rsidR="0038574B" w:rsidRPr="00F7369B" w:rsidRDefault="0038574B" w:rsidP="00B0709E">
            <w:pPr>
              <w:pStyle w:val="TableText0"/>
              <w:numPr>
                <w:ilvl w:val="0"/>
                <w:numId w:val="19"/>
              </w:numPr>
              <w:rPr>
                <w:rFonts w:cstheme="minorHAnsi"/>
              </w:rPr>
            </w:pPr>
            <w:r w:rsidRPr="00F7369B">
              <w:rPr>
                <w:rFonts w:cstheme="minorHAnsi"/>
              </w:rPr>
              <w:t>Medically at-risk subjects</w:t>
            </w:r>
            <w:r w:rsidR="00C00A08" w:rsidRPr="00F7369B">
              <w:rPr>
                <w:rFonts w:cstheme="minorHAnsi"/>
              </w:rPr>
              <w:t xml:space="preserve"> (aged 12 months or older)</w:t>
            </w:r>
            <w:r w:rsidRPr="00F7369B">
              <w:rPr>
                <w:rFonts w:cstheme="minorHAnsi"/>
              </w:rPr>
              <w:t xml:space="preserve">: Two doses of </w:t>
            </w:r>
            <w:r w:rsidR="004257CE" w:rsidRPr="00F7369B">
              <w:rPr>
                <w:rFonts w:cstheme="minorHAnsi"/>
              </w:rPr>
              <w:t xml:space="preserve">primary course </w:t>
            </w:r>
            <w:r w:rsidRPr="00F7369B">
              <w:rPr>
                <w:rFonts w:cstheme="minorHAnsi"/>
              </w:rPr>
              <w:t xml:space="preserve">MenQuadfi plus booster doses </w:t>
            </w:r>
            <w:r w:rsidR="00520073" w:rsidRPr="00F7369B">
              <w:rPr>
                <w:rFonts w:cstheme="minorHAnsi"/>
              </w:rPr>
              <w:t>for subjects in population c), d) or e)</w:t>
            </w:r>
            <w:r w:rsidR="00F7369B">
              <w:rPr>
                <w:rFonts w:cstheme="minorHAnsi"/>
              </w:rPr>
              <w:t xml:space="preserve">. </w:t>
            </w:r>
          </w:p>
        </w:tc>
      </w:tr>
      <w:tr w:rsidR="0038574B" w:rsidRPr="00F7369B" w:rsidTr="00665877">
        <w:trPr>
          <w:tblHeader/>
        </w:trPr>
        <w:tc>
          <w:tcPr>
            <w:tcW w:w="705" w:type="pct"/>
            <w:vAlign w:val="center"/>
          </w:tcPr>
          <w:p w:rsidR="0038574B" w:rsidRPr="00F7369B" w:rsidRDefault="0038574B" w:rsidP="00AE628C">
            <w:pPr>
              <w:pStyle w:val="TableText0"/>
              <w:rPr>
                <w:rFonts w:cstheme="minorHAnsi"/>
              </w:rPr>
            </w:pPr>
            <w:r w:rsidRPr="00F7369B">
              <w:rPr>
                <w:rFonts w:cstheme="minorHAnsi"/>
              </w:rPr>
              <w:t>Comparator</w:t>
            </w:r>
          </w:p>
        </w:tc>
        <w:tc>
          <w:tcPr>
            <w:tcW w:w="4295" w:type="pct"/>
            <w:vAlign w:val="center"/>
          </w:tcPr>
          <w:p w:rsidR="0038574B" w:rsidRPr="00F7369B" w:rsidRDefault="00B04F69" w:rsidP="00BF72E0">
            <w:pPr>
              <w:pStyle w:val="Table"/>
              <w:numPr>
                <w:ilvl w:val="0"/>
                <w:numId w:val="20"/>
              </w:numPr>
              <w:rPr>
                <w:rFonts w:ascii="Arial Narrow" w:eastAsiaTheme="majorEastAsia" w:hAnsi="Arial Narrow"/>
                <w:bCs/>
                <w:sz w:val="20"/>
                <w:szCs w:val="24"/>
                <w:lang w:eastAsia="en-AU"/>
              </w:rPr>
            </w:pPr>
            <w:r w:rsidRPr="00F7369B">
              <w:rPr>
                <w:rFonts w:ascii="Arial Narrow" w:eastAsiaTheme="majorEastAsia" w:hAnsi="Arial Narrow"/>
                <w:bCs/>
                <w:sz w:val="20"/>
                <w:szCs w:val="24"/>
                <w:lang w:eastAsia="en-AU"/>
              </w:rPr>
              <w:t>Children</w:t>
            </w:r>
            <w:r w:rsidR="0038574B" w:rsidRPr="00F7369B">
              <w:rPr>
                <w:rFonts w:ascii="Arial Narrow" w:eastAsiaTheme="majorEastAsia" w:hAnsi="Arial Narrow"/>
                <w:bCs/>
                <w:sz w:val="20"/>
                <w:szCs w:val="24"/>
                <w:lang w:eastAsia="en-AU"/>
              </w:rPr>
              <w:t xml:space="preserve"> and adolescents: A single dose of Nimenrix</w:t>
            </w:r>
            <w:r w:rsidR="00894909" w:rsidRPr="00F7369B">
              <w:rPr>
                <w:rFonts w:ascii="Arial Narrow" w:eastAsiaTheme="majorEastAsia" w:hAnsi="Arial Narrow"/>
                <w:bCs/>
                <w:sz w:val="20"/>
                <w:szCs w:val="24"/>
                <w:lang w:eastAsia="en-AU"/>
              </w:rPr>
              <w:t xml:space="preserve"> administered per current NIP arrangements.</w:t>
            </w:r>
          </w:p>
          <w:p w:rsidR="0038574B" w:rsidRPr="00F7369B" w:rsidRDefault="0038574B" w:rsidP="00016349">
            <w:pPr>
              <w:pStyle w:val="TableText0"/>
              <w:numPr>
                <w:ilvl w:val="0"/>
                <w:numId w:val="20"/>
              </w:numPr>
              <w:rPr>
                <w:rFonts w:cstheme="minorHAnsi"/>
              </w:rPr>
            </w:pPr>
            <w:r w:rsidRPr="00F7369B">
              <w:rPr>
                <w:rFonts w:cstheme="minorHAnsi"/>
              </w:rPr>
              <w:t xml:space="preserve">Medically at-risk individuals: Two doses of Nimenrix plus booster doses as per </w:t>
            </w:r>
            <w:r w:rsidR="00B0709E" w:rsidRPr="00F7369B">
              <w:rPr>
                <w:rFonts w:cstheme="minorHAnsi"/>
              </w:rPr>
              <w:t xml:space="preserve">current </w:t>
            </w:r>
            <w:r w:rsidRPr="00F7369B">
              <w:rPr>
                <w:rFonts w:cstheme="minorHAnsi"/>
              </w:rPr>
              <w:t xml:space="preserve">NIP </w:t>
            </w:r>
            <w:r w:rsidR="00016349" w:rsidRPr="00F7369B">
              <w:rPr>
                <w:rFonts w:cstheme="minorHAnsi"/>
              </w:rPr>
              <w:t>criteria</w:t>
            </w:r>
            <w:r w:rsidR="00016349" w:rsidRPr="00F7369B">
              <w:rPr>
                <w:rFonts w:cstheme="minorHAnsi"/>
                <w:vertAlign w:val="superscript"/>
              </w:rPr>
              <w:t>1</w:t>
            </w:r>
            <w:r w:rsidR="00894909" w:rsidRPr="00F7369B">
              <w:rPr>
                <w:rFonts w:cstheme="minorHAnsi"/>
              </w:rPr>
              <w:t>.</w:t>
            </w:r>
            <w:r w:rsidRPr="00F7369B">
              <w:rPr>
                <w:rFonts w:cstheme="minorHAnsi"/>
              </w:rPr>
              <w:t xml:space="preserve"> </w:t>
            </w:r>
          </w:p>
        </w:tc>
      </w:tr>
      <w:tr w:rsidR="0038574B" w:rsidRPr="00F7369B" w:rsidTr="00665877">
        <w:trPr>
          <w:tblHeader/>
        </w:trPr>
        <w:tc>
          <w:tcPr>
            <w:tcW w:w="705" w:type="pct"/>
            <w:vAlign w:val="center"/>
          </w:tcPr>
          <w:p w:rsidR="0038574B" w:rsidRPr="00F7369B" w:rsidRDefault="0038574B" w:rsidP="00AE628C">
            <w:pPr>
              <w:pStyle w:val="TableText0"/>
              <w:rPr>
                <w:rFonts w:cstheme="minorHAnsi"/>
              </w:rPr>
            </w:pPr>
            <w:r w:rsidRPr="00F7369B">
              <w:rPr>
                <w:rFonts w:cstheme="minorHAnsi"/>
              </w:rPr>
              <w:t>Outcomes</w:t>
            </w:r>
          </w:p>
        </w:tc>
        <w:tc>
          <w:tcPr>
            <w:tcW w:w="4295" w:type="pct"/>
            <w:vAlign w:val="center"/>
          </w:tcPr>
          <w:p w:rsidR="0038574B" w:rsidRPr="00F7369B" w:rsidRDefault="0038574B" w:rsidP="00BF72E0">
            <w:pPr>
              <w:pStyle w:val="Table"/>
              <w:numPr>
                <w:ilvl w:val="0"/>
                <w:numId w:val="21"/>
              </w:numPr>
              <w:rPr>
                <w:rFonts w:ascii="Arial Narrow" w:eastAsiaTheme="majorEastAsia" w:hAnsi="Arial Narrow"/>
                <w:bCs/>
                <w:sz w:val="20"/>
                <w:szCs w:val="24"/>
                <w:lang w:eastAsia="en-AU"/>
              </w:rPr>
            </w:pPr>
            <w:r w:rsidRPr="00F7369B">
              <w:rPr>
                <w:rFonts w:ascii="Arial Narrow" w:eastAsiaTheme="majorEastAsia" w:hAnsi="Arial Narrow"/>
                <w:bCs/>
                <w:sz w:val="20"/>
                <w:szCs w:val="24"/>
                <w:lang w:eastAsia="en-AU"/>
              </w:rPr>
              <w:t>Immunogenicity: proportion of subjects achieving post-vaccination SBA titres above established thresholds, proportion of patients who were responders, ratio of post</w:t>
            </w:r>
            <w:r w:rsidR="00C74ACE" w:rsidRPr="00F7369B">
              <w:rPr>
                <w:rFonts w:ascii="Arial Narrow" w:eastAsiaTheme="majorEastAsia" w:hAnsi="Arial Narrow"/>
                <w:bCs/>
                <w:sz w:val="20"/>
                <w:szCs w:val="24"/>
                <w:lang w:eastAsia="en-AU"/>
              </w:rPr>
              <w:t xml:space="preserve"> </w:t>
            </w:r>
            <w:r w:rsidRPr="00F7369B">
              <w:rPr>
                <w:rFonts w:ascii="Arial Narrow" w:eastAsiaTheme="majorEastAsia" w:hAnsi="Arial Narrow"/>
                <w:bCs/>
                <w:sz w:val="20"/>
                <w:szCs w:val="24"/>
                <w:lang w:eastAsia="en-AU"/>
              </w:rPr>
              <w:t>vaccination GMTs</w:t>
            </w:r>
            <w:r w:rsidR="00894909" w:rsidRPr="00F7369B">
              <w:rPr>
                <w:rFonts w:ascii="Arial Narrow" w:eastAsiaTheme="majorEastAsia" w:hAnsi="Arial Narrow"/>
                <w:bCs/>
                <w:sz w:val="20"/>
                <w:szCs w:val="24"/>
                <w:lang w:eastAsia="en-AU"/>
              </w:rPr>
              <w:t>.</w:t>
            </w:r>
            <w:r w:rsidRPr="00F7369B">
              <w:rPr>
                <w:rFonts w:ascii="Arial Narrow" w:eastAsiaTheme="majorEastAsia" w:hAnsi="Arial Narrow"/>
                <w:bCs/>
                <w:sz w:val="20"/>
                <w:szCs w:val="24"/>
                <w:lang w:eastAsia="en-AU"/>
              </w:rPr>
              <w:t xml:space="preserve"> </w:t>
            </w:r>
          </w:p>
          <w:p w:rsidR="0038574B" w:rsidRPr="00F7369B" w:rsidRDefault="0038574B" w:rsidP="00BF72E0">
            <w:pPr>
              <w:pStyle w:val="Table"/>
              <w:numPr>
                <w:ilvl w:val="0"/>
                <w:numId w:val="21"/>
              </w:numPr>
              <w:rPr>
                <w:rFonts w:ascii="Arial Narrow" w:eastAsiaTheme="majorEastAsia" w:hAnsi="Arial Narrow"/>
                <w:bCs/>
                <w:sz w:val="20"/>
                <w:szCs w:val="24"/>
                <w:lang w:eastAsia="en-AU"/>
              </w:rPr>
            </w:pPr>
            <w:r w:rsidRPr="00F7369B">
              <w:rPr>
                <w:rFonts w:ascii="Arial Narrow" w:eastAsiaTheme="majorEastAsia" w:hAnsi="Arial Narrow"/>
                <w:bCs/>
                <w:sz w:val="20"/>
                <w:szCs w:val="24"/>
                <w:lang w:eastAsia="en-AU"/>
              </w:rPr>
              <w:t>Co</w:t>
            </w:r>
            <w:r w:rsidR="00C74ACE" w:rsidRPr="00F7369B">
              <w:rPr>
                <w:rFonts w:ascii="Arial Narrow" w:eastAsiaTheme="majorEastAsia" w:hAnsi="Arial Narrow"/>
                <w:bCs/>
                <w:sz w:val="20"/>
                <w:szCs w:val="24"/>
                <w:lang w:eastAsia="en-AU"/>
              </w:rPr>
              <w:t>-</w:t>
            </w:r>
            <w:r w:rsidRPr="00F7369B">
              <w:rPr>
                <w:rFonts w:ascii="Arial Narrow" w:eastAsiaTheme="majorEastAsia" w:hAnsi="Arial Narrow"/>
                <w:bCs/>
                <w:sz w:val="20"/>
                <w:szCs w:val="24"/>
                <w:lang w:eastAsia="en-AU"/>
              </w:rPr>
              <w:t xml:space="preserve">administration: immune responses to other concomitantly administered vaccines </w:t>
            </w:r>
          </w:p>
          <w:p w:rsidR="0038574B" w:rsidRPr="00F7369B" w:rsidRDefault="0038574B" w:rsidP="00BF72E0">
            <w:pPr>
              <w:pStyle w:val="TableText0"/>
              <w:numPr>
                <w:ilvl w:val="0"/>
                <w:numId w:val="21"/>
              </w:numPr>
              <w:rPr>
                <w:rFonts w:cstheme="minorHAnsi"/>
              </w:rPr>
            </w:pPr>
            <w:r w:rsidRPr="00F7369B">
              <w:rPr>
                <w:rFonts w:cstheme="minorHAnsi"/>
              </w:rPr>
              <w:t>Safety: proportion of subjects with solicited/unsolicited adverse events by severity and potential relationship to vaccination</w:t>
            </w:r>
            <w:r w:rsidR="00F7369B">
              <w:rPr>
                <w:rFonts w:cstheme="minorHAnsi"/>
              </w:rPr>
              <w:t xml:space="preserve">. </w:t>
            </w:r>
          </w:p>
        </w:tc>
      </w:tr>
      <w:tr w:rsidR="0038574B" w:rsidRPr="00F7369B" w:rsidTr="00665877">
        <w:trPr>
          <w:tblHeader/>
        </w:trPr>
        <w:tc>
          <w:tcPr>
            <w:tcW w:w="705" w:type="pct"/>
            <w:vAlign w:val="center"/>
          </w:tcPr>
          <w:p w:rsidR="0038574B" w:rsidRPr="00F7369B" w:rsidRDefault="0038574B" w:rsidP="00AE628C">
            <w:pPr>
              <w:pStyle w:val="TableText0"/>
              <w:rPr>
                <w:rFonts w:cstheme="minorHAnsi"/>
              </w:rPr>
            </w:pPr>
            <w:r w:rsidRPr="00F7369B">
              <w:rPr>
                <w:rFonts w:cstheme="minorHAnsi"/>
              </w:rPr>
              <w:t>Clinical claim</w:t>
            </w:r>
          </w:p>
        </w:tc>
        <w:tc>
          <w:tcPr>
            <w:tcW w:w="4295" w:type="pct"/>
            <w:vAlign w:val="center"/>
          </w:tcPr>
          <w:p w:rsidR="0038574B" w:rsidRPr="00F7369B" w:rsidRDefault="0038574B" w:rsidP="00BF72E0">
            <w:pPr>
              <w:pStyle w:val="Table"/>
              <w:numPr>
                <w:ilvl w:val="0"/>
                <w:numId w:val="22"/>
              </w:numPr>
              <w:rPr>
                <w:rFonts w:ascii="Arial Narrow" w:eastAsiaTheme="majorEastAsia" w:hAnsi="Arial Narrow"/>
                <w:bCs/>
                <w:sz w:val="20"/>
                <w:szCs w:val="24"/>
                <w:lang w:eastAsia="en-AU"/>
              </w:rPr>
            </w:pPr>
            <w:r w:rsidRPr="00F7369B">
              <w:rPr>
                <w:rFonts w:ascii="Arial Narrow" w:eastAsiaTheme="majorEastAsia" w:hAnsi="Arial Narrow"/>
                <w:bCs/>
                <w:sz w:val="20"/>
                <w:szCs w:val="24"/>
                <w:lang w:eastAsia="en-AU"/>
              </w:rPr>
              <w:t xml:space="preserve">In </w:t>
            </w:r>
            <w:r w:rsidR="00B04F69" w:rsidRPr="00F7369B">
              <w:rPr>
                <w:rFonts w:ascii="Arial Narrow" w:eastAsiaTheme="majorEastAsia" w:hAnsi="Arial Narrow"/>
                <w:bCs/>
                <w:sz w:val="20"/>
                <w:szCs w:val="24"/>
                <w:lang w:eastAsia="en-AU"/>
              </w:rPr>
              <w:t>children</w:t>
            </w:r>
            <w:r w:rsidRPr="00F7369B">
              <w:rPr>
                <w:rFonts w:ascii="Arial Narrow" w:eastAsiaTheme="majorEastAsia" w:hAnsi="Arial Narrow"/>
                <w:bCs/>
                <w:sz w:val="20"/>
                <w:szCs w:val="24"/>
                <w:lang w:eastAsia="en-AU"/>
              </w:rPr>
              <w:t xml:space="preserve"> aged approximately 12 months, a single dose of MenQuadfi will deliver non-inferior comparative effectiveness and safety to a single dose of the main comparator Nimenrix; </w:t>
            </w:r>
          </w:p>
          <w:p w:rsidR="0038574B" w:rsidRPr="00F7369B" w:rsidRDefault="0038574B" w:rsidP="00BF72E0">
            <w:pPr>
              <w:pStyle w:val="Table"/>
              <w:numPr>
                <w:ilvl w:val="0"/>
                <w:numId w:val="22"/>
              </w:numPr>
              <w:rPr>
                <w:rFonts w:ascii="Arial Narrow" w:eastAsiaTheme="majorEastAsia" w:hAnsi="Arial Narrow"/>
                <w:bCs/>
                <w:sz w:val="20"/>
                <w:szCs w:val="24"/>
                <w:lang w:eastAsia="en-AU"/>
              </w:rPr>
            </w:pPr>
            <w:r w:rsidRPr="00F7369B">
              <w:rPr>
                <w:rFonts w:ascii="Arial Narrow" w:eastAsiaTheme="majorEastAsia" w:hAnsi="Arial Narrow"/>
                <w:bCs/>
                <w:sz w:val="20"/>
                <w:szCs w:val="24"/>
                <w:lang w:eastAsia="en-AU"/>
              </w:rPr>
              <w:t xml:space="preserve">In adolescents aged 14-19 years a single dose of MenQuadfi will deliver non-inferior comparative effectiveness and safety to a single dose of Menveo and by reasonable extrapolation can be assumed to provide comparable effectiveness and safety to a single dose of Nimenrix;     </w:t>
            </w:r>
          </w:p>
          <w:p w:rsidR="0038574B" w:rsidRPr="00F7369B" w:rsidRDefault="0038574B" w:rsidP="00BF72E0">
            <w:pPr>
              <w:pStyle w:val="TableText0"/>
              <w:numPr>
                <w:ilvl w:val="0"/>
                <w:numId w:val="22"/>
              </w:numPr>
              <w:rPr>
                <w:rFonts w:cstheme="minorHAnsi"/>
              </w:rPr>
            </w:pPr>
            <w:r w:rsidRPr="00F7369B">
              <w:rPr>
                <w:rFonts w:cstheme="minorHAnsi"/>
              </w:rPr>
              <w:t>In specified medically at risk subjects aged ≥12 months there are scarce data available regarding the comparative effectiveness and safety of the ATAGI-recommended 2 x primary + booster dose regimens of MenQuadfi and Nimenrix, but no evidence or clinical expectation that the therapeutic relativity would differ from that of a single dose regimen in other populations.</w:t>
            </w:r>
          </w:p>
        </w:tc>
      </w:tr>
    </w:tbl>
    <w:p w:rsidR="00E17560" w:rsidRPr="00F7369B" w:rsidRDefault="00EE62DC" w:rsidP="0038574B">
      <w:pPr>
        <w:pStyle w:val="TableFigureFooter"/>
        <w:rPr>
          <w:rFonts w:cstheme="minorHAnsi"/>
          <w:iCs/>
        </w:rPr>
      </w:pPr>
      <w:r w:rsidRPr="00F7369B">
        <w:rPr>
          <w:rFonts w:cstheme="minorHAnsi"/>
          <w:iCs/>
        </w:rPr>
        <w:t>GMT</w:t>
      </w:r>
      <w:r w:rsidR="00520073" w:rsidRPr="00F7369B">
        <w:rPr>
          <w:rFonts w:cstheme="minorHAnsi"/>
          <w:iCs/>
        </w:rPr>
        <w:t>=</w:t>
      </w:r>
      <w:r w:rsidRPr="00F7369B">
        <w:rPr>
          <w:rFonts w:cstheme="minorHAnsi"/>
          <w:iCs/>
        </w:rPr>
        <w:t xml:space="preserve">geometric mean titres; </w:t>
      </w:r>
      <w:r w:rsidR="00E17560" w:rsidRPr="00F7369B">
        <w:rPr>
          <w:rFonts w:cstheme="minorHAnsi"/>
          <w:iCs/>
        </w:rPr>
        <w:t>NIP</w:t>
      </w:r>
      <w:r w:rsidR="00520073" w:rsidRPr="00F7369B">
        <w:rPr>
          <w:rFonts w:cstheme="minorHAnsi"/>
          <w:iCs/>
        </w:rPr>
        <w:t>=</w:t>
      </w:r>
      <w:r w:rsidR="00AE032F" w:rsidRPr="00F7369B">
        <w:rPr>
          <w:rFonts w:cstheme="minorHAnsi"/>
          <w:iCs/>
        </w:rPr>
        <w:t>N</w:t>
      </w:r>
      <w:r w:rsidR="00E17560" w:rsidRPr="00F7369B">
        <w:rPr>
          <w:rFonts w:cstheme="minorHAnsi"/>
          <w:iCs/>
        </w:rPr>
        <w:t xml:space="preserve">ational </w:t>
      </w:r>
      <w:r w:rsidR="00AE032F" w:rsidRPr="00F7369B">
        <w:rPr>
          <w:rFonts w:cstheme="minorHAnsi"/>
          <w:iCs/>
        </w:rPr>
        <w:t>I</w:t>
      </w:r>
      <w:r w:rsidR="00E17560" w:rsidRPr="00F7369B">
        <w:rPr>
          <w:rFonts w:cstheme="minorHAnsi"/>
          <w:iCs/>
        </w:rPr>
        <w:t xml:space="preserve">mmunisation </w:t>
      </w:r>
      <w:r w:rsidR="00AE032F" w:rsidRPr="00F7369B">
        <w:rPr>
          <w:rFonts w:cstheme="minorHAnsi"/>
          <w:iCs/>
        </w:rPr>
        <w:t>P</w:t>
      </w:r>
      <w:r w:rsidR="00E17560" w:rsidRPr="00F7369B">
        <w:rPr>
          <w:rFonts w:cstheme="minorHAnsi"/>
          <w:iCs/>
        </w:rPr>
        <w:t>rogram; SBA</w:t>
      </w:r>
      <w:r w:rsidR="00520073" w:rsidRPr="00F7369B">
        <w:rPr>
          <w:rFonts w:cstheme="minorHAnsi"/>
          <w:iCs/>
        </w:rPr>
        <w:t>=</w:t>
      </w:r>
      <w:r w:rsidR="00E17560" w:rsidRPr="00F7369B">
        <w:rPr>
          <w:rFonts w:cstheme="minorHAnsi"/>
          <w:iCs/>
        </w:rPr>
        <w:t>serum bactericidal antibody</w:t>
      </w:r>
      <w:r w:rsidR="00016349" w:rsidRPr="00F7369B">
        <w:rPr>
          <w:rFonts w:cstheme="minorHAnsi"/>
          <w:iCs/>
        </w:rPr>
        <w:t>;</w:t>
      </w:r>
      <w:r w:rsidR="001732D0" w:rsidRPr="00F7369B">
        <w:rPr>
          <w:rFonts w:cstheme="minorHAnsi"/>
          <w:iCs/>
        </w:rPr>
        <w:t xml:space="preserve"> ATAGI=Australian Technical Advisory Group on Immunisation</w:t>
      </w:r>
    </w:p>
    <w:p w:rsidR="0038574B" w:rsidRPr="00F7369B" w:rsidRDefault="0038574B" w:rsidP="00357D22">
      <w:pPr>
        <w:pStyle w:val="TableFigureFooter"/>
        <w:spacing w:after="0"/>
        <w:rPr>
          <w:rFonts w:cstheme="minorHAnsi"/>
        </w:rPr>
      </w:pPr>
      <w:r w:rsidRPr="00F7369B">
        <w:rPr>
          <w:rFonts w:cstheme="minorHAnsi"/>
        </w:rPr>
        <w:t xml:space="preserve">Source: Table 1.1 of the submission. </w:t>
      </w:r>
    </w:p>
    <w:p w:rsidR="00357D22" w:rsidRPr="00F7369B" w:rsidRDefault="00357D22" w:rsidP="00BF72E0">
      <w:pPr>
        <w:pStyle w:val="TableFigureFooter"/>
        <w:numPr>
          <w:ilvl w:val="0"/>
          <w:numId w:val="24"/>
        </w:numPr>
        <w:spacing w:after="0"/>
        <w:rPr>
          <w:rFonts w:cstheme="minorHAnsi"/>
        </w:rPr>
      </w:pPr>
      <w:r w:rsidRPr="00F7369B">
        <w:rPr>
          <w:rFonts w:cstheme="minorHAnsi"/>
          <w:iCs/>
        </w:rPr>
        <w:t>The recommended dose for Nimenrix is 2 to 4 in medically at-risk individuals. Children under 12 months of age receive 3 or 4 doses which does not apply to MenQuadfi.</w:t>
      </w:r>
    </w:p>
    <w:p w:rsidR="00D07340" w:rsidRPr="00F7369B" w:rsidRDefault="00D07340" w:rsidP="00D07340">
      <w:pPr>
        <w:pStyle w:val="2-SectionHeading"/>
        <w:rPr>
          <w:rFonts w:cstheme="minorHAnsi"/>
        </w:rPr>
      </w:pPr>
      <w:bookmarkStart w:id="4" w:name="_Toc51066731"/>
      <w:r w:rsidRPr="00F7369B">
        <w:rPr>
          <w:rFonts w:cstheme="minorHAnsi"/>
        </w:rPr>
        <w:t>Background</w:t>
      </w:r>
      <w:bookmarkEnd w:id="4"/>
    </w:p>
    <w:p w:rsidR="000F65DB" w:rsidRPr="00F7369B" w:rsidRDefault="000F65DB" w:rsidP="000F65DB">
      <w:pPr>
        <w:pStyle w:val="4-SubsectionHeading"/>
        <w:rPr>
          <w:rFonts w:cstheme="minorHAnsi"/>
        </w:rPr>
      </w:pPr>
      <w:bookmarkStart w:id="5" w:name="_Toc22897638"/>
      <w:bookmarkStart w:id="6" w:name="_Toc51066732"/>
      <w:r w:rsidRPr="00F7369B">
        <w:rPr>
          <w:rFonts w:cstheme="minorHAnsi"/>
        </w:rPr>
        <w:t>Registration status</w:t>
      </w:r>
      <w:bookmarkEnd w:id="5"/>
      <w:bookmarkEnd w:id="6"/>
    </w:p>
    <w:p w:rsidR="00AB3223" w:rsidRPr="00F7369B" w:rsidRDefault="00AB3223" w:rsidP="00AC1106">
      <w:pPr>
        <w:pStyle w:val="3-BodyText"/>
        <w:rPr>
          <w:rFonts w:cstheme="minorHAnsi"/>
        </w:rPr>
      </w:pPr>
      <w:r w:rsidRPr="00F7369B">
        <w:rPr>
          <w:rFonts w:cstheme="minorHAnsi"/>
        </w:rPr>
        <w:t xml:space="preserve">MenQuadfi was </w:t>
      </w:r>
      <w:r w:rsidR="007D65EB" w:rsidRPr="00F7369B">
        <w:rPr>
          <w:rFonts w:cstheme="minorHAnsi"/>
        </w:rPr>
        <w:t>registered</w:t>
      </w:r>
      <w:r w:rsidRPr="00F7369B">
        <w:rPr>
          <w:rFonts w:cstheme="minorHAnsi"/>
        </w:rPr>
        <w:t xml:space="preserve"> by the </w:t>
      </w:r>
      <w:r w:rsidR="00442FF6" w:rsidRPr="00F7369B">
        <w:rPr>
          <w:rFonts w:cstheme="minorHAnsi"/>
        </w:rPr>
        <w:t>Therapeutic Goods Administration (</w:t>
      </w:r>
      <w:r w:rsidRPr="00F7369B">
        <w:rPr>
          <w:rFonts w:cstheme="minorHAnsi"/>
        </w:rPr>
        <w:t>TGA</w:t>
      </w:r>
      <w:r w:rsidR="00442FF6" w:rsidRPr="00F7369B">
        <w:rPr>
          <w:rFonts w:cstheme="minorHAnsi"/>
        </w:rPr>
        <w:t>)</w:t>
      </w:r>
      <w:r w:rsidR="00B95C54" w:rsidRPr="00F7369B">
        <w:rPr>
          <w:rFonts w:cstheme="minorHAnsi"/>
        </w:rPr>
        <w:t xml:space="preserve"> </w:t>
      </w:r>
      <w:r w:rsidR="00243EFC" w:rsidRPr="00F7369B">
        <w:rPr>
          <w:rFonts w:cstheme="minorHAnsi"/>
        </w:rPr>
        <w:t>on</w:t>
      </w:r>
      <w:r w:rsidR="004652E6" w:rsidRPr="00F7369B">
        <w:rPr>
          <w:rFonts w:cstheme="minorHAnsi"/>
        </w:rPr>
        <w:t xml:space="preserve"> </w:t>
      </w:r>
      <w:r w:rsidR="00243EFC" w:rsidRPr="00F7369B">
        <w:rPr>
          <w:rFonts w:cstheme="minorHAnsi"/>
        </w:rPr>
        <w:t xml:space="preserve"> </w:t>
      </w:r>
      <w:r w:rsidR="004652E6" w:rsidRPr="00F7369B">
        <w:rPr>
          <w:rFonts w:cstheme="minorHAnsi"/>
        </w:rPr>
        <w:t>2</w:t>
      </w:r>
      <w:r w:rsidR="00243EFC" w:rsidRPr="00F7369B">
        <w:rPr>
          <w:rFonts w:cstheme="minorHAnsi"/>
        </w:rPr>
        <w:t>9</w:t>
      </w:r>
      <w:r w:rsidR="004652E6" w:rsidRPr="00F7369B">
        <w:rPr>
          <w:rFonts w:cstheme="minorHAnsi"/>
        </w:rPr>
        <w:t xml:space="preserve"> </w:t>
      </w:r>
      <w:r w:rsidRPr="00F7369B">
        <w:rPr>
          <w:rFonts w:cstheme="minorHAnsi"/>
        </w:rPr>
        <w:t>October 20</w:t>
      </w:r>
      <w:r w:rsidR="00B95C54" w:rsidRPr="00F7369B">
        <w:rPr>
          <w:rFonts w:cstheme="minorHAnsi"/>
        </w:rPr>
        <w:t>20</w:t>
      </w:r>
      <w:r w:rsidRPr="00F7369B">
        <w:rPr>
          <w:rFonts w:cstheme="minorHAnsi"/>
        </w:rPr>
        <w:t xml:space="preserve"> for the following indication:</w:t>
      </w:r>
    </w:p>
    <w:p w:rsidR="00AB3223" w:rsidRPr="00F7369B" w:rsidRDefault="00B95C54" w:rsidP="00B95C54">
      <w:pPr>
        <w:pStyle w:val="3-BodyText"/>
        <w:numPr>
          <w:ilvl w:val="0"/>
          <w:numId w:val="0"/>
        </w:numPr>
        <w:ind w:left="720"/>
        <w:rPr>
          <w:rFonts w:cstheme="minorHAnsi"/>
        </w:rPr>
      </w:pPr>
      <w:r w:rsidRPr="00F7369B">
        <w:rPr>
          <w:rFonts w:cstheme="minorHAnsi"/>
        </w:rPr>
        <w:t xml:space="preserve">‘MenQuadfi is indicated for active immunisation for the prevention of invasive meningococcal disease caused by </w:t>
      </w:r>
      <w:r w:rsidRPr="00F7369B">
        <w:rPr>
          <w:rFonts w:cstheme="minorHAnsi"/>
          <w:i/>
        </w:rPr>
        <w:t>Neisseria meningitidis</w:t>
      </w:r>
      <w:r w:rsidRPr="00F7369B">
        <w:rPr>
          <w:rFonts w:cstheme="minorHAnsi"/>
        </w:rPr>
        <w:t xml:space="preserve"> serogroups A, C, W and Y. The use of MenQuadfi should be in accordance with official recommendations.</w:t>
      </w:r>
      <w:r w:rsidR="00016349" w:rsidRPr="00F7369B">
        <w:rPr>
          <w:rFonts w:cstheme="minorHAnsi"/>
        </w:rPr>
        <w:t>’</w:t>
      </w:r>
      <w:r w:rsidR="00047671" w:rsidRPr="00F7369B">
        <w:rPr>
          <w:rFonts w:cstheme="minorHAnsi"/>
        </w:rPr>
        <w:t xml:space="preserve"> </w:t>
      </w:r>
    </w:p>
    <w:p w:rsidR="00B95C54" w:rsidRPr="00F7369B" w:rsidRDefault="00B95C54" w:rsidP="00B95C54">
      <w:pPr>
        <w:pStyle w:val="3-BodyText"/>
      </w:pPr>
      <w:r w:rsidRPr="00F7369B">
        <w:t>The approved dos</w:t>
      </w:r>
      <w:r w:rsidR="00E76853" w:rsidRPr="00F7369B">
        <w:t xml:space="preserve">e of MenQuadfi </w:t>
      </w:r>
      <w:r w:rsidRPr="00F7369B">
        <w:t>is as follows:</w:t>
      </w:r>
    </w:p>
    <w:p w:rsidR="00B95C54" w:rsidRPr="00F7369B" w:rsidRDefault="00B95C54" w:rsidP="00665877">
      <w:pPr>
        <w:pStyle w:val="3-BodyText"/>
        <w:numPr>
          <w:ilvl w:val="0"/>
          <w:numId w:val="34"/>
        </w:numPr>
        <w:ind w:left="1077" w:hanging="357"/>
      </w:pPr>
      <w:r w:rsidRPr="00F7369B">
        <w:t>Primary Vaccination</w:t>
      </w:r>
    </w:p>
    <w:p w:rsidR="00B95C54" w:rsidRPr="00F7369B" w:rsidRDefault="00B95C54" w:rsidP="00665877">
      <w:pPr>
        <w:pStyle w:val="3-BodyText"/>
        <w:numPr>
          <w:ilvl w:val="1"/>
          <w:numId w:val="35"/>
        </w:numPr>
        <w:ind w:left="1434" w:hanging="357"/>
      </w:pPr>
      <w:r w:rsidRPr="00F7369B">
        <w:t>Individuals 12 months of age and older receive a single dose.</w:t>
      </w:r>
    </w:p>
    <w:p w:rsidR="00B95C54" w:rsidRPr="00F7369B" w:rsidRDefault="00B95C54" w:rsidP="00665877">
      <w:pPr>
        <w:pStyle w:val="3-BodyText"/>
        <w:numPr>
          <w:ilvl w:val="0"/>
          <w:numId w:val="34"/>
        </w:numPr>
        <w:ind w:left="1077" w:hanging="357"/>
      </w:pPr>
      <w:r w:rsidRPr="00F7369B">
        <w:t>Booster Vaccination</w:t>
      </w:r>
    </w:p>
    <w:p w:rsidR="00B95C54" w:rsidRPr="00F7369B" w:rsidRDefault="00B95C54" w:rsidP="00665877">
      <w:pPr>
        <w:pStyle w:val="3-BodyText"/>
        <w:numPr>
          <w:ilvl w:val="1"/>
          <w:numId w:val="35"/>
        </w:numPr>
        <w:ind w:left="1434" w:hanging="357"/>
      </w:pPr>
      <w:r w:rsidRPr="00F7369B">
        <w:lastRenderedPageBreak/>
        <w:t>MenQuadfi may be given as a single booster dose to adolescents and adults who have previously been primed with meningococcal vaccine at least 4 years prior</w:t>
      </w:r>
      <w:r w:rsidR="004652E6" w:rsidRPr="00F7369B">
        <w:t>.</w:t>
      </w:r>
    </w:p>
    <w:p w:rsidR="001155C3" w:rsidRPr="00F7369B" w:rsidRDefault="002E2A0A" w:rsidP="001155C3">
      <w:pPr>
        <w:pStyle w:val="3-BodyText"/>
      </w:pPr>
      <w:r w:rsidRPr="00F7369B">
        <w:t xml:space="preserve">The </w:t>
      </w:r>
      <w:r w:rsidR="00584FF5" w:rsidRPr="00F7369B">
        <w:t xml:space="preserve">PBAC </w:t>
      </w:r>
      <w:r w:rsidRPr="00F7369B">
        <w:t xml:space="preserve">noted that </w:t>
      </w:r>
      <w:r w:rsidR="00AB3223" w:rsidRPr="00F7369B">
        <w:t xml:space="preserve">MenQuadfi </w:t>
      </w:r>
      <w:r w:rsidR="00325BD0" w:rsidRPr="00F7369B">
        <w:t>is</w:t>
      </w:r>
      <w:r w:rsidR="00584FF5" w:rsidRPr="00F7369B">
        <w:t xml:space="preserve"> TGA approved </w:t>
      </w:r>
      <w:r w:rsidR="00AB3223" w:rsidRPr="00F7369B">
        <w:t>for use for individuals from 12</w:t>
      </w:r>
      <w:r w:rsidR="00442FF6" w:rsidRPr="00F7369B">
        <w:t> </w:t>
      </w:r>
      <w:r w:rsidR="00AB3223" w:rsidRPr="00F7369B">
        <w:t>months of age, whereas Nimenrix is approved for use for individuals from 6 weeks of age.</w:t>
      </w:r>
      <w:r w:rsidR="00D01526" w:rsidRPr="00F7369B">
        <w:t xml:space="preserve"> </w:t>
      </w:r>
      <w:r w:rsidR="00FB2D2B" w:rsidRPr="00F7369B">
        <w:t>T</w:t>
      </w:r>
      <w:r w:rsidR="00AB3223" w:rsidRPr="00F7369B">
        <w:t xml:space="preserve">he </w:t>
      </w:r>
      <w:r w:rsidR="00584FF5" w:rsidRPr="00F7369B">
        <w:t xml:space="preserve">PBAC noted the sponsor is intending to </w:t>
      </w:r>
      <w:r w:rsidR="00AB3223" w:rsidRPr="00F7369B">
        <w:t>seek approval for use in infants ≥</w:t>
      </w:r>
      <w:r w:rsidR="00442FF6" w:rsidRPr="00F7369B">
        <w:t> </w:t>
      </w:r>
      <w:r w:rsidR="00AB3223" w:rsidRPr="00F7369B">
        <w:t>6</w:t>
      </w:r>
      <w:r w:rsidR="00442FF6" w:rsidRPr="00F7369B">
        <w:t> </w:t>
      </w:r>
      <w:r w:rsidR="00AB3223" w:rsidRPr="00F7369B">
        <w:t>weeks of age</w:t>
      </w:r>
      <w:r w:rsidR="00584FF5" w:rsidRPr="00F7369B">
        <w:t xml:space="preserve"> once the data is available</w:t>
      </w:r>
      <w:r w:rsidR="00AB3223" w:rsidRPr="00F7369B">
        <w:t xml:space="preserve">. </w:t>
      </w:r>
    </w:p>
    <w:p w:rsidR="00C55B31" w:rsidRPr="00F7369B" w:rsidRDefault="001155C3" w:rsidP="001155C3">
      <w:pPr>
        <w:pStyle w:val="3-BodyText"/>
        <w:numPr>
          <w:ilvl w:val="0"/>
          <w:numId w:val="0"/>
        </w:numPr>
        <w:ind w:left="720"/>
        <w:rPr>
          <w:i/>
        </w:rPr>
      </w:pPr>
      <w:r w:rsidRPr="00F7369B">
        <w:rPr>
          <w:rFonts w:cstheme="minorHAnsi"/>
          <w:i/>
        </w:rPr>
        <w:t>For more detail on PBAC’s view, see section 7 PBAC outcome.</w:t>
      </w:r>
    </w:p>
    <w:p w:rsidR="00D45536" w:rsidRPr="00F7369B" w:rsidRDefault="00D07340" w:rsidP="00D45536">
      <w:pPr>
        <w:pStyle w:val="2-SectionHeading"/>
        <w:rPr>
          <w:rFonts w:cstheme="minorHAnsi"/>
        </w:rPr>
      </w:pPr>
      <w:bookmarkStart w:id="7" w:name="_Toc51066733"/>
      <w:r w:rsidRPr="00F7369B">
        <w:rPr>
          <w:rFonts w:cstheme="minorHAnsi"/>
        </w:rPr>
        <w:t>Requested listing</w:t>
      </w:r>
      <w:bookmarkEnd w:id="7"/>
    </w:p>
    <w:p w:rsidR="004839AB" w:rsidRPr="00F7369B" w:rsidRDefault="00894909" w:rsidP="009F13C3">
      <w:pPr>
        <w:pStyle w:val="3-BodyText"/>
        <w:rPr>
          <w:rFonts w:cstheme="minorHAnsi"/>
        </w:rPr>
      </w:pPr>
      <w:r w:rsidRPr="00F7369B">
        <w:rPr>
          <w:rFonts w:cstheme="minorHAnsi"/>
        </w:rPr>
        <w:t>The proposed listing was consistent with ATAGI advice and the proposed</w:t>
      </w:r>
      <w:r w:rsidR="00D22316" w:rsidRPr="00F7369B">
        <w:rPr>
          <w:rFonts w:cstheme="minorHAnsi"/>
        </w:rPr>
        <w:t xml:space="preserve"> product information (</w:t>
      </w:r>
      <w:r w:rsidRPr="00F7369B">
        <w:rPr>
          <w:rFonts w:cstheme="minorHAnsi"/>
        </w:rPr>
        <w:t>PI</w:t>
      </w:r>
      <w:r w:rsidR="00D22316" w:rsidRPr="00F7369B">
        <w:rPr>
          <w:rFonts w:cstheme="minorHAnsi"/>
        </w:rPr>
        <w:t>)</w:t>
      </w:r>
      <w:r w:rsidR="00E76853" w:rsidRPr="00F7369B">
        <w:rPr>
          <w:rFonts w:cstheme="minorHAnsi"/>
        </w:rPr>
        <w:t xml:space="preserve"> provided with the submission</w:t>
      </w:r>
      <w:r w:rsidRPr="00F7369B">
        <w:rPr>
          <w:rFonts w:cstheme="minorHAnsi"/>
        </w:rPr>
        <w:t xml:space="preserve">. The requested </w:t>
      </w:r>
      <w:r w:rsidR="000D445D" w:rsidRPr="00F7369B">
        <w:rPr>
          <w:rFonts w:cstheme="minorHAnsi"/>
        </w:rPr>
        <w:t>listing</w:t>
      </w:r>
      <w:r w:rsidRPr="00F7369B">
        <w:rPr>
          <w:rFonts w:cstheme="minorHAnsi"/>
        </w:rPr>
        <w:t xml:space="preserve"> is summarised in Table 2</w:t>
      </w:r>
      <w:r w:rsidR="005E66CB" w:rsidRPr="00F7369B">
        <w:rPr>
          <w:rFonts w:cstheme="minorHAnsi"/>
        </w:rPr>
        <w:t xml:space="preserve">, noting the Nationally Negotiated Price (NNP) below is a proxy figure in lieu of the actual NNP being made available to the </w:t>
      </w:r>
      <w:r w:rsidR="008B4746" w:rsidRPr="00F7369B">
        <w:rPr>
          <w:rFonts w:cstheme="minorHAnsi"/>
        </w:rPr>
        <w:t>s</w:t>
      </w:r>
      <w:r w:rsidR="005E66CB" w:rsidRPr="00F7369B">
        <w:rPr>
          <w:rFonts w:cstheme="minorHAnsi"/>
        </w:rPr>
        <w:t>ponsor in the event the vaccine is recommended</w:t>
      </w:r>
      <w:r w:rsidRPr="00F7369B">
        <w:rPr>
          <w:rFonts w:cstheme="minorHAnsi"/>
        </w:rPr>
        <w:t>.</w:t>
      </w:r>
      <w:r w:rsidR="005E66CB" w:rsidRPr="00F7369B">
        <w:rPr>
          <w:rFonts w:cstheme="minorHAnsi"/>
        </w:rPr>
        <w:t xml:space="preserve"> </w:t>
      </w:r>
    </w:p>
    <w:p w:rsidR="00D45536" w:rsidRPr="00F7369B" w:rsidRDefault="00D45536" w:rsidP="00D45536">
      <w:pPr>
        <w:pStyle w:val="TableFigureHeading"/>
        <w:rPr>
          <w:rFonts w:cstheme="minorHAnsi"/>
          <w:szCs w:val="20"/>
        </w:rPr>
      </w:pPr>
      <w:r w:rsidRPr="00F7369B">
        <w:rPr>
          <w:rStyle w:val="CommentReference"/>
          <w:rFonts w:cstheme="minorHAnsi"/>
          <w:b/>
          <w:szCs w:val="20"/>
        </w:rPr>
        <w:t>Table 2: Essential elements of the requested listing</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3531"/>
        <w:gridCol w:w="1381"/>
        <w:gridCol w:w="255"/>
        <w:gridCol w:w="1757"/>
        <w:gridCol w:w="2103"/>
      </w:tblGrid>
      <w:tr w:rsidR="00053EE1" w:rsidRPr="00F7369B" w:rsidTr="00680FB4">
        <w:tc>
          <w:tcPr>
            <w:tcW w:w="1956" w:type="pct"/>
            <w:vAlign w:val="center"/>
          </w:tcPr>
          <w:p w:rsidR="00053EE1" w:rsidRPr="00F7369B" w:rsidRDefault="00053EE1" w:rsidP="00053EE1">
            <w:pPr>
              <w:keepNext/>
              <w:jc w:val="left"/>
              <w:rPr>
                <w:rFonts w:ascii="Arial Narrow" w:hAnsi="Arial Narrow" w:cstheme="minorHAnsi"/>
                <w:b/>
                <w:bCs/>
                <w:snapToGrid w:val="0"/>
                <w:sz w:val="20"/>
                <w:szCs w:val="20"/>
              </w:rPr>
            </w:pPr>
            <w:r w:rsidRPr="00F7369B">
              <w:rPr>
                <w:rFonts w:ascii="Arial Narrow" w:hAnsi="Arial Narrow" w:cstheme="minorHAnsi"/>
                <w:b/>
                <w:snapToGrid w:val="0"/>
                <w:sz w:val="20"/>
                <w:szCs w:val="20"/>
              </w:rPr>
              <w:t>Name, restriction, manner of administration, form</w:t>
            </w:r>
          </w:p>
        </w:tc>
        <w:tc>
          <w:tcPr>
            <w:tcW w:w="765" w:type="pct"/>
            <w:vAlign w:val="center"/>
          </w:tcPr>
          <w:p w:rsidR="00053EE1" w:rsidRPr="00F7369B" w:rsidRDefault="00053EE1" w:rsidP="00053EE1">
            <w:pPr>
              <w:keepNext/>
              <w:jc w:val="left"/>
              <w:rPr>
                <w:rFonts w:ascii="Arial Narrow" w:hAnsi="Arial Narrow" w:cstheme="minorHAnsi"/>
                <w:b/>
                <w:bCs/>
                <w:snapToGrid w:val="0"/>
                <w:sz w:val="20"/>
                <w:szCs w:val="20"/>
              </w:rPr>
            </w:pPr>
          </w:p>
        </w:tc>
        <w:tc>
          <w:tcPr>
            <w:tcW w:w="141" w:type="pct"/>
            <w:vAlign w:val="center"/>
          </w:tcPr>
          <w:p w:rsidR="00053EE1" w:rsidRPr="00F7369B" w:rsidRDefault="00053EE1" w:rsidP="00053EE1">
            <w:pPr>
              <w:keepNext/>
              <w:jc w:val="left"/>
              <w:rPr>
                <w:rFonts w:ascii="Arial Narrow" w:hAnsi="Arial Narrow" w:cstheme="minorHAnsi"/>
                <w:b/>
                <w:bCs/>
                <w:snapToGrid w:val="0"/>
                <w:sz w:val="20"/>
                <w:szCs w:val="20"/>
              </w:rPr>
            </w:pPr>
          </w:p>
        </w:tc>
        <w:tc>
          <w:tcPr>
            <w:tcW w:w="973" w:type="pct"/>
            <w:vAlign w:val="center"/>
          </w:tcPr>
          <w:p w:rsidR="00053EE1" w:rsidRPr="00F7369B" w:rsidRDefault="00053EE1" w:rsidP="00053EE1">
            <w:pPr>
              <w:keepNext/>
              <w:jc w:val="center"/>
              <w:rPr>
                <w:rFonts w:ascii="Arial Narrow" w:hAnsi="Arial Narrow" w:cstheme="minorHAnsi"/>
                <w:b/>
                <w:bCs/>
                <w:snapToGrid w:val="0"/>
                <w:sz w:val="20"/>
                <w:szCs w:val="20"/>
              </w:rPr>
            </w:pPr>
            <w:r w:rsidRPr="00F7369B">
              <w:rPr>
                <w:rFonts w:ascii="Arial Narrow" w:hAnsi="Arial Narrow" w:cstheme="minorHAnsi"/>
                <w:b/>
                <w:snapToGrid w:val="0"/>
                <w:sz w:val="20"/>
                <w:szCs w:val="20"/>
              </w:rPr>
              <w:t>Nationally negotiated price</w:t>
            </w:r>
          </w:p>
        </w:tc>
        <w:tc>
          <w:tcPr>
            <w:tcW w:w="1166" w:type="pct"/>
            <w:vAlign w:val="center"/>
          </w:tcPr>
          <w:p w:rsidR="00053EE1" w:rsidRPr="00F7369B" w:rsidRDefault="00053EE1" w:rsidP="00053EE1">
            <w:pPr>
              <w:keepNext/>
              <w:jc w:val="left"/>
              <w:rPr>
                <w:rFonts w:ascii="Arial Narrow" w:hAnsi="Arial Narrow" w:cstheme="minorHAnsi"/>
                <w:b/>
                <w:bCs/>
                <w:snapToGrid w:val="0"/>
                <w:sz w:val="20"/>
                <w:szCs w:val="20"/>
              </w:rPr>
            </w:pPr>
            <w:r w:rsidRPr="00F7369B">
              <w:rPr>
                <w:rFonts w:ascii="Arial Narrow" w:hAnsi="Arial Narrow" w:cstheme="minorHAnsi"/>
                <w:b/>
                <w:snapToGrid w:val="0"/>
                <w:sz w:val="20"/>
                <w:szCs w:val="20"/>
              </w:rPr>
              <w:t>Proprietary name and manufacturer</w:t>
            </w:r>
          </w:p>
        </w:tc>
      </w:tr>
      <w:tr w:rsidR="00053EE1" w:rsidRPr="00F7369B" w:rsidTr="00680FB4">
        <w:trPr>
          <w:trHeight w:val="357"/>
        </w:trPr>
        <w:tc>
          <w:tcPr>
            <w:tcW w:w="1956" w:type="pct"/>
          </w:tcPr>
          <w:p w:rsidR="00053EE1" w:rsidRPr="00F7369B" w:rsidRDefault="002729B8" w:rsidP="002729B8">
            <w:pPr>
              <w:pStyle w:val="TableText0"/>
              <w:rPr>
                <w:rFonts w:cstheme="minorHAnsi"/>
                <w:iCs/>
                <w:szCs w:val="20"/>
              </w:rPr>
            </w:pPr>
            <w:r w:rsidRPr="00F7369B">
              <w:rPr>
                <w:rFonts w:cstheme="minorHAnsi"/>
                <w:iCs/>
                <w:szCs w:val="20"/>
              </w:rPr>
              <w:t xml:space="preserve">Meningococcal (Groups A,C,Y,W) Polysaccharide Tetanus Toxoid Conjugate Vaccine, </w:t>
            </w:r>
            <w:r w:rsidR="00053EE1" w:rsidRPr="00F7369B">
              <w:rPr>
                <w:rFonts w:cstheme="minorHAnsi"/>
                <w:snapToGrid w:val="0"/>
                <w:szCs w:val="20"/>
              </w:rPr>
              <w:t>1 x 0.5 mL syringe</w:t>
            </w:r>
          </w:p>
        </w:tc>
        <w:tc>
          <w:tcPr>
            <w:tcW w:w="765" w:type="pct"/>
            <w:vAlign w:val="center"/>
          </w:tcPr>
          <w:p w:rsidR="00053EE1" w:rsidRPr="00F7369B" w:rsidRDefault="00053EE1" w:rsidP="00053EE1">
            <w:pPr>
              <w:jc w:val="center"/>
              <w:rPr>
                <w:rFonts w:ascii="Arial Narrow" w:hAnsi="Arial Narrow" w:cstheme="minorHAnsi"/>
                <w:snapToGrid w:val="0"/>
                <w:sz w:val="20"/>
                <w:szCs w:val="20"/>
              </w:rPr>
            </w:pPr>
          </w:p>
        </w:tc>
        <w:tc>
          <w:tcPr>
            <w:tcW w:w="141" w:type="pct"/>
            <w:vAlign w:val="center"/>
          </w:tcPr>
          <w:p w:rsidR="00053EE1" w:rsidRPr="00F7369B" w:rsidRDefault="00053EE1" w:rsidP="00053EE1">
            <w:pPr>
              <w:jc w:val="center"/>
              <w:rPr>
                <w:rFonts w:ascii="Arial Narrow" w:hAnsi="Arial Narrow" w:cstheme="minorHAnsi"/>
                <w:snapToGrid w:val="0"/>
                <w:sz w:val="20"/>
                <w:szCs w:val="20"/>
              </w:rPr>
            </w:pPr>
          </w:p>
        </w:tc>
        <w:tc>
          <w:tcPr>
            <w:tcW w:w="973" w:type="pct"/>
            <w:vAlign w:val="center"/>
          </w:tcPr>
          <w:p w:rsidR="00053EE1" w:rsidRPr="00F7369B" w:rsidRDefault="002729B8" w:rsidP="00053EE1">
            <w:pPr>
              <w:jc w:val="center"/>
              <w:rPr>
                <w:rFonts w:ascii="Arial Narrow" w:hAnsi="Arial Narrow" w:cstheme="minorHAnsi"/>
                <w:snapToGrid w:val="0"/>
                <w:sz w:val="20"/>
                <w:szCs w:val="20"/>
              </w:rPr>
            </w:pPr>
            <w:r w:rsidRPr="00F7369B">
              <w:rPr>
                <w:rFonts w:ascii="Arial Narrow" w:hAnsi="Arial Narrow" w:cstheme="minorHAnsi"/>
                <w:snapToGrid w:val="0"/>
                <w:sz w:val="20"/>
                <w:szCs w:val="20"/>
              </w:rPr>
              <w:t>$</w:t>
            </w:r>
            <w:r w:rsidR="0007305C">
              <w:rPr>
                <w:rFonts w:ascii="Arial Narrow" w:hAnsi="Arial Narrow" w:cstheme="minorHAnsi"/>
                <w:noProof/>
                <w:snapToGrid w:val="0"/>
                <w:color w:val="000000"/>
                <w:sz w:val="20"/>
                <w:szCs w:val="20"/>
                <w:highlight w:val="black"/>
              </w:rPr>
              <w:t>'''''''''''''</w:t>
            </w:r>
            <w:r w:rsidRPr="00347FE7">
              <w:rPr>
                <w:rFonts w:ascii="Arial Narrow" w:hAnsi="Arial Narrow" w:cstheme="minorHAnsi"/>
                <w:snapToGrid w:val="0"/>
                <w:sz w:val="20"/>
                <w:szCs w:val="20"/>
              </w:rPr>
              <w:t>*</w:t>
            </w:r>
          </w:p>
        </w:tc>
        <w:tc>
          <w:tcPr>
            <w:tcW w:w="1166" w:type="pct"/>
            <w:vAlign w:val="center"/>
          </w:tcPr>
          <w:p w:rsidR="00053EE1" w:rsidRPr="00F7369B" w:rsidRDefault="002729B8" w:rsidP="00053EE1">
            <w:pPr>
              <w:jc w:val="left"/>
              <w:rPr>
                <w:rFonts w:ascii="Arial Narrow" w:hAnsi="Arial Narrow" w:cstheme="minorHAnsi"/>
                <w:snapToGrid w:val="0"/>
                <w:sz w:val="20"/>
                <w:szCs w:val="20"/>
              </w:rPr>
            </w:pPr>
            <w:r w:rsidRPr="00F7369B">
              <w:rPr>
                <w:rFonts w:ascii="Arial Narrow" w:hAnsi="Arial Narrow" w:cstheme="minorHAnsi"/>
                <w:snapToGrid w:val="0"/>
                <w:sz w:val="20"/>
                <w:szCs w:val="20"/>
              </w:rPr>
              <w:t xml:space="preserve">MenQuadfi, </w:t>
            </w:r>
            <w:r w:rsidR="005B2686" w:rsidRPr="00F7369B">
              <w:rPr>
                <w:rFonts w:ascii="Arial Narrow" w:hAnsi="Arial Narrow" w:cstheme="minorHAnsi"/>
                <w:snapToGrid w:val="0"/>
                <w:sz w:val="20"/>
                <w:szCs w:val="20"/>
              </w:rPr>
              <w:t>Sanofi-Aventis Australia Pty Ltd</w:t>
            </w:r>
          </w:p>
        </w:tc>
      </w:tr>
      <w:tr w:rsidR="00053EE1" w:rsidRPr="00F7369B" w:rsidTr="00665877">
        <w:trPr>
          <w:trHeight w:val="2290"/>
        </w:trPr>
        <w:tc>
          <w:tcPr>
            <w:tcW w:w="5000" w:type="pct"/>
            <w:gridSpan w:val="5"/>
          </w:tcPr>
          <w:p w:rsidR="00053EE1" w:rsidRPr="00F7369B" w:rsidRDefault="00053EE1" w:rsidP="00053EE1">
            <w:pPr>
              <w:jc w:val="left"/>
              <w:rPr>
                <w:rFonts w:ascii="Arial Narrow" w:hAnsi="Arial Narrow" w:cstheme="minorHAnsi"/>
                <w:snapToGrid w:val="0"/>
                <w:sz w:val="20"/>
                <w:szCs w:val="20"/>
              </w:rPr>
            </w:pPr>
            <w:r w:rsidRPr="00F7369B">
              <w:rPr>
                <w:rFonts w:ascii="Arial Narrow" w:hAnsi="Arial Narrow" w:cstheme="minorHAnsi"/>
                <w:snapToGrid w:val="0"/>
                <w:sz w:val="20"/>
                <w:szCs w:val="20"/>
              </w:rPr>
              <w:t>National Immunisation Program</w:t>
            </w:r>
          </w:p>
          <w:p w:rsidR="002729B8" w:rsidRPr="00F7369B" w:rsidRDefault="002729B8" w:rsidP="00BF72E0">
            <w:pPr>
              <w:pStyle w:val="Tabletext"/>
              <w:numPr>
                <w:ilvl w:val="0"/>
                <w:numId w:val="17"/>
              </w:numPr>
              <w:rPr>
                <w:rFonts w:cstheme="minorHAnsi"/>
                <w:snapToGrid/>
                <w:szCs w:val="20"/>
                <w:lang w:eastAsia="en-US"/>
              </w:rPr>
            </w:pPr>
            <w:r w:rsidRPr="00F7369B">
              <w:rPr>
                <w:rFonts w:cstheme="minorHAnsi"/>
                <w:snapToGrid/>
                <w:szCs w:val="20"/>
                <w:lang w:eastAsia="en-US"/>
              </w:rPr>
              <w:t>A child who is 12 months old; or</w:t>
            </w:r>
          </w:p>
          <w:p w:rsidR="002729B8" w:rsidRPr="00F7369B" w:rsidRDefault="002729B8" w:rsidP="00BF72E0">
            <w:pPr>
              <w:pStyle w:val="Tabletext"/>
              <w:numPr>
                <w:ilvl w:val="0"/>
                <w:numId w:val="17"/>
              </w:numPr>
              <w:rPr>
                <w:rFonts w:cstheme="minorHAnsi"/>
                <w:snapToGrid/>
                <w:szCs w:val="20"/>
                <w:lang w:eastAsia="en-US"/>
              </w:rPr>
            </w:pPr>
            <w:r w:rsidRPr="00F7369B">
              <w:rPr>
                <w:rFonts w:cstheme="minorHAnsi"/>
                <w:snapToGrid/>
                <w:szCs w:val="20"/>
                <w:lang w:eastAsia="en-US"/>
              </w:rPr>
              <w:t>A person who is at least 14 years old but less than 20 years of age; or</w:t>
            </w:r>
          </w:p>
          <w:p w:rsidR="002729B8" w:rsidRPr="00F7369B" w:rsidRDefault="002729B8" w:rsidP="00BF72E0">
            <w:pPr>
              <w:pStyle w:val="Tabletext"/>
              <w:numPr>
                <w:ilvl w:val="0"/>
                <w:numId w:val="17"/>
              </w:numPr>
              <w:rPr>
                <w:rFonts w:cstheme="minorHAnsi"/>
                <w:snapToGrid/>
                <w:szCs w:val="20"/>
                <w:lang w:eastAsia="en-US"/>
              </w:rPr>
            </w:pPr>
            <w:r w:rsidRPr="00F7369B">
              <w:rPr>
                <w:rFonts w:cstheme="minorHAnsi"/>
                <w:snapToGrid/>
                <w:szCs w:val="20"/>
                <w:lang w:eastAsia="en-US"/>
              </w:rPr>
              <w:t>A person ≥ 12 months old who has congenital or acquired asplenia (e.g. splenectomy or hyposplenia); or</w:t>
            </w:r>
          </w:p>
          <w:p w:rsidR="002729B8" w:rsidRPr="00F7369B" w:rsidRDefault="002729B8" w:rsidP="00BF72E0">
            <w:pPr>
              <w:pStyle w:val="Tabletext"/>
              <w:numPr>
                <w:ilvl w:val="0"/>
                <w:numId w:val="17"/>
              </w:numPr>
              <w:rPr>
                <w:rFonts w:cstheme="minorHAnsi"/>
                <w:snapToGrid/>
                <w:szCs w:val="20"/>
                <w:lang w:eastAsia="en-US"/>
              </w:rPr>
            </w:pPr>
            <w:r w:rsidRPr="00F7369B">
              <w:rPr>
                <w:rFonts w:cstheme="minorHAnsi"/>
                <w:snapToGrid/>
                <w:szCs w:val="20"/>
                <w:lang w:eastAsia="en-US"/>
              </w:rPr>
              <w:t>A person ≥ 12 months old who has complement deficiency; or</w:t>
            </w:r>
          </w:p>
          <w:p w:rsidR="002729B8" w:rsidRPr="00F7369B" w:rsidRDefault="002729B8" w:rsidP="00BF72E0">
            <w:pPr>
              <w:pStyle w:val="Tabletext"/>
              <w:numPr>
                <w:ilvl w:val="0"/>
                <w:numId w:val="17"/>
              </w:numPr>
              <w:rPr>
                <w:rFonts w:cstheme="minorHAnsi"/>
                <w:snapToGrid/>
                <w:szCs w:val="20"/>
                <w:lang w:eastAsia="en-US"/>
              </w:rPr>
            </w:pPr>
            <w:r w:rsidRPr="00F7369B">
              <w:rPr>
                <w:rFonts w:cstheme="minorHAnsi"/>
                <w:snapToGrid/>
                <w:szCs w:val="20"/>
                <w:lang w:eastAsia="en-US"/>
              </w:rPr>
              <w:t>A person ≥ 12 months old undergoing eculizumab treatment</w:t>
            </w:r>
            <w:r w:rsidR="00F7369B">
              <w:rPr>
                <w:rFonts w:cstheme="minorHAnsi"/>
                <w:snapToGrid/>
                <w:szCs w:val="20"/>
                <w:lang w:eastAsia="en-US"/>
              </w:rPr>
              <w:t xml:space="preserve">. </w:t>
            </w:r>
          </w:p>
          <w:p w:rsidR="00053EE1" w:rsidRPr="00F7369B" w:rsidRDefault="002729B8" w:rsidP="00BF72E0">
            <w:pPr>
              <w:pStyle w:val="ListParagraph"/>
              <w:numPr>
                <w:ilvl w:val="0"/>
                <w:numId w:val="16"/>
              </w:numPr>
              <w:jc w:val="left"/>
              <w:rPr>
                <w:rFonts w:ascii="Arial Narrow" w:hAnsi="Arial Narrow" w:cstheme="minorHAnsi"/>
                <w:sz w:val="20"/>
                <w:szCs w:val="20"/>
              </w:rPr>
            </w:pPr>
            <w:r w:rsidRPr="00F7369B">
              <w:rPr>
                <w:rFonts w:ascii="Arial Narrow" w:hAnsi="Arial Narrow" w:cstheme="minorHAnsi"/>
                <w:sz w:val="20"/>
                <w:szCs w:val="20"/>
              </w:rPr>
              <w:t>Listing is requested as a single dose for subjects in populations (a) and (b) or a two-dose primary course for subjects in circumstances (c), (d), or (e)</w:t>
            </w:r>
            <w:r w:rsidR="00F7369B">
              <w:rPr>
                <w:rFonts w:ascii="Arial Narrow" w:hAnsi="Arial Narrow" w:cstheme="minorHAnsi"/>
                <w:sz w:val="20"/>
                <w:szCs w:val="20"/>
              </w:rPr>
              <w:t xml:space="preserve">. </w:t>
            </w:r>
            <w:r w:rsidRPr="00F7369B">
              <w:rPr>
                <w:rFonts w:ascii="Arial Narrow" w:hAnsi="Arial Narrow" w:cstheme="minorHAnsi"/>
                <w:sz w:val="20"/>
                <w:szCs w:val="20"/>
              </w:rPr>
              <w:t xml:space="preserve">It is further proposed that Item 7 (1A) of the Determination, describing the approved </w:t>
            </w:r>
            <w:r w:rsidR="00A54C30" w:rsidRPr="00F7369B">
              <w:rPr>
                <w:rFonts w:ascii="Arial Narrow" w:hAnsi="Arial Narrow" w:cstheme="minorHAnsi"/>
                <w:sz w:val="20"/>
                <w:szCs w:val="20"/>
              </w:rPr>
              <w:t>MenACWY</w:t>
            </w:r>
            <w:r w:rsidRPr="00F7369B">
              <w:rPr>
                <w:rFonts w:ascii="Arial Narrow" w:hAnsi="Arial Narrow" w:cstheme="minorHAnsi"/>
                <w:sz w:val="20"/>
                <w:szCs w:val="20"/>
              </w:rPr>
              <w:t xml:space="preserve"> booster schedule for medically at risk subjects, be amended to accommodate the new listing of MenQuadfi</w:t>
            </w:r>
            <w:r w:rsidR="00F7369B">
              <w:rPr>
                <w:rFonts w:ascii="Arial Narrow" w:hAnsi="Arial Narrow" w:cstheme="minorHAnsi"/>
                <w:sz w:val="20"/>
                <w:szCs w:val="20"/>
              </w:rPr>
              <w:t xml:space="preserve">. </w:t>
            </w:r>
            <w:r w:rsidRPr="00F7369B">
              <w:rPr>
                <w:rFonts w:ascii="Arial Narrow" w:hAnsi="Arial Narrow" w:cstheme="minorHAnsi"/>
                <w:snapToGrid/>
                <w:sz w:val="20"/>
                <w:szCs w:val="20"/>
                <w:lang w:eastAsia="en-US"/>
              </w:rPr>
              <w:t xml:space="preserve">  </w:t>
            </w:r>
          </w:p>
        </w:tc>
      </w:tr>
    </w:tbl>
    <w:p w:rsidR="00C55B31" w:rsidRPr="00F7369B" w:rsidRDefault="00C55B31" w:rsidP="00C55B31">
      <w:pPr>
        <w:pStyle w:val="TableFooter"/>
        <w:rPr>
          <w:rFonts w:cstheme="minorHAnsi"/>
          <w:i/>
          <w:iCs/>
          <w:szCs w:val="18"/>
        </w:rPr>
      </w:pPr>
      <w:r w:rsidRPr="00F7369B">
        <w:rPr>
          <w:rFonts w:cstheme="minorHAnsi"/>
          <w:szCs w:val="18"/>
        </w:rPr>
        <w:t xml:space="preserve">*The submission estimated a proxy </w:t>
      </w:r>
      <w:r w:rsidR="00F26F67" w:rsidRPr="00F7369B">
        <w:rPr>
          <w:rFonts w:cstheme="minorHAnsi"/>
          <w:szCs w:val="18"/>
        </w:rPr>
        <w:t xml:space="preserve">NNP </w:t>
      </w:r>
      <w:r w:rsidRPr="00F7369B">
        <w:rPr>
          <w:rFonts w:cstheme="minorHAnsi"/>
          <w:szCs w:val="18"/>
        </w:rPr>
        <w:t>cost of $</w:t>
      </w:r>
      <w:r w:rsidR="0007305C">
        <w:rPr>
          <w:rFonts w:cstheme="minorHAnsi"/>
          <w:noProof/>
          <w:color w:val="000000"/>
          <w:szCs w:val="18"/>
          <w:highlight w:val="black"/>
        </w:rPr>
        <w:t>'''''''''''''</w:t>
      </w:r>
      <w:r w:rsidRPr="00347FE7">
        <w:rPr>
          <w:rFonts w:cstheme="minorHAnsi"/>
          <w:szCs w:val="18"/>
        </w:rPr>
        <w:t xml:space="preserve"> </w:t>
      </w:r>
      <w:r w:rsidRPr="00F7369B">
        <w:rPr>
          <w:rFonts w:cstheme="minorHAnsi"/>
          <w:szCs w:val="18"/>
        </w:rPr>
        <w:t>for Nimenrix based on a recent published Australian cost effectiveness analysis of the MenACWY vaccine in Australia</w:t>
      </w:r>
      <w:r w:rsidR="00B51ECF" w:rsidRPr="00F7369B">
        <w:rPr>
          <w:rFonts w:cstheme="minorHAnsi"/>
          <w:szCs w:val="18"/>
        </w:rPr>
        <w:t>n</w:t>
      </w:r>
      <w:r w:rsidRPr="00F7369B">
        <w:rPr>
          <w:rFonts w:cstheme="minorHAnsi"/>
          <w:szCs w:val="18"/>
        </w:rPr>
        <w:t xml:space="preserve"> adolescents. </w:t>
      </w:r>
    </w:p>
    <w:p w:rsidR="00C55B31" w:rsidRPr="00F7369B" w:rsidRDefault="00C55B31" w:rsidP="00C55B31">
      <w:pPr>
        <w:pStyle w:val="TableFooter"/>
        <w:rPr>
          <w:rFonts w:cstheme="minorHAnsi"/>
          <w:iCs/>
          <w:szCs w:val="18"/>
        </w:rPr>
      </w:pPr>
      <w:r w:rsidRPr="00F7369B">
        <w:rPr>
          <w:rFonts w:cstheme="minorHAnsi"/>
          <w:iCs/>
          <w:szCs w:val="18"/>
        </w:rPr>
        <w:t xml:space="preserve">Source: compiled during the evaluation based on section 1.4 </w:t>
      </w:r>
      <w:r w:rsidR="00B51ECF" w:rsidRPr="00F7369B">
        <w:rPr>
          <w:rFonts w:cstheme="minorHAnsi"/>
          <w:iCs/>
          <w:szCs w:val="18"/>
        </w:rPr>
        <w:t>and</w:t>
      </w:r>
      <w:r w:rsidRPr="00F7369B">
        <w:rPr>
          <w:rFonts w:cstheme="minorHAnsi"/>
          <w:iCs/>
          <w:szCs w:val="18"/>
        </w:rPr>
        <w:t xml:space="preserve"> section 3 of the submission. </w:t>
      </w:r>
    </w:p>
    <w:p w:rsidR="00C55B31" w:rsidRPr="00F7369B" w:rsidRDefault="00C55B31" w:rsidP="00D07340">
      <w:pPr>
        <w:rPr>
          <w:rFonts w:asciiTheme="minorHAnsi" w:hAnsiTheme="minorHAnsi" w:cstheme="minorHAnsi"/>
        </w:rPr>
      </w:pPr>
    </w:p>
    <w:p w:rsidR="00C55B31" w:rsidRPr="00F7369B" w:rsidRDefault="00C55B31" w:rsidP="00C55B31">
      <w:pPr>
        <w:pStyle w:val="3-BodyText"/>
        <w:rPr>
          <w:rFonts w:cstheme="minorHAnsi"/>
        </w:rPr>
      </w:pPr>
      <w:r w:rsidRPr="00F7369B">
        <w:rPr>
          <w:rFonts w:cstheme="minorHAnsi"/>
        </w:rPr>
        <w:t xml:space="preserve">The submission proposed to list MenQuadfi on the </w:t>
      </w:r>
      <w:r w:rsidR="00635C58" w:rsidRPr="00F7369B">
        <w:rPr>
          <w:rFonts w:cstheme="minorHAnsi"/>
        </w:rPr>
        <w:t xml:space="preserve">Determination </w:t>
      </w:r>
      <w:r w:rsidRPr="00F7369B">
        <w:rPr>
          <w:rFonts w:cstheme="minorHAnsi"/>
        </w:rPr>
        <w:t>for similar populations to Nimenrix</w:t>
      </w:r>
      <w:r w:rsidR="00B51ECF" w:rsidRPr="00F7369B">
        <w:rPr>
          <w:rFonts w:cstheme="minorHAnsi"/>
        </w:rPr>
        <w:t>,</w:t>
      </w:r>
      <w:r w:rsidRPr="00F7369B">
        <w:rPr>
          <w:rFonts w:cstheme="minorHAnsi"/>
        </w:rPr>
        <w:t xml:space="preserve"> which </w:t>
      </w:r>
      <w:r w:rsidR="00541CED" w:rsidRPr="00F7369B">
        <w:rPr>
          <w:rFonts w:cstheme="minorHAnsi"/>
        </w:rPr>
        <w:t xml:space="preserve">at the time of submission was </w:t>
      </w:r>
      <w:r w:rsidRPr="00F7369B">
        <w:rPr>
          <w:rFonts w:cstheme="minorHAnsi"/>
        </w:rPr>
        <w:t xml:space="preserve">the only NIP-listed quadrivalent meningococcal (serogroups ACWY) conjugate vaccine. </w:t>
      </w:r>
      <w:r w:rsidR="00EA5751" w:rsidRPr="00F7369B">
        <w:rPr>
          <w:rFonts w:cstheme="minorHAnsi"/>
          <w:iCs/>
        </w:rPr>
        <w:t xml:space="preserve">The proposed NIP vaccination schedule for MenQuadfi is summarised in </w:t>
      </w:r>
      <w:r w:rsidR="00635C58" w:rsidRPr="00F7369B">
        <w:rPr>
          <w:rFonts w:cstheme="minorHAnsi"/>
          <w:iCs/>
        </w:rPr>
        <w:t>Section 8</w:t>
      </w:r>
      <w:r w:rsidR="00EA5751" w:rsidRPr="00F7369B">
        <w:rPr>
          <w:rFonts w:cstheme="minorHAnsi"/>
          <w:iCs/>
        </w:rPr>
        <w:t xml:space="preserve">. </w:t>
      </w:r>
    </w:p>
    <w:p w:rsidR="00C55B31" w:rsidRPr="00F7369B" w:rsidRDefault="00F26F67" w:rsidP="006D6AA4">
      <w:pPr>
        <w:pStyle w:val="3-BodyText"/>
        <w:rPr>
          <w:rFonts w:cstheme="minorHAnsi"/>
        </w:rPr>
      </w:pPr>
      <w:r w:rsidRPr="00F7369B">
        <w:rPr>
          <w:rFonts w:cstheme="minorHAnsi"/>
        </w:rPr>
        <w:t>According to the MenQuadfi approved PI, a</w:t>
      </w:r>
      <w:r w:rsidR="00C55B31" w:rsidRPr="00F7369B">
        <w:rPr>
          <w:rFonts w:cstheme="minorHAnsi"/>
        </w:rPr>
        <w:t xml:space="preserve"> single dose of MenQuadfi should be administrated to </w:t>
      </w:r>
      <w:r w:rsidR="00B04F69" w:rsidRPr="00F7369B">
        <w:rPr>
          <w:rFonts w:cstheme="minorHAnsi"/>
        </w:rPr>
        <w:t>children</w:t>
      </w:r>
      <w:r w:rsidR="00C55B31" w:rsidRPr="00F7369B">
        <w:rPr>
          <w:rFonts w:cstheme="minorHAnsi"/>
        </w:rPr>
        <w:t xml:space="preserve"> and adolescents</w:t>
      </w:r>
      <w:r w:rsidRPr="00F7369B">
        <w:rPr>
          <w:rFonts w:cstheme="minorHAnsi"/>
        </w:rPr>
        <w:t>. The</w:t>
      </w:r>
      <w:r w:rsidR="00C55B31" w:rsidRPr="00F7369B">
        <w:rPr>
          <w:rFonts w:cstheme="minorHAnsi"/>
        </w:rPr>
        <w:t xml:space="preserve"> ATAGI proposed ‘a 2 dose schedule with an interval of 8 weeks between doses for those with a specified medical condition associated with an increased risk of IMD’</w:t>
      </w:r>
      <w:r w:rsidR="00DB776B" w:rsidRPr="00F7369B">
        <w:rPr>
          <w:rFonts w:cstheme="minorHAnsi"/>
        </w:rPr>
        <w:t xml:space="preserve"> for the primary vaccination schedule</w:t>
      </w:r>
      <w:r w:rsidR="00C55B31" w:rsidRPr="00F7369B">
        <w:rPr>
          <w:rFonts w:cstheme="minorHAnsi"/>
        </w:rPr>
        <w:t>.</w:t>
      </w:r>
      <w:r w:rsidR="006D6AA4" w:rsidRPr="00F7369B">
        <w:rPr>
          <w:rFonts w:cstheme="minorHAnsi"/>
        </w:rPr>
        <w:t xml:space="preserve"> </w:t>
      </w:r>
    </w:p>
    <w:p w:rsidR="00C55B31" w:rsidRPr="00F7369B" w:rsidRDefault="00C55B31" w:rsidP="000A6A71">
      <w:pPr>
        <w:pStyle w:val="3-BodyText"/>
      </w:pPr>
      <w:r w:rsidRPr="00F7369B">
        <w:t xml:space="preserve">The submission assumed a proxy </w:t>
      </w:r>
      <w:r w:rsidR="00F26F67" w:rsidRPr="00F7369B">
        <w:t xml:space="preserve">NNP </w:t>
      </w:r>
      <w:r w:rsidRPr="00F7369B">
        <w:t>of MenQuadfi of $</w:t>
      </w:r>
      <w:r w:rsidR="0007305C">
        <w:rPr>
          <w:noProof/>
          <w:color w:val="000000"/>
          <w:highlight w:val="black"/>
        </w:rPr>
        <w:t>''''''''''</w:t>
      </w:r>
      <w:r w:rsidR="00B51ECF" w:rsidRPr="00F7369B">
        <w:t xml:space="preserve">, which was the estimated price of Nimenrix. </w:t>
      </w:r>
      <w:r w:rsidR="000A6A71" w:rsidRPr="00F7369B">
        <w:rPr>
          <w:rFonts w:cstheme="minorHAnsi"/>
        </w:rPr>
        <w:t xml:space="preserve">The </w:t>
      </w:r>
      <w:r w:rsidR="00635C58" w:rsidRPr="00F7369B">
        <w:rPr>
          <w:rFonts w:cstheme="minorHAnsi"/>
        </w:rPr>
        <w:t>Pre-Subcommittee Response (</w:t>
      </w:r>
      <w:r w:rsidR="000A6A71" w:rsidRPr="00F7369B">
        <w:rPr>
          <w:rFonts w:cstheme="minorHAnsi"/>
        </w:rPr>
        <w:t>PSCR</w:t>
      </w:r>
      <w:r w:rsidR="00635C58" w:rsidRPr="00F7369B">
        <w:rPr>
          <w:rFonts w:cstheme="minorHAnsi"/>
        </w:rPr>
        <w:t>)</w:t>
      </w:r>
      <w:r w:rsidR="000A6A71" w:rsidRPr="00F7369B">
        <w:rPr>
          <w:rFonts w:cstheme="minorHAnsi"/>
        </w:rPr>
        <w:t xml:space="preserve"> clarified that </w:t>
      </w:r>
      <w:r w:rsidR="00593240" w:rsidRPr="00F7369B">
        <w:rPr>
          <w:rFonts w:cstheme="minorHAnsi"/>
        </w:rPr>
        <w:t xml:space="preserve">the </w:t>
      </w:r>
      <w:r w:rsidR="00593240" w:rsidRPr="00F7369B">
        <w:rPr>
          <w:rFonts w:cstheme="minorHAnsi"/>
        </w:rPr>
        <w:lastRenderedPageBreak/>
        <w:t>sponsor would match the revealed NNP for Nimenrix and the</w:t>
      </w:r>
      <w:r w:rsidR="000A6A71" w:rsidRPr="00F7369B">
        <w:rPr>
          <w:rFonts w:cstheme="minorHAnsi"/>
        </w:rPr>
        <w:t xml:space="preserve"> tender price for MenQuadfi will be negotiated in accordance with standard processes in response to a request for tender.</w:t>
      </w:r>
    </w:p>
    <w:p w:rsidR="000C734D" w:rsidRPr="00F7369B" w:rsidRDefault="008C58DE" w:rsidP="000C734D">
      <w:pPr>
        <w:pStyle w:val="3-BodyText"/>
      </w:pPr>
      <w:r w:rsidRPr="00F7369B">
        <w:t>The proposed listing</w:t>
      </w:r>
      <w:r w:rsidR="00E7689A" w:rsidRPr="00F7369B">
        <w:t xml:space="preserve"> for children and </w:t>
      </w:r>
      <w:r w:rsidR="00C20C56" w:rsidRPr="00F7369B">
        <w:t>adolescents</w:t>
      </w:r>
      <w:r w:rsidRPr="00F7369B">
        <w:t xml:space="preserve"> </w:t>
      </w:r>
      <w:r w:rsidR="00775A84" w:rsidRPr="00F7369B">
        <w:t>was</w:t>
      </w:r>
      <w:r w:rsidRPr="00F7369B">
        <w:t xml:space="preserve"> consistent with </w:t>
      </w:r>
      <w:r w:rsidR="00E7689A" w:rsidRPr="00F7369B">
        <w:t xml:space="preserve">the </w:t>
      </w:r>
      <w:r w:rsidRPr="00F7369B">
        <w:t xml:space="preserve">clinical trials </w:t>
      </w:r>
      <w:r w:rsidR="00B96E91" w:rsidRPr="00F7369B">
        <w:t>and the</w:t>
      </w:r>
      <w:r w:rsidR="00F26F67" w:rsidRPr="00F7369B">
        <w:t xml:space="preserve"> </w:t>
      </w:r>
      <w:r w:rsidR="00B96E91" w:rsidRPr="00F7369B">
        <w:t xml:space="preserve">draft </w:t>
      </w:r>
      <w:r w:rsidR="005C2CC6" w:rsidRPr="00F7369B">
        <w:t>PI</w:t>
      </w:r>
      <w:r w:rsidR="00775A84" w:rsidRPr="00F7369B">
        <w:t xml:space="preserve"> provided with the submission</w:t>
      </w:r>
      <w:r w:rsidR="00630DD3" w:rsidRPr="00F7369B">
        <w:t xml:space="preserve">. However, </w:t>
      </w:r>
      <w:r w:rsidR="00947F9A" w:rsidRPr="00F7369B">
        <w:t>the clinical trials</w:t>
      </w:r>
      <w:r w:rsidR="00630DD3" w:rsidRPr="00F7369B">
        <w:t xml:space="preserve"> and the PI d</w:t>
      </w:r>
      <w:r w:rsidR="007D423F" w:rsidRPr="00F7369B">
        <w:t>o</w:t>
      </w:r>
      <w:r w:rsidR="00630DD3" w:rsidRPr="00F7369B">
        <w:t xml:space="preserve"> not </w:t>
      </w:r>
      <w:r w:rsidR="00661A8C" w:rsidRPr="00F7369B">
        <w:t>include medically</w:t>
      </w:r>
      <w:r w:rsidRPr="00F7369B">
        <w:t xml:space="preserve"> at-risk individuals. </w:t>
      </w:r>
      <w:r w:rsidR="00167352" w:rsidRPr="00F7369B">
        <w:t xml:space="preserve">The ESC noted that the PBAC previously recommended MenACWY for medically at-risk individuals. </w:t>
      </w:r>
    </w:p>
    <w:p w:rsidR="00155AFF" w:rsidRPr="00F7369B" w:rsidRDefault="00155AFF" w:rsidP="00155AFF">
      <w:pPr>
        <w:pStyle w:val="3-BodyText"/>
        <w:numPr>
          <w:ilvl w:val="0"/>
          <w:numId w:val="0"/>
        </w:numPr>
        <w:ind w:left="720"/>
        <w:rPr>
          <w:i/>
        </w:rPr>
      </w:pPr>
      <w:r w:rsidRPr="00F7369B">
        <w:rPr>
          <w:i/>
        </w:rPr>
        <w:t>For more detail on PBAC’s view, see section 7 PBAC outcome.</w:t>
      </w:r>
    </w:p>
    <w:p w:rsidR="00D07340" w:rsidRPr="00F7369B" w:rsidRDefault="00D07340" w:rsidP="006E381C">
      <w:pPr>
        <w:pStyle w:val="2-SectionHeading"/>
        <w:rPr>
          <w:rFonts w:cstheme="minorHAnsi"/>
        </w:rPr>
      </w:pPr>
      <w:bookmarkStart w:id="8" w:name="_Toc51066734"/>
      <w:r w:rsidRPr="00F7369B">
        <w:rPr>
          <w:rFonts w:cstheme="minorHAnsi"/>
        </w:rPr>
        <w:t>Population and disease</w:t>
      </w:r>
      <w:bookmarkEnd w:id="8"/>
    </w:p>
    <w:p w:rsidR="00E06664" w:rsidRPr="00F7369B" w:rsidRDefault="00E116AA" w:rsidP="00D07340">
      <w:pPr>
        <w:pStyle w:val="3-BodyText"/>
        <w:rPr>
          <w:rFonts w:cstheme="minorHAnsi"/>
        </w:rPr>
      </w:pPr>
      <w:r w:rsidRPr="00F7369B">
        <w:rPr>
          <w:rFonts w:cstheme="minorHAnsi"/>
        </w:rPr>
        <w:t xml:space="preserve">IMD is a rare disease caused by the bacterium </w:t>
      </w:r>
      <w:r w:rsidRPr="00F7369B">
        <w:rPr>
          <w:rFonts w:cstheme="minorHAnsi"/>
          <w:i/>
          <w:iCs/>
        </w:rPr>
        <w:t>Neisseria meningitidis</w:t>
      </w:r>
      <w:r w:rsidRPr="00F7369B">
        <w:rPr>
          <w:rFonts w:cstheme="minorHAnsi"/>
        </w:rPr>
        <w:t xml:space="preserve">. </w:t>
      </w:r>
      <w:r w:rsidR="00064624" w:rsidRPr="00F7369B">
        <w:rPr>
          <w:rFonts w:cstheme="minorHAnsi"/>
        </w:rPr>
        <w:t xml:space="preserve">The sole ecological niche of </w:t>
      </w:r>
      <w:r w:rsidR="00E1484E" w:rsidRPr="00F7369B">
        <w:rPr>
          <w:rFonts w:cstheme="minorHAnsi"/>
        </w:rPr>
        <w:t xml:space="preserve">the bacterium </w:t>
      </w:r>
      <w:r w:rsidR="00064624" w:rsidRPr="00F7369B">
        <w:rPr>
          <w:rFonts w:cstheme="minorHAnsi"/>
        </w:rPr>
        <w:t xml:space="preserve">is the mucosa of the oropharynx of humans. Acquisition demands person-to-person transmission via direct contact or through dispersion of respiratory droplets from an infected to a susceptible individual. </w:t>
      </w:r>
      <w:r w:rsidRPr="00F7369B">
        <w:rPr>
          <w:rFonts w:cstheme="minorHAnsi"/>
        </w:rPr>
        <w:t xml:space="preserve">IMD can cause meningitis and septicaemia. Meningococcal disease can progress rapidly to a serious disease and have a high mortality rate (5-10%), despite appropriate antibiotic therapy. </w:t>
      </w:r>
      <w:r w:rsidR="005E148F" w:rsidRPr="00F7369B">
        <w:rPr>
          <w:rFonts w:cstheme="minorHAnsi"/>
        </w:rPr>
        <w:t>Ten to thirty percent</w:t>
      </w:r>
      <w:r w:rsidRPr="00F7369B">
        <w:rPr>
          <w:rFonts w:cstheme="minorHAnsi"/>
        </w:rPr>
        <w:t xml:space="preserve"> of children and adolescents who survive the acute disease phase develop debilitating permanent sequelae, such as limb deformity, scarring, deafness and neurologic deficits. The case fatality rate for all cases of IMD </w:t>
      </w:r>
      <w:r w:rsidR="00AD63B0" w:rsidRPr="00F7369B">
        <w:rPr>
          <w:rFonts w:cstheme="minorHAnsi"/>
        </w:rPr>
        <w:t>was</w:t>
      </w:r>
      <w:r w:rsidRPr="00F7369B">
        <w:rPr>
          <w:rFonts w:cstheme="minorHAnsi"/>
        </w:rPr>
        <w:t xml:space="preserve"> around 5.7% in 2018, however may be higher for MenW135</w:t>
      </w:r>
      <w:r w:rsidRPr="00F7369B">
        <w:rPr>
          <w:rStyle w:val="FootnoteReference"/>
          <w:rFonts w:eastAsiaTheme="minorHAnsi" w:cstheme="minorHAnsi"/>
        </w:rPr>
        <w:footnoteReference w:id="1"/>
      </w:r>
      <w:r w:rsidR="00F7369B">
        <w:rPr>
          <w:rFonts w:cstheme="minorHAnsi"/>
        </w:rPr>
        <w:t xml:space="preserve">. </w:t>
      </w:r>
    </w:p>
    <w:p w:rsidR="00E116AA" w:rsidRPr="00F7369B" w:rsidRDefault="007D423F" w:rsidP="00D07340">
      <w:pPr>
        <w:pStyle w:val="3-BodyText"/>
        <w:rPr>
          <w:rFonts w:cstheme="minorHAnsi"/>
        </w:rPr>
      </w:pPr>
      <w:r w:rsidRPr="00F7369B">
        <w:rPr>
          <w:rFonts w:cstheme="minorHAnsi"/>
        </w:rPr>
        <w:t>T</w:t>
      </w:r>
      <w:r w:rsidR="00E116AA" w:rsidRPr="00F7369B">
        <w:rPr>
          <w:rFonts w:cstheme="minorHAnsi"/>
        </w:rPr>
        <w:t>he number of meningococcal notifications</w:t>
      </w:r>
      <w:r w:rsidR="00BE1AC0" w:rsidRPr="00F7369B">
        <w:rPr>
          <w:rFonts w:cstheme="minorHAnsi"/>
        </w:rPr>
        <w:t xml:space="preserve"> in Australia</w:t>
      </w:r>
      <w:r w:rsidR="00E116AA" w:rsidRPr="00F7369B">
        <w:rPr>
          <w:rFonts w:cstheme="minorHAnsi"/>
        </w:rPr>
        <w:t xml:space="preserve"> by serogroup over time</w:t>
      </w:r>
      <w:r w:rsidRPr="00F7369B">
        <w:rPr>
          <w:rFonts w:cstheme="minorHAnsi"/>
        </w:rPr>
        <w:t xml:space="preserve"> is presented in Figure 1</w:t>
      </w:r>
      <w:r w:rsidR="00E116AA" w:rsidRPr="00F7369B">
        <w:rPr>
          <w:rFonts w:cstheme="minorHAnsi"/>
        </w:rPr>
        <w:t>. The rate of IMD declined since 2002, then increased from 2013</w:t>
      </w:r>
      <w:r w:rsidR="005E148F" w:rsidRPr="00F7369B">
        <w:rPr>
          <w:rFonts w:cstheme="minorHAnsi"/>
        </w:rPr>
        <w:t> </w:t>
      </w:r>
      <w:r w:rsidR="00E116AA" w:rsidRPr="00F7369B">
        <w:rPr>
          <w:rFonts w:cstheme="minorHAnsi"/>
        </w:rPr>
        <w:t>till 2017 due to an increase in MenW</w:t>
      </w:r>
      <w:r w:rsidR="000F65DB" w:rsidRPr="00F7369B">
        <w:rPr>
          <w:rFonts w:cstheme="minorHAnsi"/>
        </w:rPr>
        <w:t>135 and</w:t>
      </w:r>
      <w:r w:rsidR="00E116AA" w:rsidRPr="00F7369B">
        <w:rPr>
          <w:rFonts w:cstheme="minorHAnsi"/>
        </w:rPr>
        <w:t xml:space="preserve"> MenY cases.</w:t>
      </w:r>
    </w:p>
    <w:p w:rsidR="00E116AA" w:rsidRPr="00F7369B" w:rsidRDefault="00E116AA" w:rsidP="00665877">
      <w:pPr>
        <w:pStyle w:val="3-BodyText"/>
        <w:keepNext/>
        <w:numPr>
          <w:ilvl w:val="0"/>
          <w:numId w:val="0"/>
        </w:numPr>
        <w:ind w:firstLine="720"/>
        <w:rPr>
          <w:rFonts w:ascii="Arial Narrow" w:hAnsi="Arial Narrow" w:cstheme="minorHAnsi"/>
          <w:b/>
          <w:bCs/>
          <w:sz w:val="20"/>
          <w:szCs w:val="20"/>
        </w:rPr>
      </w:pPr>
      <w:r w:rsidRPr="00F7369B">
        <w:rPr>
          <w:rFonts w:ascii="Arial Narrow" w:hAnsi="Arial Narrow" w:cstheme="minorHAnsi"/>
          <w:b/>
          <w:bCs/>
          <w:sz w:val="20"/>
          <w:szCs w:val="20"/>
        </w:rPr>
        <w:lastRenderedPageBreak/>
        <w:t>Figure 1: Annual cases and rate of IMD, Australia, 1 January 2002 to 30 June 2019 by serogroup</w:t>
      </w:r>
    </w:p>
    <w:p w:rsidR="00E116AA" w:rsidRPr="00F7369B" w:rsidRDefault="00E116AA" w:rsidP="00E116AA">
      <w:pPr>
        <w:pStyle w:val="3-BodyText"/>
        <w:numPr>
          <w:ilvl w:val="0"/>
          <w:numId w:val="0"/>
        </w:numPr>
        <w:ind w:left="720"/>
        <w:rPr>
          <w:rFonts w:cstheme="minorHAnsi"/>
          <w:b/>
          <w:bCs/>
          <w:sz w:val="20"/>
          <w:szCs w:val="20"/>
        </w:rPr>
      </w:pPr>
      <w:r w:rsidRPr="00F7369B">
        <w:rPr>
          <w:rFonts w:cstheme="minorHAnsi"/>
          <w:noProof/>
        </w:rPr>
        <w:drawing>
          <wp:inline distT="0" distB="0" distL="0" distR="0" wp14:anchorId="18D76CA3" wp14:editId="2B5D8D1F">
            <wp:extent cx="5193657" cy="3552824"/>
            <wp:effectExtent l="0" t="0" r="7620" b="0"/>
            <wp:docPr id="3" name="Picture 17" descr="Figure 1. Annual cases and annual rate of IMD, Australia, 1 January 2002 to 30 June 2019 by sero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8">
                      <a:extLst>
                        <a:ext uri="{28A0092B-C50C-407E-A947-70E740481C1C}">
                          <a14:useLocalDpi xmlns:a14="http://schemas.microsoft.com/office/drawing/2010/main" val="0"/>
                        </a:ext>
                      </a:extLst>
                    </a:blip>
                    <a:stretch>
                      <a:fillRect/>
                    </a:stretch>
                  </pic:blipFill>
                  <pic:spPr>
                    <a:xfrm>
                      <a:off x="0" y="0"/>
                      <a:ext cx="5213158" cy="3566164"/>
                    </a:xfrm>
                    <a:prstGeom prst="rect">
                      <a:avLst/>
                    </a:prstGeom>
                  </pic:spPr>
                </pic:pic>
              </a:graphicData>
            </a:graphic>
          </wp:inline>
        </w:drawing>
      </w:r>
    </w:p>
    <w:p w:rsidR="00E116AA" w:rsidRPr="00F7369B" w:rsidRDefault="00E116AA" w:rsidP="00E116AA">
      <w:pPr>
        <w:ind w:firstLine="720"/>
        <w:rPr>
          <w:rStyle w:val="CommentReference"/>
          <w:rFonts w:cstheme="minorHAnsi"/>
          <w:b w:val="0"/>
          <w:bCs/>
          <w:sz w:val="18"/>
          <w:szCs w:val="14"/>
        </w:rPr>
      </w:pPr>
      <w:r w:rsidRPr="00F7369B">
        <w:rPr>
          <w:rStyle w:val="CommentReference"/>
          <w:rFonts w:cstheme="minorHAnsi"/>
          <w:b w:val="0"/>
          <w:bCs/>
          <w:sz w:val="18"/>
          <w:szCs w:val="14"/>
        </w:rPr>
        <w:t xml:space="preserve">Source: Figure 1.2 of the submission </w:t>
      </w:r>
    </w:p>
    <w:p w:rsidR="00E116AA" w:rsidRPr="00F7369B" w:rsidRDefault="00E116AA" w:rsidP="00E116AA">
      <w:pPr>
        <w:pStyle w:val="3-BodyText"/>
        <w:numPr>
          <w:ilvl w:val="0"/>
          <w:numId w:val="0"/>
        </w:numPr>
        <w:ind w:left="720"/>
        <w:rPr>
          <w:rFonts w:cstheme="minorHAnsi"/>
          <w:b/>
          <w:bCs/>
          <w:sz w:val="20"/>
          <w:szCs w:val="20"/>
        </w:rPr>
      </w:pPr>
    </w:p>
    <w:p w:rsidR="00E116AA" w:rsidRPr="00F7369B" w:rsidRDefault="00E116AA" w:rsidP="00E116AA">
      <w:pPr>
        <w:pStyle w:val="3-BodyText"/>
        <w:rPr>
          <w:rFonts w:cstheme="minorHAnsi"/>
        </w:rPr>
      </w:pPr>
      <w:r w:rsidRPr="00F7369B">
        <w:rPr>
          <w:rFonts w:cstheme="minorHAnsi"/>
        </w:rPr>
        <w:t xml:space="preserve">In 2017-2018, temporary </w:t>
      </w:r>
      <w:r w:rsidR="006A67B5" w:rsidRPr="00F7369B">
        <w:rPr>
          <w:rFonts w:cstheme="minorHAnsi"/>
        </w:rPr>
        <w:t>S</w:t>
      </w:r>
      <w:r w:rsidRPr="00F7369B">
        <w:rPr>
          <w:rFonts w:cstheme="minorHAnsi"/>
        </w:rPr>
        <w:t xml:space="preserve">tate and </w:t>
      </w:r>
      <w:r w:rsidR="006A67B5" w:rsidRPr="00F7369B">
        <w:rPr>
          <w:rFonts w:cstheme="minorHAnsi"/>
        </w:rPr>
        <w:t>T</w:t>
      </w:r>
      <w:r w:rsidRPr="00F7369B">
        <w:rPr>
          <w:rFonts w:cstheme="minorHAnsi"/>
        </w:rPr>
        <w:t xml:space="preserve">erritory-based MenACWY vaccination programs targeting adolescents were implemented. In 2018, the MenACWY vaccination program was listed on the NIP for </w:t>
      </w:r>
      <w:r w:rsidR="000F4BC1" w:rsidRPr="00F7369B">
        <w:rPr>
          <w:rFonts w:cstheme="minorHAnsi"/>
        </w:rPr>
        <w:t xml:space="preserve">children </w:t>
      </w:r>
      <w:r w:rsidRPr="00F7369B">
        <w:rPr>
          <w:rFonts w:cstheme="minorHAnsi"/>
        </w:rPr>
        <w:t>12 months old</w:t>
      </w:r>
      <w:r w:rsidR="005D2D3E" w:rsidRPr="00F7369B">
        <w:rPr>
          <w:rFonts w:cstheme="minorHAnsi"/>
        </w:rPr>
        <w:t>. I</w:t>
      </w:r>
      <w:r w:rsidRPr="00F7369B">
        <w:rPr>
          <w:rFonts w:cstheme="minorHAnsi"/>
        </w:rPr>
        <w:t>n 2019, the</w:t>
      </w:r>
      <w:r w:rsidR="005D2D3E" w:rsidRPr="00F7369B">
        <w:rPr>
          <w:rFonts w:cstheme="minorHAnsi"/>
        </w:rPr>
        <w:t xml:space="preserve"> NIP</w:t>
      </w:r>
      <w:r w:rsidRPr="00F7369B">
        <w:rPr>
          <w:rFonts w:cstheme="minorHAnsi"/>
        </w:rPr>
        <w:t xml:space="preserve"> was expanded to adolescents aged 14–19 years, replacing the temporary </w:t>
      </w:r>
      <w:r w:rsidR="006A67B5" w:rsidRPr="00F7369B">
        <w:rPr>
          <w:rFonts w:cstheme="minorHAnsi"/>
        </w:rPr>
        <w:t>S</w:t>
      </w:r>
      <w:r w:rsidRPr="00F7369B">
        <w:rPr>
          <w:rFonts w:cstheme="minorHAnsi"/>
        </w:rPr>
        <w:t xml:space="preserve">tate and </w:t>
      </w:r>
      <w:r w:rsidR="006A67B5" w:rsidRPr="00F7369B">
        <w:rPr>
          <w:rFonts w:cstheme="minorHAnsi"/>
        </w:rPr>
        <w:t>T</w:t>
      </w:r>
      <w:r w:rsidRPr="00F7369B">
        <w:rPr>
          <w:rFonts w:cstheme="minorHAnsi"/>
        </w:rPr>
        <w:t xml:space="preserve">erritory program. </w:t>
      </w:r>
      <w:r w:rsidR="00F07301" w:rsidRPr="00F7369B">
        <w:rPr>
          <w:rFonts w:cstheme="minorHAnsi"/>
        </w:rPr>
        <w:t>The PBAC noted that s</w:t>
      </w:r>
      <w:r w:rsidRPr="00F7369B">
        <w:rPr>
          <w:rFonts w:cstheme="minorHAnsi"/>
        </w:rPr>
        <w:t>ince the introduction of the national vaccination program, the cases of IMD</w:t>
      </w:r>
      <w:r w:rsidR="00F07301" w:rsidRPr="00F7369B">
        <w:rPr>
          <w:rFonts w:cstheme="minorHAnsi"/>
        </w:rPr>
        <w:t xml:space="preserve">, particularly those caused by MenW and MenY, </w:t>
      </w:r>
      <w:r w:rsidRPr="00F7369B">
        <w:rPr>
          <w:rFonts w:cstheme="minorHAnsi"/>
        </w:rPr>
        <w:t xml:space="preserve">have declined. </w:t>
      </w:r>
      <w:r w:rsidR="00167352" w:rsidRPr="00F7369B">
        <w:rPr>
          <w:rFonts w:cstheme="minorHAnsi"/>
        </w:rPr>
        <w:t xml:space="preserve">The ESC noted that Menveo was listed on the NIP for adolescents aged 14-19 years in 2020. </w:t>
      </w:r>
    </w:p>
    <w:p w:rsidR="00E116AA" w:rsidRPr="00F7369B" w:rsidRDefault="00E116AA" w:rsidP="00E116AA">
      <w:pPr>
        <w:pStyle w:val="3-BodyText"/>
        <w:rPr>
          <w:rFonts w:cstheme="minorHAnsi"/>
          <w:iCs/>
        </w:rPr>
      </w:pPr>
      <w:r w:rsidRPr="00F7369B">
        <w:rPr>
          <w:rFonts w:cstheme="minorHAnsi"/>
          <w:iCs/>
        </w:rPr>
        <w:t>In the first half of 2019, there was a total of 89 cases of IMD</w:t>
      </w:r>
      <w:r w:rsidR="00BE1AC0" w:rsidRPr="00F7369B">
        <w:rPr>
          <w:rFonts w:cstheme="minorHAnsi"/>
          <w:iCs/>
        </w:rPr>
        <w:t xml:space="preserve"> in Australia</w:t>
      </w:r>
      <w:r w:rsidRPr="00F7369B">
        <w:rPr>
          <w:rFonts w:cstheme="minorHAnsi"/>
          <w:iCs/>
        </w:rPr>
        <w:t xml:space="preserve">, of which around 52% were MenB, 28% were MenW135, 15% were MenY, </w:t>
      </w:r>
      <w:r w:rsidR="008E4772" w:rsidRPr="00F7369B">
        <w:rPr>
          <w:rFonts w:cstheme="minorHAnsi"/>
          <w:iCs/>
        </w:rPr>
        <w:t>and 6</w:t>
      </w:r>
      <w:r w:rsidRPr="00F7369B">
        <w:rPr>
          <w:rFonts w:cstheme="minorHAnsi"/>
          <w:iCs/>
        </w:rPr>
        <w:t>% were MenC</w:t>
      </w:r>
      <w:bookmarkStart w:id="9" w:name="_GoBack"/>
      <w:bookmarkEnd w:id="9"/>
      <w:r w:rsidR="00E924CC" w:rsidRPr="00F7369B">
        <w:rPr>
          <w:rStyle w:val="FootnoteReference"/>
          <w:rFonts w:cstheme="minorHAnsi"/>
          <w:iCs/>
        </w:rPr>
        <w:footnoteReference w:id="2"/>
      </w:r>
      <w:r w:rsidRPr="00F7369B">
        <w:rPr>
          <w:rFonts w:cstheme="minorHAnsi"/>
          <w:iCs/>
        </w:rPr>
        <w:t>.</w:t>
      </w:r>
    </w:p>
    <w:p w:rsidR="008F6CA4" w:rsidRPr="00F7369B" w:rsidRDefault="008F6CA4" w:rsidP="00487A30">
      <w:pPr>
        <w:pStyle w:val="3-BodyText"/>
        <w:rPr>
          <w:rFonts w:cstheme="minorHAnsi"/>
          <w:color w:val="0066FF"/>
        </w:rPr>
      </w:pPr>
      <w:r w:rsidRPr="00F7369B">
        <w:rPr>
          <w:rFonts w:cstheme="minorHAnsi"/>
        </w:rPr>
        <w:t xml:space="preserve">The listing of </w:t>
      </w:r>
      <w:r w:rsidRPr="00F7369B">
        <w:rPr>
          <w:rFonts w:cstheme="minorHAnsi"/>
          <w:iCs/>
        </w:rPr>
        <w:t xml:space="preserve">MenQuadfi </w:t>
      </w:r>
      <w:r w:rsidRPr="00F7369B">
        <w:rPr>
          <w:rFonts w:cstheme="minorHAnsi"/>
        </w:rPr>
        <w:t xml:space="preserve">on the NIP will not result in any change to the current clinical management </w:t>
      </w:r>
      <w:r w:rsidR="00E924CC" w:rsidRPr="00F7369B">
        <w:rPr>
          <w:rFonts w:cstheme="minorHAnsi"/>
        </w:rPr>
        <w:t>algorithm, other</w:t>
      </w:r>
      <w:r w:rsidRPr="00F7369B">
        <w:rPr>
          <w:rFonts w:cstheme="minorHAnsi"/>
        </w:rPr>
        <w:t xml:space="preserve"> than adding </w:t>
      </w:r>
      <w:r w:rsidRPr="00F7369B">
        <w:rPr>
          <w:rFonts w:cstheme="minorHAnsi"/>
          <w:iCs/>
        </w:rPr>
        <w:t xml:space="preserve">MenQuadfi as an additional MenACWY vaccine </w:t>
      </w:r>
      <w:r w:rsidRPr="00F7369B">
        <w:rPr>
          <w:rFonts w:cstheme="minorHAnsi"/>
        </w:rPr>
        <w:t xml:space="preserve">on the NIP for </w:t>
      </w:r>
      <w:proofErr w:type="gramStart"/>
      <w:r w:rsidRPr="00F7369B">
        <w:rPr>
          <w:rFonts w:cstheme="minorHAnsi"/>
        </w:rPr>
        <w:t>individuals</w:t>
      </w:r>
      <w:proofErr w:type="gramEnd"/>
      <w:r w:rsidRPr="00F7369B">
        <w:rPr>
          <w:rFonts w:cstheme="minorHAnsi"/>
        </w:rPr>
        <w:t xml:space="preserve"> ≥12 months of age.</w:t>
      </w:r>
    </w:p>
    <w:p w:rsidR="00155AFF" w:rsidRPr="00F7369B" w:rsidRDefault="00155AFF" w:rsidP="00155AFF">
      <w:pPr>
        <w:pStyle w:val="3-BodyText"/>
        <w:numPr>
          <w:ilvl w:val="0"/>
          <w:numId w:val="0"/>
        </w:numPr>
        <w:ind w:left="720"/>
        <w:rPr>
          <w:rFonts w:cstheme="minorHAnsi"/>
          <w:i/>
        </w:rPr>
      </w:pPr>
      <w:r w:rsidRPr="00F7369B">
        <w:rPr>
          <w:rFonts w:cstheme="minorHAnsi"/>
          <w:i/>
        </w:rPr>
        <w:t>For more detail on PBAC’s view, see section 7 PBAC outcome.</w:t>
      </w:r>
    </w:p>
    <w:p w:rsidR="00D07340" w:rsidRPr="00F7369B" w:rsidRDefault="00D07340" w:rsidP="00D07340">
      <w:pPr>
        <w:pStyle w:val="2-SectionHeading"/>
        <w:rPr>
          <w:rFonts w:cstheme="minorHAnsi"/>
        </w:rPr>
      </w:pPr>
      <w:bookmarkStart w:id="10" w:name="_Toc51066735"/>
      <w:r w:rsidRPr="00F7369B">
        <w:rPr>
          <w:rFonts w:cstheme="minorHAnsi"/>
        </w:rPr>
        <w:lastRenderedPageBreak/>
        <w:t>Comparator</w:t>
      </w:r>
      <w:bookmarkEnd w:id="10"/>
    </w:p>
    <w:p w:rsidR="001476DA" w:rsidRPr="00F7369B" w:rsidRDefault="00804A34" w:rsidP="005E66CB">
      <w:pPr>
        <w:pStyle w:val="3-BodyText"/>
        <w:rPr>
          <w:rFonts w:cstheme="minorHAnsi"/>
          <w:snapToGrid/>
        </w:rPr>
      </w:pPr>
      <w:r w:rsidRPr="00F7369B">
        <w:rPr>
          <w:rFonts w:cstheme="minorHAnsi"/>
          <w:snapToGrid/>
        </w:rPr>
        <w:t xml:space="preserve">The submission </w:t>
      </w:r>
      <w:r w:rsidR="00FC7F81" w:rsidRPr="00F7369B">
        <w:rPr>
          <w:rFonts w:cstheme="minorHAnsi"/>
          <w:snapToGrid/>
        </w:rPr>
        <w:t>nominated Nimenrix</w:t>
      </w:r>
      <w:r w:rsidRPr="00F7369B">
        <w:rPr>
          <w:rFonts w:cstheme="minorHAnsi"/>
          <w:snapToGrid/>
        </w:rPr>
        <w:t xml:space="preserve"> as the main comparator</w:t>
      </w:r>
      <w:r w:rsidR="00E1484E" w:rsidRPr="00F7369B">
        <w:rPr>
          <w:rFonts w:cstheme="minorHAnsi"/>
          <w:snapToGrid/>
        </w:rPr>
        <w:t xml:space="preserve"> because it</w:t>
      </w:r>
      <w:r w:rsidRPr="00F7369B">
        <w:rPr>
          <w:rFonts w:cstheme="minorHAnsi"/>
          <w:snapToGrid/>
        </w:rPr>
        <w:t xml:space="preserve"> </w:t>
      </w:r>
      <w:r w:rsidR="00DC3A07" w:rsidRPr="00F7369B">
        <w:rPr>
          <w:rFonts w:cstheme="minorHAnsi"/>
          <w:snapToGrid/>
        </w:rPr>
        <w:t>wa</w:t>
      </w:r>
      <w:r w:rsidRPr="00F7369B">
        <w:rPr>
          <w:rFonts w:cstheme="minorHAnsi"/>
          <w:snapToGrid/>
        </w:rPr>
        <w:t xml:space="preserve">s the only </w:t>
      </w:r>
      <w:r w:rsidR="006E381C" w:rsidRPr="00F7369B">
        <w:rPr>
          <w:rFonts w:cstheme="minorHAnsi"/>
          <w:snapToGrid/>
        </w:rPr>
        <w:t>NIP</w:t>
      </w:r>
      <w:r w:rsidR="005A1E30" w:rsidRPr="00F7369B">
        <w:rPr>
          <w:rFonts w:cstheme="minorHAnsi"/>
          <w:snapToGrid/>
        </w:rPr>
        <w:t>-</w:t>
      </w:r>
      <w:r w:rsidR="006E381C" w:rsidRPr="00F7369B">
        <w:rPr>
          <w:rFonts w:cstheme="minorHAnsi"/>
          <w:snapToGrid/>
        </w:rPr>
        <w:t>listed</w:t>
      </w:r>
      <w:r w:rsidRPr="00F7369B">
        <w:rPr>
          <w:rFonts w:cstheme="minorHAnsi"/>
          <w:snapToGrid/>
        </w:rPr>
        <w:t xml:space="preserve"> MenACWY vaccine for the proposed populations</w:t>
      </w:r>
      <w:r w:rsidR="00FC7F81" w:rsidRPr="00F7369B">
        <w:rPr>
          <w:rFonts w:cstheme="minorHAnsi"/>
          <w:snapToGrid/>
        </w:rPr>
        <w:t xml:space="preserve"> at the time of submission</w:t>
      </w:r>
      <w:r w:rsidRPr="00F7369B">
        <w:rPr>
          <w:rFonts w:cstheme="minorHAnsi"/>
          <w:snapToGrid/>
        </w:rPr>
        <w:t xml:space="preserve">. </w:t>
      </w:r>
      <w:r w:rsidR="006019D7" w:rsidRPr="00F7369B">
        <w:rPr>
          <w:rFonts w:cstheme="minorHAnsi"/>
          <w:iCs/>
          <w:snapToGrid/>
        </w:rPr>
        <w:t>T</w:t>
      </w:r>
      <w:r w:rsidRPr="00F7369B">
        <w:rPr>
          <w:rFonts w:cstheme="minorHAnsi"/>
          <w:iCs/>
          <w:snapToGrid/>
        </w:rPr>
        <w:t>he ATAGI also consider</w:t>
      </w:r>
      <w:r w:rsidR="00D03A1B" w:rsidRPr="00F7369B">
        <w:rPr>
          <w:rFonts w:cstheme="minorHAnsi"/>
          <w:iCs/>
          <w:snapToGrid/>
        </w:rPr>
        <w:t>ed</w:t>
      </w:r>
      <w:r w:rsidRPr="00F7369B">
        <w:rPr>
          <w:rFonts w:cstheme="minorHAnsi"/>
          <w:iCs/>
          <w:snapToGrid/>
        </w:rPr>
        <w:t xml:space="preserve"> Nimenrix as the main comparator</w:t>
      </w:r>
      <w:r w:rsidR="00F7369B">
        <w:rPr>
          <w:rFonts w:cstheme="minorHAnsi"/>
          <w:iCs/>
          <w:snapToGrid/>
        </w:rPr>
        <w:t xml:space="preserve">. </w:t>
      </w:r>
      <w:r w:rsidR="00167352" w:rsidRPr="00F7369B">
        <w:rPr>
          <w:rFonts w:cstheme="minorHAnsi"/>
          <w:iCs/>
          <w:snapToGrid/>
        </w:rPr>
        <w:t xml:space="preserve">The ESC agreed </w:t>
      </w:r>
      <w:r w:rsidR="00EC1854" w:rsidRPr="00F7369B">
        <w:rPr>
          <w:rFonts w:cstheme="minorHAnsi"/>
          <w:iCs/>
          <w:snapToGrid/>
        </w:rPr>
        <w:t xml:space="preserve">with the ATAGI that </w:t>
      </w:r>
      <w:r w:rsidR="00167352" w:rsidRPr="00F7369B">
        <w:rPr>
          <w:rFonts w:cstheme="minorHAnsi"/>
          <w:iCs/>
          <w:snapToGrid/>
        </w:rPr>
        <w:t xml:space="preserve">this was appropriate. </w:t>
      </w:r>
    </w:p>
    <w:p w:rsidR="00804A34" w:rsidRPr="00F7369B" w:rsidRDefault="00FD3B3F" w:rsidP="005A1E30">
      <w:pPr>
        <w:pStyle w:val="3-BodyText"/>
        <w:rPr>
          <w:rFonts w:cstheme="minorHAnsi"/>
          <w:iCs/>
          <w:snapToGrid/>
        </w:rPr>
      </w:pPr>
      <w:r w:rsidRPr="00F7369B">
        <w:rPr>
          <w:rFonts w:cstheme="minorHAnsi"/>
          <w:iCs/>
          <w:snapToGrid/>
        </w:rPr>
        <w:t xml:space="preserve">At the time of submission, </w:t>
      </w:r>
      <w:r w:rsidR="00804A34" w:rsidRPr="00F7369B">
        <w:rPr>
          <w:rFonts w:cstheme="minorHAnsi"/>
          <w:iCs/>
          <w:snapToGrid/>
        </w:rPr>
        <w:t xml:space="preserve">Nimenrix </w:t>
      </w:r>
      <w:r w:rsidR="005A1E30" w:rsidRPr="00F7369B">
        <w:rPr>
          <w:rFonts w:cstheme="minorHAnsi"/>
          <w:iCs/>
          <w:snapToGrid/>
        </w:rPr>
        <w:t>wa</w:t>
      </w:r>
      <w:r w:rsidR="00804A34" w:rsidRPr="00F7369B">
        <w:rPr>
          <w:rFonts w:cstheme="minorHAnsi"/>
          <w:iCs/>
          <w:snapToGrid/>
        </w:rPr>
        <w:t xml:space="preserve">s the only NIP-listed MenACWY vaccine and it </w:t>
      </w:r>
      <w:r w:rsidR="005A1E30" w:rsidRPr="00F7369B">
        <w:rPr>
          <w:rFonts w:cstheme="minorHAnsi"/>
          <w:iCs/>
          <w:snapToGrid/>
        </w:rPr>
        <w:t>wa</w:t>
      </w:r>
      <w:r w:rsidR="00804A34" w:rsidRPr="00F7369B">
        <w:rPr>
          <w:rFonts w:cstheme="minorHAnsi"/>
          <w:iCs/>
          <w:snapToGrid/>
        </w:rPr>
        <w:t>s available to</w:t>
      </w:r>
      <w:r w:rsidR="00C07E0C" w:rsidRPr="00F7369B">
        <w:rPr>
          <w:rFonts w:cstheme="minorHAnsi"/>
          <w:iCs/>
          <w:snapToGrid/>
        </w:rPr>
        <w:t xml:space="preserve"> </w:t>
      </w:r>
      <w:r w:rsidR="00804A34" w:rsidRPr="00F7369B">
        <w:rPr>
          <w:rFonts w:cstheme="minorHAnsi"/>
          <w:iCs/>
          <w:snapToGrid/>
        </w:rPr>
        <w:t>three populations:</w:t>
      </w:r>
    </w:p>
    <w:p w:rsidR="00804A34" w:rsidRPr="00F7369B" w:rsidRDefault="00945F75" w:rsidP="00665877">
      <w:pPr>
        <w:pStyle w:val="3-BodyText"/>
        <w:numPr>
          <w:ilvl w:val="0"/>
          <w:numId w:val="9"/>
        </w:numPr>
        <w:spacing w:after="0"/>
        <w:ind w:left="1077" w:hanging="357"/>
        <w:rPr>
          <w:rFonts w:cstheme="minorHAnsi"/>
          <w:iCs/>
          <w:snapToGrid/>
        </w:rPr>
      </w:pPr>
      <w:r w:rsidRPr="00F7369B">
        <w:rPr>
          <w:rFonts w:cstheme="minorHAnsi"/>
          <w:iCs/>
          <w:snapToGrid/>
        </w:rPr>
        <w:t>12 months old</w:t>
      </w:r>
    </w:p>
    <w:p w:rsidR="009633C5" w:rsidRPr="00F7369B" w:rsidRDefault="00804A34" w:rsidP="00665877">
      <w:pPr>
        <w:pStyle w:val="3-BodyText"/>
        <w:numPr>
          <w:ilvl w:val="0"/>
          <w:numId w:val="9"/>
        </w:numPr>
        <w:spacing w:after="0"/>
        <w:ind w:left="1077" w:hanging="357"/>
        <w:rPr>
          <w:rFonts w:cstheme="minorHAnsi"/>
          <w:iCs/>
          <w:snapToGrid/>
        </w:rPr>
      </w:pPr>
      <w:r w:rsidRPr="00F7369B">
        <w:rPr>
          <w:rFonts w:cstheme="minorHAnsi"/>
          <w:iCs/>
          <w:snapToGrid/>
        </w:rPr>
        <w:t>14–16 years (school programs), with all people aged less than 20 years being elig</w:t>
      </w:r>
      <w:r w:rsidR="00945F75" w:rsidRPr="00F7369B">
        <w:rPr>
          <w:rFonts w:cstheme="minorHAnsi"/>
          <w:iCs/>
          <w:snapToGrid/>
        </w:rPr>
        <w:t>ible for free catch up vaccine</w:t>
      </w:r>
    </w:p>
    <w:p w:rsidR="00804A34" w:rsidRPr="00F7369B" w:rsidRDefault="00804A34" w:rsidP="00665877">
      <w:pPr>
        <w:pStyle w:val="3-BodyText"/>
        <w:numPr>
          <w:ilvl w:val="0"/>
          <w:numId w:val="9"/>
        </w:numPr>
        <w:ind w:left="1077" w:hanging="357"/>
        <w:jc w:val="left"/>
        <w:rPr>
          <w:rFonts w:cstheme="minorHAnsi"/>
          <w:iCs/>
          <w:snapToGrid/>
        </w:rPr>
      </w:pPr>
      <w:r w:rsidRPr="00F7369B">
        <w:rPr>
          <w:rFonts w:cstheme="minorHAnsi"/>
          <w:iCs/>
          <w:snapToGrid/>
        </w:rPr>
        <w:t xml:space="preserve">People </w:t>
      </w:r>
      <w:r w:rsidR="00B01360" w:rsidRPr="00F7369B">
        <w:rPr>
          <w:rFonts w:cstheme="minorHAnsi"/>
          <w:iCs/>
          <w:snapToGrid/>
        </w:rPr>
        <w:t>older than 6 weeks</w:t>
      </w:r>
      <w:r w:rsidRPr="00F7369B">
        <w:rPr>
          <w:rFonts w:cstheme="minorHAnsi"/>
          <w:iCs/>
          <w:snapToGrid/>
        </w:rPr>
        <w:t xml:space="preserve"> with: </w:t>
      </w:r>
      <w:r w:rsidR="008077A3" w:rsidRPr="00F7369B">
        <w:rPr>
          <w:rFonts w:cstheme="minorHAnsi"/>
          <w:iCs/>
          <w:snapToGrid/>
        </w:rPr>
        <w:t>congenital or acquired asplenia (e.g. splenectomy) or hyposplenia</w:t>
      </w:r>
      <w:r w:rsidRPr="00F7369B">
        <w:rPr>
          <w:rFonts w:cstheme="minorHAnsi"/>
          <w:iCs/>
          <w:snapToGrid/>
        </w:rPr>
        <w:t xml:space="preserve">, complement deficiency or undergoing </w:t>
      </w:r>
      <w:r w:rsidR="008077A3" w:rsidRPr="00F7369B">
        <w:rPr>
          <w:rFonts w:cstheme="minorHAnsi"/>
          <w:iCs/>
          <w:snapToGrid/>
        </w:rPr>
        <w:t xml:space="preserve">eculizumab </w:t>
      </w:r>
      <w:r w:rsidRPr="00F7369B">
        <w:rPr>
          <w:rFonts w:cstheme="minorHAnsi"/>
          <w:iCs/>
          <w:snapToGrid/>
        </w:rPr>
        <w:t xml:space="preserve">treatment (referred </w:t>
      </w:r>
      <w:r w:rsidR="00D03A1B" w:rsidRPr="00F7369B">
        <w:rPr>
          <w:rFonts w:cstheme="minorHAnsi"/>
          <w:iCs/>
          <w:snapToGrid/>
        </w:rPr>
        <w:t xml:space="preserve">to </w:t>
      </w:r>
      <w:r w:rsidRPr="00F7369B">
        <w:rPr>
          <w:rFonts w:cstheme="minorHAnsi"/>
          <w:iCs/>
          <w:snapToGrid/>
        </w:rPr>
        <w:t>as medically at-risk population)</w:t>
      </w:r>
      <w:r w:rsidR="00E1484E" w:rsidRPr="00F7369B">
        <w:rPr>
          <w:rFonts w:cstheme="minorHAnsi"/>
          <w:iCs/>
          <w:snapToGrid/>
        </w:rPr>
        <w:t>.</w:t>
      </w:r>
    </w:p>
    <w:p w:rsidR="00804A34" w:rsidRPr="00F7369B" w:rsidRDefault="00804A34" w:rsidP="00D07340">
      <w:pPr>
        <w:pStyle w:val="3-BodyText"/>
        <w:rPr>
          <w:rFonts w:cstheme="minorHAnsi"/>
          <w:iCs/>
          <w:snapToGrid/>
        </w:rPr>
      </w:pPr>
      <w:r w:rsidRPr="00F7369B">
        <w:rPr>
          <w:rFonts w:cstheme="minorHAnsi"/>
          <w:iCs/>
          <w:snapToGrid/>
        </w:rPr>
        <w:t xml:space="preserve">The </w:t>
      </w:r>
      <w:r w:rsidR="001779F0" w:rsidRPr="00F7369B">
        <w:rPr>
          <w:rFonts w:cstheme="minorHAnsi"/>
          <w:iCs/>
          <w:snapToGrid/>
        </w:rPr>
        <w:t xml:space="preserve">ESC noted that the </w:t>
      </w:r>
      <w:r w:rsidRPr="00F7369B">
        <w:rPr>
          <w:rFonts w:cstheme="minorHAnsi"/>
          <w:iCs/>
          <w:snapToGrid/>
        </w:rPr>
        <w:t xml:space="preserve">proposed three populations for MenQuadfi are aligned with the three populations currently listed on the NIP, </w:t>
      </w:r>
      <w:r w:rsidR="00AD63B0" w:rsidRPr="00F7369B">
        <w:rPr>
          <w:rFonts w:cstheme="minorHAnsi"/>
          <w:iCs/>
          <w:snapToGrid/>
        </w:rPr>
        <w:t>except</w:t>
      </w:r>
      <w:r w:rsidRPr="00F7369B">
        <w:rPr>
          <w:rFonts w:cstheme="minorHAnsi"/>
          <w:iCs/>
          <w:snapToGrid/>
        </w:rPr>
        <w:t xml:space="preserve"> for the medically at-risk </w:t>
      </w:r>
      <w:r w:rsidR="00DF53B7" w:rsidRPr="00F7369B">
        <w:rPr>
          <w:rFonts w:cstheme="minorHAnsi"/>
          <w:iCs/>
          <w:snapToGrid/>
        </w:rPr>
        <w:t>individuals for</w:t>
      </w:r>
      <w:r w:rsidR="006019D7" w:rsidRPr="00F7369B">
        <w:rPr>
          <w:rFonts w:cstheme="minorHAnsi"/>
          <w:iCs/>
          <w:snapToGrid/>
        </w:rPr>
        <w:t xml:space="preserve"> which</w:t>
      </w:r>
      <w:r w:rsidRPr="00F7369B">
        <w:rPr>
          <w:rFonts w:cstheme="minorHAnsi"/>
          <w:iCs/>
          <w:snapToGrid/>
        </w:rPr>
        <w:t xml:space="preserve"> MenQuadfi has an age restriction of ≥12 months.</w:t>
      </w:r>
    </w:p>
    <w:p w:rsidR="00804A34" w:rsidRPr="00F7369B" w:rsidRDefault="00804A34" w:rsidP="00695CD8">
      <w:pPr>
        <w:pStyle w:val="3-BodyText"/>
        <w:rPr>
          <w:rFonts w:cstheme="minorHAnsi"/>
          <w:iCs/>
          <w:snapToGrid/>
        </w:rPr>
      </w:pPr>
      <w:r w:rsidRPr="00F7369B">
        <w:rPr>
          <w:rFonts w:cstheme="minorHAnsi"/>
          <w:snapToGrid/>
        </w:rPr>
        <w:t xml:space="preserve">The submission nominated </w:t>
      </w:r>
      <w:r w:rsidR="00D01526" w:rsidRPr="00F7369B">
        <w:rPr>
          <w:rFonts w:cstheme="minorHAnsi"/>
        </w:rPr>
        <w:t>meningococcal serogroup A, C, W-135 and Y Oligosaccharide CRM</w:t>
      </w:r>
      <w:r w:rsidR="00D01526" w:rsidRPr="00F7369B">
        <w:rPr>
          <w:rFonts w:cstheme="minorHAnsi"/>
          <w:vertAlign w:val="subscript"/>
        </w:rPr>
        <w:t>197</w:t>
      </w:r>
      <w:r w:rsidR="00D01526" w:rsidRPr="00F7369B">
        <w:rPr>
          <w:rFonts w:cstheme="minorHAnsi"/>
        </w:rPr>
        <w:t xml:space="preserve"> Conjugate </w:t>
      </w:r>
      <w:r w:rsidRPr="00F7369B">
        <w:rPr>
          <w:rFonts w:cstheme="minorHAnsi"/>
          <w:snapToGrid/>
        </w:rPr>
        <w:t>vaccine (</w:t>
      </w:r>
      <w:r w:rsidR="00D03A1B" w:rsidRPr="00F7369B">
        <w:rPr>
          <w:rFonts w:cstheme="minorHAnsi"/>
          <w:snapToGrid/>
        </w:rPr>
        <w:t xml:space="preserve">referred to herein by the brand name </w:t>
      </w:r>
      <w:r w:rsidRPr="00F7369B">
        <w:rPr>
          <w:rFonts w:cstheme="minorHAnsi"/>
          <w:snapToGrid/>
        </w:rPr>
        <w:t>Menveo</w:t>
      </w:r>
      <w:r w:rsidR="004A4018" w:rsidRPr="00F7369B">
        <w:rPr>
          <w:rFonts w:cstheme="minorHAnsi"/>
          <w:snapToGrid/>
        </w:rPr>
        <w:t>®</w:t>
      </w:r>
      <w:r w:rsidRPr="00F7369B">
        <w:rPr>
          <w:rFonts w:cstheme="minorHAnsi"/>
          <w:snapToGrid/>
        </w:rPr>
        <w:t>) as a near market comparator for the proposed adolescent population</w:t>
      </w:r>
      <w:r w:rsidR="003725B7" w:rsidRPr="00F7369B">
        <w:rPr>
          <w:rFonts w:cstheme="minorHAnsi"/>
          <w:snapToGrid/>
        </w:rPr>
        <w:t>. This was</w:t>
      </w:r>
      <w:r w:rsidRPr="00F7369B">
        <w:rPr>
          <w:rFonts w:cstheme="minorHAnsi"/>
          <w:snapToGrid/>
        </w:rPr>
        <w:t xml:space="preserve"> </w:t>
      </w:r>
      <w:r w:rsidR="004330E0" w:rsidRPr="00F7369B">
        <w:rPr>
          <w:rFonts w:cstheme="minorHAnsi"/>
          <w:snapToGrid/>
        </w:rPr>
        <w:t>because</w:t>
      </w:r>
      <w:r w:rsidRPr="00F7369B">
        <w:rPr>
          <w:rFonts w:cstheme="minorHAnsi"/>
          <w:snapToGrid/>
        </w:rPr>
        <w:t xml:space="preserve"> Menveo was recommended by the PBAC in July 2018 to be listed on the </w:t>
      </w:r>
      <w:r w:rsidR="003725B7" w:rsidRPr="00F7369B">
        <w:rPr>
          <w:rFonts w:cstheme="minorHAnsi"/>
          <w:snapToGrid/>
        </w:rPr>
        <w:t xml:space="preserve">Determination </w:t>
      </w:r>
      <w:r w:rsidRPr="00F7369B">
        <w:rPr>
          <w:rFonts w:cstheme="minorHAnsi"/>
          <w:snapToGrid/>
        </w:rPr>
        <w:t>for the proposed adolescent population on a cost minimisation basis to Nimenrix</w:t>
      </w:r>
      <w:r w:rsidR="00F7369B">
        <w:rPr>
          <w:rFonts w:cstheme="minorHAnsi"/>
          <w:iCs/>
          <w:snapToGrid/>
        </w:rPr>
        <w:t xml:space="preserve">. </w:t>
      </w:r>
      <w:r w:rsidR="003725B7" w:rsidRPr="00F7369B">
        <w:rPr>
          <w:rFonts w:cstheme="minorHAnsi"/>
          <w:iCs/>
          <w:snapToGrid/>
        </w:rPr>
        <w:t xml:space="preserve">The </w:t>
      </w:r>
      <w:r w:rsidR="00D127AC" w:rsidRPr="00F7369B">
        <w:rPr>
          <w:rFonts w:cstheme="minorHAnsi"/>
          <w:iCs/>
          <w:snapToGrid/>
        </w:rPr>
        <w:t>e</w:t>
      </w:r>
      <w:r w:rsidR="009A43AB" w:rsidRPr="00F7369B">
        <w:rPr>
          <w:rFonts w:cstheme="minorHAnsi"/>
          <w:iCs/>
          <w:snapToGrid/>
        </w:rPr>
        <w:t xml:space="preserve">valuation </w:t>
      </w:r>
      <w:r w:rsidR="003725B7" w:rsidRPr="00F7369B">
        <w:rPr>
          <w:rFonts w:cstheme="minorHAnsi"/>
          <w:iCs/>
          <w:snapToGrid/>
        </w:rPr>
        <w:t>considered t</w:t>
      </w:r>
      <w:r w:rsidR="002F1B1A" w:rsidRPr="00F7369B">
        <w:rPr>
          <w:rFonts w:cstheme="minorHAnsi"/>
          <w:iCs/>
          <w:snapToGrid/>
        </w:rPr>
        <w:t xml:space="preserve">his </w:t>
      </w:r>
      <w:r w:rsidR="003725B7" w:rsidRPr="00F7369B">
        <w:rPr>
          <w:rFonts w:cstheme="minorHAnsi"/>
          <w:iCs/>
          <w:snapToGrid/>
        </w:rPr>
        <w:t>wa</w:t>
      </w:r>
      <w:r w:rsidR="002F1B1A" w:rsidRPr="00F7369B">
        <w:rPr>
          <w:rFonts w:cstheme="minorHAnsi"/>
          <w:iCs/>
          <w:snapToGrid/>
        </w:rPr>
        <w:t xml:space="preserve">s reasonable and further noted </w:t>
      </w:r>
      <w:r w:rsidR="00DF6B10" w:rsidRPr="00F7369B">
        <w:rPr>
          <w:rFonts w:cstheme="minorHAnsi"/>
          <w:iCs/>
          <w:snapToGrid/>
        </w:rPr>
        <w:t xml:space="preserve">Menveo </w:t>
      </w:r>
      <w:r w:rsidR="002F1B1A" w:rsidRPr="00F7369B">
        <w:rPr>
          <w:rFonts w:cstheme="minorHAnsi"/>
          <w:iCs/>
          <w:snapToGrid/>
        </w:rPr>
        <w:t xml:space="preserve">was </w:t>
      </w:r>
      <w:r w:rsidR="00DF6B10" w:rsidRPr="00F7369B">
        <w:rPr>
          <w:rFonts w:cstheme="minorHAnsi"/>
          <w:iCs/>
          <w:snapToGrid/>
        </w:rPr>
        <w:t xml:space="preserve">listed on the Determination for the adolescent cohort </w:t>
      </w:r>
      <w:r w:rsidR="002F1B1A" w:rsidRPr="00F7369B">
        <w:rPr>
          <w:rFonts w:cstheme="minorHAnsi"/>
          <w:iCs/>
          <w:snapToGrid/>
        </w:rPr>
        <w:t xml:space="preserve">in </w:t>
      </w:r>
      <w:r w:rsidR="00DF6B10" w:rsidRPr="00F7369B">
        <w:rPr>
          <w:rFonts w:cstheme="minorHAnsi"/>
          <w:iCs/>
          <w:snapToGrid/>
        </w:rPr>
        <w:t>August 2020</w:t>
      </w:r>
      <w:r w:rsidR="00F7369B">
        <w:rPr>
          <w:rFonts w:cstheme="minorHAnsi"/>
          <w:iCs/>
          <w:snapToGrid/>
        </w:rPr>
        <w:t xml:space="preserve">. </w:t>
      </w:r>
      <w:r w:rsidR="001F66B1" w:rsidRPr="00F7369B">
        <w:rPr>
          <w:rFonts w:cstheme="minorHAnsi"/>
          <w:iCs/>
          <w:snapToGrid/>
        </w:rPr>
        <w:t xml:space="preserve"> </w:t>
      </w:r>
    </w:p>
    <w:p w:rsidR="00CE72A0" w:rsidRPr="00F7369B" w:rsidRDefault="00804A34" w:rsidP="00BE6947">
      <w:pPr>
        <w:pStyle w:val="3-BodyText"/>
        <w:rPr>
          <w:iCs/>
          <w:snapToGrid/>
        </w:rPr>
      </w:pPr>
      <w:r w:rsidRPr="00F7369B">
        <w:rPr>
          <w:snapToGrid/>
        </w:rPr>
        <w:t xml:space="preserve">The submission also nominated </w:t>
      </w:r>
      <w:r w:rsidR="006019D7" w:rsidRPr="00F7369B">
        <w:rPr>
          <w:snapToGrid/>
        </w:rPr>
        <w:t xml:space="preserve">the </w:t>
      </w:r>
      <w:r w:rsidR="006377E9" w:rsidRPr="00F7369B">
        <w:rPr>
          <w:rFonts w:cstheme="minorHAnsi"/>
          <w:snapToGrid/>
        </w:rPr>
        <w:t>m</w:t>
      </w:r>
      <w:r w:rsidR="00BE6947" w:rsidRPr="00F7369B">
        <w:rPr>
          <w:rFonts w:cstheme="minorHAnsi"/>
          <w:snapToGrid/>
        </w:rPr>
        <w:t xml:space="preserve">eningococcal (Groups A, C, Y and W-135) Polysaccharide Diphtheria Toxoid Conjugate </w:t>
      </w:r>
      <w:r w:rsidRPr="00F7369B">
        <w:rPr>
          <w:snapToGrid/>
        </w:rPr>
        <w:t xml:space="preserve">vaccine </w:t>
      </w:r>
      <w:r w:rsidR="001F66B1" w:rsidRPr="00F7369B">
        <w:rPr>
          <w:snapToGrid/>
        </w:rPr>
        <w:t>(</w:t>
      </w:r>
      <w:r w:rsidR="00006F7A" w:rsidRPr="00F7369B">
        <w:rPr>
          <w:snapToGrid/>
        </w:rPr>
        <w:t xml:space="preserve">referred to herein by the brand name </w:t>
      </w:r>
      <w:r w:rsidRPr="00F7369B">
        <w:rPr>
          <w:snapToGrid/>
        </w:rPr>
        <w:t>Menactra</w:t>
      </w:r>
      <w:r w:rsidR="004A4018" w:rsidRPr="00F7369B">
        <w:rPr>
          <w:snapToGrid/>
        </w:rPr>
        <w:t>®</w:t>
      </w:r>
      <w:r w:rsidR="001F66B1" w:rsidRPr="00F7369B">
        <w:rPr>
          <w:snapToGrid/>
        </w:rPr>
        <w:t>)</w:t>
      </w:r>
      <w:r w:rsidRPr="00F7369B">
        <w:rPr>
          <w:snapToGrid/>
        </w:rPr>
        <w:t xml:space="preserve"> as a near market comparator for the adolescent population.</w:t>
      </w:r>
      <w:r w:rsidR="00EE4031" w:rsidRPr="00F7369B">
        <w:rPr>
          <w:snapToGrid/>
        </w:rPr>
        <w:t xml:space="preserve"> </w:t>
      </w:r>
      <w:r w:rsidR="00037A26" w:rsidRPr="00F7369B">
        <w:rPr>
          <w:snapToGrid/>
        </w:rPr>
        <w:t xml:space="preserve">Menactra has been registered in Australia since 2011 and has not yet been considered by the </w:t>
      </w:r>
      <w:r w:rsidR="009633C5" w:rsidRPr="00F7369B">
        <w:rPr>
          <w:snapToGrid/>
        </w:rPr>
        <w:t>PBAC, therefore</w:t>
      </w:r>
      <w:r w:rsidR="00037A26" w:rsidRPr="00F7369B">
        <w:rPr>
          <w:snapToGrid/>
        </w:rPr>
        <w:t xml:space="preserve"> it may be a less relevant near market comparator</w:t>
      </w:r>
      <w:r w:rsidR="00F7369B">
        <w:rPr>
          <w:snapToGrid/>
        </w:rPr>
        <w:t xml:space="preserve">. </w:t>
      </w:r>
      <w:r w:rsidR="00037A26" w:rsidRPr="00F7369B">
        <w:rPr>
          <w:snapToGrid/>
        </w:rPr>
        <w:t>Additionally, t</w:t>
      </w:r>
      <w:r w:rsidR="00BF7D62" w:rsidRPr="00F7369B">
        <w:rPr>
          <w:snapToGrid/>
        </w:rPr>
        <w:t>he ATAGI c</w:t>
      </w:r>
      <w:r w:rsidR="0058454A" w:rsidRPr="00F7369B">
        <w:rPr>
          <w:snapToGrid/>
        </w:rPr>
        <w:t>onsidered</w:t>
      </w:r>
      <w:r w:rsidR="00BF7D62" w:rsidRPr="00F7369B">
        <w:rPr>
          <w:snapToGrid/>
        </w:rPr>
        <w:t xml:space="preserve"> Nimenrix to be superior to Menactra in the adolescent age group in terms of immunogenicity</w:t>
      </w:r>
      <w:r w:rsidR="00623122" w:rsidRPr="00F7369B">
        <w:rPr>
          <w:snapToGrid/>
        </w:rPr>
        <w:t>.</w:t>
      </w:r>
      <w:r w:rsidR="00BF7D62" w:rsidRPr="00F7369B">
        <w:rPr>
          <w:iCs/>
          <w:snapToGrid/>
        </w:rPr>
        <w:t xml:space="preserve"> </w:t>
      </w:r>
    </w:p>
    <w:p w:rsidR="00804A34" w:rsidRPr="00F7369B" w:rsidRDefault="00CC475E" w:rsidP="00CC475E">
      <w:pPr>
        <w:pStyle w:val="3-BodyText"/>
        <w:rPr>
          <w:rFonts w:cstheme="minorHAnsi"/>
          <w:iCs/>
          <w:snapToGrid/>
        </w:rPr>
      </w:pPr>
      <w:r w:rsidRPr="00F7369B">
        <w:rPr>
          <w:rFonts w:cstheme="minorHAnsi"/>
          <w:iCs/>
          <w:snapToGrid/>
        </w:rPr>
        <w:t xml:space="preserve">In adolescents, </w:t>
      </w:r>
      <w:r w:rsidR="00EC1854" w:rsidRPr="00F7369B">
        <w:rPr>
          <w:rFonts w:cstheme="minorHAnsi"/>
          <w:iCs/>
          <w:snapToGrid/>
        </w:rPr>
        <w:t xml:space="preserve">the </w:t>
      </w:r>
      <w:r w:rsidRPr="00F7369B">
        <w:rPr>
          <w:rFonts w:cstheme="minorHAnsi"/>
          <w:iCs/>
          <w:snapToGrid/>
        </w:rPr>
        <w:t>ATAGI acknowledged a lack of direct comparative trials between MenQuadfi and Nimenrix,</w:t>
      </w:r>
      <w:r w:rsidR="00400AE9" w:rsidRPr="00F7369B">
        <w:rPr>
          <w:rFonts w:cstheme="minorHAnsi"/>
          <w:iCs/>
          <w:snapToGrid/>
        </w:rPr>
        <w:t xml:space="preserve"> </w:t>
      </w:r>
      <w:r w:rsidRPr="00F7369B">
        <w:rPr>
          <w:rFonts w:cstheme="minorHAnsi"/>
          <w:iCs/>
          <w:snapToGrid/>
        </w:rPr>
        <w:t>but noted that studies demonstrate non-inferior immunogenicity for all serogroups against other meningococcal conjugate vaccines registered in Australia</w:t>
      </w:r>
      <w:r w:rsidR="007D423F" w:rsidRPr="00F7369B">
        <w:rPr>
          <w:rFonts w:cstheme="minorHAnsi"/>
          <w:iCs/>
          <w:snapToGrid/>
        </w:rPr>
        <w:t xml:space="preserve"> (</w:t>
      </w:r>
      <w:r w:rsidR="00F7369B" w:rsidRPr="00F7369B">
        <w:rPr>
          <w:rFonts w:cstheme="minorHAnsi"/>
          <w:iCs/>
          <w:snapToGrid/>
        </w:rPr>
        <w:t>Menveo and</w:t>
      </w:r>
      <w:r w:rsidRPr="00F7369B">
        <w:rPr>
          <w:rFonts w:cstheme="minorHAnsi"/>
          <w:iCs/>
          <w:snapToGrid/>
        </w:rPr>
        <w:t xml:space="preserve"> Menactra). </w:t>
      </w:r>
    </w:p>
    <w:p w:rsidR="00155AFF" w:rsidRPr="00F7369B" w:rsidRDefault="00155AFF" w:rsidP="00155AFF">
      <w:pPr>
        <w:pStyle w:val="3-BodyText"/>
        <w:numPr>
          <w:ilvl w:val="0"/>
          <w:numId w:val="0"/>
        </w:numPr>
        <w:ind w:left="720"/>
        <w:rPr>
          <w:rFonts w:cstheme="minorHAnsi"/>
          <w:i/>
          <w:iCs/>
          <w:snapToGrid/>
        </w:rPr>
      </w:pPr>
      <w:r w:rsidRPr="00F7369B">
        <w:rPr>
          <w:rFonts w:cstheme="minorHAnsi"/>
          <w:i/>
          <w:iCs/>
          <w:snapToGrid/>
        </w:rPr>
        <w:t>For more detail on PBAC’s view, see section 7 PBAC outcome.</w:t>
      </w:r>
    </w:p>
    <w:p w:rsidR="00D07340" w:rsidRPr="00F7369B" w:rsidRDefault="00D07340" w:rsidP="00D07340">
      <w:pPr>
        <w:pStyle w:val="2-SectionHeading"/>
        <w:rPr>
          <w:rFonts w:cstheme="minorHAnsi"/>
        </w:rPr>
      </w:pPr>
      <w:bookmarkStart w:id="11" w:name="_Toc51066736"/>
      <w:bookmarkStart w:id="12" w:name="_Toc22897640"/>
      <w:r w:rsidRPr="00F7369B">
        <w:rPr>
          <w:rFonts w:cstheme="minorHAnsi"/>
        </w:rPr>
        <w:t>Consideration of the evidence</w:t>
      </w:r>
      <w:bookmarkEnd w:id="11"/>
    </w:p>
    <w:p w:rsidR="00BF72E0" w:rsidRPr="00F7369B" w:rsidRDefault="00BF72E0" w:rsidP="00675BFA">
      <w:pPr>
        <w:pStyle w:val="4-SubsectionHeading"/>
        <w:rPr>
          <w:rFonts w:cstheme="minorHAnsi"/>
        </w:rPr>
      </w:pPr>
      <w:bookmarkStart w:id="13" w:name="_Toc51066737"/>
      <w:r w:rsidRPr="00F7369B">
        <w:rPr>
          <w:rFonts w:cstheme="minorHAnsi"/>
        </w:rPr>
        <w:t>Sponsor hearing</w:t>
      </w:r>
    </w:p>
    <w:p w:rsidR="00BF72E0" w:rsidRPr="00F7369B" w:rsidRDefault="00BF72E0" w:rsidP="00BF72E0">
      <w:pPr>
        <w:pStyle w:val="3-BodyText"/>
      </w:pPr>
      <w:r w:rsidRPr="00F7369B">
        <w:t xml:space="preserve">There was no hearing for this item. </w:t>
      </w:r>
    </w:p>
    <w:p w:rsidR="00BF72E0" w:rsidRPr="00F7369B" w:rsidRDefault="00BF72E0" w:rsidP="00675BFA">
      <w:pPr>
        <w:pStyle w:val="4-SubsectionHeading"/>
        <w:rPr>
          <w:rFonts w:cstheme="minorHAnsi"/>
        </w:rPr>
      </w:pPr>
      <w:r w:rsidRPr="00F7369B">
        <w:rPr>
          <w:rFonts w:cstheme="minorHAnsi"/>
        </w:rPr>
        <w:lastRenderedPageBreak/>
        <w:t>Consumer comments</w:t>
      </w:r>
    </w:p>
    <w:p w:rsidR="00BF72E0" w:rsidRPr="00F7369B" w:rsidRDefault="00BF72E0" w:rsidP="00BF72E0">
      <w:pPr>
        <w:pStyle w:val="3-BodyText"/>
      </w:pPr>
      <w:r w:rsidRPr="00F7369B">
        <w:t xml:space="preserve">The PBAC noted that no consumer comments were received for this item. </w:t>
      </w:r>
    </w:p>
    <w:p w:rsidR="00D07340" w:rsidRPr="00F7369B" w:rsidRDefault="00D07340" w:rsidP="00675BFA">
      <w:pPr>
        <w:pStyle w:val="4-SubsectionHeading"/>
        <w:rPr>
          <w:rFonts w:cstheme="minorHAnsi"/>
        </w:rPr>
      </w:pPr>
      <w:r w:rsidRPr="00F7369B">
        <w:rPr>
          <w:rFonts w:cstheme="minorHAnsi"/>
        </w:rPr>
        <w:t xml:space="preserve">Clinical </w:t>
      </w:r>
      <w:bookmarkEnd w:id="12"/>
      <w:r w:rsidR="002B7BD3" w:rsidRPr="00F7369B">
        <w:rPr>
          <w:rFonts w:cstheme="minorHAnsi"/>
        </w:rPr>
        <w:t>trials</w:t>
      </w:r>
      <w:bookmarkEnd w:id="13"/>
      <w:r w:rsidR="002B7BD3" w:rsidRPr="00F7369B">
        <w:rPr>
          <w:rFonts w:cstheme="minorHAnsi"/>
        </w:rPr>
        <w:t xml:space="preserve"> </w:t>
      </w:r>
      <w:r w:rsidRPr="00F7369B">
        <w:rPr>
          <w:rFonts w:cstheme="minorHAnsi"/>
          <w:color w:val="0066FF"/>
        </w:rPr>
        <w:t xml:space="preserve"> </w:t>
      </w:r>
    </w:p>
    <w:p w:rsidR="00447025" w:rsidRPr="00F7369B" w:rsidRDefault="00447025" w:rsidP="00D07340">
      <w:pPr>
        <w:pStyle w:val="3-BodyText"/>
        <w:rPr>
          <w:rFonts w:cstheme="minorHAnsi"/>
        </w:rPr>
      </w:pPr>
      <w:r w:rsidRPr="00F7369B">
        <w:rPr>
          <w:rFonts w:cstheme="minorHAnsi"/>
        </w:rPr>
        <w:t>The submission was based on two randomised control</w:t>
      </w:r>
      <w:r w:rsidR="00C44568" w:rsidRPr="00F7369B">
        <w:rPr>
          <w:rFonts w:cstheme="minorHAnsi"/>
        </w:rPr>
        <w:t>led</w:t>
      </w:r>
      <w:r w:rsidRPr="00F7369B">
        <w:rPr>
          <w:rFonts w:cstheme="minorHAnsi"/>
        </w:rPr>
        <w:t xml:space="preserve"> trials comparing MenQuadfi to Nimenrix in children aged 12-23 months (MET51, N=918; MET54, N=188), and one randomised control</w:t>
      </w:r>
      <w:r w:rsidR="00C44568" w:rsidRPr="00F7369B">
        <w:rPr>
          <w:rFonts w:cstheme="minorHAnsi"/>
        </w:rPr>
        <w:t>led</w:t>
      </w:r>
      <w:r w:rsidRPr="00F7369B">
        <w:rPr>
          <w:rFonts w:cstheme="minorHAnsi"/>
        </w:rPr>
        <w:t xml:space="preserve"> trial comparing MenQuadfi to Menveo in children and adolescents age</w:t>
      </w:r>
      <w:r w:rsidR="0053233B" w:rsidRPr="00F7369B">
        <w:rPr>
          <w:rFonts w:cstheme="minorHAnsi"/>
        </w:rPr>
        <w:t>d</w:t>
      </w:r>
      <w:r w:rsidRPr="00F7369B">
        <w:rPr>
          <w:rFonts w:cstheme="minorHAnsi"/>
        </w:rPr>
        <w:t xml:space="preserve"> 10-17 years (MET50, N=1,715).</w:t>
      </w:r>
    </w:p>
    <w:p w:rsidR="00447025" w:rsidRPr="00F7369B" w:rsidRDefault="00447025" w:rsidP="009A11E4">
      <w:pPr>
        <w:pStyle w:val="3-BodyText"/>
        <w:rPr>
          <w:rFonts w:cstheme="minorHAnsi"/>
        </w:rPr>
      </w:pPr>
      <w:r w:rsidRPr="00F7369B">
        <w:rPr>
          <w:rFonts w:cstheme="minorHAnsi"/>
        </w:rPr>
        <w:t>The submission also presented one supplementary trial comparing MenQuadfi in combination with other paediatric vaccines (MMR+V vaccine, TaP IPV-HB-Hib, and PCV13) (MET57, N=1</w:t>
      </w:r>
      <w:r w:rsidR="00E064A6" w:rsidRPr="00F7369B">
        <w:rPr>
          <w:rFonts w:cstheme="minorHAnsi"/>
        </w:rPr>
        <w:t>,</w:t>
      </w:r>
      <w:r w:rsidRPr="00F7369B">
        <w:rPr>
          <w:rFonts w:cstheme="minorHAnsi"/>
        </w:rPr>
        <w:t>183) in children aged 12-23 months.</w:t>
      </w:r>
      <w:r w:rsidRPr="00F7369B">
        <w:rPr>
          <w:rFonts w:cstheme="minorHAnsi"/>
          <w:i/>
          <w:iCs/>
        </w:rPr>
        <w:t xml:space="preserve"> </w:t>
      </w:r>
      <w:r w:rsidR="008D619C" w:rsidRPr="00F7369B">
        <w:rPr>
          <w:rFonts w:cstheme="minorHAnsi"/>
          <w:iCs/>
        </w:rPr>
        <w:t xml:space="preserve">This trial did not include another active meningococcal vaccine control group. </w:t>
      </w:r>
      <w:r w:rsidR="009A11E4" w:rsidRPr="00F7369B">
        <w:rPr>
          <w:rFonts w:cstheme="minorHAnsi"/>
          <w:iCs/>
        </w:rPr>
        <w:t>The submission stated that ‘overall, vaccination with MenQuadfi was considered to be well tolerated in this population, when administered alone or concomitantly with other licensed vaccines commonly administered to this cohort</w:t>
      </w:r>
      <w:r w:rsidR="00F7369B">
        <w:rPr>
          <w:rFonts w:cstheme="minorHAnsi"/>
          <w:iCs/>
        </w:rPr>
        <w:t xml:space="preserve">. </w:t>
      </w:r>
      <w:r w:rsidR="009A11E4" w:rsidRPr="00F7369B">
        <w:rPr>
          <w:rFonts w:cstheme="minorHAnsi"/>
          <w:iCs/>
        </w:rPr>
        <w:t xml:space="preserve">No major safety concerns were identified with MenQuadfi. There were no important changes in the safety profiles of licensed vaccines when co-administered with MenQuadfi, and no new clinically important findings were identified in the study.’  </w:t>
      </w:r>
    </w:p>
    <w:p w:rsidR="00B54589" w:rsidRPr="00F7369B" w:rsidRDefault="00447025" w:rsidP="00522BBF">
      <w:pPr>
        <w:pStyle w:val="3-BodyText"/>
        <w:rPr>
          <w:rFonts w:cstheme="minorHAnsi"/>
        </w:rPr>
      </w:pPr>
      <w:r w:rsidRPr="00F7369B">
        <w:rPr>
          <w:rFonts w:cstheme="minorHAnsi"/>
        </w:rPr>
        <w:t>The submission also presented two supplementary trials comparing MenQuadfi to Menactra in adolescent</w:t>
      </w:r>
      <w:r w:rsidR="00E064A6" w:rsidRPr="00F7369B">
        <w:rPr>
          <w:rFonts w:cstheme="minorHAnsi"/>
        </w:rPr>
        <w:t>s</w:t>
      </w:r>
      <w:r w:rsidRPr="00F7369B">
        <w:rPr>
          <w:rFonts w:cstheme="minorHAnsi"/>
        </w:rPr>
        <w:t xml:space="preserve"> and adult</w:t>
      </w:r>
      <w:r w:rsidR="00E064A6" w:rsidRPr="00F7369B">
        <w:rPr>
          <w:rFonts w:cstheme="minorHAnsi"/>
        </w:rPr>
        <w:t>s</w:t>
      </w:r>
      <w:r w:rsidRPr="00F7369B">
        <w:rPr>
          <w:rFonts w:cstheme="minorHAnsi"/>
        </w:rPr>
        <w:t xml:space="preserve"> (MET43, N=3</w:t>
      </w:r>
      <w:r w:rsidR="00E064A6" w:rsidRPr="00F7369B">
        <w:rPr>
          <w:rFonts w:cstheme="minorHAnsi"/>
        </w:rPr>
        <w:t>,</w:t>
      </w:r>
      <w:r w:rsidRPr="00F7369B">
        <w:rPr>
          <w:rFonts w:cstheme="minorHAnsi"/>
        </w:rPr>
        <w:t>344; MET</w:t>
      </w:r>
      <w:r w:rsidR="00705E67" w:rsidRPr="00F7369B">
        <w:rPr>
          <w:rFonts w:cstheme="minorHAnsi"/>
        </w:rPr>
        <w:t>5</w:t>
      </w:r>
      <w:r w:rsidRPr="00F7369B">
        <w:rPr>
          <w:rFonts w:cstheme="minorHAnsi"/>
        </w:rPr>
        <w:t xml:space="preserve">6, N=810). </w:t>
      </w:r>
      <w:r w:rsidR="00522BBF" w:rsidRPr="00F7369B">
        <w:rPr>
          <w:rFonts w:cstheme="minorHAnsi"/>
        </w:rPr>
        <w:t>The submission stated that ‘non-inferiority of the immune response was demonstrated for all serogroups and the point estimate of the proportion of MenQuadfi responders was numerically higher for all serogroups in both the overall population and the adolescent subset. Other immunogenicity outcomes were generally consistent with the primary outcome.’</w:t>
      </w:r>
    </w:p>
    <w:p w:rsidR="0035052A" w:rsidRPr="00F7369B" w:rsidRDefault="0035052A" w:rsidP="002873D6">
      <w:pPr>
        <w:pStyle w:val="3-BodyText"/>
        <w:rPr>
          <w:rFonts w:cstheme="minorHAnsi"/>
        </w:rPr>
      </w:pPr>
      <w:r w:rsidRPr="00F7369B">
        <w:rPr>
          <w:rFonts w:cstheme="minorHAnsi"/>
        </w:rPr>
        <w:t>The submission present</w:t>
      </w:r>
      <w:r w:rsidR="00E064A6" w:rsidRPr="00F7369B">
        <w:rPr>
          <w:rFonts w:cstheme="minorHAnsi"/>
        </w:rPr>
        <w:t>ed no</w:t>
      </w:r>
      <w:r w:rsidRPr="00F7369B">
        <w:rPr>
          <w:rFonts w:cstheme="minorHAnsi"/>
        </w:rPr>
        <w:t xml:space="preserve"> trial data to support </w:t>
      </w:r>
      <w:r w:rsidR="00CA3771" w:rsidRPr="00F7369B">
        <w:rPr>
          <w:rFonts w:cstheme="minorHAnsi"/>
        </w:rPr>
        <w:t xml:space="preserve">use in </w:t>
      </w:r>
      <w:r w:rsidRPr="00F7369B">
        <w:rPr>
          <w:rFonts w:cstheme="minorHAnsi"/>
        </w:rPr>
        <w:t>the proposed medically at</w:t>
      </w:r>
      <w:r w:rsidR="00B96E91" w:rsidRPr="00F7369B">
        <w:rPr>
          <w:rFonts w:cstheme="minorHAnsi"/>
        </w:rPr>
        <w:noBreakHyphen/>
      </w:r>
      <w:r w:rsidRPr="00F7369B">
        <w:rPr>
          <w:rFonts w:cstheme="minorHAnsi"/>
        </w:rPr>
        <w:t>risk population.</w:t>
      </w:r>
      <w:r w:rsidR="00695CD8" w:rsidRPr="00F7369B">
        <w:rPr>
          <w:rFonts w:cstheme="minorHAnsi"/>
        </w:rPr>
        <w:t xml:space="preserve"> In May 2019, the PBAC r</w:t>
      </w:r>
      <w:r w:rsidR="008D619C" w:rsidRPr="00F7369B">
        <w:rPr>
          <w:rFonts w:cstheme="minorHAnsi"/>
        </w:rPr>
        <w:t>ecommended that the Me</w:t>
      </w:r>
      <w:r w:rsidR="00695CD8" w:rsidRPr="00F7369B">
        <w:rPr>
          <w:rFonts w:cstheme="minorHAnsi"/>
        </w:rPr>
        <w:t xml:space="preserve">nACWY </w:t>
      </w:r>
      <w:r w:rsidR="008578DE" w:rsidRPr="00F7369B">
        <w:rPr>
          <w:rFonts w:cstheme="minorHAnsi"/>
        </w:rPr>
        <w:t>vaccine</w:t>
      </w:r>
      <w:r w:rsidR="00695CD8" w:rsidRPr="00F7369B">
        <w:rPr>
          <w:rFonts w:cstheme="minorHAnsi"/>
        </w:rPr>
        <w:t xml:space="preserve"> should be a designated vaccine </w:t>
      </w:r>
      <w:r w:rsidR="008578DE" w:rsidRPr="00F7369B">
        <w:rPr>
          <w:rFonts w:cstheme="minorHAnsi"/>
        </w:rPr>
        <w:t xml:space="preserve">in </w:t>
      </w:r>
      <w:r w:rsidR="00695CD8" w:rsidRPr="00F7369B">
        <w:rPr>
          <w:rFonts w:cstheme="minorHAnsi"/>
        </w:rPr>
        <w:t xml:space="preserve">the </w:t>
      </w:r>
      <w:r w:rsidR="008578DE" w:rsidRPr="00F7369B">
        <w:rPr>
          <w:rFonts w:cstheme="minorHAnsi"/>
        </w:rPr>
        <w:t>Determination</w:t>
      </w:r>
      <w:r w:rsidR="00695CD8" w:rsidRPr="00F7369B">
        <w:rPr>
          <w:rFonts w:cstheme="minorHAnsi"/>
        </w:rPr>
        <w:t xml:space="preserve"> for people with </w:t>
      </w:r>
      <w:r w:rsidR="008D619C" w:rsidRPr="00F7369B">
        <w:rPr>
          <w:rFonts w:cstheme="minorHAnsi"/>
        </w:rPr>
        <w:t xml:space="preserve">asplenia and hyposplenia, </w:t>
      </w:r>
      <w:r w:rsidR="00695CD8" w:rsidRPr="00F7369B">
        <w:rPr>
          <w:rFonts w:cstheme="minorHAnsi"/>
          <w:bCs/>
        </w:rPr>
        <w:t>complement deficiency or undergoing eculizumab treatment.</w:t>
      </w:r>
      <w:r w:rsidR="00F10F40" w:rsidRPr="00F7369B">
        <w:rPr>
          <w:rFonts w:cstheme="minorHAnsi"/>
          <w:bCs/>
        </w:rPr>
        <w:t xml:space="preserve"> </w:t>
      </w:r>
      <w:r w:rsidR="008E10B1" w:rsidRPr="00F7369B">
        <w:rPr>
          <w:rFonts w:cstheme="minorHAnsi"/>
          <w:bCs/>
        </w:rPr>
        <w:t>The ESC noted that the at-risk population are currently eligible to receive MenACWY vaccination through</w:t>
      </w:r>
      <w:r w:rsidR="0004583C" w:rsidRPr="00F7369B">
        <w:rPr>
          <w:rFonts w:cstheme="minorHAnsi"/>
          <w:bCs/>
        </w:rPr>
        <w:t xml:space="preserve"> the NIP</w:t>
      </w:r>
      <w:r w:rsidR="008E10B1" w:rsidRPr="00F7369B">
        <w:rPr>
          <w:rFonts w:cstheme="minorHAnsi"/>
          <w:bCs/>
        </w:rPr>
        <w:t>.</w:t>
      </w:r>
      <w:r w:rsidR="00F10F40" w:rsidRPr="00F7369B">
        <w:rPr>
          <w:rFonts w:cstheme="minorHAnsi"/>
          <w:bCs/>
        </w:rPr>
        <w:t xml:space="preserve"> </w:t>
      </w:r>
    </w:p>
    <w:p w:rsidR="00947F9A" w:rsidRPr="00F7369B" w:rsidRDefault="00D07340" w:rsidP="009F13C3">
      <w:pPr>
        <w:pStyle w:val="3-BodyText"/>
        <w:jc w:val="left"/>
        <w:rPr>
          <w:rFonts w:cstheme="minorHAnsi"/>
        </w:rPr>
      </w:pPr>
      <w:r w:rsidRPr="00F7369B">
        <w:rPr>
          <w:rFonts w:cstheme="minorHAnsi"/>
          <w:snapToGrid/>
        </w:rPr>
        <w:t xml:space="preserve">Details of the </w:t>
      </w:r>
      <w:r w:rsidR="00CA3771" w:rsidRPr="00F7369B">
        <w:rPr>
          <w:rFonts w:cstheme="minorHAnsi"/>
          <w:snapToGrid/>
        </w:rPr>
        <w:t xml:space="preserve">key </w:t>
      </w:r>
      <w:r w:rsidRPr="00F7369B">
        <w:rPr>
          <w:rFonts w:cstheme="minorHAnsi"/>
          <w:snapToGrid/>
        </w:rPr>
        <w:t>trials presented in the submission</w:t>
      </w:r>
      <w:r w:rsidR="003F0A4B" w:rsidRPr="00F7369B">
        <w:rPr>
          <w:rFonts w:cstheme="minorHAnsi"/>
          <w:snapToGrid/>
        </w:rPr>
        <w:t xml:space="preserve"> to support the clinical claims</w:t>
      </w:r>
      <w:r w:rsidRPr="00F7369B">
        <w:rPr>
          <w:rFonts w:cstheme="minorHAnsi"/>
          <w:snapToGrid/>
        </w:rPr>
        <w:t xml:space="preserve"> are provided in </w:t>
      </w:r>
      <w:r w:rsidR="00C665DA" w:rsidRPr="00F7369B">
        <w:rPr>
          <w:rFonts w:cstheme="minorHAnsi"/>
          <w:snapToGrid/>
        </w:rPr>
        <w:t>T</w:t>
      </w:r>
      <w:r w:rsidRPr="00F7369B">
        <w:rPr>
          <w:rFonts w:cstheme="minorHAnsi"/>
          <w:snapToGrid/>
        </w:rPr>
        <w:t>able</w:t>
      </w:r>
      <w:r w:rsidR="00C665DA" w:rsidRPr="00F7369B">
        <w:rPr>
          <w:rFonts w:cstheme="minorHAnsi"/>
          <w:snapToGrid/>
        </w:rPr>
        <w:t xml:space="preserve"> </w:t>
      </w:r>
      <w:r w:rsidR="0013271B" w:rsidRPr="00F7369B">
        <w:rPr>
          <w:rFonts w:cstheme="minorHAnsi"/>
          <w:snapToGrid/>
        </w:rPr>
        <w:t>3</w:t>
      </w:r>
      <w:r w:rsidRPr="00F7369B">
        <w:rPr>
          <w:rFonts w:cstheme="minorHAnsi"/>
          <w:snapToGrid/>
        </w:rPr>
        <w:t xml:space="preserve">. </w:t>
      </w:r>
    </w:p>
    <w:p w:rsidR="00447025" w:rsidRPr="00F7369B" w:rsidRDefault="00447025" w:rsidP="003D0A08">
      <w:pPr>
        <w:pStyle w:val="3-BodyText"/>
        <w:keepNext/>
        <w:keepLines/>
        <w:numPr>
          <w:ilvl w:val="0"/>
          <w:numId w:val="0"/>
        </w:numPr>
        <w:jc w:val="left"/>
        <w:rPr>
          <w:rFonts w:ascii="Arial Narrow" w:hAnsi="Arial Narrow" w:cstheme="minorHAnsi"/>
        </w:rPr>
      </w:pPr>
      <w:r w:rsidRPr="00F7369B">
        <w:rPr>
          <w:rStyle w:val="CommentReference"/>
          <w:rFonts w:cstheme="minorHAnsi"/>
          <w:szCs w:val="24"/>
        </w:rPr>
        <w:lastRenderedPageBreak/>
        <w:t xml:space="preserve">Table </w:t>
      </w:r>
      <w:r w:rsidR="0013271B" w:rsidRPr="00F7369B">
        <w:rPr>
          <w:rStyle w:val="CommentReference"/>
          <w:rFonts w:cstheme="minorHAnsi"/>
          <w:szCs w:val="24"/>
        </w:rPr>
        <w:t>3</w:t>
      </w:r>
      <w:r w:rsidRPr="00F7369B">
        <w:rPr>
          <w:rStyle w:val="CommentReference"/>
          <w:rFonts w:cstheme="minorHAnsi"/>
          <w:szCs w:val="24"/>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447025" w:rsidRPr="00F7369B" w:rsidTr="00680FB4">
        <w:trPr>
          <w:tblHeader/>
        </w:trPr>
        <w:tc>
          <w:tcPr>
            <w:tcW w:w="796" w:type="pct"/>
            <w:vAlign w:val="center"/>
          </w:tcPr>
          <w:p w:rsidR="00447025" w:rsidRPr="00F7369B" w:rsidRDefault="00447025" w:rsidP="003D0A08">
            <w:pPr>
              <w:pStyle w:val="In-tableHeading"/>
              <w:keepLines/>
              <w:rPr>
                <w:rFonts w:cstheme="minorHAnsi"/>
                <w:lang w:val="en-AU"/>
              </w:rPr>
            </w:pPr>
            <w:r w:rsidRPr="00F7369B">
              <w:rPr>
                <w:rFonts w:cstheme="minorHAnsi"/>
                <w:lang w:val="en-AU"/>
              </w:rPr>
              <w:t>Trial ID</w:t>
            </w:r>
          </w:p>
        </w:tc>
        <w:tc>
          <w:tcPr>
            <w:tcW w:w="3027" w:type="pct"/>
            <w:vAlign w:val="center"/>
          </w:tcPr>
          <w:p w:rsidR="00447025" w:rsidRPr="00F7369B" w:rsidRDefault="00447025" w:rsidP="003D0A08">
            <w:pPr>
              <w:pStyle w:val="In-tableHeading"/>
              <w:keepLines/>
              <w:rPr>
                <w:rFonts w:cstheme="minorHAnsi"/>
                <w:lang w:val="en-AU"/>
              </w:rPr>
            </w:pPr>
            <w:r w:rsidRPr="00F7369B">
              <w:rPr>
                <w:rFonts w:cstheme="minorHAnsi"/>
                <w:lang w:val="en-AU"/>
              </w:rPr>
              <w:t>Protocol title/ Publication title</w:t>
            </w:r>
          </w:p>
        </w:tc>
        <w:tc>
          <w:tcPr>
            <w:tcW w:w="1177" w:type="pct"/>
            <w:vAlign w:val="center"/>
          </w:tcPr>
          <w:p w:rsidR="00447025" w:rsidRPr="00F7369B" w:rsidRDefault="00447025" w:rsidP="003D0A08">
            <w:pPr>
              <w:pStyle w:val="In-tableHeading"/>
              <w:keepLines/>
              <w:rPr>
                <w:rFonts w:cstheme="minorHAnsi"/>
                <w:lang w:val="en-AU"/>
              </w:rPr>
            </w:pPr>
            <w:r w:rsidRPr="00F7369B">
              <w:rPr>
                <w:rFonts w:cstheme="minorHAnsi"/>
                <w:lang w:val="en-AU"/>
              </w:rPr>
              <w:t>Publication citation</w:t>
            </w:r>
          </w:p>
        </w:tc>
      </w:tr>
      <w:tr w:rsidR="00447025" w:rsidRPr="00F7369B" w:rsidTr="00680FB4">
        <w:tc>
          <w:tcPr>
            <w:tcW w:w="796" w:type="pct"/>
            <w:tcBorders>
              <w:top w:val="single" w:sz="4" w:space="0" w:color="auto"/>
              <w:bottom w:val="single" w:sz="4" w:space="0" w:color="auto"/>
            </w:tcBorders>
            <w:vAlign w:val="center"/>
          </w:tcPr>
          <w:p w:rsidR="00447025" w:rsidRPr="00F7369B" w:rsidRDefault="00447025" w:rsidP="003D0A08">
            <w:pPr>
              <w:pStyle w:val="TableText0"/>
              <w:keepLines/>
              <w:rPr>
                <w:rFonts w:cstheme="minorHAnsi"/>
              </w:rPr>
            </w:pPr>
            <w:r w:rsidRPr="00F7369B">
              <w:rPr>
                <w:rFonts w:cstheme="minorHAnsi"/>
              </w:rPr>
              <w:t>MET51</w:t>
            </w:r>
          </w:p>
        </w:tc>
        <w:tc>
          <w:tcPr>
            <w:tcW w:w="3027" w:type="pct"/>
            <w:tcBorders>
              <w:top w:val="single" w:sz="4" w:space="0" w:color="auto"/>
              <w:bottom w:val="single" w:sz="4" w:space="0" w:color="auto"/>
            </w:tcBorders>
            <w:vAlign w:val="center"/>
          </w:tcPr>
          <w:p w:rsidR="00447025" w:rsidRPr="00F7369B" w:rsidRDefault="00447025" w:rsidP="003D0A08">
            <w:pPr>
              <w:keepNext/>
              <w:keepLines/>
              <w:autoSpaceDE w:val="0"/>
              <w:autoSpaceDN w:val="0"/>
              <w:adjustRightInd w:val="0"/>
              <w:jc w:val="left"/>
              <w:rPr>
                <w:rFonts w:ascii="Arial Narrow" w:eastAsiaTheme="majorEastAsia" w:hAnsi="Arial Narrow" w:cstheme="minorHAnsi"/>
                <w:bCs/>
                <w:sz w:val="20"/>
                <w:szCs w:val="18"/>
              </w:rPr>
            </w:pPr>
            <w:r w:rsidRPr="00F7369B">
              <w:rPr>
                <w:rFonts w:ascii="Arial Narrow" w:hAnsi="Arial Narrow" w:cstheme="minorHAnsi"/>
                <w:sz w:val="20"/>
                <w:szCs w:val="18"/>
              </w:rPr>
              <w:t>Phase III, modified double-blind, randomi</w:t>
            </w:r>
            <w:r w:rsidR="008779B5" w:rsidRPr="00F7369B">
              <w:rPr>
                <w:rFonts w:ascii="Arial Narrow" w:hAnsi="Arial Narrow" w:cstheme="minorHAnsi"/>
                <w:sz w:val="20"/>
                <w:szCs w:val="18"/>
              </w:rPr>
              <w:t>s</w:t>
            </w:r>
            <w:r w:rsidRPr="00F7369B">
              <w:rPr>
                <w:rFonts w:ascii="Arial Narrow" w:hAnsi="Arial Narrow" w:cstheme="minorHAnsi"/>
                <w:sz w:val="20"/>
                <w:szCs w:val="18"/>
              </w:rPr>
              <w:t>ed, parallel-group, active controlled, multi-cent</w:t>
            </w:r>
            <w:r w:rsidR="008779B5" w:rsidRPr="00F7369B">
              <w:rPr>
                <w:rFonts w:ascii="Arial Narrow" w:hAnsi="Arial Narrow" w:cstheme="minorHAnsi"/>
                <w:sz w:val="20"/>
                <w:szCs w:val="18"/>
              </w:rPr>
              <w:t>r</w:t>
            </w:r>
            <w:r w:rsidRPr="00F7369B">
              <w:rPr>
                <w:rFonts w:ascii="Arial Narrow" w:hAnsi="Arial Narrow" w:cstheme="minorHAnsi"/>
                <w:sz w:val="20"/>
                <w:szCs w:val="18"/>
              </w:rPr>
              <w:t>e trial to compare the immunogenicity and describe the safety of a single dose of MenACYW conjugate vaccine to a single dose of a licensed quadrivalent meningococcal serogroups A, C, W, and Y tetanus toxoid conjugate vaccine (</w:t>
            </w:r>
            <w:r w:rsidR="000B0EB0" w:rsidRPr="00F7369B">
              <w:rPr>
                <w:rFonts w:ascii="Arial Narrow" w:hAnsi="Arial Narrow" w:cstheme="minorHAnsi"/>
                <w:sz w:val="20"/>
                <w:szCs w:val="18"/>
              </w:rPr>
              <w:t>MenQuadfi)</w:t>
            </w:r>
            <w:r w:rsidRPr="00F7369B">
              <w:rPr>
                <w:rFonts w:ascii="Arial Narrow" w:hAnsi="Arial Narrow" w:cstheme="minorHAnsi"/>
                <w:sz w:val="20"/>
                <w:szCs w:val="18"/>
              </w:rPr>
              <w:t xml:space="preserve"> in toddlers in the European Union </w:t>
            </w:r>
            <w:r w:rsidRPr="00F7369B">
              <w:rPr>
                <w:rFonts w:ascii="Arial Narrow" w:eastAsiaTheme="majorEastAsia" w:hAnsi="Arial Narrow" w:cstheme="minorHAnsi"/>
                <w:sz w:val="20"/>
                <w:szCs w:val="18"/>
              </w:rPr>
              <w:t>who are either meningococcal vaccine naïve or</w:t>
            </w:r>
            <w:r w:rsidRPr="00F7369B">
              <w:rPr>
                <w:rFonts w:ascii="Arial Narrow" w:hAnsi="Arial Narrow" w:cstheme="minorHAnsi"/>
                <w:sz w:val="20"/>
                <w:szCs w:val="18"/>
              </w:rPr>
              <w:t xml:space="preserve"> </w:t>
            </w:r>
            <w:r w:rsidRPr="00F7369B">
              <w:rPr>
                <w:rFonts w:ascii="Arial Narrow" w:eastAsiaTheme="majorEastAsia" w:hAnsi="Arial Narrow" w:cstheme="minorHAnsi"/>
                <w:sz w:val="20"/>
                <w:szCs w:val="18"/>
              </w:rPr>
              <w:t>received MenC vaccination during infancy</w:t>
            </w:r>
          </w:p>
        </w:tc>
        <w:tc>
          <w:tcPr>
            <w:tcW w:w="1177" w:type="pct"/>
            <w:tcBorders>
              <w:top w:val="single" w:sz="4" w:space="0" w:color="auto"/>
              <w:bottom w:val="single" w:sz="4" w:space="0" w:color="auto"/>
            </w:tcBorders>
            <w:vAlign w:val="center"/>
          </w:tcPr>
          <w:p w:rsidR="00447025" w:rsidRPr="00F7369B" w:rsidRDefault="00447025" w:rsidP="003D0A08">
            <w:pPr>
              <w:pStyle w:val="TableText0"/>
              <w:keepLines/>
              <w:rPr>
                <w:rFonts w:cstheme="minorHAnsi"/>
                <w:i/>
                <w:szCs w:val="18"/>
              </w:rPr>
            </w:pPr>
            <w:r w:rsidRPr="00F7369B">
              <w:rPr>
                <w:rFonts w:cstheme="minorHAnsi"/>
                <w:iCs/>
                <w:szCs w:val="18"/>
              </w:rPr>
              <w:t>December 2018</w:t>
            </w:r>
          </w:p>
        </w:tc>
      </w:tr>
      <w:tr w:rsidR="00447025" w:rsidRPr="00F7369B" w:rsidTr="00680FB4">
        <w:tc>
          <w:tcPr>
            <w:tcW w:w="796" w:type="pct"/>
            <w:vMerge w:val="restart"/>
            <w:tcBorders>
              <w:top w:val="single" w:sz="4" w:space="0" w:color="auto"/>
            </w:tcBorders>
            <w:vAlign w:val="center"/>
          </w:tcPr>
          <w:p w:rsidR="00447025" w:rsidRPr="00F7369B" w:rsidRDefault="00447025" w:rsidP="003D0A08">
            <w:pPr>
              <w:pStyle w:val="TableText0"/>
              <w:keepLines/>
              <w:rPr>
                <w:rFonts w:cstheme="minorHAnsi"/>
              </w:rPr>
            </w:pPr>
            <w:r w:rsidRPr="00F7369B">
              <w:rPr>
                <w:rFonts w:cstheme="minorHAnsi"/>
              </w:rPr>
              <w:t>MET54</w:t>
            </w:r>
          </w:p>
        </w:tc>
        <w:tc>
          <w:tcPr>
            <w:tcW w:w="3027" w:type="pct"/>
            <w:tcBorders>
              <w:top w:val="single" w:sz="4" w:space="0" w:color="auto"/>
              <w:bottom w:val="nil"/>
            </w:tcBorders>
            <w:vAlign w:val="center"/>
          </w:tcPr>
          <w:p w:rsidR="00447025" w:rsidRPr="00F7369B" w:rsidRDefault="00447025" w:rsidP="003D0A08">
            <w:pPr>
              <w:keepNext/>
              <w:keepLines/>
              <w:autoSpaceDE w:val="0"/>
              <w:autoSpaceDN w:val="0"/>
              <w:adjustRightInd w:val="0"/>
              <w:jc w:val="left"/>
              <w:rPr>
                <w:rFonts w:ascii="Arial Narrow" w:hAnsi="Arial Narrow" w:cstheme="minorHAnsi"/>
                <w:sz w:val="20"/>
                <w:szCs w:val="18"/>
              </w:rPr>
            </w:pPr>
            <w:r w:rsidRPr="00F7369B">
              <w:rPr>
                <w:rFonts w:ascii="Arial Narrow" w:hAnsi="Arial Narrow" w:cstheme="minorHAnsi"/>
                <w:sz w:val="20"/>
                <w:szCs w:val="18"/>
              </w:rPr>
              <w:t>A Phase II, randomi</w:t>
            </w:r>
            <w:r w:rsidR="008779B5" w:rsidRPr="00F7369B">
              <w:rPr>
                <w:rFonts w:ascii="Arial Narrow" w:hAnsi="Arial Narrow" w:cstheme="minorHAnsi"/>
                <w:sz w:val="20"/>
                <w:szCs w:val="18"/>
              </w:rPr>
              <w:t>s</w:t>
            </w:r>
            <w:r w:rsidRPr="00F7369B">
              <w:rPr>
                <w:rFonts w:ascii="Arial Narrow" w:hAnsi="Arial Narrow" w:cstheme="minorHAnsi"/>
                <w:sz w:val="20"/>
                <w:szCs w:val="18"/>
              </w:rPr>
              <w:t xml:space="preserve">ed, </w:t>
            </w:r>
            <w:r w:rsidR="008779B5" w:rsidRPr="00F7369B">
              <w:rPr>
                <w:rFonts w:ascii="Arial Narrow" w:hAnsi="Arial Narrow" w:cstheme="minorHAnsi"/>
                <w:sz w:val="20"/>
                <w:szCs w:val="18"/>
              </w:rPr>
              <w:t xml:space="preserve">parallel-group, </w:t>
            </w:r>
            <w:r w:rsidRPr="00F7369B">
              <w:rPr>
                <w:rFonts w:ascii="Arial Narrow" w:hAnsi="Arial Narrow" w:cstheme="minorHAnsi"/>
                <w:sz w:val="20"/>
                <w:szCs w:val="18"/>
              </w:rPr>
              <w:t>open-label, active-controlled</w:t>
            </w:r>
            <w:r w:rsidR="008779B5" w:rsidRPr="00F7369B">
              <w:rPr>
                <w:rFonts w:ascii="Arial Narrow" w:hAnsi="Arial Narrow" w:cstheme="minorHAnsi"/>
                <w:sz w:val="20"/>
                <w:szCs w:val="18"/>
              </w:rPr>
              <w:t>, multi-centre, single country</w:t>
            </w:r>
            <w:r w:rsidRPr="00F7369B">
              <w:rPr>
                <w:rFonts w:ascii="Arial Narrow" w:hAnsi="Arial Narrow" w:cstheme="minorHAnsi"/>
                <w:sz w:val="20"/>
                <w:szCs w:val="18"/>
              </w:rPr>
              <w:t xml:space="preserve"> study to describe the safety and immunogenicity of MenACYW conjugate vaccine compared to Nimenrix in toddlers 12 to 23 months of age</w:t>
            </w:r>
            <w:r w:rsidR="008779B5" w:rsidRPr="00F7369B">
              <w:rPr>
                <w:rFonts w:ascii="Arial Narrow" w:hAnsi="Arial Narrow" w:cstheme="minorHAnsi"/>
                <w:sz w:val="20"/>
                <w:szCs w:val="18"/>
              </w:rPr>
              <w:t xml:space="preserve">. </w:t>
            </w:r>
          </w:p>
          <w:p w:rsidR="008779B5" w:rsidRPr="00F7369B" w:rsidRDefault="008779B5" w:rsidP="003D0A08">
            <w:pPr>
              <w:keepNext/>
              <w:keepLines/>
              <w:autoSpaceDE w:val="0"/>
              <w:autoSpaceDN w:val="0"/>
              <w:adjustRightInd w:val="0"/>
              <w:jc w:val="left"/>
              <w:rPr>
                <w:rFonts w:ascii="Arial Narrow" w:hAnsi="Arial Narrow" w:cstheme="minorHAnsi"/>
                <w:sz w:val="20"/>
                <w:szCs w:val="18"/>
              </w:rPr>
            </w:pPr>
          </w:p>
        </w:tc>
        <w:tc>
          <w:tcPr>
            <w:tcW w:w="1177" w:type="pct"/>
            <w:tcBorders>
              <w:top w:val="single" w:sz="4" w:space="0" w:color="auto"/>
              <w:bottom w:val="nil"/>
            </w:tcBorders>
            <w:vAlign w:val="center"/>
          </w:tcPr>
          <w:p w:rsidR="00447025" w:rsidRPr="00F7369B" w:rsidRDefault="00447025" w:rsidP="003D0A08">
            <w:pPr>
              <w:pStyle w:val="TableText0"/>
              <w:keepLines/>
              <w:rPr>
                <w:rFonts w:cstheme="minorHAnsi"/>
                <w:iCs/>
                <w:szCs w:val="18"/>
              </w:rPr>
            </w:pPr>
            <w:r w:rsidRPr="00F7369B">
              <w:rPr>
                <w:rFonts w:cstheme="minorHAnsi"/>
                <w:iCs/>
                <w:szCs w:val="18"/>
              </w:rPr>
              <w:t>June 2016</w:t>
            </w:r>
          </w:p>
        </w:tc>
      </w:tr>
      <w:tr w:rsidR="00447025" w:rsidRPr="00F7369B" w:rsidTr="00680FB4">
        <w:tc>
          <w:tcPr>
            <w:tcW w:w="796" w:type="pct"/>
            <w:vMerge/>
            <w:tcBorders>
              <w:bottom w:val="single" w:sz="4" w:space="0" w:color="auto"/>
            </w:tcBorders>
            <w:vAlign w:val="center"/>
          </w:tcPr>
          <w:p w:rsidR="00447025" w:rsidRPr="00F7369B" w:rsidRDefault="00447025" w:rsidP="003D0A08">
            <w:pPr>
              <w:pStyle w:val="TableText0"/>
              <w:keepLines/>
              <w:rPr>
                <w:rFonts w:cstheme="minorHAnsi"/>
              </w:rPr>
            </w:pPr>
          </w:p>
        </w:tc>
        <w:tc>
          <w:tcPr>
            <w:tcW w:w="3027" w:type="pct"/>
            <w:tcBorders>
              <w:top w:val="nil"/>
              <w:bottom w:val="single" w:sz="4" w:space="0" w:color="auto"/>
            </w:tcBorders>
            <w:vAlign w:val="center"/>
          </w:tcPr>
          <w:p w:rsidR="00447025" w:rsidRPr="00F7369B" w:rsidRDefault="00447025" w:rsidP="003D0A08">
            <w:pPr>
              <w:keepNext/>
              <w:keepLines/>
              <w:autoSpaceDE w:val="0"/>
              <w:autoSpaceDN w:val="0"/>
              <w:adjustRightInd w:val="0"/>
              <w:jc w:val="left"/>
              <w:rPr>
                <w:rFonts w:ascii="Arial Narrow" w:eastAsiaTheme="majorEastAsia" w:hAnsi="Arial Narrow" w:cstheme="minorHAnsi"/>
                <w:bCs/>
                <w:sz w:val="20"/>
                <w:szCs w:val="18"/>
              </w:rPr>
            </w:pPr>
            <w:r w:rsidRPr="00F7369B">
              <w:rPr>
                <w:rFonts w:ascii="Arial Narrow" w:eastAsiaTheme="majorEastAsia" w:hAnsi="Arial Narrow" w:cstheme="minorHAnsi"/>
                <w:bCs/>
                <w:sz w:val="20"/>
                <w:szCs w:val="18"/>
              </w:rPr>
              <w:t>Vesikari T, Borrow R et al. Immunogenicity and safety of a quadrivalent meningococcal tetanus toxoid-conjugate vaccine (MenACYW-TT) in healthy toddlers: a Phase II randomi</w:t>
            </w:r>
            <w:r w:rsidR="00B27513" w:rsidRPr="00F7369B">
              <w:rPr>
                <w:rFonts w:ascii="Arial Narrow" w:eastAsiaTheme="majorEastAsia" w:hAnsi="Arial Narrow" w:cstheme="minorHAnsi"/>
                <w:bCs/>
                <w:sz w:val="20"/>
                <w:szCs w:val="18"/>
              </w:rPr>
              <w:t>s</w:t>
            </w:r>
            <w:r w:rsidRPr="00F7369B">
              <w:rPr>
                <w:rFonts w:ascii="Arial Narrow" w:eastAsiaTheme="majorEastAsia" w:hAnsi="Arial Narrow" w:cstheme="minorHAnsi"/>
                <w:bCs/>
                <w:sz w:val="20"/>
                <w:szCs w:val="18"/>
              </w:rPr>
              <w:t xml:space="preserve">ed </w:t>
            </w:r>
            <w:r w:rsidRPr="00F7369B">
              <w:rPr>
                <w:rFonts w:ascii="Arial Narrow" w:hAnsi="Arial Narrow" w:cstheme="minorHAnsi"/>
                <w:sz w:val="20"/>
                <w:szCs w:val="18"/>
              </w:rPr>
              <w:t>study.</w:t>
            </w:r>
          </w:p>
        </w:tc>
        <w:tc>
          <w:tcPr>
            <w:tcW w:w="1177" w:type="pct"/>
            <w:tcBorders>
              <w:top w:val="nil"/>
              <w:bottom w:val="single" w:sz="4" w:space="0" w:color="auto"/>
            </w:tcBorders>
            <w:vAlign w:val="center"/>
          </w:tcPr>
          <w:p w:rsidR="00447025" w:rsidRPr="00F7369B" w:rsidRDefault="00447025" w:rsidP="003D0A08">
            <w:pPr>
              <w:pStyle w:val="TableText0"/>
              <w:keepLines/>
              <w:rPr>
                <w:rFonts w:cstheme="minorHAnsi"/>
                <w:i/>
                <w:szCs w:val="18"/>
              </w:rPr>
            </w:pPr>
            <w:r w:rsidRPr="00F7369B">
              <w:rPr>
                <w:rFonts w:cstheme="minorHAnsi"/>
                <w:i/>
                <w:szCs w:val="18"/>
              </w:rPr>
              <w:t>Human vaccines &amp; immunotherapeutic 2020</w:t>
            </w:r>
            <w:r w:rsidRPr="00F7369B">
              <w:rPr>
                <w:rFonts w:cstheme="minorHAnsi"/>
                <w:iCs/>
                <w:szCs w:val="18"/>
              </w:rPr>
              <w:t>; 16 (6): 1306-1312.</w:t>
            </w:r>
          </w:p>
        </w:tc>
      </w:tr>
      <w:tr w:rsidR="00447025" w:rsidRPr="00F7369B" w:rsidTr="00680FB4">
        <w:tc>
          <w:tcPr>
            <w:tcW w:w="796" w:type="pct"/>
            <w:vMerge w:val="restart"/>
            <w:tcBorders>
              <w:top w:val="single" w:sz="4" w:space="0" w:color="auto"/>
            </w:tcBorders>
            <w:vAlign w:val="center"/>
          </w:tcPr>
          <w:p w:rsidR="00447025" w:rsidRPr="00F7369B" w:rsidRDefault="00447025" w:rsidP="003D0A08">
            <w:pPr>
              <w:pStyle w:val="TableText0"/>
              <w:keepLines/>
              <w:rPr>
                <w:rFonts w:cstheme="minorHAnsi"/>
              </w:rPr>
            </w:pPr>
            <w:r w:rsidRPr="00F7369B">
              <w:rPr>
                <w:rFonts w:cstheme="minorHAnsi"/>
              </w:rPr>
              <w:t>MET50</w:t>
            </w:r>
          </w:p>
        </w:tc>
        <w:tc>
          <w:tcPr>
            <w:tcW w:w="3027" w:type="pct"/>
            <w:tcBorders>
              <w:top w:val="single" w:sz="4" w:space="0" w:color="auto"/>
              <w:bottom w:val="nil"/>
            </w:tcBorders>
            <w:vAlign w:val="center"/>
          </w:tcPr>
          <w:p w:rsidR="00447025" w:rsidRPr="00F7369B" w:rsidRDefault="00447025" w:rsidP="003D0A08">
            <w:pPr>
              <w:keepNext/>
              <w:keepLines/>
              <w:autoSpaceDE w:val="0"/>
              <w:autoSpaceDN w:val="0"/>
              <w:adjustRightInd w:val="0"/>
              <w:jc w:val="left"/>
              <w:rPr>
                <w:rFonts w:ascii="Arial Narrow" w:hAnsi="Arial Narrow" w:cstheme="minorHAnsi"/>
                <w:sz w:val="20"/>
                <w:szCs w:val="18"/>
              </w:rPr>
            </w:pPr>
            <w:r w:rsidRPr="00F7369B">
              <w:rPr>
                <w:rFonts w:ascii="Arial Narrow" w:eastAsiaTheme="majorEastAsia" w:hAnsi="Arial Narrow" w:cstheme="minorHAnsi"/>
                <w:bCs/>
                <w:sz w:val="20"/>
                <w:szCs w:val="18"/>
              </w:rPr>
              <w:t>A Phase II, open-label (the laboratory technicians were blinded to group assignment), randomi</w:t>
            </w:r>
            <w:r w:rsidR="008779B5" w:rsidRPr="00F7369B">
              <w:rPr>
                <w:rFonts w:ascii="Arial Narrow" w:eastAsiaTheme="majorEastAsia" w:hAnsi="Arial Narrow" w:cstheme="minorHAnsi"/>
                <w:bCs/>
                <w:sz w:val="20"/>
                <w:szCs w:val="18"/>
              </w:rPr>
              <w:t>s</w:t>
            </w:r>
            <w:r w:rsidRPr="00F7369B">
              <w:rPr>
                <w:rFonts w:ascii="Arial Narrow" w:eastAsiaTheme="majorEastAsia" w:hAnsi="Arial Narrow" w:cstheme="minorHAnsi"/>
                <w:bCs/>
                <w:sz w:val="20"/>
                <w:szCs w:val="18"/>
              </w:rPr>
              <w:t xml:space="preserve">ed, parallel-group, </w:t>
            </w:r>
            <w:r w:rsidR="008779B5" w:rsidRPr="00F7369B">
              <w:rPr>
                <w:rFonts w:ascii="Arial Narrow" w:eastAsiaTheme="majorEastAsia" w:hAnsi="Arial Narrow" w:cstheme="minorHAnsi"/>
                <w:bCs/>
                <w:sz w:val="20"/>
                <w:szCs w:val="18"/>
              </w:rPr>
              <w:t>active-</w:t>
            </w:r>
            <w:r w:rsidRPr="00F7369B">
              <w:rPr>
                <w:rFonts w:ascii="Arial Narrow" w:eastAsiaTheme="majorEastAsia" w:hAnsi="Arial Narrow" w:cstheme="minorHAnsi"/>
                <w:bCs/>
                <w:sz w:val="20"/>
                <w:szCs w:val="18"/>
              </w:rPr>
              <w:t>controlled, multi-</w:t>
            </w:r>
            <w:r w:rsidR="003A155E" w:rsidRPr="00F7369B">
              <w:rPr>
                <w:rFonts w:ascii="Arial Narrow" w:eastAsiaTheme="majorEastAsia" w:hAnsi="Arial Narrow" w:cstheme="minorHAnsi"/>
                <w:bCs/>
                <w:sz w:val="20"/>
                <w:szCs w:val="18"/>
              </w:rPr>
              <w:t>centre</w:t>
            </w:r>
            <w:r w:rsidRPr="00F7369B">
              <w:rPr>
                <w:rFonts w:ascii="Arial Narrow" w:eastAsiaTheme="majorEastAsia" w:hAnsi="Arial Narrow" w:cstheme="minorHAnsi"/>
                <w:bCs/>
                <w:sz w:val="20"/>
                <w:szCs w:val="18"/>
              </w:rPr>
              <w:t xml:space="preserve"> </w:t>
            </w:r>
            <w:r w:rsidR="008779B5" w:rsidRPr="00F7369B">
              <w:rPr>
                <w:rFonts w:ascii="Arial Narrow" w:eastAsiaTheme="majorEastAsia" w:hAnsi="Arial Narrow" w:cstheme="minorHAnsi"/>
                <w:bCs/>
                <w:sz w:val="20"/>
                <w:szCs w:val="18"/>
              </w:rPr>
              <w:t xml:space="preserve">single-country </w:t>
            </w:r>
            <w:r w:rsidRPr="00F7369B">
              <w:rPr>
                <w:rFonts w:ascii="Arial Narrow" w:eastAsiaTheme="majorEastAsia" w:hAnsi="Arial Narrow" w:cstheme="minorHAnsi"/>
                <w:bCs/>
                <w:sz w:val="20"/>
                <w:szCs w:val="18"/>
              </w:rPr>
              <w:t xml:space="preserve">study to evaluate the immunogenicity and safety profile of a single dose of MenACYW conjugate vaccine compared to that of the licensed vaccine Menveo, and when MenACYW conjugate vaccine </w:t>
            </w:r>
            <w:r w:rsidRPr="00F7369B">
              <w:rPr>
                <w:rFonts w:ascii="Arial Narrow" w:hAnsi="Arial Narrow" w:cstheme="minorHAnsi"/>
                <w:sz w:val="20"/>
                <w:szCs w:val="18"/>
              </w:rPr>
              <w:t>is given with Tdap and HPV vaccines, in healthy adolescents 10 to 17 years of age in the US.</w:t>
            </w:r>
          </w:p>
          <w:p w:rsidR="008779B5" w:rsidRPr="00F7369B" w:rsidRDefault="008779B5" w:rsidP="003D0A08">
            <w:pPr>
              <w:keepNext/>
              <w:keepLines/>
              <w:autoSpaceDE w:val="0"/>
              <w:autoSpaceDN w:val="0"/>
              <w:adjustRightInd w:val="0"/>
              <w:jc w:val="left"/>
              <w:rPr>
                <w:rFonts w:ascii="Arial Narrow" w:eastAsiaTheme="majorEastAsia" w:hAnsi="Arial Narrow" w:cstheme="minorHAnsi"/>
                <w:bCs/>
                <w:sz w:val="20"/>
                <w:szCs w:val="18"/>
              </w:rPr>
            </w:pPr>
          </w:p>
        </w:tc>
        <w:tc>
          <w:tcPr>
            <w:tcW w:w="1177" w:type="pct"/>
            <w:tcBorders>
              <w:top w:val="single" w:sz="4" w:space="0" w:color="auto"/>
              <w:bottom w:val="nil"/>
            </w:tcBorders>
            <w:vAlign w:val="center"/>
          </w:tcPr>
          <w:p w:rsidR="00447025" w:rsidRPr="00F7369B" w:rsidRDefault="00447025" w:rsidP="003D0A08">
            <w:pPr>
              <w:pStyle w:val="TableText0"/>
              <w:keepLines/>
              <w:rPr>
                <w:rFonts w:cstheme="minorHAnsi"/>
                <w:iCs/>
                <w:szCs w:val="18"/>
              </w:rPr>
            </w:pPr>
            <w:r w:rsidRPr="00F7369B">
              <w:rPr>
                <w:rFonts w:cstheme="minorHAnsi"/>
                <w:iCs/>
                <w:szCs w:val="18"/>
              </w:rPr>
              <w:t>July 2018</w:t>
            </w:r>
          </w:p>
        </w:tc>
      </w:tr>
      <w:tr w:rsidR="00447025" w:rsidRPr="00F7369B" w:rsidTr="00680FB4">
        <w:tc>
          <w:tcPr>
            <w:tcW w:w="796" w:type="pct"/>
            <w:vMerge/>
            <w:vAlign w:val="center"/>
          </w:tcPr>
          <w:p w:rsidR="00447025" w:rsidRPr="00F7369B" w:rsidRDefault="00447025" w:rsidP="003D0A08">
            <w:pPr>
              <w:pStyle w:val="TableText0"/>
              <w:keepLines/>
              <w:rPr>
                <w:rFonts w:cstheme="minorHAnsi"/>
              </w:rPr>
            </w:pPr>
          </w:p>
        </w:tc>
        <w:tc>
          <w:tcPr>
            <w:tcW w:w="3027" w:type="pct"/>
            <w:tcBorders>
              <w:top w:val="nil"/>
              <w:bottom w:val="nil"/>
            </w:tcBorders>
            <w:vAlign w:val="center"/>
          </w:tcPr>
          <w:p w:rsidR="00447025" w:rsidRPr="00F7369B" w:rsidRDefault="00447025" w:rsidP="003D0A08">
            <w:pPr>
              <w:keepNext/>
              <w:keepLines/>
              <w:autoSpaceDE w:val="0"/>
              <w:autoSpaceDN w:val="0"/>
              <w:adjustRightInd w:val="0"/>
              <w:jc w:val="left"/>
              <w:rPr>
                <w:rFonts w:ascii="Arial Narrow" w:eastAsiaTheme="majorEastAsia" w:hAnsi="Arial Narrow" w:cstheme="minorHAnsi"/>
                <w:bCs/>
                <w:sz w:val="20"/>
                <w:szCs w:val="18"/>
              </w:rPr>
            </w:pPr>
            <w:r w:rsidRPr="00F7369B">
              <w:rPr>
                <w:rFonts w:ascii="Arial Narrow" w:eastAsiaTheme="majorEastAsia" w:hAnsi="Arial Narrow" w:cstheme="minorHAnsi"/>
                <w:bCs/>
                <w:sz w:val="20"/>
                <w:szCs w:val="18"/>
              </w:rPr>
              <w:t>Chang L, Hedrick J el al. A Phase II, randomi</w:t>
            </w:r>
            <w:r w:rsidR="00B27513" w:rsidRPr="00F7369B">
              <w:rPr>
                <w:rFonts w:ascii="Arial Narrow" w:eastAsiaTheme="majorEastAsia" w:hAnsi="Arial Narrow" w:cstheme="minorHAnsi"/>
                <w:bCs/>
                <w:sz w:val="20"/>
                <w:szCs w:val="18"/>
              </w:rPr>
              <w:t>s</w:t>
            </w:r>
            <w:r w:rsidRPr="00F7369B">
              <w:rPr>
                <w:rFonts w:ascii="Arial Narrow" w:eastAsiaTheme="majorEastAsia" w:hAnsi="Arial Narrow" w:cstheme="minorHAnsi"/>
                <w:bCs/>
                <w:sz w:val="20"/>
                <w:szCs w:val="18"/>
              </w:rPr>
              <w:t xml:space="preserve">ed, immunogenicity and safety study of a quadrivalent meningococcal conjugate vaccine, MenACYW-TT, in </w:t>
            </w:r>
            <w:r w:rsidRPr="00F7369B">
              <w:rPr>
                <w:rFonts w:ascii="Arial Narrow" w:hAnsi="Arial Narrow" w:cstheme="minorHAnsi"/>
                <w:sz w:val="20"/>
                <w:szCs w:val="18"/>
              </w:rPr>
              <w:t>healthy adolescents in the United States</w:t>
            </w:r>
            <w:r w:rsidRPr="00F7369B">
              <w:rPr>
                <w:rFonts w:ascii="Arial Narrow" w:hAnsi="Arial Narrow" w:cstheme="minorHAnsi"/>
                <w:szCs w:val="18"/>
              </w:rPr>
              <w:t xml:space="preserve">. </w:t>
            </w:r>
          </w:p>
        </w:tc>
        <w:tc>
          <w:tcPr>
            <w:tcW w:w="1177" w:type="pct"/>
            <w:tcBorders>
              <w:top w:val="nil"/>
              <w:bottom w:val="nil"/>
            </w:tcBorders>
            <w:vAlign w:val="center"/>
          </w:tcPr>
          <w:p w:rsidR="00447025" w:rsidRPr="00F7369B" w:rsidRDefault="00447025" w:rsidP="003D0A08">
            <w:pPr>
              <w:pStyle w:val="TableText0"/>
              <w:keepLines/>
              <w:rPr>
                <w:rFonts w:cstheme="minorHAnsi"/>
                <w:i/>
                <w:szCs w:val="18"/>
              </w:rPr>
            </w:pPr>
            <w:r w:rsidRPr="00F7369B">
              <w:rPr>
                <w:rFonts w:cstheme="minorHAnsi"/>
                <w:i/>
                <w:szCs w:val="18"/>
              </w:rPr>
              <w:t xml:space="preserve">Vaccine 2020; </w:t>
            </w:r>
            <w:r w:rsidRPr="00F7369B">
              <w:rPr>
                <w:rFonts w:cstheme="minorHAnsi"/>
                <w:iCs/>
                <w:szCs w:val="18"/>
              </w:rPr>
              <w:t>38: 3560-3569.</w:t>
            </w:r>
          </w:p>
        </w:tc>
      </w:tr>
      <w:tr w:rsidR="00447025" w:rsidRPr="00F7369B" w:rsidTr="00665877">
        <w:trPr>
          <w:trHeight w:val="961"/>
        </w:trPr>
        <w:tc>
          <w:tcPr>
            <w:tcW w:w="796" w:type="pct"/>
            <w:vMerge/>
            <w:tcBorders>
              <w:bottom w:val="single" w:sz="4" w:space="0" w:color="auto"/>
            </w:tcBorders>
            <w:vAlign w:val="center"/>
          </w:tcPr>
          <w:p w:rsidR="00447025" w:rsidRPr="00F7369B" w:rsidRDefault="00447025" w:rsidP="003D0A08">
            <w:pPr>
              <w:pStyle w:val="TableText0"/>
              <w:keepLines/>
              <w:rPr>
                <w:rFonts w:cstheme="minorHAnsi"/>
              </w:rPr>
            </w:pPr>
          </w:p>
        </w:tc>
        <w:tc>
          <w:tcPr>
            <w:tcW w:w="3027" w:type="pct"/>
            <w:tcBorders>
              <w:top w:val="nil"/>
              <w:bottom w:val="single" w:sz="4" w:space="0" w:color="auto"/>
            </w:tcBorders>
            <w:vAlign w:val="center"/>
          </w:tcPr>
          <w:p w:rsidR="00447025" w:rsidRPr="00F7369B" w:rsidRDefault="00447025" w:rsidP="00665877">
            <w:pPr>
              <w:pStyle w:val="TableText0"/>
              <w:keepLines/>
              <w:rPr>
                <w:rFonts w:cstheme="minorHAnsi"/>
              </w:rPr>
            </w:pPr>
            <w:r w:rsidRPr="00F7369B">
              <w:rPr>
                <w:rFonts w:cstheme="minorHAnsi"/>
              </w:rPr>
              <w:t>Hedrick J, Christensen S et al. Study of the Immunogenicity and Safety of an Investigational Quadrivalent Meningococcal Conjugate Vaccine (MenACYW-TT) When Co-administered with Other Vaccines in Healthy Adolescents</w:t>
            </w:r>
          </w:p>
        </w:tc>
        <w:tc>
          <w:tcPr>
            <w:tcW w:w="1177" w:type="pct"/>
            <w:tcBorders>
              <w:top w:val="nil"/>
              <w:bottom w:val="single" w:sz="4" w:space="0" w:color="auto"/>
            </w:tcBorders>
            <w:vAlign w:val="center"/>
          </w:tcPr>
          <w:p w:rsidR="00447025" w:rsidRPr="00F7369B" w:rsidRDefault="00447025" w:rsidP="003D0A08">
            <w:pPr>
              <w:pStyle w:val="TableText0"/>
              <w:keepLines/>
              <w:rPr>
                <w:rFonts w:cstheme="minorHAnsi"/>
                <w:iCs/>
                <w:szCs w:val="18"/>
              </w:rPr>
            </w:pPr>
            <w:r w:rsidRPr="00F7369B">
              <w:rPr>
                <w:rFonts w:cstheme="minorHAnsi"/>
                <w:i/>
                <w:iCs/>
                <w:szCs w:val="18"/>
              </w:rPr>
              <w:t>Open Forum Infectious Diseases</w:t>
            </w:r>
            <w:r w:rsidRPr="00F7369B">
              <w:rPr>
                <w:rFonts w:cstheme="minorHAnsi"/>
                <w:szCs w:val="18"/>
              </w:rPr>
              <w:t>, 2018; 5 (Supplement_1): 570</w:t>
            </w:r>
          </w:p>
        </w:tc>
      </w:tr>
    </w:tbl>
    <w:p w:rsidR="003D0A08" w:rsidRPr="00F7369B" w:rsidRDefault="00447025" w:rsidP="003D0A08">
      <w:pPr>
        <w:pStyle w:val="TableFigureFooter"/>
        <w:keepNext/>
        <w:keepLines/>
        <w:rPr>
          <w:rFonts w:cstheme="minorHAnsi"/>
        </w:rPr>
      </w:pPr>
      <w:r w:rsidRPr="00F7369B">
        <w:rPr>
          <w:rFonts w:cstheme="minorHAnsi"/>
          <w:iCs/>
        </w:rPr>
        <w:t>Source: compiled during the evaluation based on the Excel spreadsheet ‘Annotated Results’ provided in the submission</w:t>
      </w:r>
      <w:r w:rsidRPr="00F7369B">
        <w:rPr>
          <w:rFonts w:cstheme="minorHAnsi"/>
        </w:rPr>
        <w:t>.</w:t>
      </w:r>
    </w:p>
    <w:p w:rsidR="00FC588F" w:rsidRPr="00F7369B" w:rsidRDefault="00447025" w:rsidP="003D0A08">
      <w:pPr>
        <w:pStyle w:val="TableFigureFooter"/>
        <w:keepNext/>
        <w:keepLines/>
        <w:rPr>
          <w:rFonts w:cstheme="minorHAnsi"/>
          <w:sz w:val="20"/>
        </w:rPr>
      </w:pPr>
      <w:r w:rsidRPr="00F7369B">
        <w:rPr>
          <w:rFonts w:cstheme="minorHAnsi"/>
        </w:rPr>
        <w:t xml:space="preserve"> </w:t>
      </w:r>
    </w:p>
    <w:p w:rsidR="004839AB" w:rsidRPr="00F7369B" w:rsidRDefault="00D07340" w:rsidP="002873D6">
      <w:pPr>
        <w:pStyle w:val="3-BodyText"/>
        <w:rPr>
          <w:rFonts w:cstheme="minorHAnsi"/>
        </w:rPr>
      </w:pPr>
      <w:r w:rsidRPr="00F7369B">
        <w:rPr>
          <w:rFonts w:cstheme="minorHAnsi"/>
        </w:rPr>
        <w:t>The key features of the trial</w:t>
      </w:r>
      <w:r w:rsidR="000B0EB0" w:rsidRPr="00F7369B">
        <w:rPr>
          <w:rFonts w:cstheme="minorHAnsi"/>
        </w:rPr>
        <w:t xml:space="preserve">s </w:t>
      </w:r>
      <w:r w:rsidRPr="00F7369B">
        <w:rPr>
          <w:rFonts w:cstheme="minorHAnsi"/>
        </w:rPr>
        <w:t xml:space="preserve">are summarised in </w:t>
      </w:r>
      <w:r w:rsidR="000B0EB0" w:rsidRPr="00F7369B">
        <w:rPr>
          <w:rFonts w:cstheme="minorHAnsi"/>
        </w:rPr>
        <w:t xml:space="preserve">Table </w:t>
      </w:r>
      <w:r w:rsidR="0013271B" w:rsidRPr="00F7369B">
        <w:rPr>
          <w:rFonts w:cstheme="minorHAnsi"/>
        </w:rPr>
        <w:t>4</w:t>
      </w:r>
      <w:r w:rsidRPr="00F7369B">
        <w:rPr>
          <w:rFonts w:cstheme="minorHAnsi"/>
        </w:rPr>
        <w:t xml:space="preserve">. </w:t>
      </w:r>
    </w:p>
    <w:p w:rsidR="00DD3906" w:rsidRPr="00F7369B" w:rsidRDefault="00DD3906" w:rsidP="00DD3906">
      <w:pPr>
        <w:pStyle w:val="3-BodyText"/>
        <w:numPr>
          <w:ilvl w:val="0"/>
          <w:numId w:val="0"/>
        </w:numPr>
        <w:ind w:left="720"/>
        <w:rPr>
          <w:rFonts w:cstheme="minorHAnsi"/>
        </w:rPr>
      </w:pPr>
    </w:p>
    <w:p w:rsidR="00DD3906" w:rsidRPr="00F7369B" w:rsidRDefault="00DD3906" w:rsidP="00DD3906">
      <w:pPr>
        <w:pStyle w:val="3-BodyText"/>
        <w:numPr>
          <w:ilvl w:val="0"/>
          <w:numId w:val="0"/>
        </w:numPr>
        <w:ind w:left="720"/>
        <w:rPr>
          <w:rFonts w:cstheme="minorHAnsi"/>
        </w:rPr>
      </w:pPr>
    </w:p>
    <w:p w:rsidR="00DD3906" w:rsidRPr="00F7369B" w:rsidRDefault="00DD3906" w:rsidP="00DD3906">
      <w:pPr>
        <w:pStyle w:val="3-BodyText"/>
        <w:numPr>
          <w:ilvl w:val="0"/>
          <w:numId w:val="0"/>
        </w:numPr>
        <w:ind w:left="720"/>
        <w:rPr>
          <w:rFonts w:cstheme="minorHAnsi"/>
        </w:rPr>
      </w:pPr>
    </w:p>
    <w:p w:rsidR="00DD3906" w:rsidRPr="00F7369B" w:rsidRDefault="00DD3906" w:rsidP="00DD3906">
      <w:pPr>
        <w:pStyle w:val="3-BodyText"/>
        <w:numPr>
          <w:ilvl w:val="0"/>
          <w:numId w:val="0"/>
        </w:numPr>
        <w:ind w:left="720"/>
        <w:rPr>
          <w:rFonts w:cstheme="minorHAnsi"/>
        </w:rPr>
      </w:pPr>
    </w:p>
    <w:p w:rsidR="00DD3906" w:rsidRPr="00F7369B" w:rsidRDefault="00DD3906" w:rsidP="00DD3906">
      <w:pPr>
        <w:pStyle w:val="3-BodyText"/>
        <w:numPr>
          <w:ilvl w:val="0"/>
          <w:numId w:val="0"/>
        </w:numPr>
        <w:ind w:left="720"/>
        <w:rPr>
          <w:rFonts w:cstheme="minorHAnsi"/>
        </w:rPr>
      </w:pPr>
    </w:p>
    <w:p w:rsidR="00DD3906" w:rsidRPr="00F7369B" w:rsidRDefault="00DD3906" w:rsidP="00DD3906">
      <w:pPr>
        <w:pStyle w:val="3-BodyText"/>
        <w:numPr>
          <w:ilvl w:val="0"/>
          <w:numId w:val="0"/>
        </w:numPr>
        <w:ind w:left="720"/>
        <w:rPr>
          <w:rFonts w:cstheme="minorHAnsi"/>
        </w:rPr>
      </w:pPr>
    </w:p>
    <w:p w:rsidR="00DD3906" w:rsidRPr="00F7369B" w:rsidRDefault="00DD3906" w:rsidP="00DD3906">
      <w:pPr>
        <w:pStyle w:val="3-BodyText"/>
        <w:numPr>
          <w:ilvl w:val="0"/>
          <w:numId w:val="0"/>
        </w:numPr>
        <w:ind w:left="720"/>
        <w:rPr>
          <w:rFonts w:cstheme="minorHAnsi"/>
        </w:rPr>
      </w:pPr>
    </w:p>
    <w:p w:rsidR="00DD3906" w:rsidRPr="00F7369B" w:rsidRDefault="00DD3906" w:rsidP="00DD3906">
      <w:pPr>
        <w:pStyle w:val="3-BodyText"/>
        <w:numPr>
          <w:ilvl w:val="0"/>
          <w:numId w:val="0"/>
        </w:numPr>
        <w:ind w:left="720"/>
        <w:rPr>
          <w:rFonts w:cstheme="minorHAnsi"/>
        </w:rPr>
      </w:pPr>
    </w:p>
    <w:p w:rsidR="00992DA9" w:rsidRPr="00F7369B" w:rsidRDefault="00992DA9" w:rsidP="003D0A08">
      <w:pPr>
        <w:keepNext/>
        <w:keepLines/>
        <w:jc w:val="left"/>
        <w:rPr>
          <w:rStyle w:val="CommentReference"/>
          <w:rFonts w:cstheme="minorHAnsi"/>
          <w:szCs w:val="24"/>
        </w:rPr>
      </w:pPr>
      <w:r w:rsidRPr="00F7369B">
        <w:rPr>
          <w:rStyle w:val="CommentReference"/>
          <w:rFonts w:cstheme="minorHAnsi"/>
          <w:szCs w:val="24"/>
        </w:rPr>
        <w:lastRenderedPageBreak/>
        <w:t>Table 4: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46"/>
        <w:gridCol w:w="1558"/>
        <w:gridCol w:w="1984"/>
        <w:gridCol w:w="994"/>
        <w:gridCol w:w="1383"/>
        <w:gridCol w:w="2252"/>
      </w:tblGrid>
      <w:tr w:rsidR="00992DA9" w:rsidRPr="00F7369B" w:rsidTr="00665877">
        <w:trPr>
          <w:cantSplit/>
          <w:tblHeader/>
        </w:trPr>
        <w:tc>
          <w:tcPr>
            <w:tcW w:w="469" w:type="pct"/>
            <w:shd w:val="clear" w:color="auto" w:fill="auto"/>
            <w:vAlign w:val="center"/>
          </w:tcPr>
          <w:p w:rsidR="00992DA9" w:rsidRPr="00F7369B" w:rsidRDefault="00992DA9" w:rsidP="003D0A08">
            <w:pPr>
              <w:pStyle w:val="In-tableHeading"/>
              <w:keepLines/>
              <w:rPr>
                <w:rFonts w:cstheme="minorHAnsi"/>
                <w:lang w:val="en-AU"/>
              </w:rPr>
            </w:pPr>
            <w:r w:rsidRPr="00F7369B">
              <w:rPr>
                <w:rFonts w:cstheme="minorHAnsi"/>
                <w:lang w:val="en-AU"/>
              </w:rPr>
              <w:t>Trial</w:t>
            </w:r>
          </w:p>
        </w:tc>
        <w:tc>
          <w:tcPr>
            <w:tcW w:w="864" w:type="pct"/>
            <w:shd w:val="clear" w:color="auto" w:fill="auto"/>
            <w:vAlign w:val="center"/>
          </w:tcPr>
          <w:p w:rsidR="00992DA9" w:rsidRPr="00F7369B" w:rsidRDefault="00992DA9" w:rsidP="003D0A08">
            <w:pPr>
              <w:pStyle w:val="In-tableHeading"/>
              <w:keepLines/>
              <w:jc w:val="center"/>
              <w:rPr>
                <w:rFonts w:cstheme="minorHAnsi"/>
                <w:lang w:val="en-AU"/>
              </w:rPr>
            </w:pPr>
            <w:r w:rsidRPr="00F7369B">
              <w:rPr>
                <w:rFonts w:cstheme="minorHAnsi"/>
                <w:lang w:val="en-AU"/>
              </w:rPr>
              <w:t>N</w:t>
            </w:r>
          </w:p>
        </w:tc>
        <w:tc>
          <w:tcPr>
            <w:tcW w:w="1100" w:type="pct"/>
            <w:shd w:val="clear" w:color="auto" w:fill="auto"/>
            <w:vAlign w:val="center"/>
          </w:tcPr>
          <w:p w:rsidR="00992DA9" w:rsidRPr="00F7369B" w:rsidRDefault="00992DA9" w:rsidP="003D0A08">
            <w:pPr>
              <w:pStyle w:val="In-tableHeading"/>
              <w:keepLines/>
              <w:jc w:val="center"/>
              <w:rPr>
                <w:rFonts w:cstheme="minorHAnsi"/>
                <w:lang w:val="en-AU"/>
              </w:rPr>
            </w:pPr>
            <w:r w:rsidRPr="00F7369B">
              <w:rPr>
                <w:rFonts w:cstheme="minorHAnsi"/>
                <w:lang w:val="en-AU"/>
              </w:rPr>
              <w:t>Design/ duration</w:t>
            </w:r>
          </w:p>
        </w:tc>
        <w:tc>
          <w:tcPr>
            <w:tcW w:w="551" w:type="pct"/>
            <w:shd w:val="clear" w:color="auto" w:fill="auto"/>
            <w:vAlign w:val="center"/>
          </w:tcPr>
          <w:p w:rsidR="00992DA9" w:rsidRPr="00F7369B" w:rsidRDefault="00992DA9" w:rsidP="003D0A08">
            <w:pPr>
              <w:pStyle w:val="In-tableHeading"/>
              <w:keepLines/>
              <w:jc w:val="center"/>
              <w:rPr>
                <w:rFonts w:cstheme="minorHAnsi"/>
                <w:lang w:val="en-AU"/>
              </w:rPr>
            </w:pPr>
            <w:r w:rsidRPr="00F7369B">
              <w:rPr>
                <w:rFonts w:cstheme="minorHAnsi"/>
                <w:lang w:val="en-AU"/>
              </w:rPr>
              <w:t>Risk of bias</w:t>
            </w:r>
          </w:p>
        </w:tc>
        <w:tc>
          <w:tcPr>
            <w:tcW w:w="767" w:type="pct"/>
            <w:shd w:val="clear" w:color="auto" w:fill="auto"/>
            <w:vAlign w:val="center"/>
          </w:tcPr>
          <w:p w:rsidR="00992DA9" w:rsidRPr="00F7369B" w:rsidRDefault="00992DA9" w:rsidP="003D0A08">
            <w:pPr>
              <w:pStyle w:val="In-tableHeading"/>
              <w:keepLines/>
              <w:jc w:val="center"/>
              <w:rPr>
                <w:rFonts w:cstheme="minorHAnsi"/>
                <w:lang w:val="en-AU"/>
              </w:rPr>
            </w:pPr>
            <w:r w:rsidRPr="00F7369B">
              <w:rPr>
                <w:rFonts w:cstheme="minorHAnsi"/>
                <w:lang w:val="en-AU"/>
              </w:rPr>
              <w:t>Patient population</w:t>
            </w:r>
          </w:p>
        </w:tc>
        <w:tc>
          <w:tcPr>
            <w:tcW w:w="1248" w:type="pct"/>
            <w:shd w:val="clear" w:color="auto" w:fill="auto"/>
            <w:vAlign w:val="center"/>
          </w:tcPr>
          <w:p w:rsidR="00992DA9" w:rsidRPr="00F7369B" w:rsidRDefault="00992DA9" w:rsidP="003D0A08">
            <w:pPr>
              <w:pStyle w:val="In-tableHeading"/>
              <w:keepLines/>
              <w:jc w:val="center"/>
              <w:rPr>
                <w:rFonts w:cstheme="minorHAnsi"/>
                <w:lang w:val="en-AU"/>
              </w:rPr>
            </w:pPr>
            <w:r w:rsidRPr="00F7369B">
              <w:rPr>
                <w:rFonts w:cstheme="minorHAnsi"/>
                <w:lang w:val="en-AU"/>
              </w:rPr>
              <w:t>Outcome(s)</w:t>
            </w:r>
          </w:p>
        </w:tc>
      </w:tr>
      <w:tr w:rsidR="00992DA9" w:rsidRPr="00F7369B" w:rsidTr="00680FB4">
        <w:trPr>
          <w:cantSplit/>
        </w:trPr>
        <w:tc>
          <w:tcPr>
            <w:tcW w:w="5000" w:type="pct"/>
            <w:gridSpan w:val="6"/>
            <w:shd w:val="clear" w:color="auto" w:fill="auto"/>
            <w:vAlign w:val="center"/>
          </w:tcPr>
          <w:p w:rsidR="00992DA9" w:rsidRPr="00F7369B" w:rsidRDefault="00992DA9" w:rsidP="003D0A08">
            <w:pPr>
              <w:pStyle w:val="In-tableHeading"/>
              <w:keepLines/>
              <w:jc w:val="both"/>
              <w:rPr>
                <w:rFonts w:cstheme="minorHAnsi"/>
                <w:bCs/>
                <w:szCs w:val="20"/>
                <w:lang w:val="en-AU"/>
              </w:rPr>
            </w:pPr>
            <w:r w:rsidRPr="00F7369B">
              <w:rPr>
                <w:rFonts w:cstheme="minorHAnsi"/>
                <w:lang w:val="en-AU"/>
              </w:rPr>
              <w:t>MenQuadfi vs Nimenrix</w:t>
            </w:r>
          </w:p>
        </w:tc>
      </w:tr>
      <w:tr w:rsidR="00992DA9" w:rsidRPr="00F7369B" w:rsidTr="00665877">
        <w:trPr>
          <w:cantSplit/>
        </w:trPr>
        <w:tc>
          <w:tcPr>
            <w:tcW w:w="469" w:type="pct"/>
            <w:shd w:val="clear" w:color="auto" w:fill="auto"/>
            <w:vAlign w:val="center"/>
          </w:tcPr>
          <w:p w:rsidR="00992DA9" w:rsidRPr="00F7369B" w:rsidRDefault="00992DA9" w:rsidP="003D0A08">
            <w:pPr>
              <w:pStyle w:val="TableText0"/>
              <w:keepLines/>
              <w:rPr>
                <w:rFonts w:cstheme="minorHAnsi"/>
              </w:rPr>
            </w:pPr>
            <w:r w:rsidRPr="00F7369B">
              <w:rPr>
                <w:rFonts w:cstheme="minorHAnsi"/>
                <w:bCs w:val="0"/>
                <w:szCs w:val="20"/>
              </w:rPr>
              <w:t>MET51</w:t>
            </w:r>
          </w:p>
        </w:tc>
        <w:tc>
          <w:tcPr>
            <w:tcW w:w="864" w:type="pct"/>
            <w:shd w:val="clear" w:color="auto" w:fill="auto"/>
            <w:vAlign w:val="center"/>
          </w:tcPr>
          <w:p w:rsidR="00992DA9" w:rsidRPr="00F7369B" w:rsidRDefault="002873D6" w:rsidP="003D0A08">
            <w:pPr>
              <w:pStyle w:val="TableText0"/>
              <w:keepLines/>
              <w:jc w:val="center"/>
              <w:rPr>
                <w:rFonts w:cstheme="minorHAnsi"/>
              </w:rPr>
            </w:pPr>
            <w:r w:rsidRPr="00F7369B">
              <w:rPr>
                <w:rFonts w:cstheme="minorHAnsi"/>
                <w:bCs w:val="0"/>
                <w:szCs w:val="20"/>
              </w:rPr>
              <w:t xml:space="preserve"> </w:t>
            </w:r>
            <w:r w:rsidR="004F262E" w:rsidRPr="00F7369B">
              <w:rPr>
                <w:rFonts w:cstheme="minorHAnsi"/>
                <w:bCs w:val="0"/>
                <w:szCs w:val="20"/>
              </w:rPr>
              <w:t>918</w:t>
            </w:r>
            <w:r w:rsidRPr="00F7369B">
              <w:rPr>
                <w:rFonts w:cstheme="minorHAnsi"/>
                <w:bCs w:val="0"/>
                <w:szCs w:val="20"/>
              </w:rPr>
              <w:t xml:space="preserve"> </w:t>
            </w:r>
            <w:r w:rsidR="00665877">
              <w:rPr>
                <w:rFonts w:cstheme="minorHAnsi"/>
                <w:bCs w:val="0"/>
                <w:szCs w:val="20"/>
              </w:rPr>
              <w:br/>
            </w:r>
            <w:r w:rsidRPr="00F7369B">
              <w:rPr>
                <w:rFonts w:cstheme="minorHAnsi"/>
                <w:bCs w:val="0"/>
                <w:szCs w:val="20"/>
              </w:rPr>
              <w:t>(6</w:t>
            </w:r>
            <w:r w:rsidR="00A80F60" w:rsidRPr="00F7369B">
              <w:rPr>
                <w:rFonts w:cstheme="minorHAnsi"/>
                <w:bCs w:val="0"/>
                <w:szCs w:val="20"/>
              </w:rPr>
              <w:t>12 MenC naïve, 306 Men C primed)</w:t>
            </w:r>
          </w:p>
        </w:tc>
        <w:tc>
          <w:tcPr>
            <w:tcW w:w="1100" w:type="pct"/>
            <w:shd w:val="clear" w:color="auto" w:fill="auto"/>
            <w:vAlign w:val="center"/>
          </w:tcPr>
          <w:p w:rsidR="00992DA9" w:rsidRPr="00F7369B" w:rsidRDefault="00992DA9" w:rsidP="003D0A08">
            <w:pPr>
              <w:keepNext/>
              <w:keepLines/>
              <w:jc w:val="center"/>
              <w:rPr>
                <w:rFonts w:ascii="Arial Narrow" w:hAnsi="Arial Narrow" w:cstheme="minorHAnsi"/>
              </w:rPr>
            </w:pPr>
            <w:r w:rsidRPr="00F7369B">
              <w:rPr>
                <w:rFonts w:ascii="Arial Narrow" w:hAnsi="Arial Narrow" w:cstheme="minorHAnsi"/>
                <w:bCs/>
                <w:sz w:val="20"/>
                <w:szCs w:val="20"/>
              </w:rPr>
              <w:t>Phase III, RCT, modified double blind</w:t>
            </w:r>
            <w:r w:rsidR="002873D6" w:rsidRPr="00F7369B">
              <w:rPr>
                <w:rFonts w:ascii="Arial Narrow" w:hAnsi="Arial Narrow" w:cstheme="minorHAnsi"/>
                <w:bCs/>
                <w:sz w:val="20"/>
                <w:szCs w:val="20"/>
                <w:vertAlign w:val="superscript"/>
              </w:rPr>
              <w:t>1</w:t>
            </w:r>
          </w:p>
        </w:tc>
        <w:tc>
          <w:tcPr>
            <w:tcW w:w="551" w:type="pct"/>
            <w:shd w:val="clear" w:color="auto" w:fill="auto"/>
            <w:vAlign w:val="center"/>
          </w:tcPr>
          <w:p w:rsidR="00992DA9" w:rsidRPr="00F7369B" w:rsidRDefault="00992DA9" w:rsidP="003D0A08">
            <w:pPr>
              <w:pStyle w:val="TableText0"/>
              <w:keepLines/>
              <w:jc w:val="center"/>
              <w:rPr>
                <w:rFonts w:cstheme="minorHAnsi"/>
              </w:rPr>
            </w:pPr>
            <w:r w:rsidRPr="00F7369B">
              <w:rPr>
                <w:rFonts w:cstheme="minorHAnsi"/>
              </w:rPr>
              <w:t>Low</w:t>
            </w:r>
          </w:p>
        </w:tc>
        <w:tc>
          <w:tcPr>
            <w:tcW w:w="767" w:type="pct"/>
            <w:shd w:val="clear" w:color="auto" w:fill="auto"/>
            <w:vAlign w:val="center"/>
          </w:tcPr>
          <w:p w:rsidR="002873D6" w:rsidRPr="00F7369B" w:rsidRDefault="00992DA9" w:rsidP="003D0A08">
            <w:pPr>
              <w:pStyle w:val="TableText0"/>
              <w:keepLines/>
              <w:jc w:val="center"/>
              <w:rPr>
                <w:rFonts w:cstheme="minorHAnsi"/>
                <w:bCs w:val="0"/>
                <w:szCs w:val="20"/>
              </w:rPr>
            </w:pPr>
            <w:r w:rsidRPr="00F7369B">
              <w:rPr>
                <w:rFonts w:cstheme="minorHAnsi"/>
                <w:bCs w:val="0"/>
                <w:szCs w:val="20"/>
              </w:rPr>
              <w:t>Children 12-23 months</w:t>
            </w:r>
            <w:r w:rsidR="002873D6" w:rsidRPr="00F7369B">
              <w:rPr>
                <w:rFonts w:cstheme="minorHAnsi"/>
                <w:bCs w:val="0"/>
                <w:szCs w:val="20"/>
              </w:rPr>
              <w:t xml:space="preserve"> </w:t>
            </w:r>
          </w:p>
          <w:p w:rsidR="00992DA9" w:rsidRPr="00665877" w:rsidRDefault="002873D6" w:rsidP="00665877">
            <w:pPr>
              <w:pStyle w:val="TableText0"/>
              <w:keepLines/>
              <w:jc w:val="center"/>
              <w:rPr>
                <w:rFonts w:cstheme="minorHAnsi"/>
                <w:bCs w:val="0"/>
                <w:szCs w:val="20"/>
              </w:rPr>
            </w:pPr>
            <w:r w:rsidRPr="00F7369B">
              <w:rPr>
                <w:rFonts w:cstheme="minorHAnsi"/>
                <w:bCs w:val="0"/>
                <w:szCs w:val="20"/>
              </w:rPr>
              <w:t xml:space="preserve">Mixed MenC naïve or primed </w:t>
            </w:r>
          </w:p>
        </w:tc>
        <w:tc>
          <w:tcPr>
            <w:tcW w:w="1248" w:type="pct"/>
            <w:shd w:val="clear" w:color="auto" w:fill="auto"/>
            <w:vAlign w:val="center"/>
          </w:tcPr>
          <w:p w:rsidR="00992DA9" w:rsidRPr="00F7369B" w:rsidRDefault="00992DA9" w:rsidP="003D0A08">
            <w:pPr>
              <w:keepNext/>
              <w:keepLines/>
              <w:jc w:val="left"/>
              <w:rPr>
                <w:rFonts w:ascii="Arial Narrow" w:hAnsi="Arial Narrow" w:cstheme="minorHAnsi"/>
                <w:bCs/>
                <w:sz w:val="20"/>
                <w:szCs w:val="20"/>
              </w:rPr>
            </w:pPr>
            <w:r w:rsidRPr="00F7369B">
              <w:rPr>
                <w:rFonts w:ascii="Arial Narrow" w:hAnsi="Arial Narrow" w:cstheme="minorHAnsi"/>
                <w:bCs/>
                <w:sz w:val="20"/>
                <w:szCs w:val="20"/>
              </w:rPr>
              <w:t>Seroresponse rate (hSBA antibody titre ≥ 1:8)</w:t>
            </w:r>
          </w:p>
          <w:p w:rsidR="00992DA9" w:rsidRPr="00F7369B" w:rsidRDefault="00992DA9" w:rsidP="003D0A08">
            <w:pPr>
              <w:keepNext/>
              <w:keepLines/>
              <w:jc w:val="left"/>
              <w:rPr>
                <w:rFonts w:ascii="Arial Narrow" w:hAnsi="Arial Narrow" w:cstheme="minorHAnsi"/>
                <w:bCs/>
                <w:sz w:val="20"/>
                <w:szCs w:val="20"/>
              </w:rPr>
            </w:pPr>
          </w:p>
          <w:p w:rsidR="00992DA9" w:rsidRPr="00F7369B" w:rsidRDefault="00992DA9" w:rsidP="003D0A08">
            <w:pPr>
              <w:pStyle w:val="TableText0"/>
              <w:keepLines/>
              <w:jc w:val="center"/>
              <w:rPr>
                <w:rFonts w:cstheme="minorHAnsi"/>
              </w:rPr>
            </w:pPr>
          </w:p>
        </w:tc>
      </w:tr>
      <w:tr w:rsidR="00992DA9" w:rsidRPr="00F7369B" w:rsidTr="00665877">
        <w:trPr>
          <w:cantSplit/>
        </w:trPr>
        <w:tc>
          <w:tcPr>
            <w:tcW w:w="469" w:type="pct"/>
            <w:shd w:val="clear" w:color="auto" w:fill="auto"/>
            <w:vAlign w:val="center"/>
          </w:tcPr>
          <w:p w:rsidR="00992DA9" w:rsidRPr="00F7369B" w:rsidRDefault="00992DA9" w:rsidP="003D0A08">
            <w:pPr>
              <w:pStyle w:val="TableText0"/>
              <w:keepLines/>
              <w:rPr>
                <w:rFonts w:cstheme="minorHAnsi"/>
              </w:rPr>
            </w:pPr>
            <w:r w:rsidRPr="00F7369B">
              <w:rPr>
                <w:rFonts w:cstheme="minorHAnsi"/>
                <w:bCs w:val="0"/>
                <w:szCs w:val="20"/>
              </w:rPr>
              <w:t>MET54</w:t>
            </w:r>
          </w:p>
        </w:tc>
        <w:tc>
          <w:tcPr>
            <w:tcW w:w="864" w:type="pct"/>
            <w:shd w:val="clear" w:color="auto" w:fill="auto"/>
            <w:vAlign w:val="center"/>
          </w:tcPr>
          <w:p w:rsidR="00992DA9" w:rsidRPr="00F7369B" w:rsidRDefault="007C2B0B" w:rsidP="003D0A08">
            <w:pPr>
              <w:pStyle w:val="TableText0"/>
              <w:keepLines/>
              <w:jc w:val="center"/>
              <w:rPr>
                <w:rFonts w:cstheme="minorHAnsi"/>
              </w:rPr>
            </w:pPr>
            <w:r w:rsidRPr="00F7369B">
              <w:rPr>
                <w:rFonts w:cstheme="minorHAnsi"/>
                <w:bCs w:val="0"/>
                <w:szCs w:val="20"/>
              </w:rPr>
              <w:t>188</w:t>
            </w:r>
          </w:p>
        </w:tc>
        <w:tc>
          <w:tcPr>
            <w:tcW w:w="1100" w:type="pct"/>
            <w:shd w:val="clear" w:color="auto" w:fill="auto"/>
            <w:vAlign w:val="center"/>
          </w:tcPr>
          <w:p w:rsidR="00992DA9" w:rsidRPr="00665877" w:rsidRDefault="00992DA9" w:rsidP="00665877">
            <w:pPr>
              <w:keepNext/>
              <w:keepLines/>
              <w:jc w:val="center"/>
              <w:rPr>
                <w:rFonts w:ascii="Arial Narrow" w:hAnsi="Arial Narrow" w:cstheme="minorHAnsi"/>
                <w:sz w:val="20"/>
                <w:szCs w:val="20"/>
              </w:rPr>
            </w:pPr>
            <w:r w:rsidRPr="00665877">
              <w:rPr>
                <w:rFonts w:ascii="Arial Narrow" w:hAnsi="Arial Narrow" w:cstheme="minorHAnsi"/>
                <w:bCs/>
                <w:sz w:val="20"/>
                <w:szCs w:val="20"/>
              </w:rPr>
              <w:t>Phase II, RCT</w:t>
            </w:r>
            <w:r w:rsidR="00665877" w:rsidRPr="00665877">
              <w:rPr>
                <w:rFonts w:ascii="Arial Narrow" w:hAnsi="Arial Narrow" w:cstheme="minorHAnsi"/>
                <w:bCs/>
                <w:sz w:val="20"/>
                <w:szCs w:val="20"/>
              </w:rPr>
              <w:t xml:space="preserve">, </w:t>
            </w:r>
            <w:r w:rsidRPr="00665877">
              <w:rPr>
                <w:rFonts w:ascii="Arial Narrow" w:hAnsi="Arial Narrow" w:cstheme="minorHAnsi"/>
                <w:sz w:val="20"/>
                <w:szCs w:val="20"/>
              </w:rPr>
              <w:t>OL</w:t>
            </w:r>
            <w:r w:rsidR="007C2B0B" w:rsidRPr="00665877">
              <w:rPr>
                <w:rFonts w:ascii="Arial Narrow" w:hAnsi="Arial Narrow" w:cstheme="minorHAnsi"/>
                <w:sz w:val="20"/>
                <w:szCs w:val="20"/>
              </w:rPr>
              <w:t xml:space="preserve"> (</w:t>
            </w:r>
            <w:r w:rsidRPr="00665877">
              <w:rPr>
                <w:rFonts w:ascii="Arial Narrow" w:hAnsi="Arial Narrow" w:cstheme="minorHAnsi"/>
                <w:sz w:val="20"/>
                <w:szCs w:val="20"/>
              </w:rPr>
              <w:t>laboratory technicians were blinded</w:t>
            </w:r>
            <w:r w:rsidR="007C2B0B" w:rsidRPr="00665877">
              <w:rPr>
                <w:rFonts w:ascii="Arial Narrow" w:hAnsi="Arial Narrow" w:cstheme="minorHAnsi"/>
                <w:sz w:val="20"/>
                <w:szCs w:val="20"/>
              </w:rPr>
              <w:t>)</w:t>
            </w:r>
          </w:p>
        </w:tc>
        <w:tc>
          <w:tcPr>
            <w:tcW w:w="551" w:type="pct"/>
            <w:shd w:val="clear" w:color="auto" w:fill="auto"/>
            <w:vAlign w:val="center"/>
          </w:tcPr>
          <w:p w:rsidR="00992DA9" w:rsidRPr="00F7369B" w:rsidRDefault="00992DA9" w:rsidP="003D0A08">
            <w:pPr>
              <w:pStyle w:val="TableText0"/>
              <w:keepLines/>
              <w:jc w:val="center"/>
              <w:rPr>
                <w:rFonts w:cstheme="minorHAnsi"/>
              </w:rPr>
            </w:pPr>
            <w:r w:rsidRPr="00F7369B">
              <w:rPr>
                <w:rFonts w:cstheme="minorHAnsi"/>
              </w:rPr>
              <w:t>Low</w:t>
            </w:r>
          </w:p>
        </w:tc>
        <w:tc>
          <w:tcPr>
            <w:tcW w:w="767" w:type="pct"/>
            <w:shd w:val="clear" w:color="auto" w:fill="auto"/>
            <w:vAlign w:val="center"/>
          </w:tcPr>
          <w:p w:rsidR="00992DA9" w:rsidRPr="00F7369B" w:rsidRDefault="00992DA9" w:rsidP="003D0A08">
            <w:pPr>
              <w:pStyle w:val="TableText0"/>
              <w:keepLines/>
              <w:jc w:val="center"/>
              <w:rPr>
                <w:rFonts w:cstheme="minorHAnsi"/>
              </w:rPr>
            </w:pPr>
            <w:r w:rsidRPr="00F7369B">
              <w:rPr>
                <w:rFonts w:cstheme="minorHAnsi"/>
                <w:bCs w:val="0"/>
                <w:szCs w:val="20"/>
              </w:rPr>
              <w:t>Children 12-23 months</w:t>
            </w:r>
          </w:p>
        </w:tc>
        <w:tc>
          <w:tcPr>
            <w:tcW w:w="1248" w:type="pct"/>
            <w:shd w:val="clear" w:color="auto" w:fill="auto"/>
            <w:vAlign w:val="center"/>
          </w:tcPr>
          <w:p w:rsidR="00992DA9" w:rsidRPr="00665877" w:rsidRDefault="00992DA9" w:rsidP="00665877">
            <w:pPr>
              <w:keepNext/>
              <w:keepLines/>
              <w:jc w:val="left"/>
              <w:rPr>
                <w:rFonts w:ascii="Arial Narrow" w:hAnsi="Arial Narrow" w:cstheme="minorHAnsi"/>
                <w:bCs/>
                <w:sz w:val="20"/>
                <w:szCs w:val="20"/>
              </w:rPr>
            </w:pPr>
            <w:r w:rsidRPr="00F7369B">
              <w:rPr>
                <w:rFonts w:ascii="Arial Narrow" w:hAnsi="Arial Narrow" w:cstheme="minorHAnsi"/>
                <w:bCs/>
                <w:sz w:val="20"/>
                <w:szCs w:val="20"/>
              </w:rPr>
              <w:t xml:space="preserve">Antibody responses to antigens (serogroups A, C, Y, and W) measured by hSBA and rSBA collected at 30 days post vaccination. </w:t>
            </w:r>
          </w:p>
        </w:tc>
      </w:tr>
      <w:tr w:rsidR="00992DA9" w:rsidRPr="00F7369B" w:rsidTr="00680FB4">
        <w:trPr>
          <w:cantSplit/>
        </w:trPr>
        <w:tc>
          <w:tcPr>
            <w:tcW w:w="5000" w:type="pct"/>
            <w:gridSpan w:val="6"/>
            <w:shd w:val="clear" w:color="auto" w:fill="auto"/>
            <w:vAlign w:val="center"/>
          </w:tcPr>
          <w:p w:rsidR="00992DA9" w:rsidRPr="00F7369B" w:rsidRDefault="00992DA9" w:rsidP="003D0A08">
            <w:pPr>
              <w:pStyle w:val="TableText0"/>
              <w:keepLines/>
              <w:rPr>
                <w:rFonts w:eastAsia="Times New Roman" w:cstheme="minorHAnsi"/>
                <w:b/>
                <w:bCs w:val="0"/>
                <w:szCs w:val="20"/>
              </w:rPr>
            </w:pPr>
            <w:r w:rsidRPr="00F7369B">
              <w:rPr>
                <w:rFonts w:cstheme="minorHAnsi"/>
                <w:b/>
              </w:rPr>
              <w:t>MenQuadfi vs Menveo</w:t>
            </w:r>
          </w:p>
        </w:tc>
      </w:tr>
      <w:tr w:rsidR="00992DA9" w:rsidRPr="00F7369B" w:rsidTr="00665877">
        <w:trPr>
          <w:cantSplit/>
        </w:trPr>
        <w:tc>
          <w:tcPr>
            <w:tcW w:w="469" w:type="pct"/>
            <w:shd w:val="clear" w:color="auto" w:fill="auto"/>
            <w:vAlign w:val="center"/>
          </w:tcPr>
          <w:p w:rsidR="00992DA9" w:rsidRPr="00F7369B" w:rsidRDefault="00992DA9" w:rsidP="003D0A08">
            <w:pPr>
              <w:pStyle w:val="TableText0"/>
              <w:keepLines/>
              <w:rPr>
                <w:rFonts w:cstheme="minorHAnsi"/>
              </w:rPr>
            </w:pPr>
            <w:r w:rsidRPr="00F7369B">
              <w:rPr>
                <w:rFonts w:cstheme="minorHAnsi"/>
                <w:bCs w:val="0"/>
                <w:szCs w:val="20"/>
              </w:rPr>
              <w:t>MET50</w:t>
            </w:r>
          </w:p>
        </w:tc>
        <w:tc>
          <w:tcPr>
            <w:tcW w:w="864" w:type="pct"/>
            <w:shd w:val="clear" w:color="auto" w:fill="auto"/>
            <w:vAlign w:val="center"/>
          </w:tcPr>
          <w:p w:rsidR="00992DA9" w:rsidRPr="00F7369B" w:rsidRDefault="007C2B0B" w:rsidP="003D0A08">
            <w:pPr>
              <w:pStyle w:val="TableText0"/>
              <w:keepLines/>
              <w:jc w:val="center"/>
              <w:rPr>
                <w:rFonts w:cstheme="minorHAnsi"/>
              </w:rPr>
            </w:pPr>
            <w:r w:rsidRPr="00F7369B">
              <w:rPr>
                <w:rFonts w:cstheme="minorHAnsi"/>
                <w:bCs w:val="0"/>
                <w:szCs w:val="20"/>
              </w:rPr>
              <w:t>1</w:t>
            </w:r>
            <w:r w:rsidR="00FD22CE" w:rsidRPr="00F7369B">
              <w:rPr>
                <w:rFonts w:cstheme="minorHAnsi"/>
                <w:bCs w:val="0"/>
                <w:szCs w:val="20"/>
              </w:rPr>
              <w:t>,715</w:t>
            </w:r>
            <w:r w:rsidR="002873D6" w:rsidRPr="00F7369B">
              <w:rPr>
                <w:rFonts w:cstheme="minorHAnsi"/>
                <w:bCs w:val="0"/>
                <w:szCs w:val="20"/>
                <w:vertAlign w:val="superscript"/>
              </w:rPr>
              <w:t>2</w:t>
            </w:r>
          </w:p>
        </w:tc>
        <w:tc>
          <w:tcPr>
            <w:tcW w:w="1100" w:type="pct"/>
            <w:shd w:val="clear" w:color="auto" w:fill="auto"/>
            <w:vAlign w:val="center"/>
          </w:tcPr>
          <w:p w:rsidR="00992DA9" w:rsidRPr="00F7369B" w:rsidRDefault="00992DA9" w:rsidP="003D0A08">
            <w:pPr>
              <w:pStyle w:val="TableText0"/>
              <w:keepLines/>
              <w:jc w:val="center"/>
              <w:rPr>
                <w:rFonts w:cstheme="minorHAnsi"/>
              </w:rPr>
            </w:pPr>
            <w:r w:rsidRPr="00F7369B">
              <w:rPr>
                <w:rFonts w:cstheme="minorHAnsi"/>
                <w:bCs w:val="0"/>
                <w:szCs w:val="20"/>
              </w:rPr>
              <w:t>Phase II, RCT, OL</w:t>
            </w:r>
            <w:r w:rsidR="007C2B0B" w:rsidRPr="00F7369B">
              <w:rPr>
                <w:rFonts w:cstheme="minorHAnsi"/>
                <w:bCs w:val="0"/>
                <w:szCs w:val="20"/>
              </w:rPr>
              <w:t xml:space="preserve"> (</w:t>
            </w:r>
            <w:r w:rsidRPr="00F7369B">
              <w:rPr>
                <w:rFonts w:cstheme="minorHAnsi"/>
                <w:bCs w:val="0"/>
                <w:szCs w:val="20"/>
              </w:rPr>
              <w:t>laboratory technicians were blinded</w:t>
            </w:r>
            <w:r w:rsidR="007C2B0B" w:rsidRPr="00F7369B">
              <w:rPr>
                <w:rFonts w:cstheme="minorHAnsi"/>
                <w:bCs w:val="0"/>
                <w:szCs w:val="20"/>
              </w:rPr>
              <w:t>)</w:t>
            </w:r>
          </w:p>
        </w:tc>
        <w:tc>
          <w:tcPr>
            <w:tcW w:w="551" w:type="pct"/>
            <w:shd w:val="clear" w:color="auto" w:fill="auto"/>
            <w:vAlign w:val="center"/>
          </w:tcPr>
          <w:p w:rsidR="00992DA9" w:rsidRPr="00F7369B" w:rsidRDefault="00992DA9" w:rsidP="003D0A08">
            <w:pPr>
              <w:pStyle w:val="TableText0"/>
              <w:keepLines/>
              <w:jc w:val="center"/>
              <w:rPr>
                <w:rFonts w:cstheme="minorHAnsi"/>
              </w:rPr>
            </w:pPr>
            <w:r w:rsidRPr="00F7369B">
              <w:rPr>
                <w:rFonts w:cstheme="minorHAnsi"/>
              </w:rPr>
              <w:t>Low</w:t>
            </w:r>
          </w:p>
        </w:tc>
        <w:tc>
          <w:tcPr>
            <w:tcW w:w="767" w:type="pct"/>
            <w:shd w:val="clear" w:color="auto" w:fill="auto"/>
            <w:vAlign w:val="center"/>
          </w:tcPr>
          <w:p w:rsidR="00992DA9" w:rsidRPr="00F7369B" w:rsidRDefault="00992DA9" w:rsidP="003D0A08">
            <w:pPr>
              <w:pStyle w:val="TableText0"/>
              <w:keepLines/>
              <w:jc w:val="center"/>
              <w:rPr>
                <w:rFonts w:cstheme="minorHAnsi"/>
              </w:rPr>
            </w:pPr>
            <w:r w:rsidRPr="00F7369B">
              <w:rPr>
                <w:rFonts w:cstheme="minorHAnsi"/>
                <w:bCs w:val="0"/>
                <w:szCs w:val="20"/>
              </w:rPr>
              <w:t>Children and adolescents age 10-17 years</w:t>
            </w:r>
          </w:p>
        </w:tc>
        <w:tc>
          <w:tcPr>
            <w:tcW w:w="1248" w:type="pct"/>
            <w:shd w:val="clear" w:color="auto" w:fill="auto"/>
            <w:vAlign w:val="center"/>
          </w:tcPr>
          <w:p w:rsidR="00992DA9" w:rsidRPr="00F7369B" w:rsidRDefault="00992DA9" w:rsidP="003D0A08">
            <w:pPr>
              <w:pStyle w:val="TableText0"/>
              <w:keepLines/>
              <w:rPr>
                <w:rFonts w:eastAsia="Times New Roman" w:cstheme="minorHAnsi"/>
                <w:bCs w:val="0"/>
                <w:szCs w:val="20"/>
              </w:rPr>
            </w:pPr>
            <w:r w:rsidRPr="00F7369B">
              <w:rPr>
                <w:rFonts w:eastAsia="Times New Roman" w:cstheme="minorHAnsi"/>
                <w:bCs w:val="0"/>
                <w:szCs w:val="20"/>
              </w:rPr>
              <w:t xml:space="preserve">Seroresponse rate (hSBA titre ≥ 1:8). </w:t>
            </w:r>
          </w:p>
          <w:p w:rsidR="00992DA9" w:rsidRPr="00F7369B" w:rsidRDefault="00992DA9" w:rsidP="003D0A08">
            <w:pPr>
              <w:pStyle w:val="TableText0"/>
              <w:keepLines/>
              <w:jc w:val="center"/>
              <w:rPr>
                <w:rFonts w:cstheme="minorHAnsi"/>
              </w:rPr>
            </w:pPr>
          </w:p>
        </w:tc>
      </w:tr>
    </w:tbl>
    <w:p w:rsidR="00992DA9" w:rsidRPr="00F7369B" w:rsidRDefault="00992DA9" w:rsidP="003D0A08">
      <w:pPr>
        <w:pStyle w:val="TableFigureFooter"/>
        <w:keepNext/>
        <w:keepLines/>
        <w:rPr>
          <w:rFonts w:cstheme="minorHAnsi"/>
        </w:rPr>
      </w:pPr>
      <w:r w:rsidRPr="00F7369B">
        <w:rPr>
          <w:rFonts w:cstheme="minorHAnsi"/>
        </w:rPr>
        <w:t>Source: Table 2.2 of the submission.</w:t>
      </w:r>
    </w:p>
    <w:p w:rsidR="0074723C" w:rsidRPr="00F7369B" w:rsidRDefault="00992DA9" w:rsidP="003D0A08">
      <w:pPr>
        <w:pStyle w:val="TableFigureFooter"/>
        <w:keepNext/>
        <w:keepLines/>
        <w:rPr>
          <w:rFonts w:cstheme="minorHAnsi"/>
          <w:szCs w:val="18"/>
        </w:rPr>
      </w:pPr>
      <w:r w:rsidRPr="00F7369B">
        <w:rPr>
          <w:rFonts w:cstheme="minorHAnsi"/>
        </w:rPr>
        <w:t xml:space="preserve">OL = open label; RCT = randomised clinical trial. </w:t>
      </w:r>
      <w:r w:rsidRPr="00F7369B">
        <w:rPr>
          <w:rFonts w:cstheme="minorHAnsi"/>
          <w:szCs w:val="18"/>
        </w:rPr>
        <w:t>hSBA=human serum bactericidal antibody; rSBA=rabbit serum bactericidal antibody</w:t>
      </w:r>
    </w:p>
    <w:p w:rsidR="002873D6" w:rsidRPr="00F7369B" w:rsidRDefault="002873D6" w:rsidP="00BF72E0">
      <w:pPr>
        <w:pStyle w:val="TableFigureFooter"/>
        <w:keepNext/>
        <w:keepLines/>
        <w:numPr>
          <w:ilvl w:val="0"/>
          <w:numId w:val="23"/>
        </w:numPr>
        <w:rPr>
          <w:rFonts w:cstheme="minorHAnsi"/>
          <w:szCs w:val="18"/>
        </w:rPr>
      </w:pPr>
      <w:r w:rsidRPr="00F7369B">
        <w:rPr>
          <w:rFonts w:cstheme="minorHAnsi"/>
          <w:szCs w:val="18"/>
        </w:rPr>
        <w:t>Vaccine administrator was unblinded</w:t>
      </w:r>
    </w:p>
    <w:p w:rsidR="00244319" w:rsidRPr="00665877" w:rsidRDefault="0074723C" w:rsidP="00665877">
      <w:pPr>
        <w:pStyle w:val="TableFigureFooter"/>
        <w:keepNext/>
        <w:keepLines/>
        <w:numPr>
          <w:ilvl w:val="0"/>
          <w:numId w:val="23"/>
        </w:numPr>
        <w:rPr>
          <w:rFonts w:cstheme="minorHAnsi"/>
          <w:szCs w:val="18"/>
        </w:rPr>
      </w:pPr>
      <w:r w:rsidRPr="00F7369B">
        <w:rPr>
          <w:rFonts w:cstheme="minorHAnsi"/>
          <w:szCs w:val="18"/>
        </w:rPr>
        <w:t>Including 300 patients who only received HPV+tdap</w:t>
      </w:r>
    </w:p>
    <w:p w:rsidR="00D07340" w:rsidRPr="00F7369B" w:rsidRDefault="00D07340" w:rsidP="00D07340">
      <w:pPr>
        <w:pStyle w:val="4-SubsectionHeading"/>
        <w:rPr>
          <w:rFonts w:cstheme="minorHAnsi"/>
        </w:rPr>
      </w:pPr>
      <w:bookmarkStart w:id="14" w:name="_Toc22897641"/>
      <w:bookmarkStart w:id="15" w:name="_Toc51066738"/>
      <w:r w:rsidRPr="00F7369B">
        <w:rPr>
          <w:rFonts w:cstheme="minorHAnsi"/>
        </w:rPr>
        <w:t>Comparative effectiveness</w:t>
      </w:r>
      <w:bookmarkEnd w:id="14"/>
      <w:bookmarkEnd w:id="15"/>
    </w:p>
    <w:p w:rsidR="00CE510A" w:rsidRPr="00F7369B" w:rsidRDefault="00775A84" w:rsidP="00CE510A">
      <w:pPr>
        <w:pStyle w:val="ListParagraph"/>
        <w:numPr>
          <w:ilvl w:val="1"/>
          <w:numId w:val="1"/>
        </w:numPr>
        <w:rPr>
          <w:rFonts w:cstheme="minorHAnsi"/>
          <w:snapToGrid/>
        </w:rPr>
      </w:pPr>
      <w:r w:rsidRPr="00F7369B">
        <w:rPr>
          <w:rFonts w:cstheme="minorHAnsi"/>
          <w:snapToGrid/>
        </w:rPr>
        <w:t>T</w:t>
      </w:r>
      <w:r w:rsidR="00CE510A" w:rsidRPr="00F7369B">
        <w:rPr>
          <w:rFonts w:cstheme="minorHAnsi"/>
          <w:snapToGrid/>
        </w:rPr>
        <w:t>he results of the clinical evidence</w:t>
      </w:r>
      <w:r w:rsidR="00A9135D" w:rsidRPr="00F7369B">
        <w:rPr>
          <w:rFonts w:cstheme="minorHAnsi"/>
          <w:snapToGrid/>
        </w:rPr>
        <w:t xml:space="preserve"> from the three key trials</w:t>
      </w:r>
      <w:r w:rsidRPr="00F7369B">
        <w:rPr>
          <w:rFonts w:cstheme="minorHAnsi"/>
          <w:snapToGrid/>
        </w:rPr>
        <w:t xml:space="preserve"> are presented in Table 5</w:t>
      </w:r>
      <w:r w:rsidR="00CE510A" w:rsidRPr="00F7369B">
        <w:rPr>
          <w:rFonts w:cstheme="minorHAnsi"/>
          <w:snapToGrid/>
        </w:rPr>
        <w:t>.</w:t>
      </w:r>
    </w:p>
    <w:p w:rsidR="00ED6F54" w:rsidRPr="00F7369B" w:rsidRDefault="00ED6F54" w:rsidP="00ED6F54">
      <w:pPr>
        <w:pStyle w:val="3-BodyText"/>
        <w:rPr>
          <w:rFonts w:cstheme="minorHAnsi"/>
        </w:rPr>
      </w:pPr>
      <w:r w:rsidRPr="00F7369B">
        <w:rPr>
          <w:rFonts w:cstheme="minorHAnsi"/>
        </w:rPr>
        <w:t>The primary outcome for MET51</w:t>
      </w:r>
      <w:r w:rsidR="00A9135D" w:rsidRPr="00F7369B">
        <w:rPr>
          <w:rFonts w:cstheme="minorHAnsi"/>
        </w:rPr>
        <w:t xml:space="preserve"> </w:t>
      </w:r>
      <w:r w:rsidRPr="00F7369B">
        <w:rPr>
          <w:rFonts w:cstheme="minorHAnsi"/>
        </w:rPr>
        <w:t>was to assess the seroresponse rate (hSBA antibody tit</w:t>
      </w:r>
      <w:r w:rsidR="00DD72FE" w:rsidRPr="00F7369B">
        <w:rPr>
          <w:rFonts w:cstheme="minorHAnsi"/>
        </w:rPr>
        <w:t>re</w:t>
      </w:r>
      <w:r w:rsidRPr="00F7369B">
        <w:rPr>
          <w:rFonts w:cstheme="minorHAnsi"/>
        </w:rPr>
        <w:t xml:space="preserve"> ≥ 1:8) in MenQuadfi (vaccine naïve) arm vs Nimenrix (vaccine naïve) arm, and MenQuadfi (</w:t>
      </w:r>
      <w:r w:rsidR="00816862" w:rsidRPr="00F7369B">
        <w:rPr>
          <w:rFonts w:cstheme="minorHAnsi"/>
        </w:rPr>
        <w:t xml:space="preserve">either vaccine naïve or MenC primed </w:t>
      </w:r>
      <w:r w:rsidRPr="00F7369B">
        <w:rPr>
          <w:rFonts w:cstheme="minorHAnsi"/>
        </w:rPr>
        <w:t>arm</w:t>
      </w:r>
      <w:r w:rsidR="00C55B26" w:rsidRPr="00F7369B">
        <w:rPr>
          <w:rFonts w:cstheme="minorHAnsi"/>
        </w:rPr>
        <w:t>)</w:t>
      </w:r>
      <w:r w:rsidRPr="00F7369B">
        <w:rPr>
          <w:rFonts w:cstheme="minorHAnsi"/>
        </w:rPr>
        <w:t xml:space="preserve"> vs Nimenrix (</w:t>
      </w:r>
      <w:r w:rsidR="00816862" w:rsidRPr="00F7369B">
        <w:rPr>
          <w:rFonts w:cstheme="minorHAnsi"/>
        </w:rPr>
        <w:t>either vaccine naïve or MenC primed</w:t>
      </w:r>
      <w:r w:rsidRPr="00F7369B">
        <w:rPr>
          <w:rFonts w:cstheme="minorHAnsi"/>
        </w:rPr>
        <w:t>). The seroresponse rate (hSBA≥1:8) at 30 days post vaccination are:</w:t>
      </w:r>
    </w:p>
    <w:p w:rsidR="00ED6F54" w:rsidRPr="00F7369B" w:rsidRDefault="00ED6F54" w:rsidP="00ED6F54">
      <w:pPr>
        <w:pStyle w:val="3-BodyText"/>
        <w:numPr>
          <w:ilvl w:val="0"/>
          <w:numId w:val="0"/>
        </w:numPr>
        <w:ind w:left="720"/>
        <w:rPr>
          <w:rFonts w:cstheme="minorHAnsi"/>
          <w:u w:val="single"/>
        </w:rPr>
      </w:pPr>
      <w:r w:rsidRPr="00F7369B">
        <w:rPr>
          <w:rFonts w:cstheme="minorHAnsi"/>
          <w:u w:val="single"/>
        </w:rPr>
        <w:t>For meningococcal vaccine-naïve children:</w:t>
      </w:r>
    </w:p>
    <w:p w:rsidR="00ED6F54" w:rsidRPr="00F7369B" w:rsidRDefault="00ED6F54" w:rsidP="00665877">
      <w:pPr>
        <w:pStyle w:val="3-BodyText"/>
        <w:numPr>
          <w:ilvl w:val="1"/>
          <w:numId w:val="11"/>
        </w:numPr>
        <w:ind w:left="1077" w:hanging="357"/>
        <w:rPr>
          <w:rFonts w:cstheme="minorHAnsi"/>
        </w:rPr>
      </w:pPr>
      <w:r w:rsidRPr="00F7369B">
        <w:rPr>
          <w:rFonts w:cstheme="minorHAnsi"/>
        </w:rPr>
        <w:t>The proportion of children achiev</w:t>
      </w:r>
      <w:r w:rsidR="00775A84" w:rsidRPr="00F7369B">
        <w:rPr>
          <w:rFonts w:cstheme="minorHAnsi"/>
        </w:rPr>
        <w:t>ing</w:t>
      </w:r>
      <w:r w:rsidRPr="00F7369B">
        <w:rPr>
          <w:rFonts w:cstheme="minorHAnsi"/>
        </w:rPr>
        <w:t xml:space="preserve"> hSBA≥1:8 in the MenQuadfi group are similar compared with the Nimenrix group for serogroup A (90.8% vs 89.5%), serogroup W (83.6% vs 83.4%) and serogroup Y (93.2% vs 91.6%) at 30 days post vaccination. </w:t>
      </w:r>
    </w:p>
    <w:p w:rsidR="00ED6F54" w:rsidRPr="00F7369B" w:rsidRDefault="00ED6F54" w:rsidP="00665877">
      <w:pPr>
        <w:pStyle w:val="3-BodyText"/>
        <w:numPr>
          <w:ilvl w:val="1"/>
          <w:numId w:val="11"/>
        </w:numPr>
        <w:ind w:left="1077" w:hanging="357"/>
        <w:rPr>
          <w:rFonts w:cstheme="minorHAnsi"/>
        </w:rPr>
      </w:pPr>
      <w:r w:rsidRPr="00F7369B">
        <w:rPr>
          <w:rFonts w:cstheme="minorHAnsi"/>
        </w:rPr>
        <w:t>The proportion of children achie</w:t>
      </w:r>
      <w:r w:rsidR="00775A84" w:rsidRPr="00F7369B">
        <w:rPr>
          <w:rFonts w:cstheme="minorHAnsi"/>
        </w:rPr>
        <w:t>ving</w:t>
      </w:r>
      <w:r w:rsidRPr="00F7369B">
        <w:rPr>
          <w:rFonts w:cstheme="minorHAnsi"/>
        </w:rPr>
        <w:t xml:space="preserve"> hSBA≥1:8 for MenC is higher in the MenQuadfi group compared with the Nimenrix group (99.3% vs 81.4%) and the difference is statistically significant (18.0%,</w:t>
      </w:r>
      <w:r w:rsidR="00D94C5B" w:rsidRPr="00F7369B">
        <w:rPr>
          <w:rFonts w:cstheme="minorHAnsi"/>
        </w:rPr>
        <w:t xml:space="preserve"> </w:t>
      </w:r>
      <w:r w:rsidR="00C55B26" w:rsidRPr="00F7369B">
        <w:rPr>
          <w:rFonts w:cstheme="minorHAnsi"/>
        </w:rPr>
        <w:t xml:space="preserve">95% </w:t>
      </w:r>
      <w:r w:rsidR="00D94C5B" w:rsidRPr="00F7369B">
        <w:rPr>
          <w:rFonts w:cstheme="minorHAnsi"/>
        </w:rPr>
        <w:t>confiden</w:t>
      </w:r>
      <w:r w:rsidR="00C55B26" w:rsidRPr="00F7369B">
        <w:rPr>
          <w:rFonts w:cstheme="minorHAnsi"/>
        </w:rPr>
        <w:t>ce</w:t>
      </w:r>
      <w:r w:rsidR="00D94C5B" w:rsidRPr="00F7369B">
        <w:rPr>
          <w:rFonts w:cstheme="minorHAnsi"/>
        </w:rPr>
        <w:t xml:space="preserve"> interval</w:t>
      </w:r>
      <w:r w:rsidRPr="00F7369B">
        <w:rPr>
          <w:rFonts w:cstheme="minorHAnsi"/>
        </w:rPr>
        <w:t xml:space="preserve"> </w:t>
      </w:r>
      <w:r w:rsidR="00D94C5B" w:rsidRPr="00F7369B">
        <w:rPr>
          <w:rFonts w:cstheme="minorHAnsi"/>
        </w:rPr>
        <w:t>(</w:t>
      </w:r>
      <w:r w:rsidRPr="00F7369B">
        <w:rPr>
          <w:rFonts w:cstheme="minorHAnsi"/>
        </w:rPr>
        <w:t>CI</w:t>
      </w:r>
      <w:r w:rsidR="00D94C5B" w:rsidRPr="00F7369B">
        <w:rPr>
          <w:rFonts w:cstheme="minorHAnsi"/>
        </w:rPr>
        <w:t>)</w:t>
      </w:r>
      <w:r w:rsidRPr="00F7369B">
        <w:rPr>
          <w:rFonts w:cstheme="minorHAnsi"/>
        </w:rPr>
        <w:t>: 13.6%, 22.8%).</w:t>
      </w:r>
    </w:p>
    <w:p w:rsidR="00ED6F54" w:rsidRPr="00F7369B" w:rsidRDefault="00ED6F54" w:rsidP="00665877">
      <w:pPr>
        <w:pStyle w:val="3-BodyText"/>
        <w:numPr>
          <w:ilvl w:val="1"/>
          <w:numId w:val="11"/>
        </w:numPr>
        <w:ind w:left="1077" w:hanging="357"/>
        <w:rPr>
          <w:rFonts w:cstheme="minorHAnsi"/>
        </w:rPr>
      </w:pPr>
      <w:r w:rsidRPr="00F7369B">
        <w:rPr>
          <w:rFonts w:cstheme="minorHAnsi"/>
        </w:rPr>
        <w:t>The lower limit of the two-sided 95% CI of the difference of the seroprotection rate (antibody titres ≥ 1:8 30 days post vaccination) was greater than -10% for all four serogroup</w:t>
      </w:r>
      <w:r w:rsidR="00C55B26" w:rsidRPr="00F7369B">
        <w:rPr>
          <w:rFonts w:cstheme="minorHAnsi"/>
        </w:rPr>
        <w:t xml:space="preserve">s. </w:t>
      </w:r>
      <w:r w:rsidR="00BF6E0E" w:rsidRPr="00F7369B">
        <w:rPr>
          <w:rFonts w:cstheme="minorHAnsi"/>
          <w:iCs/>
        </w:rPr>
        <w:t>Therefore</w:t>
      </w:r>
      <w:r w:rsidR="00D94C5B" w:rsidRPr="00F7369B">
        <w:rPr>
          <w:rFonts w:cstheme="minorHAnsi"/>
          <w:iCs/>
        </w:rPr>
        <w:t>,</w:t>
      </w:r>
      <w:r w:rsidR="00BF6E0E" w:rsidRPr="00F7369B">
        <w:rPr>
          <w:rFonts w:cstheme="minorHAnsi"/>
          <w:iCs/>
        </w:rPr>
        <w:t xml:space="preserve"> </w:t>
      </w:r>
      <w:r w:rsidRPr="00F7369B">
        <w:rPr>
          <w:rFonts w:cstheme="minorHAnsi"/>
          <w:iCs/>
        </w:rPr>
        <w:t>MenQuadfi was non-inferior compared to Nimenrix for all serogroups in terms of the hSBA≥1:8 outcome, given that the chosen non-inferiority margin was set at -10%.</w:t>
      </w:r>
      <w:r w:rsidR="00BF6E0E" w:rsidRPr="00F7369B">
        <w:rPr>
          <w:rFonts w:cstheme="minorHAnsi"/>
          <w:i/>
          <w:iCs/>
        </w:rPr>
        <w:t xml:space="preserve"> </w:t>
      </w:r>
    </w:p>
    <w:p w:rsidR="00ED6F54" w:rsidRPr="00F7369B" w:rsidRDefault="00ED6F54" w:rsidP="00ED6F54">
      <w:pPr>
        <w:pStyle w:val="3-BodyText"/>
        <w:numPr>
          <w:ilvl w:val="0"/>
          <w:numId w:val="0"/>
        </w:numPr>
        <w:ind w:left="720"/>
        <w:rPr>
          <w:rFonts w:cstheme="minorHAnsi"/>
          <w:u w:val="single"/>
        </w:rPr>
      </w:pPr>
      <w:r w:rsidRPr="00F7369B">
        <w:rPr>
          <w:rFonts w:cstheme="minorHAnsi"/>
          <w:u w:val="single"/>
        </w:rPr>
        <w:t>For both meningococcal naïve children and MenC primed groups</w:t>
      </w:r>
      <w:r w:rsidR="00BF6E0E" w:rsidRPr="00F7369B">
        <w:rPr>
          <w:rFonts w:cstheme="minorHAnsi"/>
          <w:u w:val="single"/>
        </w:rPr>
        <w:t xml:space="preserve"> combined</w:t>
      </w:r>
      <w:r w:rsidRPr="00F7369B">
        <w:rPr>
          <w:rFonts w:cstheme="minorHAnsi"/>
          <w:u w:val="single"/>
        </w:rPr>
        <w:t xml:space="preserve">: </w:t>
      </w:r>
    </w:p>
    <w:p w:rsidR="00ED6F54" w:rsidRPr="00F7369B" w:rsidRDefault="00ED6F54" w:rsidP="00665877">
      <w:pPr>
        <w:pStyle w:val="3-BodyText"/>
        <w:numPr>
          <w:ilvl w:val="0"/>
          <w:numId w:val="12"/>
        </w:numPr>
        <w:ind w:left="1077" w:hanging="357"/>
        <w:rPr>
          <w:rFonts w:cstheme="minorHAnsi"/>
        </w:rPr>
      </w:pPr>
      <w:bookmarkStart w:id="16" w:name="_Hlk48413178"/>
      <w:r w:rsidRPr="00F7369B">
        <w:rPr>
          <w:rFonts w:cstheme="minorHAnsi"/>
        </w:rPr>
        <w:t xml:space="preserve">The seroresponse rates </w:t>
      </w:r>
      <w:r w:rsidR="00BF6E0E" w:rsidRPr="00F7369B">
        <w:rPr>
          <w:rFonts w:cstheme="minorHAnsi"/>
        </w:rPr>
        <w:t xml:space="preserve">for </w:t>
      </w:r>
      <w:r w:rsidRPr="00F7369B">
        <w:rPr>
          <w:rFonts w:cstheme="minorHAnsi"/>
        </w:rPr>
        <w:t>MenQuadfi were non-inferior compared with Nimenrix</w:t>
      </w:r>
      <w:r w:rsidR="00BF6E0E" w:rsidRPr="00F7369B">
        <w:rPr>
          <w:rFonts w:cstheme="minorHAnsi"/>
        </w:rPr>
        <w:t xml:space="preserve"> separately</w:t>
      </w:r>
      <w:r w:rsidRPr="00F7369B">
        <w:rPr>
          <w:rFonts w:cstheme="minorHAnsi"/>
        </w:rPr>
        <w:t xml:space="preserve"> for all four serogroups, given the non-inferiority margin of -10%. </w:t>
      </w:r>
    </w:p>
    <w:p w:rsidR="00ED6F54" w:rsidRPr="00F7369B" w:rsidRDefault="00ED6F54" w:rsidP="00665877">
      <w:pPr>
        <w:pStyle w:val="3-BodyText"/>
        <w:numPr>
          <w:ilvl w:val="0"/>
          <w:numId w:val="12"/>
        </w:numPr>
        <w:ind w:left="1077" w:hanging="357"/>
        <w:rPr>
          <w:rFonts w:cstheme="minorHAnsi"/>
        </w:rPr>
      </w:pPr>
      <w:r w:rsidRPr="00F7369B">
        <w:rPr>
          <w:rFonts w:cstheme="minorHAnsi"/>
        </w:rPr>
        <w:t xml:space="preserve">The proportion of children achieving hSBA≥1:8 for MenA </w:t>
      </w:r>
      <w:r w:rsidR="00BF6E0E" w:rsidRPr="00F7369B">
        <w:rPr>
          <w:rFonts w:cstheme="minorHAnsi"/>
        </w:rPr>
        <w:t>wa</w:t>
      </w:r>
      <w:r w:rsidRPr="00F7369B">
        <w:rPr>
          <w:rFonts w:cstheme="minorHAnsi"/>
        </w:rPr>
        <w:t xml:space="preserve">s lower in </w:t>
      </w:r>
      <w:r w:rsidR="00BF6E0E" w:rsidRPr="00F7369B">
        <w:rPr>
          <w:rFonts w:cstheme="minorHAnsi"/>
        </w:rPr>
        <w:t xml:space="preserve">the </w:t>
      </w:r>
      <w:r w:rsidRPr="00F7369B">
        <w:rPr>
          <w:rFonts w:cstheme="minorHAnsi"/>
        </w:rPr>
        <w:t xml:space="preserve">MenQuadfi group </w:t>
      </w:r>
      <w:r w:rsidR="00593D4E" w:rsidRPr="00F7369B">
        <w:rPr>
          <w:rFonts w:cstheme="minorHAnsi"/>
        </w:rPr>
        <w:t xml:space="preserve">(90%) </w:t>
      </w:r>
      <w:r w:rsidRPr="00F7369B">
        <w:rPr>
          <w:rFonts w:cstheme="minorHAnsi"/>
        </w:rPr>
        <w:t>compared with Nimenrix</w:t>
      </w:r>
      <w:r w:rsidR="00593D4E" w:rsidRPr="00F7369B">
        <w:rPr>
          <w:rFonts w:cstheme="minorHAnsi"/>
        </w:rPr>
        <w:t xml:space="preserve"> (92%)</w:t>
      </w:r>
      <w:r w:rsidRPr="00F7369B">
        <w:rPr>
          <w:rFonts w:cstheme="minorHAnsi"/>
        </w:rPr>
        <w:t xml:space="preserve">, but </w:t>
      </w:r>
      <w:r w:rsidR="00593D4E" w:rsidRPr="00F7369B">
        <w:rPr>
          <w:rFonts w:cstheme="minorHAnsi"/>
        </w:rPr>
        <w:t xml:space="preserve">the difference was </w:t>
      </w:r>
      <w:r w:rsidRPr="00F7369B">
        <w:rPr>
          <w:rFonts w:cstheme="minorHAnsi"/>
        </w:rPr>
        <w:t>not statistically significant (-2.03%, CI: -5.84%, 1.78%).</w:t>
      </w:r>
    </w:p>
    <w:p w:rsidR="00816862" w:rsidRPr="00F7369B" w:rsidRDefault="00816862" w:rsidP="00665877">
      <w:pPr>
        <w:pStyle w:val="ListBullet"/>
        <w:numPr>
          <w:ilvl w:val="0"/>
          <w:numId w:val="12"/>
        </w:numPr>
        <w:spacing w:after="120"/>
        <w:ind w:left="1077" w:hanging="357"/>
        <w:rPr>
          <w:rFonts w:asciiTheme="minorHAnsi" w:hAnsiTheme="minorHAnsi" w:cstheme="minorHAnsi"/>
        </w:rPr>
      </w:pPr>
      <w:r w:rsidRPr="00F7369B">
        <w:rPr>
          <w:rFonts w:asciiTheme="minorHAnsi" w:hAnsiTheme="minorHAnsi" w:cstheme="minorHAnsi"/>
        </w:rPr>
        <w:t xml:space="preserve">However, ATAGI </w:t>
      </w:r>
      <w:r w:rsidR="00593D4E" w:rsidRPr="00F7369B">
        <w:rPr>
          <w:rFonts w:asciiTheme="minorHAnsi" w:hAnsiTheme="minorHAnsi" w:cstheme="minorHAnsi"/>
        </w:rPr>
        <w:t>was</w:t>
      </w:r>
      <w:r w:rsidRPr="00F7369B">
        <w:rPr>
          <w:rFonts w:asciiTheme="minorHAnsi" w:hAnsiTheme="minorHAnsi" w:cstheme="minorHAnsi"/>
        </w:rPr>
        <w:t xml:space="preserve"> not concerned about the results for MenA (primed with MenC) because the</w:t>
      </w:r>
      <w:r w:rsidR="00327274" w:rsidRPr="00F7369B">
        <w:rPr>
          <w:rFonts w:asciiTheme="minorHAnsi" w:hAnsiTheme="minorHAnsi" w:cstheme="minorHAnsi"/>
        </w:rPr>
        <w:t>y</w:t>
      </w:r>
      <w:r w:rsidRPr="00F7369B">
        <w:rPr>
          <w:rFonts w:asciiTheme="minorHAnsi" w:hAnsiTheme="minorHAnsi" w:cstheme="minorHAnsi"/>
        </w:rPr>
        <w:t xml:space="preserve"> do not expect many Me</w:t>
      </w:r>
      <w:r w:rsidR="00593D4E" w:rsidRPr="00F7369B">
        <w:rPr>
          <w:rFonts w:asciiTheme="minorHAnsi" w:hAnsiTheme="minorHAnsi" w:cstheme="minorHAnsi"/>
        </w:rPr>
        <w:t>n</w:t>
      </w:r>
      <w:r w:rsidRPr="00F7369B">
        <w:rPr>
          <w:rFonts w:asciiTheme="minorHAnsi" w:hAnsiTheme="minorHAnsi" w:cstheme="minorHAnsi"/>
        </w:rPr>
        <w:t>C-primed infants in Australia and serogroup A disease is extremely rare in Australia</w:t>
      </w:r>
      <w:r w:rsidR="00F7369B">
        <w:rPr>
          <w:rFonts w:asciiTheme="minorHAnsi" w:hAnsiTheme="minorHAnsi" w:cstheme="minorHAnsi"/>
        </w:rPr>
        <w:t xml:space="preserve">. </w:t>
      </w:r>
    </w:p>
    <w:bookmarkEnd w:id="16"/>
    <w:p w:rsidR="00564C62" w:rsidRPr="00F7369B" w:rsidRDefault="003C1CC1" w:rsidP="00705B46">
      <w:pPr>
        <w:pStyle w:val="3-BodyText"/>
        <w:rPr>
          <w:rFonts w:cstheme="minorHAnsi"/>
        </w:rPr>
      </w:pPr>
      <w:r w:rsidRPr="00F7369B">
        <w:rPr>
          <w:rFonts w:cstheme="minorHAnsi"/>
        </w:rPr>
        <w:t>The MET54 trial showed that t</w:t>
      </w:r>
      <w:r w:rsidR="00564C62" w:rsidRPr="00F7369B">
        <w:rPr>
          <w:rFonts w:cstheme="minorHAnsi"/>
        </w:rPr>
        <w:t xml:space="preserve">he proportion of subjects achieving </w:t>
      </w:r>
      <w:r w:rsidR="003414A2" w:rsidRPr="00F7369B">
        <w:rPr>
          <w:rFonts w:cstheme="minorHAnsi"/>
        </w:rPr>
        <w:t>rSBA</w:t>
      </w:r>
      <w:r w:rsidR="00564C62" w:rsidRPr="00F7369B">
        <w:rPr>
          <w:rFonts w:cstheme="minorHAnsi"/>
        </w:rPr>
        <w:t xml:space="preserve">≥1:8 was higher in the MenQuadfi group (100%) compared with the Nimenrix group (98.8%) for MenC at 30 days post vaccination. All subjects achieved </w:t>
      </w:r>
      <w:r w:rsidR="003414A2" w:rsidRPr="00F7369B">
        <w:rPr>
          <w:rFonts w:cstheme="minorHAnsi"/>
        </w:rPr>
        <w:t>r</w:t>
      </w:r>
      <w:r w:rsidR="00564C62" w:rsidRPr="00F7369B">
        <w:rPr>
          <w:rFonts w:cstheme="minorHAnsi"/>
        </w:rPr>
        <w:t xml:space="preserve">SBA≥1:8 in the MenQuadfi group and the Nimenrix group </w:t>
      </w:r>
      <w:r w:rsidR="00593D4E" w:rsidRPr="00F7369B">
        <w:rPr>
          <w:rFonts w:cstheme="minorHAnsi"/>
        </w:rPr>
        <w:t>f</w:t>
      </w:r>
      <w:r w:rsidR="00564C62" w:rsidRPr="00F7369B">
        <w:rPr>
          <w:rFonts w:cstheme="minorHAnsi"/>
        </w:rPr>
        <w:t>or MenA, MenY, and MenW.</w:t>
      </w:r>
    </w:p>
    <w:p w:rsidR="00190F98" w:rsidRPr="00F7369B" w:rsidRDefault="00190F98" w:rsidP="00190F98">
      <w:pPr>
        <w:pStyle w:val="3-BodyText"/>
        <w:rPr>
          <w:rFonts w:cstheme="minorHAnsi"/>
        </w:rPr>
      </w:pPr>
      <w:r w:rsidRPr="00F7369B">
        <w:rPr>
          <w:rFonts w:cstheme="minorHAnsi"/>
        </w:rPr>
        <w:t xml:space="preserve">The MET50 trial compared MenQuadfi and Menveo in adolescents aged 11-17 years. </w:t>
      </w:r>
    </w:p>
    <w:p w:rsidR="00190F98" w:rsidRPr="00F7369B" w:rsidRDefault="00190F98" w:rsidP="00665877">
      <w:pPr>
        <w:pStyle w:val="3-BodyText"/>
        <w:numPr>
          <w:ilvl w:val="0"/>
          <w:numId w:val="13"/>
        </w:numPr>
        <w:ind w:left="1077" w:hanging="357"/>
        <w:rPr>
          <w:rFonts w:cstheme="minorHAnsi"/>
        </w:rPr>
      </w:pPr>
      <w:r w:rsidRPr="00F7369B">
        <w:rPr>
          <w:rFonts w:cstheme="minorHAnsi"/>
        </w:rPr>
        <w:t xml:space="preserve">The proportion of individuals </w:t>
      </w:r>
      <w:r w:rsidR="00BE6F2E" w:rsidRPr="00F7369B">
        <w:rPr>
          <w:rFonts w:cstheme="minorHAnsi"/>
        </w:rPr>
        <w:t xml:space="preserve">that </w:t>
      </w:r>
      <w:r w:rsidRPr="00F7369B">
        <w:rPr>
          <w:rFonts w:cstheme="minorHAnsi"/>
        </w:rPr>
        <w:t>achieved seroprotection</w:t>
      </w:r>
      <w:r w:rsidR="007C2F54" w:rsidRPr="00F7369B">
        <w:rPr>
          <w:rFonts w:cstheme="minorHAnsi"/>
        </w:rPr>
        <w:t xml:space="preserve"> </w:t>
      </w:r>
      <w:r w:rsidRPr="00F7369B">
        <w:rPr>
          <w:rFonts w:cstheme="minorHAnsi"/>
        </w:rPr>
        <w:t>(hSBA tit</w:t>
      </w:r>
      <w:r w:rsidR="00DD72FE" w:rsidRPr="00F7369B">
        <w:rPr>
          <w:rFonts w:cstheme="minorHAnsi"/>
        </w:rPr>
        <w:t>re</w:t>
      </w:r>
      <w:r w:rsidRPr="00F7369B">
        <w:rPr>
          <w:rFonts w:cstheme="minorHAnsi"/>
        </w:rPr>
        <w:t>s ≥ 1:8 for subjects with pre-vaccination hSBA tit</w:t>
      </w:r>
      <w:r w:rsidR="00DD72FE" w:rsidRPr="00F7369B">
        <w:rPr>
          <w:rFonts w:cstheme="minorHAnsi"/>
        </w:rPr>
        <w:t>re</w:t>
      </w:r>
      <w:r w:rsidRPr="00F7369B">
        <w:rPr>
          <w:rFonts w:cstheme="minorHAnsi"/>
        </w:rPr>
        <w:t>s &lt; 1:8 or at least a 4-fold increase in hSBA tit</w:t>
      </w:r>
      <w:r w:rsidR="00DD72FE" w:rsidRPr="00F7369B">
        <w:rPr>
          <w:rFonts w:cstheme="minorHAnsi"/>
        </w:rPr>
        <w:t>re</w:t>
      </w:r>
      <w:r w:rsidRPr="00F7369B">
        <w:rPr>
          <w:rFonts w:cstheme="minorHAnsi"/>
        </w:rPr>
        <w:t>s for subjects with pre-vaccination hSBA tit</w:t>
      </w:r>
      <w:r w:rsidR="00DD72FE" w:rsidRPr="00F7369B">
        <w:rPr>
          <w:rFonts w:cstheme="minorHAnsi"/>
        </w:rPr>
        <w:t>re</w:t>
      </w:r>
      <w:r w:rsidRPr="00F7369B">
        <w:rPr>
          <w:rFonts w:cstheme="minorHAnsi"/>
        </w:rPr>
        <w:t xml:space="preserve">s ≥ 1:8) in </w:t>
      </w:r>
      <w:r w:rsidR="00BF6E0E" w:rsidRPr="00F7369B">
        <w:rPr>
          <w:rFonts w:cstheme="minorHAnsi"/>
        </w:rPr>
        <w:t xml:space="preserve">the </w:t>
      </w:r>
      <w:r w:rsidRPr="00F7369B">
        <w:rPr>
          <w:rFonts w:cstheme="minorHAnsi"/>
        </w:rPr>
        <w:t>MenQuadfi group are higher compared with the Menveo group for all serogroups: serogroup A  (75.6% vs 66.4%), serogroup C (97.2% vs 72.6%), serogroup W (86.2% vs 66.6%)</w:t>
      </w:r>
      <w:r w:rsidR="00BE6F2E" w:rsidRPr="00F7369B">
        <w:rPr>
          <w:rFonts w:cstheme="minorHAnsi"/>
        </w:rPr>
        <w:t xml:space="preserve"> </w:t>
      </w:r>
      <w:r w:rsidRPr="00F7369B">
        <w:rPr>
          <w:rFonts w:cstheme="minorHAnsi"/>
        </w:rPr>
        <w:t>and serogroup Y (97.0% vs 80.8%) at 30 days post vaccination.</w:t>
      </w:r>
    </w:p>
    <w:p w:rsidR="00D54E6C" w:rsidRPr="00F7369B" w:rsidRDefault="00BF6E0E" w:rsidP="00665877">
      <w:pPr>
        <w:pStyle w:val="3-BodyText"/>
        <w:numPr>
          <w:ilvl w:val="0"/>
          <w:numId w:val="13"/>
        </w:numPr>
        <w:ind w:left="1077" w:hanging="357"/>
        <w:rPr>
          <w:rFonts w:cstheme="minorHAnsi"/>
          <w:i/>
          <w:iCs/>
        </w:rPr>
      </w:pPr>
      <w:r w:rsidRPr="00F7369B">
        <w:rPr>
          <w:rFonts w:cstheme="minorHAnsi"/>
        </w:rPr>
        <w:t>MenQuadfi was non-inferior to Menveo for each serotype, given that t</w:t>
      </w:r>
      <w:r w:rsidR="00190F98" w:rsidRPr="00F7369B">
        <w:rPr>
          <w:rFonts w:cstheme="minorHAnsi"/>
        </w:rPr>
        <w:t>he lower limit of the two-sided 95% CI of the difference of the seroprotection rate was greater than -10% for all four serogroups</w:t>
      </w:r>
      <w:r w:rsidR="00F7369B">
        <w:rPr>
          <w:rFonts w:cstheme="minorHAnsi"/>
        </w:rPr>
        <w:t xml:space="preserve">. </w:t>
      </w:r>
    </w:p>
    <w:p w:rsidR="00CE510A" w:rsidRPr="00F7369B" w:rsidRDefault="00CE510A" w:rsidP="00B776D2">
      <w:pPr>
        <w:keepNext/>
        <w:jc w:val="left"/>
        <w:rPr>
          <w:rStyle w:val="CommentReference"/>
          <w:rFonts w:cstheme="minorHAnsi"/>
        </w:rPr>
      </w:pPr>
      <w:r w:rsidRPr="00F7369B">
        <w:rPr>
          <w:rStyle w:val="CommentReference"/>
          <w:rFonts w:cstheme="minorHAnsi"/>
        </w:rPr>
        <w:t xml:space="preserve">Table </w:t>
      </w:r>
      <w:r w:rsidR="0013271B" w:rsidRPr="00F7369B">
        <w:rPr>
          <w:rStyle w:val="CommentReference"/>
          <w:rFonts w:cstheme="minorHAnsi"/>
        </w:rPr>
        <w:t>5</w:t>
      </w:r>
      <w:r w:rsidRPr="00F7369B">
        <w:rPr>
          <w:rStyle w:val="CommentReference"/>
          <w:rFonts w:cstheme="minorHAnsi"/>
        </w:rPr>
        <w:t>: Seroresponse at 1 month post-vaccination across the studies</w:t>
      </w:r>
    </w:p>
    <w:tbl>
      <w:tblPr>
        <w:tblStyle w:val="Submissionstandard"/>
        <w:tblW w:w="5000" w:type="pct"/>
        <w:jc w:val="center"/>
        <w:tblInd w:w="0" w:type="dxa"/>
        <w:tblLayout w:type="fixed"/>
        <w:tblCellMar>
          <w:left w:w="57" w:type="dxa"/>
          <w:right w:w="57" w:type="dxa"/>
        </w:tblCellMar>
        <w:tblLook w:val="04A0" w:firstRow="1" w:lastRow="0" w:firstColumn="1" w:lastColumn="0" w:noHBand="0" w:noVBand="1"/>
        <w:tblCaption w:val="Seroresponse at 1 month post-vaccination across the studies"/>
      </w:tblPr>
      <w:tblGrid>
        <w:gridCol w:w="944"/>
        <w:gridCol w:w="1604"/>
        <w:gridCol w:w="1417"/>
        <w:gridCol w:w="1417"/>
        <w:gridCol w:w="1134"/>
        <w:gridCol w:w="1134"/>
        <w:gridCol w:w="1367"/>
      </w:tblGrid>
      <w:tr w:rsidR="00665877" w:rsidRPr="00F7369B" w:rsidTr="00665877">
        <w:trPr>
          <w:cnfStyle w:val="100000000000" w:firstRow="1" w:lastRow="0" w:firstColumn="0" w:lastColumn="0" w:oddVBand="0" w:evenVBand="0" w:oddHBand="0" w:evenHBand="0" w:firstRowFirstColumn="0" w:firstRowLastColumn="0" w:lastRowFirstColumn="0" w:lastRowLastColumn="0"/>
          <w:tblHeader/>
          <w:jc w:val="center"/>
        </w:trPr>
        <w:tc>
          <w:tcPr>
            <w:tcW w:w="5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510A" w:rsidRPr="00F7369B" w:rsidRDefault="00CE510A" w:rsidP="00B776D2">
            <w:pPr>
              <w:pStyle w:val="TableLeft"/>
              <w:keepNext/>
              <w:rPr>
                <w:rFonts w:ascii="Arial Narrow" w:hAnsi="Arial Narrow" w:cstheme="minorHAnsi" w:hint="default"/>
                <w:szCs w:val="20"/>
                <w:lang w:val="en-AU"/>
              </w:rPr>
            </w:pPr>
            <w:r w:rsidRPr="00F7369B">
              <w:rPr>
                <w:rFonts w:ascii="Arial Narrow" w:hAnsi="Arial Narrow" w:cstheme="minorHAnsi" w:hint="default"/>
                <w:szCs w:val="20"/>
                <w:lang w:val="en-AU"/>
              </w:rPr>
              <w:t>Serogroup</w:t>
            </w:r>
          </w:p>
        </w:tc>
        <w:tc>
          <w:tcPr>
            <w:tcW w:w="88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E510A" w:rsidRPr="00F7369B" w:rsidRDefault="00CE510A" w:rsidP="00B776D2">
            <w:pPr>
              <w:pStyle w:val="TableLeft"/>
              <w:keepNext/>
              <w:rPr>
                <w:rFonts w:ascii="Arial Narrow" w:hAnsi="Arial Narrow" w:cstheme="minorHAnsi" w:hint="default"/>
                <w:szCs w:val="20"/>
                <w:lang w:val="en-AU"/>
              </w:rPr>
            </w:pPr>
            <w:r w:rsidRPr="00F7369B">
              <w:rPr>
                <w:rFonts w:ascii="Arial Narrow" w:hAnsi="Arial Narrow" w:cstheme="minorHAnsi" w:hint="default"/>
                <w:szCs w:val="20"/>
                <w:lang w:val="en-AU"/>
              </w:rPr>
              <w:t>Vaccine</w:t>
            </w:r>
          </w:p>
        </w:tc>
        <w:tc>
          <w:tcPr>
            <w:tcW w:w="15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510A" w:rsidRPr="00F7369B" w:rsidRDefault="00CE510A" w:rsidP="00B776D2">
            <w:pPr>
              <w:pStyle w:val="TableCentre"/>
              <w:keepNext/>
              <w:rPr>
                <w:rFonts w:ascii="Arial Narrow" w:hAnsi="Arial Narrow" w:cstheme="minorHAnsi" w:hint="default"/>
                <w:sz w:val="20"/>
                <w:szCs w:val="20"/>
                <w:lang w:val="en-AU"/>
              </w:rPr>
            </w:pPr>
            <w:r w:rsidRPr="00F7369B">
              <w:rPr>
                <w:rFonts w:ascii="Arial Narrow" w:hAnsi="Arial Narrow" w:cstheme="minorHAnsi" w:hint="default"/>
                <w:sz w:val="20"/>
                <w:szCs w:val="20"/>
                <w:lang w:val="en-AU"/>
              </w:rPr>
              <w:t>MET51</w:t>
            </w:r>
          </w:p>
          <w:p w:rsidR="00CE510A" w:rsidRPr="00F7369B" w:rsidRDefault="00CE510A" w:rsidP="00B776D2">
            <w:pPr>
              <w:pStyle w:val="TableCentre"/>
              <w:keepNext/>
              <w:rPr>
                <w:rFonts w:ascii="Arial Narrow" w:hAnsi="Arial Narrow" w:cstheme="minorHAnsi" w:hint="default"/>
                <w:b w:val="0"/>
                <w:sz w:val="20"/>
                <w:szCs w:val="20"/>
                <w:lang w:val="en-AU"/>
              </w:rPr>
            </w:pPr>
            <w:r w:rsidRPr="00F7369B">
              <w:rPr>
                <w:rFonts w:ascii="Arial Narrow" w:hAnsi="Arial Narrow" w:cstheme="minorHAnsi" w:hint="default"/>
                <w:sz w:val="20"/>
                <w:szCs w:val="20"/>
                <w:lang w:val="en-AU"/>
              </w:rPr>
              <w:t>12 -23 months</w:t>
            </w:r>
          </w:p>
          <w:p w:rsidR="00CE510A" w:rsidRPr="00F7369B" w:rsidRDefault="00CE510A" w:rsidP="00B776D2">
            <w:pPr>
              <w:pStyle w:val="TableCentre"/>
              <w:keepNext/>
              <w:rPr>
                <w:rFonts w:ascii="Arial Narrow" w:hAnsi="Arial Narrow" w:cstheme="minorHAnsi" w:hint="default"/>
                <w:sz w:val="20"/>
                <w:szCs w:val="20"/>
                <w:lang w:val="en-AU"/>
              </w:rPr>
            </w:pPr>
            <w:r w:rsidRPr="00F7369B">
              <w:rPr>
                <w:rFonts w:ascii="Arial Narrow" w:hAnsi="Arial Narrow" w:cstheme="minorHAnsi" w:hint="default"/>
                <w:sz w:val="20"/>
                <w:szCs w:val="20"/>
                <w:lang w:val="en-AU"/>
              </w:rPr>
              <w:t>vs Nimenrix</w:t>
            </w:r>
          </w:p>
          <w:p w:rsidR="00CE510A" w:rsidRPr="00F7369B" w:rsidRDefault="00CE510A" w:rsidP="00B776D2">
            <w:pPr>
              <w:pStyle w:val="TableCentre"/>
              <w:keepNext/>
              <w:rPr>
                <w:rStyle w:val="CommentReference"/>
                <w:rFonts w:cstheme="minorHAnsi" w:hint="default"/>
                <w:b/>
                <w:szCs w:val="20"/>
                <w:lang w:val="en-AU"/>
              </w:rPr>
            </w:pPr>
            <w:r w:rsidRPr="00F7369B">
              <w:rPr>
                <w:rStyle w:val="CommentReference"/>
                <w:rFonts w:cstheme="minorHAnsi" w:hint="default"/>
                <w:b/>
                <w:szCs w:val="20"/>
                <w:lang w:val="en-AU"/>
              </w:rPr>
              <w:t>n/</w:t>
            </w:r>
            <w:r w:rsidR="0061216C" w:rsidRPr="00F7369B">
              <w:rPr>
                <w:rStyle w:val="CommentReference"/>
                <w:rFonts w:cstheme="minorHAnsi" w:hint="default"/>
                <w:b/>
                <w:szCs w:val="20"/>
                <w:lang w:val="en-AU"/>
              </w:rPr>
              <w:t>M</w:t>
            </w:r>
            <w:r w:rsidR="00837B2A" w:rsidRPr="00F7369B">
              <w:rPr>
                <w:rStyle w:val="CommentReference"/>
                <w:rFonts w:cstheme="minorHAnsi" w:hint="default"/>
                <w:b/>
                <w:szCs w:val="20"/>
                <w:lang w:val="en-AU"/>
              </w:rPr>
              <w:t>,</w:t>
            </w:r>
            <w:r w:rsidRPr="00F7369B">
              <w:rPr>
                <w:rStyle w:val="CommentReference"/>
                <w:rFonts w:cstheme="minorHAnsi" w:hint="default"/>
                <w:b/>
                <w:szCs w:val="20"/>
                <w:lang w:val="en-AU"/>
              </w:rPr>
              <w:t xml:space="preserve"> %</w:t>
            </w:r>
            <w:r w:rsidR="00837B2A" w:rsidRPr="00F7369B">
              <w:rPr>
                <w:rStyle w:val="CommentReference"/>
                <w:rFonts w:cstheme="minorHAnsi" w:hint="default"/>
                <w:b/>
                <w:szCs w:val="20"/>
                <w:lang w:val="en-AU"/>
              </w:rPr>
              <w:t xml:space="preserve"> (95% CI)</w:t>
            </w:r>
          </w:p>
        </w:tc>
        <w:tc>
          <w:tcPr>
            <w:tcW w:w="12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E510A" w:rsidRPr="00F7369B" w:rsidRDefault="00CE510A" w:rsidP="00B776D2">
            <w:pPr>
              <w:pStyle w:val="TableCentre"/>
              <w:keepNext/>
              <w:rPr>
                <w:rStyle w:val="CommentReference"/>
                <w:rFonts w:cstheme="minorHAnsi" w:hint="default"/>
                <w:b/>
                <w:szCs w:val="20"/>
                <w:lang w:val="en-AU"/>
              </w:rPr>
            </w:pPr>
            <w:r w:rsidRPr="00F7369B">
              <w:rPr>
                <w:rStyle w:val="CommentReference"/>
                <w:rFonts w:cstheme="minorHAnsi" w:hint="default"/>
                <w:b/>
                <w:szCs w:val="20"/>
                <w:lang w:val="en-AU"/>
              </w:rPr>
              <w:t>MET54</w:t>
            </w:r>
          </w:p>
          <w:p w:rsidR="00CE510A" w:rsidRPr="00F7369B" w:rsidRDefault="00E21452" w:rsidP="00B776D2">
            <w:pPr>
              <w:pStyle w:val="TableCentre"/>
              <w:keepNext/>
              <w:rPr>
                <w:rStyle w:val="CommentReference"/>
                <w:rFonts w:cstheme="minorHAnsi" w:hint="default"/>
                <w:b/>
                <w:szCs w:val="20"/>
                <w:lang w:val="en-AU"/>
              </w:rPr>
            </w:pPr>
            <w:r w:rsidRPr="00F7369B">
              <w:rPr>
                <w:rStyle w:val="CommentReference"/>
                <w:rFonts w:cstheme="minorHAnsi" w:hint="default"/>
                <w:b/>
                <w:szCs w:val="20"/>
                <w:lang w:val="en-AU"/>
              </w:rPr>
              <w:t>12 – 23 months</w:t>
            </w:r>
          </w:p>
          <w:p w:rsidR="00CE510A" w:rsidRPr="00F7369B" w:rsidRDefault="00CE510A" w:rsidP="00B776D2">
            <w:pPr>
              <w:pStyle w:val="TableCentre"/>
              <w:keepNext/>
              <w:rPr>
                <w:rStyle w:val="CommentReference"/>
                <w:rFonts w:cstheme="minorHAnsi" w:hint="default"/>
                <w:b/>
                <w:szCs w:val="20"/>
                <w:lang w:val="en-AU"/>
              </w:rPr>
            </w:pPr>
            <w:r w:rsidRPr="00F7369B">
              <w:rPr>
                <w:rStyle w:val="CommentReference"/>
                <w:rFonts w:cstheme="minorHAnsi" w:hint="default"/>
                <w:b/>
                <w:szCs w:val="20"/>
                <w:lang w:val="en-AU"/>
              </w:rPr>
              <w:t xml:space="preserve">vs </w:t>
            </w:r>
            <w:r w:rsidRPr="00F7369B">
              <w:rPr>
                <w:rFonts w:ascii="Arial Narrow" w:hAnsi="Arial Narrow" w:cstheme="minorHAnsi" w:hint="default"/>
                <w:sz w:val="20"/>
                <w:szCs w:val="20"/>
                <w:lang w:val="en-AU"/>
              </w:rPr>
              <w:t>Nimenrix</w:t>
            </w:r>
          </w:p>
          <w:p w:rsidR="00CE510A" w:rsidRPr="00F7369B" w:rsidRDefault="00CE510A" w:rsidP="00B776D2">
            <w:pPr>
              <w:pStyle w:val="TableCentre"/>
              <w:keepNext/>
              <w:rPr>
                <w:rStyle w:val="CommentReference"/>
                <w:rFonts w:cstheme="minorHAnsi" w:hint="default"/>
                <w:b/>
                <w:szCs w:val="20"/>
                <w:lang w:val="en-AU"/>
              </w:rPr>
            </w:pPr>
            <w:r w:rsidRPr="00F7369B">
              <w:rPr>
                <w:rStyle w:val="CommentReference"/>
                <w:rFonts w:cstheme="minorHAnsi" w:hint="default"/>
                <w:b/>
                <w:szCs w:val="20"/>
                <w:lang w:val="en-AU"/>
              </w:rPr>
              <w:t>n/</w:t>
            </w:r>
            <w:r w:rsidR="0061216C" w:rsidRPr="00F7369B">
              <w:rPr>
                <w:rStyle w:val="CommentReference"/>
                <w:rFonts w:cstheme="minorHAnsi" w:hint="default"/>
                <w:b/>
                <w:szCs w:val="20"/>
                <w:lang w:val="en-AU"/>
              </w:rPr>
              <w:t>M</w:t>
            </w:r>
            <w:r w:rsidR="00837B2A" w:rsidRPr="00F7369B">
              <w:rPr>
                <w:rStyle w:val="CommentReference"/>
                <w:rFonts w:cstheme="minorHAnsi" w:hint="default"/>
                <w:b/>
                <w:szCs w:val="20"/>
                <w:lang w:val="en-AU"/>
              </w:rPr>
              <w:t>,</w:t>
            </w:r>
            <w:r w:rsidRPr="00F7369B">
              <w:rPr>
                <w:rStyle w:val="CommentReference"/>
                <w:rFonts w:cstheme="minorHAnsi" w:hint="default"/>
                <w:b/>
                <w:szCs w:val="20"/>
                <w:lang w:val="en-AU"/>
              </w:rPr>
              <w:t xml:space="preserve"> % (95% CI)</w:t>
            </w:r>
          </w:p>
        </w:tc>
        <w:tc>
          <w:tcPr>
            <w:tcW w:w="758" w:type="pct"/>
            <w:tcBorders>
              <w:top w:val="single" w:sz="4" w:space="0" w:color="auto"/>
              <w:left w:val="single" w:sz="4" w:space="0" w:color="auto"/>
              <w:bottom w:val="single" w:sz="4" w:space="0" w:color="auto"/>
              <w:right w:val="single" w:sz="4" w:space="0" w:color="auto"/>
            </w:tcBorders>
            <w:shd w:val="clear" w:color="auto" w:fill="auto"/>
          </w:tcPr>
          <w:p w:rsidR="00CE510A" w:rsidRPr="00F7369B" w:rsidRDefault="00CE510A" w:rsidP="00B776D2">
            <w:pPr>
              <w:pStyle w:val="TableCentre"/>
              <w:keepNext/>
              <w:rPr>
                <w:rStyle w:val="CommentReference"/>
                <w:rFonts w:cstheme="minorHAnsi" w:hint="default"/>
                <w:b/>
                <w:szCs w:val="20"/>
                <w:lang w:val="en-AU"/>
              </w:rPr>
            </w:pPr>
            <w:r w:rsidRPr="00F7369B">
              <w:rPr>
                <w:rStyle w:val="CommentReference"/>
                <w:rFonts w:cstheme="minorHAnsi" w:hint="default"/>
                <w:b/>
                <w:szCs w:val="20"/>
                <w:lang w:val="en-AU"/>
              </w:rPr>
              <w:t>MET50</w:t>
            </w:r>
          </w:p>
          <w:p w:rsidR="00CE510A" w:rsidRPr="00F7369B" w:rsidRDefault="00CE510A" w:rsidP="00B776D2">
            <w:pPr>
              <w:pStyle w:val="TableCentre"/>
              <w:keepNext/>
              <w:rPr>
                <w:rStyle w:val="CommentReference"/>
                <w:rFonts w:cstheme="minorHAnsi" w:hint="default"/>
                <w:b/>
                <w:szCs w:val="20"/>
                <w:lang w:val="en-AU"/>
              </w:rPr>
            </w:pPr>
            <w:r w:rsidRPr="00F7369B">
              <w:rPr>
                <w:rStyle w:val="CommentReference"/>
                <w:rFonts w:cstheme="minorHAnsi" w:hint="default"/>
                <w:b/>
                <w:szCs w:val="20"/>
                <w:lang w:val="en-AU"/>
              </w:rPr>
              <w:t>1</w:t>
            </w:r>
            <w:r w:rsidR="005F4687" w:rsidRPr="00F7369B">
              <w:rPr>
                <w:rStyle w:val="CommentReference"/>
                <w:rFonts w:cstheme="minorHAnsi" w:hint="default"/>
                <w:b/>
                <w:szCs w:val="20"/>
                <w:lang w:val="en-AU"/>
              </w:rPr>
              <w:t>0</w:t>
            </w:r>
            <w:r w:rsidRPr="00F7369B">
              <w:rPr>
                <w:rStyle w:val="CommentReference"/>
                <w:rFonts w:cstheme="minorHAnsi" w:hint="default"/>
                <w:b/>
                <w:szCs w:val="20"/>
                <w:lang w:val="en-AU"/>
              </w:rPr>
              <w:t>-17 years</w:t>
            </w:r>
          </w:p>
          <w:p w:rsidR="00CE510A" w:rsidRPr="00F7369B" w:rsidRDefault="00CE510A" w:rsidP="00B776D2">
            <w:pPr>
              <w:pStyle w:val="TableCentre"/>
              <w:keepNext/>
              <w:rPr>
                <w:rStyle w:val="CommentReference"/>
                <w:rFonts w:cstheme="minorHAnsi" w:hint="default"/>
                <w:b/>
                <w:szCs w:val="20"/>
                <w:lang w:val="en-AU"/>
              </w:rPr>
            </w:pPr>
            <w:r w:rsidRPr="00F7369B">
              <w:rPr>
                <w:rStyle w:val="CommentReference"/>
                <w:rFonts w:cstheme="minorHAnsi" w:hint="default"/>
                <w:b/>
                <w:szCs w:val="20"/>
                <w:lang w:val="en-AU"/>
              </w:rPr>
              <w:t>vs Menveo</w:t>
            </w:r>
          </w:p>
          <w:p w:rsidR="00CE510A" w:rsidRPr="00F7369B" w:rsidRDefault="00CE510A" w:rsidP="00B776D2">
            <w:pPr>
              <w:pStyle w:val="TableCentre"/>
              <w:keepNext/>
              <w:rPr>
                <w:rStyle w:val="CommentReference"/>
                <w:rFonts w:cstheme="minorHAnsi" w:hint="default"/>
                <w:b/>
                <w:szCs w:val="20"/>
                <w:lang w:val="en-AU"/>
              </w:rPr>
            </w:pPr>
            <w:r w:rsidRPr="00F7369B">
              <w:rPr>
                <w:rStyle w:val="CommentReference"/>
                <w:rFonts w:cstheme="minorHAnsi" w:hint="default"/>
                <w:b/>
                <w:szCs w:val="20"/>
                <w:lang w:val="en-AU"/>
              </w:rPr>
              <w:t>n/</w:t>
            </w:r>
            <w:r w:rsidR="0061216C" w:rsidRPr="00F7369B">
              <w:rPr>
                <w:rStyle w:val="CommentReference"/>
                <w:rFonts w:cstheme="minorHAnsi" w:hint="default"/>
                <w:b/>
                <w:szCs w:val="20"/>
                <w:lang w:val="en-AU"/>
              </w:rPr>
              <w:t>M</w:t>
            </w:r>
            <w:r w:rsidR="00837B2A" w:rsidRPr="00F7369B">
              <w:rPr>
                <w:rStyle w:val="CommentReference"/>
                <w:rFonts w:cstheme="minorHAnsi" w:hint="default"/>
                <w:b/>
                <w:szCs w:val="20"/>
                <w:lang w:val="en-AU"/>
              </w:rPr>
              <w:t>,</w:t>
            </w:r>
            <w:r w:rsidRPr="00F7369B">
              <w:rPr>
                <w:rStyle w:val="CommentReference"/>
                <w:rFonts w:cstheme="minorHAnsi" w:hint="default"/>
                <w:b/>
                <w:szCs w:val="20"/>
                <w:lang w:val="en-AU"/>
              </w:rPr>
              <w:t xml:space="preserve"> % (95% CI)</w:t>
            </w:r>
          </w:p>
        </w:tc>
      </w:tr>
      <w:tr w:rsidR="00665877" w:rsidRPr="00F7369B" w:rsidTr="00665877">
        <w:trPr>
          <w:cnfStyle w:val="100000000000" w:firstRow="1" w:lastRow="0" w:firstColumn="0" w:lastColumn="0" w:oddVBand="0" w:evenVBand="0" w:oddHBand="0" w:evenHBand="0" w:firstRowFirstColumn="0" w:firstRowLastColumn="0" w:lastRowFirstColumn="0" w:lastRowLastColumn="0"/>
          <w:tblHeader/>
          <w:jc w:val="center"/>
        </w:trPr>
        <w:tc>
          <w:tcPr>
            <w:tcW w:w="5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510A" w:rsidRPr="00F7369B" w:rsidRDefault="00CE510A" w:rsidP="00B776D2">
            <w:pPr>
              <w:keepNext/>
              <w:jc w:val="left"/>
              <w:rPr>
                <w:rFonts w:ascii="Arial Narrow" w:hAnsi="Arial Narrow" w:cstheme="minorHAnsi" w:hint="default"/>
                <w:b w:val="0"/>
                <w:sz w:val="20"/>
                <w:szCs w:val="20"/>
                <w:lang w:val="en-AU"/>
              </w:rPr>
            </w:pPr>
          </w:p>
        </w:tc>
        <w:tc>
          <w:tcPr>
            <w:tcW w:w="889" w:type="pct"/>
            <w:vMerge/>
            <w:tcBorders>
              <w:top w:val="single" w:sz="4" w:space="0" w:color="auto"/>
              <w:left w:val="single" w:sz="4" w:space="0" w:color="auto"/>
              <w:bottom w:val="single" w:sz="4" w:space="0" w:color="auto"/>
              <w:right w:val="single" w:sz="4" w:space="0" w:color="auto"/>
            </w:tcBorders>
            <w:shd w:val="clear" w:color="auto" w:fill="auto"/>
            <w:vAlign w:val="center"/>
          </w:tcPr>
          <w:p w:rsidR="00CE510A" w:rsidRPr="00F7369B" w:rsidRDefault="00CE510A" w:rsidP="00B776D2">
            <w:pPr>
              <w:keepNext/>
              <w:jc w:val="left"/>
              <w:rPr>
                <w:rFonts w:ascii="Arial Narrow" w:hAnsi="Arial Narrow" w:cstheme="minorHAnsi" w:hint="default"/>
                <w:b w:val="0"/>
                <w:sz w:val="20"/>
                <w:szCs w:val="20"/>
                <w:lang w:val="en-AU"/>
              </w:rPr>
            </w:pPr>
          </w:p>
        </w:tc>
        <w:tc>
          <w:tcPr>
            <w:tcW w:w="15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E510A" w:rsidRPr="00F7369B" w:rsidRDefault="00CE510A" w:rsidP="00B776D2">
            <w:pPr>
              <w:pStyle w:val="TableCentre"/>
              <w:keepNext/>
              <w:rPr>
                <w:rFonts w:ascii="Arial Narrow" w:hAnsi="Arial Narrow" w:cstheme="minorHAnsi" w:hint="default"/>
                <w:bCs/>
                <w:sz w:val="20"/>
                <w:szCs w:val="20"/>
                <w:lang w:val="en-AU"/>
              </w:rPr>
            </w:pPr>
            <w:r w:rsidRPr="00F7369B">
              <w:rPr>
                <w:rFonts w:ascii="Arial Narrow" w:hAnsi="Arial Narrow" w:cstheme="minorHAnsi" w:hint="default"/>
                <w:bCs/>
                <w:sz w:val="20"/>
                <w:szCs w:val="20"/>
                <w:lang w:val="en-AU"/>
              </w:rPr>
              <w:t>hSBA</w:t>
            </w:r>
            <w:r w:rsidR="00B776D2">
              <w:rPr>
                <w:rFonts w:ascii="Arial Narrow" w:hAnsi="Arial Narrow" w:cstheme="minorHAnsi" w:hint="default"/>
                <w:bCs/>
                <w:sz w:val="20"/>
                <w:szCs w:val="20"/>
                <w:lang w:val="en-AU"/>
              </w:rPr>
              <w:t xml:space="preserve"> </w:t>
            </w:r>
            <w:r w:rsidRPr="00F7369B">
              <w:rPr>
                <w:rFonts w:ascii="Arial Narrow" w:hAnsi="Arial Narrow" w:cstheme="minorHAnsi" w:hint="default"/>
                <w:bCs/>
                <w:sz w:val="20"/>
                <w:szCs w:val="20"/>
                <w:lang w:val="en-AU"/>
              </w:rPr>
              <w:t>≥</w:t>
            </w:r>
            <w:r w:rsidR="00B776D2">
              <w:rPr>
                <w:rFonts w:ascii="Arial Narrow" w:hAnsi="Arial Narrow" w:cstheme="minorHAnsi" w:hint="default"/>
                <w:bCs/>
                <w:sz w:val="20"/>
                <w:szCs w:val="20"/>
                <w:lang w:val="en-AU"/>
              </w:rPr>
              <w:t xml:space="preserve"> </w:t>
            </w:r>
            <w:r w:rsidRPr="00F7369B">
              <w:rPr>
                <w:rFonts w:ascii="Arial Narrow" w:hAnsi="Arial Narrow" w:cstheme="minorHAnsi" w:hint="default"/>
                <w:bCs/>
                <w:sz w:val="20"/>
                <w:szCs w:val="20"/>
                <w:lang w:val="en-AU"/>
              </w:rPr>
              <w:t>1:8</w:t>
            </w:r>
          </w:p>
        </w:tc>
        <w:tc>
          <w:tcPr>
            <w:tcW w:w="1258" w:type="pct"/>
            <w:gridSpan w:val="2"/>
            <w:tcBorders>
              <w:top w:val="single" w:sz="4" w:space="0" w:color="auto"/>
              <w:left w:val="single" w:sz="4" w:space="0" w:color="auto"/>
              <w:right w:val="single" w:sz="4" w:space="0" w:color="auto"/>
            </w:tcBorders>
            <w:shd w:val="clear" w:color="auto" w:fill="auto"/>
            <w:vAlign w:val="center"/>
          </w:tcPr>
          <w:p w:rsidR="00CE510A" w:rsidRPr="00F7369B" w:rsidRDefault="00CE510A" w:rsidP="00B776D2">
            <w:pPr>
              <w:pStyle w:val="TableCentre"/>
              <w:keepNext/>
              <w:rPr>
                <w:rStyle w:val="Small"/>
                <w:rFonts w:ascii="Arial Narrow" w:hAnsi="Arial Narrow" w:cstheme="minorHAnsi" w:hint="default"/>
                <w:bCs/>
                <w:sz w:val="20"/>
                <w:szCs w:val="20"/>
                <w:lang w:val="en-AU"/>
              </w:rPr>
            </w:pPr>
            <w:r w:rsidRPr="00F7369B">
              <w:rPr>
                <w:rStyle w:val="Small"/>
                <w:rFonts w:ascii="Arial Narrow" w:hAnsi="Arial Narrow" w:cstheme="minorHAnsi" w:hint="default"/>
                <w:bCs/>
                <w:sz w:val="20"/>
                <w:szCs w:val="20"/>
                <w:lang w:val="en-AU"/>
              </w:rPr>
              <w:t>rSBA GMT</w:t>
            </w:r>
          </w:p>
          <w:p w:rsidR="00CE510A" w:rsidRPr="00F7369B" w:rsidRDefault="00CE510A" w:rsidP="00B776D2">
            <w:pPr>
              <w:pStyle w:val="TableCentre"/>
              <w:keepNext/>
              <w:rPr>
                <w:rFonts w:ascii="Arial Narrow" w:hAnsi="Arial Narrow" w:cstheme="minorHAnsi" w:hint="default"/>
                <w:bCs/>
                <w:sz w:val="20"/>
                <w:szCs w:val="20"/>
                <w:lang w:val="en-AU"/>
              </w:rPr>
            </w:pPr>
            <w:r w:rsidRPr="00F7369B">
              <w:rPr>
                <w:rFonts w:ascii="Arial Narrow" w:hAnsi="Arial Narrow" w:cstheme="minorHAnsi" w:hint="default"/>
                <w:bCs/>
                <w:sz w:val="20"/>
                <w:szCs w:val="20"/>
                <w:lang w:val="en-AU"/>
              </w:rPr>
              <w:t>≥</w:t>
            </w:r>
            <w:r w:rsidR="00B776D2">
              <w:rPr>
                <w:rFonts w:ascii="Arial Narrow" w:hAnsi="Arial Narrow" w:cstheme="minorHAnsi" w:hint="default"/>
                <w:bCs/>
                <w:sz w:val="20"/>
                <w:szCs w:val="20"/>
                <w:lang w:val="en-AU"/>
              </w:rPr>
              <w:t xml:space="preserve"> </w:t>
            </w:r>
            <w:r w:rsidRPr="00F7369B">
              <w:rPr>
                <w:rFonts w:ascii="Arial Narrow" w:hAnsi="Arial Narrow" w:cstheme="minorHAnsi" w:hint="default"/>
                <w:bCs/>
                <w:sz w:val="20"/>
                <w:szCs w:val="20"/>
                <w:lang w:val="en-AU"/>
              </w:rPr>
              <w:t>1:8</w:t>
            </w:r>
          </w:p>
        </w:tc>
        <w:tc>
          <w:tcPr>
            <w:tcW w:w="758" w:type="pct"/>
            <w:tcBorders>
              <w:top w:val="single" w:sz="4" w:space="0" w:color="auto"/>
              <w:left w:val="single" w:sz="4" w:space="0" w:color="auto"/>
              <w:right w:val="single" w:sz="4" w:space="0" w:color="auto"/>
            </w:tcBorders>
            <w:shd w:val="clear" w:color="auto" w:fill="auto"/>
          </w:tcPr>
          <w:p w:rsidR="00CE510A" w:rsidRPr="00F7369B" w:rsidRDefault="00CE510A" w:rsidP="00B776D2">
            <w:pPr>
              <w:pStyle w:val="TableCentre"/>
              <w:keepNext/>
              <w:rPr>
                <w:rFonts w:ascii="Arial Narrow" w:hAnsi="Arial Narrow" w:cstheme="minorHAnsi" w:hint="default"/>
                <w:bCs/>
                <w:sz w:val="20"/>
                <w:szCs w:val="20"/>
                <w:lang w:val="en-AU"/>
              </w:rPr>
            </w:pPr>
            <w:r w:rsidRPr="00F7369B">
              <w:rPr>
                <w:rFonts w:ascii="Arial Narrow" w:hAnsi="Arial Narrow" w:cstheme="minorHAnsi" w:hint="default"/>
                <w:bCs/>
                <w:sz w:val="20"/>
                <w:szCs w:val="20"/>
                <w:lang w:val="en-AU"/>
              </w:rPr>
              <w:t>hSBA</w:t>
            </w:r>
            <w:r w:rsidR="00B776D2">
              <w:rPr>
                <w:rFonts w:ascii="Arial Narrow" w:hAnsi="Arial Narrow" w:cstheme="minorHAnsi" w:hint="default"/>
                <w:bCs/>
                <w:sz w:val="20"/>
                <w:szCs w:val="20"/>
                <w:lang w:val="en-AU"/>
              </w:rPr>
              <w:t xml:space="preserve"> </w:t>
            </w:r>
            <w:r w:rsidRPr="00F7369B">
              <w:rPr>
                <w:rFonts w:ascii="Arial Narrow" w:hAnsi="Arial Narrow" w:cstheme="minorHAnsi" w:hint="default"/>
                <w:bCs/>
                <w:sz w:val="20"/>
                <w:szCs w:val="20"/>
                <w:lang w:val="en-AU"/>
              </w:rPr>
              <w:t>≥</w:t>
            </w:r>
            <w:r w:rsidR="00B776D2">
              <w:rPr>
                <w:rFonts w:ascii="Arial Narrow" w:hAnsi="Arial Narrow" w:cstheme="minorHAnsi" w:hint="default"/>
                <w:bCs/>
                <w:sz w:val="20"/>
                <w:szCs w:val="20"/>
                <w:lang w:val="en-AU"/>
              </w:rPr>
              <w:t xml:space="preserve"> </w:t>
            </w:r>
            <w:r w:rsidRPr="00F7369B">
              <w:rPr>
                <w:rFonts w:ascii="Arial Narrow" w:hAnsi="Arial Narrow" w:cstheme="minorHAnsi" w:hint="default"/>
                <w:bCs/>
                <w:sz w:val="20"/>
                <w:szCs w:val="20"/>
                <w:lang w:val="en-AU"/>
              </w:rPr>
              <w:t>1:8</w:t>
            </w:r>
          </w:p>
          <w:p w:rsidR="00CE510A" w:rsidRPr="00F7369B" w:rsidRDefault="00CE510A" w:rsidP="00B776D2">
            <w:pPr>
              <w:pStyle w:val="TableCentre"/>
              <w:keepNext/>
              <w:rPr>
                <w:rStyle w:val="Small"/>
                <w:rFonts w:ascii="Arial Narrow" w:hAnsi="Arial Narrow" w:cstheme="minorHAnsi" w:hint="default"/>
                <w:bCs/>
                <w:sz w:val="20"/>
                <w:szCs w:val="20"/>
                <w:lang w:val="en-AU"/>
              </w:rPr>
            </w:pPr>
            <w:r w:rsidRPr="00F7369B">
              <w:rPr>
                <w:rFonts w:ascii="Arial Narrow" w:hAnsi="Arial Narrow" w:cstheme="minorHAnsi" w:hint="default"/>
                <w:bCs/>
                <w:sz w:val="20"/>
                <w:szCs w:val="20"/>
                <w:lang w:val="en-AU"/>
              </w:rPr>
              <w:t>or 4-</w:t>
            </w:r>
            <w:r w:rsidR="00B776D2">
              <w:rPr>
                <w:rFonts w:ascii="Arial Narrow" w:hAnsi="Arial Narrow" w:cstheme="minorHAnsi" w:hint="default"/>
                <w:bCs/>
                <w:sz w:val="20"/>
                <w:szCs w:val="20"/>
                <w:lang w:val="en-AU"/>
              </w:rPr>
              <w:t>X</w:t>
            </w:r>
            <w:r w:rsidRPr="00F7369B">
              <w:rPr>
                <w:rFonts w:ascii="Arial Narrow" w:hAnsi="Arial Narrow" w:cstheme="minorHAnsi" w:hint="default"/>
                <w:bCs/>
                <w:sz w:val="20"/>
                <w:szCs w:val="20"/>
                <w:lang w:val="en-AU"/>
              </w:rPr>
              <w:t xml:space="preserve"> increase</w:t>
            </w:r>
          </w:p>
        </w:tc>
      </w:tr>
      <w:tr w:rsidR="00665877" w:rsidRPr="00F7369B" w:rsidTr="00665877">
        <w:trPr>
          <w:cnfStyle w:val="100000000000" w:firstRow="1" w:lastRow="0" w:firstColumn="0" w:lastColumn="0" w:oddVBand="0" w:evenVBand="0" w:oddHBand="0" w:evenHBand="0" w:firstRowFirstColumn="0" w:firstRowLastColumn="0" w:lastRowFirstColumn="0" w:lastRowLastColumn="0"/>
          <w:trHeight w:val="469"/>
          <w:tblHeader/>
          <w:jc w:val="center"/>
        </w:trPr>
        <w:tc>
          <w:tcPr>
            <w:tcW w:w="5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B776D2">
            <w:pPr>
              <w:keepNext/>
              <w:jc w:val="left"/>
              <w:rPr>
                <w:rFonts w:ascii="Arial Narrow" w:hAnsi="Arial Narrow" w:cstheme="minorHAnsi" w:hint="default"/>
                <w:b w:val="0"/>
                <w:sz w:val="20"/>
                <w:szCs w:val="20"/>
                <w:lang w:val="en-AU"/>
              </w:rPr>
            </w:pPr>
          </w:p>
        </w:tc>
        <w:tc>
          <w:tcPr>
            <w:tcW w:w="889" w:type="pct"/>
            <w:vMerge/>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B776D2">
            <w:pPr>
              <w:keepNext/>
              <w:jc w:val="left"/>
              <w:rPr>
                <w:rFonts w:ascii="Arial Narrow" w:hAnsi="Arial Narrow" w:cstheme="minorHAnsi" w:hint="default"/>
                <w:b w:val="0"/>
                <w:sz w:val="20"/>
                <w:szCs w:val="20"/>
                <w:lang w:val="en-AU"/>
              </w:rPr>
            </w:pP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D33802" w:rsidP="00B776D2">
            <w:pPr>
              <w:pStyle w:val="TableCentre"/>
              <w:keepNext/>
              <w:rPr>
                <w:rFonts w:ascii="Arial Narrow" w:hAnsi="Arial Narrow" w:cstheme="minorHAnsi" w:hint="default"/>
                <w:bCs/>
                <w:sz w:val="20"/>
                <w:szCs w:val="20"/>
                <w:lang w:val="en-AU"/>
              </w:rPr>
            </w:pPr>
            <w:r w:rsidRPr="00F7369B">
              <w:rPr>
                <w:rFonts w:ascii="Arial Narrow" w:hAnsi="Arial Narrow" w:cstheme="minorHAnsi" w:hint="default"/>
                <w:bCs/>
                <w:sz w:val="20"/>
                <w:szCs w:val="20"/>
                <w:lang w:val="en-AU"/>
              </w:rPr>
              <w:t>Vaccine n</w:t>
            </w:r>
            <w:r w:rsidR="00661226" w:rsidRPr="00F7369B">
              <w:rPr>
                <w:rFonts w:ascii="Arial Narrow" w:hAnsi="Arial Narrow" w:cstheme="minorHAnsi" w:hint="default"/>
                <w:bCs/>
                <w:sz w:val="20"/>
                <w:szCs w:val="20"/>
                <w:lang w:val="en-AU"/>
              </w:rPr>
              <w:t>aïve</w:t>
            </w:r>
          </w:p>
          <w:p w:rsidR="0061216C" w:rsidRPr="00F7369B" w:rsidRDefault="0061216C" w:rsidP="00B776D2">
            <w:pPr>
              <w:pStyle w:val="TableCentre"/>
              <w:keepNext/>
              <w:rPr>
                <w:rFonts w:ascii="Arial Narrow" w:eastAsia="Times New Roman" w:hAnsi="Arial Narrow" w:cstheme="minorHAnsi" w:hint="default"/>
                <w:bCs/>
                <w:sz w:val="20"/>
                <w:szCs w:val="20"/>
                <w:lang w:val="en-AU" w:eastAsia="en-AU"/>
              </w:rPr>
            </w:pPr>
            <w:r w:rsidRPr="00F7369B">
              <w:rPr>
                <w:rFonts w:ascii="Arial Narrow" w:hAnsi="Arial Narrow" w:cstheme="minorHAnsi" w:hint="default"/>
                <w:bCs/>
                <w:sz w:val="20"/>
                <w:szCs w:val="20"/>
                <w:lang w:val="en-AU"/>
              </w:rPr>
              <w:t>Day 30</w:t>
            </w:r>
          </w:p>
        </w:tc>
        <w:tc>
          <w:tcPr>
            <w:tcW w:w="786" w:type="pct"/>
            <w:tcBorders>
              <w:left w:val="single" w:sz="4" w:space="0" w:color="auto"/>
              <w:bottom w:val="single" w:sz="4" w:space="0" w:color="auto"/>
              <w:right w:val="single" w:sz="4" w:space="0" w:color="auto"/>
            </w:tcBorders>
            <w:shd w:val="clear" w:color="auto" w:fill="auto"/>
            <w:vAlign w:val="center"/>
          </w:tcPr>
          <w:p w:rsidR="00661226" w:rsidRPr="00F7369B" w:rsidRDefault="00661226" w:rsidP="00B776D2">
            <w:pPr>
              <w:pStyle w:val="TableCentre"/>
              <w:keepNext/>
              <w:rPr>
                <w:rFonts w:ascii="Arial Narrow" w:hAnsi="Arial Narrow" w:cstheme="minorHAnsi" w:hint="default"/>
                <w:bCs/>
                <w:sz w:val="20"/>
                <w:szCs w:val="20"/>
                <w:lang w:val="en-AU"/>
              </w:rPr>
            </w:pPr>
            <w:r w:rsidRPr="00F7369B">
              <w:rPr>
                <w:rFonts w:ascii="Arial Narrow" w:hAnsi="Arial Narrow" w:cstheme="minorHAnsi" w:hint="default"/>
                <w:bCs/>
                <w:sz w:val="20"/>
                <w:szCs w:val="20"/>
                <w:lang w:val="en-AU"/>
              </w:rPr>
              <w:t xml:space="preserve">Both Naïve and MenC-primed  </w:t>
            </w:r>
          </w:p>
          <w:p w:rsidR="0061216C" w:rsidRPr="00F7369B" w:rsidRDefault="0061216C" w:rsidP="00B776D2">
            <w:pPr>
              <w:pStyle w:val="TableCentre"/>
              <w:keepNext/>
              <w:rPr>
                <w:rFonts w:ascii="Arial Narrow" w:hAnsi="Arial Narrow" w:cstheme="minorHAnsi" w:hint="default"/>
                <w:bCs/>
                <w:sz w:val="20"/>
                <w:szCs w:val="20"/>
                <w:lang w:val="en-AU"/>
              </w:rPr>
            </w:pPr>
            <w:r w:rsidRPr="00F7369B">
              <w:rPr>
                <w:rFonts w:ascii="Arial Narrow" w:hAnsi="Arial Narrow" w:cstheme="minorHAnsi" w:hint="default"/>
                <w:bCs/>
                <w:sz w:val="20"/>
                <w:szCs w:val="20"/>
                <w:lang w:val="en-AU"/>
              </w:rPr>
              <w:t>Day 30</w:t>
            </w:r>
          </w:p>
        </w:tc>
        <w:tc>
          <w:tcPr>
            <w:tcW w:w="629" w:type="pct"/>
            <w:tcBorders>
              <w:left w:val="single" w:sz="4" w:space="0" w:color="auto"/>
              <w:bottom w:val="single" w:sz="4" w:space="0" w:color="auto"/>
              <w:right w:val="single" w:sz="4" w:space="0" w:color="auto"/>
            </w:tcBorders>
            <w:shd w:val="clear" w:color="auto" w:fill="auto"/>
            <w:vAlign w:val="center"/>
          </w:tcPr>
          <w:p w:rsidR="00661226" w:rsidRPr="00F7369B" w:rsidRDefault="00661226" w:rsidP="00B776D2">
            <w:pPr>
              <w:pStyle w:val="TableCentre"/>
              <w:keepNext/>
              <w:rPr>
                <w:rFonts w:ascii="Arial Narrow" w:hAnsi="Arial Narrow" w:cstheme="minorHAnsi" w:hint="default"/>
                <w:bCs/>
                <w:sz w:val="20"/>
                <w:szCs w:val="20"/>
                <w:lang w:val="en-AU"/>
              </w:rPr>
            </w:pPr>
            <w:r w:rsidRPr="00F7369B">
              <w:rPr>
                <w:rFonts w:ascii="Arial Narrow" w:hAnsi="Arial Narrow" w:cstheme="minorHAnsi" w:hint="default"/>
                <w:bCs/>
                <w:sz w:val="20"/>
                <w:szCs w:val="20"/>
                <w:lang w:val="en-AU"/>
              </w:rPr>
              <w:t>Day</w:t>
            </w:r>
            <w:r w:rsidR="00D33802" w:rsidRPr="00F7369B">
              <w:rPr>
                <w:rFonts w:ascii="Arial Narrow" w:hAnsi="Arial Narrow" w:cstheme="minorHAnsi" w:hint="default"/>
                <w:bCs/>
                <w:sz w:val="20"/>
                <w:szCs w:val="20"/>
                <w:lang w:val="en-AU"/>
              </w:rPr>
              <w:t xml:space="preserve"> </w:t>
            </w:r>
            <w:r w:rsidRPr="00F7369B">
              <w:rPr>
                <w:rFonts w:ascii="Arial Narrow" w:hAnsi="Arial Narrow" w:cstheme="minorHAnsi" w:hint="default"/>
                <w:bCs/>
                <w:sz w:val="20"/>
                <w:szCs w:val="20"/>
                <w:lang w:val="en-AU"/>
              </w:rPr>
              <w:t>0</w:t>
            </w:r>
            <w:r w:rsidR="00D33802" w:rsidRPr="00F7369B">
              <w:rPr>
                <w:rFonts w:ascii="Arial Narrow" w:hAnsi="Arial Narrow" w:cstheme="minorHAnsi" w:hint="default"/>
                <w:bCs/>
                <w:sz w:val="20"/>
                <w:szCs w:val="20"/>
                <w:lang w:val="en-AU"/>
              </w:rPr>
              <w:t xml:space="preserve"> </w:t>
            </w:r>
            <w:r w:rsidRPr="00F7369B">
              <w:rPr>
                <w:rFonts w:ascii="Arial Narrow" w:hAnsi="Arial Narrow" w:cstheme="minorHAnsi" w:hint="default"/>
                <w:bCs/>
                <w:sz w:val="20"/>
                <w:szCs w:val="20"/>
                <w:lang w:val="en-AU"/>
              </w:rPr>
              <w:t>(baseline)</w:t>
            </w:r>
          </w:p>
        </w:tc>
        <w:tc>
          <w:tcPr>
            <w:tcW w:w="629" w:type="pct"/>
            <w:tcBorders>
              <w:left w:val="single" w:sz="4" w:space="0" w:color="auto"/>
              <w:bottom w:val="single" w:sz="4" w:space="0" w:color="auto"/>
              <w:right w:val="single" w:sz="4" w:space="0" w:color="auto"/>
            </w:tcBorders>
            <w:shd w:val="clear" w:color="auto" w:fill="auto"/>
            <w:vAlign w:val="center"/>
          </w:tcPr>
          <w:p w:rsidR="00661226" w:rsidRPr="00F7369B" w:rsidRDefault="00661226" w:rsidP="00B776D2">
            <w:pPr>
              <w:pStyle w:val="TableCentre"/>
              <w:keepNext/>
              <w:rPr>
                <w:rFonts w:ascii="Arial Narrow" w:hAnsi="Arial Narrow" w:cstheme="minorHAnsi" w:hint="default"/>
                <w:bCs/>
                <w:sz w:val="20"/>
                <w:szCs w:val="20"/>
                <w:lang w:val="en-AU"/>
              </w:rPr>
            </w:pPr>
            <w:r w:rsidRPr="00F7369B">
              <w:rPr>
                <w:rFonts w:ascii="Arial Narrow" w:hAnsi="Arial Narrow" w:cstheme="minorHAnsi" w:hint="default"/>
                <w:bCs/>
                <w:sz w:val="20"/>
                <w:szCs w:val="20"/>
                <w:lang w:val="en-AU"/>
              </w:rPr>
              <w:t>Day</w:t>
            </w:r>
            <w:r w:rsidR="00D33802" w:rsidRPr="00F7369B">
              <w:rPr>
                <w:rFonts w:ascii="Arial Narrow" w:hAnsi="Arial Narrow" w:cstheme="minorHAnsi" w:hint="default"/>
                <w:bCs/>
                <w:sz w:val="20"/>
                <w:szCs w:val="20"/>
                <w:lang w:val="en-AU"/>
              </w:rPr>
              <w:t xml:space="preserve"> </w:t>
            </w:r>
            <w:r w:rsidRPr="00F7369B">
              <w:rPr>
                <w:rFonts w:ascii="Arial Narrow" w:hAnsi="Arial Narrow" w:cstheme="minorHAnsi" w:hint="default"/>
                <w:bCs/>
                <w:sz w:val="20"/>
                <w:szCs w:val="20"/>
                <w:lang w:val="en-AU"/>
              </w:rPr>
              <w:t>30</w:t>
            </w:r>
          </w:p>
        </w:tc>
        <w:tc>
          <w:tcPr>
            <w:tcW w:w="758" w:type="pct"/>
            <w:tcBorders>
              <w:left w:val="single" w:sz="4" w:space="0" w:color="auto"/>
              <w:bottom w:val="single" w:sz="4" w:space="0" w:color="auto"/>
              <w:right w:val="single" w:sz="4" w:space="0" w:color="auto"/>
            </w:tcBorders>
            <w:shd w:val="clear" w:color="auto" w:fill="auto"/>
            <w:vAlign w:val="center"/>
          </w:tcPr>
          <w:p w:rsidR="00661226" w:rsidRPr="00F7369B" w:rsidRDefault="00865794" w:rsidP="00B776D2">
            <w:pPr>
              <w:pStyle w:val="TableCentre"/>
              <w:keepNext/>
              <w:rPr>
                <w:rFonts w:ascii="Arial Narrow" w:hAnsi="Arial Narrow" w:cstheme="minorHAnsi" w:hint="default"/>
                <w:b w:val="0"/>
                <w:sz w:val="20"/>
                <w:szCs w:val="20"/>
                <w:lang w:val="en-AU"/>
              </w:rPr>
            </w:pPr>
            <w:r w:rsidRPr="00F7369B">
              <w:rPr>
                <w:rFonts w:ascii="Arial Narrow" w:hAnsi="Arial Narrow" w:cstheme="minorHAnsi" w:hint="default"/>
                <w:bCs/>
                <w:sz w:val="20"/>
                <w:szCs w:val="20"/>
                <w:lang w:val="en-AU"/>
              </w:rPr>
              <w:t>Day</w:t>
            </w:r>
            <w:r w:rsidR="00D33802" w:rsidRPr="00F7369B">
              <w:rPr>
                <w:rFonts w:ascii="Arial Narrow" w:hAnsi="Arial Narrow" w:cstheme="minorHAnsi" w:hint="default"/>
                <w:bCs/>
                <w:sz w:val="20"/>
                <w:szCs w:val="20"/>
                <w:lang w:val="en-AU"/>
              </w:rPr>
              <w:t xml:space="preserve"> </w:t>
            </w:r>
            <w:r w:rsidRPr="00F7369B">
              <w:rPr>
                <w:rFonts w:ascii="Arial Narrow" w:hAnsi="Arial Narrow" w:cstheme="minorHAnsi" w:hint="default"/>
                <w:bCs/>
                <w:sz w:val="20"/>
                <w:szCs w:val="20"/>
                <w:lang w:val="en-AU"/>
              </w:rPr>
              <w:t>30</w:t>
            </w:r>
          </w:p>
        </w:tc>
      </w:tr>
      <w:tr w:rsidR="00665877" w:rsidRPr="00F7369B" w:rsidTr="00665877">
        <w:trPr>
          <w:jc w:val="center"/>
        </w:trPr>
        <w:tc>
          <w:tcPr>
            <w:tcW w:w="523" w:type="pct"/>
            <w:vMerge w:val="restart"/>
            <w:tcBorders>
              <w:top w:val="single" w:sz="4" w:space="0" w:color="auto"/>
              <w:left w:val="single" w:sz="4" w:space="0" w:color="auto"/>
              <w:right w:val="single" w:sz="4" w:space="0" w:color="auto"/>
            </w:tcBorders>
            <w:shd w:val="clear" w:color="auto" w:fill="auto"/>
            <w:vAlign w:val="center"/>
          </w:tcPr>
          <w:p w:rsidR="00661226" w:rsidRPr="00F7369B" w:rsidRDefault="00661226" w:rsidP="00B776D2">
            <w:pPr>
              <w:pStyle w:val="TableLeft"/>
              <w:keepNext/>
              <w:rPr>
                <w:rFonts w:ascii="Arial Narrow" w:hAnsi="Arial Narrow" w:cstheme="minorHAnsi"/>
                <w:szCs w:val="20"/>
                <w:lang w:val="en-AU"/>
              </w:rPr>
            </w:pPr>
            <w:r w:rsidRPr="00F7369B">
              <w:rPr>
                <w:rFonts w:ascii="Arial Narrow" w:hAnsi="Arial Narrow" w:cstheme="minorHAnsi"/>
                <w:szCs w:val="20"/>
                <w:lang w:val="en-AU"/>
              </w:rPr>
              <w:t>MenA</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B776D2">
            <w:pPr>
              <w:pStyle w:val="TableLeft"/>
              <w:keepNext/>
              <w:rPr>
                <w:rFonts w:ascii="Arial Narrow" w:hAnsi="Arial Narrow" w:cstheme="minorHAnsi"/>
                <w:szCs w:val="20"/>
                <w:lang w:val="en-AU"/>
              </w:rPr>
            </w:pPr>
            <w:r w:rsidRPr="00F7369B">
              <w:rPr>
                <w:rFonts w:ascii="Arial Narrow" w:hAnsi="Arial Narrow" w:cstheme="minorHAnsi"/>
                <w:szCs w:val="20"/>
                <w:lang w:val="en-AU"/>
              </w:rPr>
              <w:t>MenQuadfi</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266/293</w:t>
            </w:r>
          </w:p>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90.8%</w:t>
            </w:r>
          </w:p>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(86.9; 93.8)</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443/490</w:t>
            </w:r>
          </w:p>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90%</w:t>
            </w:r>
          </w:p>
          <w:p w:rsidR="002C66C5" w:rsidRPr="00F7369B" w:rsidRDefault="00386FB3"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(87.4; 92.9)</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30/91</w:t>
            </w:r>
          </w:p>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33.0%</w:t>
            </w:r>
          </w:p>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(23.5; 43.6)</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91/91</w:t>
            </w:r>
          </w:p>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100.0%</w:t>
            </w:r>
          </w:p>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(96.0; 100.0)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350/463</w:t>
            </w:r>
          </w:p>
          <w:p w:rsidR="00661226" w:rsidRPr="00F7369B" w:rsidRDefault="00661226" w:rsidP="00B776D2">
            <w:pPr>
              <w:keepNext/>
              <w:autoSpaceDE w:val="0"/>
              <w:autoSpaceDN w:val="0"/>
              <w:adjustRightInd w:val="0"/>
              <w:jc w:val="center"/>
              <w:rPr>
                <w:rFonts w:ascii="Arial Narrow" w:hAnsi="Arial Narrow" w:cstheme="minorHAnsi"/>
                <w:sz w:val="20"/>
                <w:szCs w:val="20"/>
                <w:lang w:val="en-AU"/>
              </w:rPr>
            </w:pPr>
            <w:r w:rsidRPr="00F7369B">
              <w:rPr>
                <w:rFonts w:ascii="Arial Narrow" w:hAnsi="Arial Narrow" w:cstheme="minorHAnsi"/>
                <w:sz w:val="20"/>
                <w:szCs w:val="20"/>
                <w:lang w:val="en-AU"/>
              </w:rPr>
              <w:t>75.6%</w:t>
            </w:r>
          </w:p>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(71.4; 79.4)</w:t>
            </w:r>
          </w:p>
        </w:tc>
      </w:tr>
      <w:tr w:rsidR="00665877" w:rsidRPr="00F7369B" w:rsidTr="00665877">
        <w:trPr>
          <w:jc w:val="center"/>
        </w:trPr>
        <w:tc>
          <w:tcPr>
            <w:tcW w:w="523" w:type="pct"/>
            <w:vMerge/>
            <w:tcBorders>
              <w:left w:val="single" w:sz="4" w:space="0" w:color="auto"/>
              <w:right w:val="single" w:sz="4" w:space="0" w:color="auto"/>
            </w:tcBorders>
            <w:shd w:val="clear" w:color="auto" w:fill="auto"/>
            <w:vAlign w:val="center"/>
            <w:hideMark/>
          </w:tcPr>
          <w:p w:rsidR="00661226" w:rsidRPr="00F7369B" w:rsidRDefault="00661226" w:rsidP="00B776D2">
            <w:pPr>
              <w:pStyle w:val="TableLeft"/>
              <w:keepNext/>
              <w:rPr>
                <w:rFonts w:ascii="Arial Narrow" w:hAnsi="Arial Narrow" w:cstheme="minorHAnsi"/>
                <w:szCs w:val="20"/>
                <w:lang w:val="en-AU"/>
              </w:rPr>
            </w:pP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61226" w:rsidRPr="00F7369B" w:rsidRDefault="00661226" w:rsidP="00B776D2">
            <w:pPr>
              <w:pStyle w:val="TableLeft"/>
              <w:keepNext/>
              <w:rPr>
                <w:rFonts w:ascii="Arial Narrow" w:hAnsi="Arial Narrow" w:cstheme="minorHAnsi"/>
                <w:szCs w:val="20"/>
                <w:lang w:val="en-AU"/>
              </w:rPr>
            </w:pPr>
            <w:r w:rsidRPr="00F7369B">
              <w:rPr>
                <w:rFonts w:ascii="Arial Narrow" w:hAnsi="Arial Narrow" w:cstheme="minorHAnsi"/>
                <w:szCs w:val="20"/>
                <w:lang w:val="en-AU"/>
              </w:rPr>
              <w:t>Nimenrix</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264/295</w:t>
            </w:r>
          </w:p>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89.5%</w:t>
            </w:r>
          </w:p>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(85.4; 92.7)</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361/394</w:t>
            </w:r>
          </w:p>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92%</w:t>
            </w:r>
          </w:p>
          <w:p w:rsidR="00386FB3" w:rsidRPr="00F7369B" w:rsidRDefault="00386FB3"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(88.4; 94.2)</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B776D2">
            <w:pPr>
              <w:keepNext/>
              <w:autoSpaceDE w:val="0"/>
              <w:autoSpaceDN w:val="0"/>
              <w:adjustRightInd w:val="0"/>
              <w:jc w:val="center"/>
              <w:rPr>
                <w:rFonts w:ascii="Arial Narrow" w:hAnsi="Arial Narrow" w:cstheme="minorHAnsi"/>
                <w:sz w:val="20"/>
                <w:szCs w:val="20"/>
                <w:lang w:val="en-AU"/>
              </w:rPr>
            </w:pPr>
            <w:r w:rsidRPr="00F7369B">
              <w:rPr>
                <w:rFonts w:ascii="Arial Narrow" w:hAnsi="Arial Narrow" w:cstheme="minorHAnsi"/>
                <w:sz w:val="20"/>
                <w:szCs w:val="20"/>
                <w:lang w:val="en-AU"/>
              </w:rPr>
              <w:t>15/86</w:t>
            </w:r>
          </w:p>
          <w:p w:rsidR="00661226" w:rsidRPr="00F7369B" w:rsidRDefault="00661226" w:rsidP="00B776D2">
            <w:pPr>
              <w:keepNext/>
              <w:autoSpaceDE w:val="0"/>
              <w:autoSpaceDN w:val="0"/>
              <w:adjustRightInd w:val="0"/>
              <w:jc w:val="center"/>
              <w:rPr>
                <w:rFonts w:ascii="Arial Narrow" w:hAnsi="Arial Narrow" w:cstheme="minorHAnsi"/>
                <w:sz w:val="20"/>
                <w:szCs w:val="20"/>
                <w:lang w:val="en-AU"/>
              </w:rPr>
            </w:pPr>
            <w:r w:rsidRPr="00F7369B">
              <w:rPr>
                <w:rFonts w:ascii="Arial Narrow" w:hAnsi="Arial Narrow" w:cstheme="minorHAnsi"/>
                <w:sz w:val="20"/>
                <w:szCs w:val="20"/>
                <w:lang w:val="en-AU"/>
              </w:rPr>
              <w:t>17.4%</w:t>
            </w:r>
          </w:p>
          <w:p w:rsidR="00661226" w:rsidRPr="00F7369B" w:rsidRDefault="00661226" w:rsidP="00B776D2">
            <w:pPr>
              <w:keepNext/>
              <w:autoSpaceDE w:val="0"/>
              <w:autoSpaceDN w:val="0"/>
              <w:adjustRightInd w:val="0"/>
              <w:jc w:val="center"/>
              <w:rPr>
                <w:rFonts w:ascii="Arial Narrow" w:hAnsi="Arial Narrow" w:cstheme="minorHAnsi"/>
                <w:sz w:val="20"/>
                <w:szCs w:val="20"/>
                <w:lang w:val="en-AU"/>
              </w:rPr>
            </w:pPr>
            <w:r w:rsidRPr="00F7369B">
              <w:rPr>
                <w:rFonts w:ascii="Arial Narrow" w:hAnsi="Arial Narrow" w:cstheme="minorHAnsi"/>
                <w:sz w:val="20"/>
                <w:szCs w:val="20"/>
                <w:lang w:val="en-AU"/>
              </w:rPr>
              <w:t>(10.1; 27.1)</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86/86</w:t>
            </w:r>
          </w:p>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100.0%</w:t>
            </w:r>
          </w:p>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(95.8; 100.0)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B776D2">
            <w:pPr>
              <w:keepNext/>
              <w:autoSpaceDE w:val="0"/>
              <w:autoSpaceDN w:val="0"/>
              <w:adjustRightInd w:val="0"/>
              <w:jc w:val="center"/>
              <w:rPr>
                <w:rFonts w:ascii="Arial Narrow" w:hAnsi="Arial Narrow" w:cstheme="minorHAnsi"/>
                <w:sz w:val="20"/>
                <w:szCs w:val="20"/>
                <w:lang w:val="en-AU"/>
              </w:rPr>
            </w:pPr>
            <w:r w:rsidRPr="00F7369B">
              <w:rPr>
                <w:rFonts w:ascii="Arial Narrow" w:hAnsi="Arial Narrow" w:cstheme="minorHAnsi"/>
                <w:sz w:val="20"/>
                <w:szCs w:val="20"/>
                <w:lang w:val="en-AU"/>
              </w:rPr>
              <w:t>-</w:t>
            </w:r>
          </w:p>
        </w:tc>
      </w:tr>
      <w:tr w:rsidR="00665877" w:rsidRPr="00F7369B" w:rsidTr="00665877">
        <w:trPr>
          <w:jc w:val="center"/>
        </w:trPr>
        <w:tc>
          <w:tcPr>
            <w:tcW w:w="523" w:type="pct"/>
            <w:vMerge/>
            <w:tcBorders>
              <w:left w:val="single" w:sz="4" w:space="0" w:color="auto"/>
              <w:right w:val="single" w:sz="4" w:space="0" w:color="auto"/>
            </w:tcBorders>
            <w:shd w:val="clear" w:color="auto" w:fill="auto"/>
            <w:vAlign w:val="center"/>
          </w:tcPr>
          <w:p w:rsidR="00661226" w:rsidRPr="00F7369B" w:rsidRDefault="00661226" w:rsidP="00B776D2">
            <w:pPr>
              <w:pStyle w:val="TableLeft"/>
              <w:keepNext/>
              <w:rPr>
                <w:rFonts w:ascii="Arial Narrow" w:hAnsi="Arial Narrow" w:cstheme="minorHAnsi"/>
                <w:szCs w:val="20"/>
                <w:lang w:val="en-AU"/>
              </w:rPr>
            </w:pP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B776D2">
            <w:pPr>
              <w:pStyle w:val="TableLeft"/>
              <w:keepNext/>
              <w:rPr>
                <w:rFonts w:ascii="Arial Narrow" w:hAnsi="Arial Narrow" w:cstheme="minorHAnsi"/>
                <w:szCs w:val="20"/>
                <w:lang w:val="en-AU"/>
              </w:rPr>
            </w:pPr>
            <w:r w:rsidRPr="00F7369B">
              <w:rPr>
                <w:rFonts w:ascii="Arial Narrow" w:hAnsi="Arial Narrow" w:cstheme="minorHAnsi"/>
                <w:szCs w:val="20"/>
                <w:lang w:val="en-AU"/>
              </w:rPr>
              <w:t>Menveo</w:t>
            </w:r>
          </w:p>
        </w:tc>
        <w:tc>
          <w:tcPr>
            <w:tcW w:w="786" w:type="pct"/>
            <w:tcBorders>
              <w:top w:val="single" w:sz="4" w:space="0" w:color="auto"/>
              <w:left w:val="single" w:sz="4" w:space="0" w:color="auto"/>
              <w:right w:val="single" w:sz="4" w:space="0" w:color="auto"/>
            </w:tcBorders>
            <w:shd w:val="clear" w:color="auto" w:fill="auto"/>
            <w:vAlign w:val="center"/>
          </w:tcPr>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w:t>
            </w:r>
          </w:p>
        </w:tc>
        <w:tc>
          <w:tcPr>
            <w:tcW w:w="786" w:type="pct"/>
            <w:tcBorders>
              <w:top w:val="single" w:sz="4" w:space="0" w:color="auto"/>
              <w:left w:val="single" w:sz="4" w:space="0" w:color="auto"/>
              <w:right w:val="single" w:sz="4" w:space="0" w:color="auto"/>
            </w:tcBorders>
            <w:shd w:val="clear" w:color="auto" w:fill="auto"/>
            <w:vAlign w:val="center"/>
          </w:tcPr>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B776D2">
            <w:pPr>
              <w:keepNext/>
              <w:autoSpaceDE w:val="0"/>
              <w:autoSpaceDN w:val="0"/>
              <w:adjustRightInd w:val="0"/>
              <w:jc w:val="center"/>
              <w:rPr>
                <w:rFonts w:ascii="Arial Narrow" w:hAnsi="Arial Narrow" w:cstheme="minorHAnsi"/>
                <w:sz w:val="20"/>
                <w:szCs w:val="20"/>
                <w:lang w:val="en-AU"/>
              </w:rPr>
            </w:pPr>
            <w:r w:rsidRPr="00F7369B">
              <w:rPr>
                <w:rFonts w:ascii="Arial Narrow" w:hAnsi="Arial Narrow" w:cstheme="minorHAnsi"/>
                <w:sz w:val="20"/>
                <w:szCs w:val="20"/>
                <w:lang w:val="en-AU"/>
              </w:rPr>
              <w:t>-</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B776D2">
            <w:pPr>
              <w:keepNext/>
              <w:autoSpaceDE w:val="0"/>
              <w:autoSpaceDN w:val="0"/>
              <w:adjustRightInd w:val="0"/>
              <w:jc w:val="center"/>
              <w:rPr>
                <w:rFonts w:ascii="Arial Narrow" w:hAnsi="Arial Narrow" w:cstheme="minorHAnsi"/>
                <w:sz w:val="20"/>
                <w:szCs w:val="20"/>
                <w:lang w:val="en-AU"/>
              </w:rPr>
            </w:pPr>
            <w:r w:rsidRPr="00F7369B">
              <w:rPr>
                <w:rFonts w:ascii="Arial Narrow" w:hAnsi="Arial Narrow" w:cstheme="minorHAnsi"/>
                <w:sz w:val="20"/>
                <w:szCs w:val="20"/>
                <w:lang w:val="en-AU"/>
              </w:rPr>
              <w:t>-</w:t>
            </w:r>
          </w:p>
        </w:tc>
        <w:tc>
          <w:tcPr>
            <w:tcW w:w="758" w:type="pct"/>
            <w:tcBorders>
              <w:top w:val="single" w:sz="4" w:space="0" w:color="auto"/>
              <w:left w:val="single" w:sz="4" w:space="0" w:color="auto"/>
              <w:right w:val="single" w:sz="4" w:space="0" w:color="auto"/>
            </w:tcBorders>
            <w:shd w:val="clear" w:color="auto" w:fill="auto"/>
            <w:vAlign w:val="center"/>
          </w:tcPr>
          <w:p w:rsidR="00661226" w:rsidRPr="00F7369B" w:rsidRDefault="00661226" w:rsidP="00B776D2">
            <w:pPr>
              <w:keepNext/>
              <w:autoSpaceDE w:val="0"/>
              <w:autoSpaceDN w:val="0"/>
              <w:adjustRightInd w:val="0"/>
              <w:jc w:val="center"/>
              <w:rPr>
                <w:rFonts w:ascii="Arial Narrow" w:hAnsi="Arial Narrow" w:cstheme="minorHAnsi"/>
                <w:sz w:val="20"/>
                <w:szCs w:val="20"/>
                <w:lang w:val="en-AU"/>
              </w:rPr>
            </w:pPr>
            <w:r w:rsidRPr="00F7369B">
              <w:rPr>
                <w:rFonts w:ascii="Arial Narrow" w:hAnsi="Arial Narrow" w:cstheme="minorHAnsi"/>
                <w:sz w:val="20"/>
                <w:szCs w:val="20"/>
                <w:lang w:val="en-AU"/>
              </w:rPr>
              <w:t>308/464</w:t>
            </w:r>
          </w:p>
          <w:p w:rsidR="00661226" w:rsidRPr="00F7369B" w:rsidRDefault="00661226" w:rsidP="00B776D2">
            <w:pPr>
              <w:keepNext/>
              <w:autoSpaceDE w:val="0"/>
              <w:autoSpaceDN w:val="0"/>
              <w:adjustRightInd w:val="0"/>
              <w:jc w:val="center"/>
              <w:rPr>
                <w:rFonts w:ascii="Arial Narrow" w:hAnsi="Arial Narrow" w:cstheme="minorHAnsi"/>
                <w:sz w:val="20"/>
                <w:szCs w:val="20"/>
                <w:lang w:val="en-AU"/>
              </w:rPr>
            </w:pPr>
            <w:r w:rsidRPr="00F7369B">
              <w:rPr>
                <w:rFonts w:ascii="Arial Narrow" w:hAnsi="Arial Narrow" w:cstheme="minorHAnsi"/>
                <w:sz w:val="20"/>
                <w:szCs w:val="20"/>
                <w:lang w:val="en-AU"/>
              </w:rPr>
              <w:t>66.4%</w:t>
            </w:r>
          </w:p>
          <w:p w:rsidR="00661226" w:rsidRPr="00F7369B" w:rsidRDefault="00661226" w:rsidP="00B776D2">
            <w:pPr>
              <w:keepNext/>
              <w:autoSpaceDE w:val="0"/>
              <w:autoSpaceDN w:val="0"/>
              <w:adjustRightInd w:val="0"/>
              <w:jc w:val="center"/>
              <w:rPr>
                <w:rFonts w:ascii="Arial Narrow" w:hAnsi="Arial Narrow" w:cstheme="minorHAnsi"/>
                <w:sz w:val="20"/>
                <w:szCs w:val="20"/>
                <w:lang w:val="en-AU"/>
              </w:rPr>
            </w:pPr>
            <w:r w:rsidRPr="00F7369B">
              <w:rPr>
                <w:rFonts w:ascii="Arial Narrow" w:hAnsi="Arial Narrow" w:cstheme="minorHAnsi"/>
                <w:sz w:val="20"/>
                <w:szCs w:val="20"/>
                <w:lang w:val="en-AU"/>
              </w:rPr>
              <w:t>(61.9; 70.7)</w:t>
            </w:r>
          </w:p>
        </w:tc>
      </w:tr>
      <w:tr w:rsidR="00665877" w:rsidRPr="00F7369B" w:rsidTr="00665877">
        <w:trPr>
          <w:trHeight w:val="144"/>
          <w:jc w:val="center"/>
        </w:trPr>
        <w:tc>
          <w:tcPr>
            <w:tcW w:w="523" w:type="pct"/>
            <w:vMerge/>
            <w:tcBorders>
              <w:left w:val="single" w:sz="4" w:space="0" w:color="auto"/>
              <w:right w:val="single" w:sz="4" w:space="0" w:color="auto"/>
            </w:tcBorders>
            <w:shd w:val="clear" w:color="auto" w:fill="auto"/>
            <w:vAlign w:val="center"/>
          </w:tcPr>
          <w:p w:rsidR="00661226" w:rsidRPr="00F7369B" w:rsidRDefault="00661226" w:rsidP="00B776D2">
            <w:pPr>
              <w:pStyle w:val="TableLeft"/>
              <w:keepNext/>
              <w:rPr>
                <w:rFonts w:ascii="Arial Narrow" w:hAnsi="Arial Narrow" w:cstheme="minorHAnsi"/>
                <w:szCs w:val="20"/>
                <w:lang w:val="en-AU"/>
              </w:rPr>
            </w:pPr>
          </w:p>
        </w:tc>
        <w:tc>
          <w:tcPr>
            <w:tcW w:w="889" w:type="pct"/>
            <w:tcBorders>
              <w:top w:val="single" w:sz="4" w:space="0" w:color="auto"/>
              <w:left w:val="single" w:sz="4" w:space="0" w:color="auto"/>
              <w:right w:val="single" w:sz="4" w:space="0" w:color="auto"/>
            </w:tcBorders>
            <w:shd w:val="clear" w:color="auto" w:fill="auto"/>
            <w:vAlign w:val="center"/>
          </w:tcPr>
          <w:p w:rsidR="00661226" w:rsidRPr="00F7369B" w:rsidRDefault="00661226" w:rsidP="00B776D2">
            <w:pPr>
              <w:pStyle w:val="TableLeft"/>
              <w:keepNext/>
              <w:rPr>
                <w:rFonts w:ascii="Arial Narrow" w:hAnsi="Arial Narrow" w:cstheme="minorHAnsi"/>
                <w:szCs w:val="20"/>
                <w:lang w:val="en-AU"/>
              </w:rPr>
            </w:pPr>
            <w:r w:rsidRPr="00F7369B">
              <w:rPr>
                <w:rFonts w:ascii="Arial Narrow" w:hAnsi="Arial Narrow" w:cstheme="minorHAnsi"/>
                <w:szCs w:val="20"/>
                <w:lang w:val="en-AU"/>
              </w:rPr>
              <w:t>Vaccine group difference (95% CI)</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1.3%</w:t>
            </w:r>
          </w:p>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(-3.60; 6.20)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-2.03%</w:t>
            </w:r>
          </w:p>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(-5.84; 1.78)</w:t>
            </w:r>
          </w:p>
        </w:tc>
        <w:tc>
          <w:tcPr>
            <w:tcW w:w="629" w:type="pct"/>
            <w:tcBorders>
              <w:top w:val="single" w:sz="4" w:space="0" w:color="auto"/>
              <w:left w:val="single" w:sz="4" w:space="0" w:color="auto"/>
              <w:right w:val="single" w:sz="4" w:space="0" w:color="auto"/>
            </w:tcBorders>
            <w:shd w:val="clear" w:color="auto" w:fill="auto"/>
            <w:vAlign w:val="center"/>
          </w:tcPr>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w:t>
            </w:r>
          </w:p>
        </w:tc>
        <w:tc>
          <w:tcPr>
            <w:tcW w:w="629" w:type="pct"/>
            <w:tcBorders>
              <w:top w:val="single" w:sz="4" w:space="0" w:color="auto"/>
              <w:left w:val="single" w:sz="4" w:space="0" w:color="auto"/>
              <w:right w:val="single" w:sz="4" w:space="0" w:color="auto"/>
            </w:tcBorders>
            <w:shd w:val="clear" w:color="auto" w:fill="auto"/>
            <w:vAlign w:val="center"/>
          </w:tcPr>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9.2%</w:t>
            </w:r>
          </w:p>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(3.4; 15.0)</w:t>
            </w:r>
          </w:p>
        </w:tc>
      </w:tr>
      <w:tr w:rsidR="00665877" w:rsidRPr="00F7369B" w:rsidTr="00665877">
        <w:trPr>
          <w:trHeight w:val="177"/>
          <w:jc w:val="center"/>
        </w:trPr>
        <w:tc>
          <w:tcPr>
            <w:tcW w:w="523" w:type="pct"/>
            <w:vMerge w:val="restart"/>
            <w:tcBorders>
              <w:top w:val="single" w:sz="4" w:space="0" w:color="auto"/>
              <w:left w:val="single" w:sz="4" w:space="0" w:color="auto"/>
              <w:right w:val="single" w:sz="4" w:space="0" w:color="auto"/>
            </w:tcBorders>
            <w:shd w:val="clear" w:color="auto" w:fill="auto"/>
            <w:vAlign w:val="center"/>
          </w:tcPr>
          <w:p w:rsidR="00661226" w:rsidRPr="00F7369B" w:rsidRDefault="00661226" w:rsidP="00B776D2">
            <w:pPr>
              <w:pStyle w:val="TableLeft"/>
              <w:keepNext/>
              <w:rPr>
                <w:rFonts w:ascii="Arial Narrow" w:hAnsi="Arial Narrow" w:cstheme="minorHAnsi"/>
                <w:szCs w:val="20"/>
                <w:lang w:val="en-AU"/>
              </w:rPr>
            </w:pPr>
            <w:r w:rsidRPr="00F7369B">
              <w:rPr>
                <w:rFonts w:ascii="Arial Narrow" w:hAnsi="Arial Narrow" w:cstheme="minorHAnsi"/>
                <w:szCs w:val="20"/>
                <w:lang w:val="en-AU"/>
              </w:rPr>
              <w:t>MenC</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B776D2">
            <w:pPr>
              <w:keepNext/>
              <w:jc w:val="left"/>
              <w:rPr>
                <w:rFonts w:ascii="Arial Narrow" w:hAnsi="Arial Narrow" w:cstheme="minorHAnsi"/>
                <w:sz w:val="20"/>
                <w:szCs w:val="20"/>
                <w:lang w:val="en-AU"/>
              </w:rPr>
            </w:pPr>
            <w:r w:rsidRPr="00F7369B">
              <w:rPr>
                <w:rFonts w:ascii="Arial Narrow" w:hAnsi="Arial Narrow" w:cstheme="minorHAnsi"/>
                <w:sz w:val="20"/>
                <w:szCs w:val="20"/>
                <w:lang w:val="en-AU"/>
              </w:rPr>
              <w:t>MenQuadfi</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291/293</w:t>
            </w:r>
          </w:p>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99.3%</w:t>
            </w:r>
          </w:p>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(97.6; 99.9)</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485/489</w:t>
            </w:r>
          </w:p>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99%</w:t>
            </w:r>
          </w:p>
          <w:p w:rsidR="00386FB3" w:rsidRPr="00F7369B" w:rsidRDefault="00386FB3"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(97.9; 99.8)</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2/91</w:t>
            </w:r>
          </w:p>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2.2%</w:t>
            </w:r>
          </w:p>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(0.3; 7.7)</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91/91</w:t>
            </w:r>
          </w:p>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100.0%</w:t>
            </w:r>
          </w:p>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(96.0; 100.0)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449/462</w:t>
            </w:r>
          </w:p>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97.2%</w:t>
            </w:r>
          </w:p>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(95.2; 98.5)</w:t>
            </w:r>
          </w:p>
        </w:tc>
      </w:tr>
      <w:tr w:rsidR="00665877" w:rsidRPr="00F7369B" w:rsidTr="00665877">
        <w:trPr>
          <w:jc w:val="center"/>
        </w:trPr>
        <w:tc>
          <w:tcPr>
            <w:tcW w:w="523" w:type="pct"/>
            <w:vMerge/>
            <w:tcBorders>
              <w:left w:val="single" w:sz="4" w:space="0" w:color="auto"/>
              <w:right w:val="single" w:sz="4" w:space="0" w:color="auto"/>
            </w:tcBorders>
            <w:shd w:val="clear" w:color="auto" w:fill="auto"/>
            <w:vAlign w:val="center"/>
            <w:hideMark/>
          </w:tcPr>
          <w:p w:rsidR="00661226" w:rsidRPr="00F7369B" w:rsidRDefault="00661226" w:rsidP="00B776D2">
            <w:pPr>
              <w:pStyle w:val="TableLeft"/>
              <w:keepNext/>
              <w:rPr>
                <w:rFonts w:ascii="Arial Narrow" w:hAnsi="Arial Narrow" w:cstheme="minorHAnsi"/>
                <w:szCs w:val="20"/>
                <w:lang w:val="en-AU"/>
              </w:rPr>
            </w:pP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61226" w:rsidRPr="00F7369B" w:rsidRDefault="00661226" w:rsidP="00B776D2">
            <w:pPr>
              <w:pStyle w:val="TableLeft"/>
              <w:keepNext/>
              <w:rPr>
                <w:rFonts w:ascii="Arial Narrow" w:hAnsi="Arial Narrow" w:cstheme="minorHAnsi"/>
                <w:szCs w:val="20"/>
                <w:lang w:val="en-AU"/>
              </w:rPr>
            </w:pPr>
            <w:r w:rsidRPr="00F7369B">
              <w:rPr>
                <w:rFonts w:ascii="Arial Narrow" w:hAnsi="Arial Narrow" w:cstheme="minorHAnsi"/>
                <w:szCs w:val="20"/>
                <w:lang w:val="en-AU"/>
              </w:rPr>
              <w:t>Nimenrix</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240/295</w:t>
            </w:r>
          </w:p>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81.4%</w:t>
            </w:r>
          </w:p>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(76.4; 85.6)</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337/394</w:t>
            </w:r>
          </w:p>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86%</w:t>
            </w:r>
          </w:p>
          <w:p w:rsidR="00386FB3" w:rsidRPr="00F7369B" w:rsidRDefault="00386FB3"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(81.7; 88.9)</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B776D2">
            <w:pPr>
              <w:keepNext/>
              <w:autoSpaceDE w:val="0"/>
              <w:autoSpaceDN w:val="0"/>
              <w:adjustRightInd w:val="0"/>
              <w:jc w:val="center"/>
              <w:rPr>
                <w:rFonts w:ascii="Arial Narrow" w:hAnsi="Arial Narrow" w:cstheme="minorHAnsi"/>
                <w:sz w:val="20"/>
                <w:szCs w:val="20"/>
                <w:lang w:val="en-AU"/>
              </w:rPr>
            </w:pPr>
            <w:r w:rsidRPr="00F7369B">
              <w:rPr>
                <w:rFonts w:ascii="Arial Narrow" w:hAnsi="Arial Narrow" w:cstheme="minorHAnsi"/>
                <w:sz w:val="20"/>
                <w:szCs w:val="20"/>
                <w:lang w:val="en-AU"/>
              </w:rPr>
              <w:t>3/86</w:t>
            </w:r>
          </w:p>
          <w:p w:rsidR="00661226" w:rsidRPr="00F7369B" w:rsidRDefault="00661226" w:rsidP="00B776D2">
            <w:pPr>
              <w:keepNext/>
              <w:autoSpaceDE w:val="0"/>
              <w:autoSpaceDN w:val="0"/>
              <w:adjustRightInd w:val="0"/>
              <w:jc w:val="center"/>
              <w:rPr>
                <w:rFonts w:ascii="Arial Narrow" w:hAnsi="Arial Narrow" w:cstheme="minorHAnsi"/>
                <w:sz w:val="20"/>
                <w:szCs w:val="20"/>
                <w:lang w:val="en-AU"/>
              </w:rPr>
            </w:pPr>
            <w:r w:rsidRPr="00F7369B">
              <w:rPr>
                <w:rFonts w:ascii="Arial Narrow" w:hAnsi="Arial Narrow" w:cstheme="minorHAnsi"/>
                <w:sz w:val="20"/>
                <w:szCs w:val="20"/>
                <w:lang w:val="en-AU"/>
              </w:rPr>
              <w:t>3.5%</w:t>
            </w:r>
          </w:p>
          <w:p w:rsidR="00661226" w:rsidRPr="00F7369B" w:rsidRDefault="00661226" w:rsidP="00B776D2">
            <w:pPr>
              <w:keepNext/>
              <w:autoSpaceDE w:val="0"/>
              <w:autoSpaceDN w:val="0"/>
              <w:adjustRightInd w:val="0"/>
              <w:jc w:val="center"/>
              <w:rPr>
                <w:rFonts w:ascii="Arial Narrow" w:hAnsi="Arial Narrow" w:cstheme="minorHAnsi"/>
                <w:sz w:val="20"/>
                <w:szCs w:val="20"/>
                <w:lang w:val="en-AU"/>
              </w:rPr>
            </w:pPr>
            <w:r w:rsidRPr="00F7369B">
              <w:rPr>
                <w:rFonts w:ascii="Arial Narrow" w:hAnsi="Arial Narrow" w:cstheme="minorHAnsi"/>
                <w:sz w:val="20"/>
                <w:szCs w:val="20"/>
                <w:lang w:val="en-AU"/>
              </w:rPr>
              <w:t>(0.7; 9.9)</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B776D2">
            <w:pPr>
              <w:keepNext/>
              <w:autoSpaceDE w:val="0"/>
              <w:autoSpaceDN w:val="0"/>
              <w:adjustRightInd w:val="0"/>
              <w:jc w:val="center"/>
              <w:rPr>
                <w:rFonts w:ascii="Arial Narrow" w:hAnsi="Arial Narrow" w:cstheme="minorHAnsi"/>
                <w:sz w:val="20"/>
                <w:szCs w:val="20"/>
                <w:lang w:val="en-AU"/>
              </w:rPr>
            </w:pPr>
            <w:r w:rsidRPr="00F7369B">
              <w:rPr>
                <w:rFonts w:ascii="Arial Narrow" w:hAnsi="Arial Narrow" w:cstheme="minorHAnsi"/>
                <w:sz w:val="20"/>
                <w:szCs w:val="20"/>
                <w:lang w:val="en-AU"/>
              </w:rPr>
              <w:t>85/86</w:t>
            </w:r>
          </w:p>
          <w:p w:rsidR="00661226" w:rsidRPr="00F7369B" w:rsidRDefault="00661226" w:rsidP="00B776D2">
            <w:pPr>
              <w:keepNext/>
              <w:autoSpaceDE w:val="0"/>
              <w:autoSpaceDN w:val="0"/>
              <w:adjustRightInd w:val="0"/>
              <w:jc w:val="center"/>
              <w:rPr>
                <w:rFonts w:ascii="Arial Narrow" w:hAnsi="Arial Narrow" w:cstheme="minorHAnsi"/>
                <w:sz w:val="20"/>
                <w:szCs w:val="20"/>
                <w:lang w:val="en-AU"/>
              </w:rPr>
            </w:pPr>
            <w:r w:rsidRPr="00F7369B">
              <w:rPr>
                <w:rFonts w:ascii="Arial Narrow" w:hAnsi="Arial Narrow" w:cstheme="minorHAnsi"/>
                <w:sz w:val="20"/>
                <w:szCs w:val="20"/>
                <w:lang w:val="en-AU"/>
              </w:rPr>
              <w:t>98.8%</w:t>
            </w:r>
          </w:p>
          <w:p w:rsidR="00661226" w:rsidRPr="00F7369B" w:rsidRDefault="00661226" w:rsidP="00B776D2">
            <w:pPr>
              <w:keepNext/>
              <w:autoSpaceDE w:val="0"/>
              <w:autoSpaceDN w:val="0"/>
              <w:adjustRightInd w:val="0"/>
              <w:jc w:val="center"/>
              <w:rPr>
                <w:rFonts w:ascii="Arial Narrow" w:hAnsi="Arial Narrow" w:cstheme="minorHAnsi"/>
                <w:sz w:val="20"/>
                <w:szCs w:val="20"/>
                <w:lang w:val="en-AU"/>
              </w:rPr>
            </w:pPr>
            <w:r w:rsidRPr="00F7369B">
              <w:rPr>
                <w:rFonts w:ascii="Arial Narrow" w:hAnsi="Arial Narrow" w:cstheme="minorHAnsi"/>
                <w:sz w:val="20"/>
                <w:szCs w:val="20"/>
                <w:lang w:val="en-AU"/>
              </w:rPr>
              <w:t>(93.7; 100.0)</w:t>
            </w:r>
          </w:p>
        </w:tc>
        <w:tc>
          <w:tcPr>
            <w:tcW w:w="758" w:type="pct"/>
            <w:tcBorders>
              <w:top w:val="single" w:sz="4" w:space="0" w:color="auto"/>
              <w:left w:val="single" w:sz="4" w:space="0" w:color="auto"/>
              <w:right w:val="single" w:sz="4" w:space="0" w:color="auto"/>
            </w:tcBorders>
            <w:shd w:val="clear" w:color="auto" w:fill="auto"/>
            <w:vAlign w:val="center"/>
          </w:tcPr>
          <w:p w:rsidR="00661226" w:rsidRPr="00F7369B" w:rsidRDefault="00661226" w:rsidP="00B776D2">
            <w:pPr>
              <w:keepNext/>
              <w:autoSpaceDE w:val="0"/>
              <w:autoSpaceDN w:val="0"/>
              <w:adjustRightInd w:val="0"/>
              <w:jc w:val="center"/>
              <w:rPr>
                <w:rFonts w:ascii="Arial Narrow" w:hAnsi="Arial Narrow" w:cstheme="minorHAnsi"/>
                <w:sz w:val="20"/>
                <w:szCs w:val="20"/>
                <w:lang w:val="en-AU"/>
              </w:rPr>
            </w:pPr>
            <w:r w:rsidRPr="00F7369B">
              <w:rPr>
                <w:rFonts w:ascii="Arial Narrow" w:hAnsi="Arial Narrow" w:cstheme="minorHAnsi"/>
                <w:sz w:val="20"/>
                <w:szCs w:val="20"/>
                <w:lang w:val="en-AU"/>
              </w:rPr>
              <w:t>-</w:t>
            </w:r>
          </w:p>
        </w:tc>
      </w:tr>
      <w:tr w:rsidR="00665877" w:rsidRPr="00F7369B" w:rsidTr="00665877">
        <w:trPr>
          <w:jc w:val="center"/>
        </w:trPr>
        <w:tc>
          <w:tcPr>
            <w:tcW w:w="523" w:type="pct"/>
            <w:vMerge/>
            <w:tcBorders>
              <w:left w:val="single" w:sz="4" w:space="0" w:color="auto"/>
              <w:right w:val="single" w:sz="4" w:space="0" w:color="auto"/>
            </w:tcBorders>
            <w:shd w:val="clear" w:color="auto" w:fill="auto"/>
            <w:vAlign w:val="center"/>
          </w:tcPr>
          <w:p w:rsidR="00661226" w:rsidRPr="00F7369B" w:rsidRDefault="00661226" w:rsidP="00B776D2">
            <w:pPr>
              <w:pStyle w:val="TableLeft"/>
              <w:keepNext/>
              <w:rPr>
                <w:rFonts w:ascii="Arial Narrow" w:hAnsi="Arial Narrow" w:cstheme="minorHAnsi"/>
                <w:szCs w:val="20"/>
                <w:lang w:val="en-AU"/>
              </w:rPr>
            </w:pP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B776D2">
            <w:pPr>
              <w:pStyle w:val="TableLeft"/>
              <w:keepNext/>
              <w:rPr>
                <w:rFonts w:ascii="Arial Narrow" w:hAnsi="Arial Narrow" w:cstheme="minorHAnsi"/>
                <w:szCs w:val="20"/>
                <w:lang w:val="en-AU"/>
              </w:rPr>
            </w:pPr>
            <w:r w:rsidRPr="00F7369B">
              <w:rPr>
                <w:rFonts w:ascii="Arial Narrow" w:hAnsi="Arial Narrow" w:cstheme="minorHAnsi"/>
                <w:szCs w:val="20"/>
                <w:lang w:val="en-AU"/>
              </w:rPr>
              <w:t>Menveo</w:t>
            </w:r>
          </w:p>
        </w:tc>
        <w:tc>
          <w:tcPr>
            <w:tcW w:w="786" w:type="pct"/>
            <w:tcBorders>
              <w:top w:val="single" w:sz="4" w:space="0" w:color="auto"/>
              <w:left w:val="single" w:sz="4" w:space="0" w:color="auto"/>
              <w:right w:val="single" w:sz="4" w:space="0" w:color="auto"/>
            </w:tcBorders>
            <w:shd w:val="clear" w:color="auto" w:fill="auto"/>
            <w:vAlign w:val="center"/>
          </w:tcPr>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w:t>
            </w:r>
          </w:p>
        </w:tc>
        <w:tc>
          <w:tcPr>
            <w:tcW w:w="786" w:type="pct"/>
            <w:tcBorders>
              <w:top w:val="single" w:sz="4" w:space="0" w:color="auto"/>
              <w:left w:val="single" w:sz="4" w:space="0" w:color="auto"/>
              <w:right w:val="single" w:sz="4" w:space="0" w:color="auto"/>
            </w:tcBorders>
            <w:shd w:val="clear" w:color="auto" w:fill="auto"/>
            <w:vAlign w:val="center"/>
          </w:tcPr>
          <w:p w:rsidR="00661226" w:rsidRPr="00F7369B" w:rsidRDefault="00661226" w:rsidP="00B776D2">
            <w:pPr>
              <w:pStyle w:val="TableCentre"/>
              <w:keepNext/>
              <w:rPr>
                <w:rFonts w:ascii="Arial Narrow" w:hAnsi="Arial Narrow" w:cstheme="minorHAnsi"/>
                <w:i/>
                <w:iCs/>
                <w:sz w:val="20"/>
                <w:szCs w:val="20"/>
                <w:lang w:val="en-AU"/>
              </w:rPr>
            </w:pPr>
            <w:r w:rsidRPr="00F7369B">
              <w:rPr>
                <w:rFonts w:ascii="Arial Narrow" w:hAnsi="Arial Narrow" w:cstheme="minorHAnsi"/>
                <w:i/>
                <w:iCs/>
                <w:sz w:val="20"/>
                <w:szCs w:val="20"/>
                <w:lang w:val="en-AU"/>
              </w:rPr>
              <w:t>-</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B776D2">
            <w:pPr>
              <w:keepNext/>
              <w:autoSpaceDE w:val="0"/>
              <w:autoSpaceDN w:val="0"/>
              <w:adjustRightInd w:val="0"/>
              <w:jc w:val="center"/>
              <w:rPr>
                <w:rFonts w:ascii="Arial Narrow" w:hAnsi="Arial Narrow" w:cstheme="minorHAnsi"/>
                <w:sz w:val="20"/>
                <w:szCs w:val="20"/>
                <w:lang w:val="en-AU"/>
              </w:rPr>
            </w:pPr>
            <w:r w:rsidRPr="00F7369B">
              <w:rPr>
                <w:rFonts w:ascii="Arial Narrow" w:hAnsi="Arial Narrow" w:cstheme="minorHAnsi"/>
                <w:sz w:val="20"/>
                <w:szCs w:val="20"/>
                <w:lang w:val="en-AU"/>
              </w:rPr>
              <w:t>-</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B776D2">
            <w:pPr>
              <w:keepNext/>
              <w:autoSpaceDE w:val="0"/>
              <w:autoSpaceDN w:val="0"/>
              <w:adjustRightInd w:val="0"/>
              <w:jc w:val="center"/>
              <w:rPr>
                <w:rFonts w:ascii="Arial Narrow" w:hAnsi="Arial Narrow" w:cstheme="minorHAnsi"/>
                <w:sz w:val="20"/>
                <w:szCs w:val="20"/>
                <w:lang w:val="en-AU"/>
              </w:rPr>
            </w:pPr>
            <w:r w:rsidRPr="00F7369B">
              <w:rPr>
                <w:rFonts w:ascii="Arial Narrow" w:hAnsi="Arial Narrow" w:cstheme="minorHAnsi"/>
                <w:sz w:val="20"/>
                <w:szCs w:val="20"/>
                <w:lang w:val="en-AU"/>
              </w:rPr>
              <w:t>-</w:t>
            </w:r>
          </w:p>
        </w:tc>
        <w:tc>
          <w:tcPr>
            <w:tcW w:w="758" w:type="pct"/>
            <w:tcBorders>
              <w:top w:val="single" w:sz="4" w:space="0" w:color="auto"/>
              <w:left w:val="single" w:sz="4" w:space="0" w:color="auto"/>
              <w:right w:val="single" w:sz="4" w:space="0" w:color="auto"/>
            </w:tcBorders>
            <w:shd w:val="clear" w:color="auto" w:fill="auto"/>
            <w:vAlign w:val="center"/>
          </w:tcPr>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336/463</w:t>
            </w:r>
          </w:p>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72.6%</w:t>
            </w:r>
          </w:p>
          <w:p w:rsidR="00661226" w:rsidRPr="00F7369B" w:rsidRDefault="00661226" w:rsidP="00B776D2">
            <w:pPr>
              <w:keepNext/>
              <w:autoSpaceDE w:val="0"/>
              <w:autoSpaceDN w:val="0"/>
              <w:adjustRightInd w:val="0"/>
              <w:jc w:val="center"/>
              <w:rPr>
                <w:rFonts w:ascii="Arial Narrow" w:hAnsi="Arial Narrow" w:cstheme="minorHAnsi"/>
                <w:sz w:val="20"/>
                <w:szCs w:val="20"/>
                <w:lang w:val="en-AU"/>
              </w:rPr>
            </w:pPr>
            <w:r w:rsidRPr="00F7369B">
              <w:rPr>
                <w:rFonts w:ascii="Arial Narrow" w:hAnsi="Arial Narrow" w:cstheme="minorHAnsi"/>
                <w:sz w:val="20"/>
                <w:szCs w:val="20"/>
                <w:lang w:val="en-AU"/>
              </w:rPr>
              <w:t>(68.3; 76.6)</w:t>
            </w:r>
          </w:p>
        </w:tc>
      </w:tr>
      <w:tr w:rsidR="00665877" w:rsidRPr="00F7369B" w:rsidTr="00665877">
        <w:trPr>
          <w:trHeight w:val="50"/>
          <w:jc w:val="center"/>
        </w:trPr>
        <w:tc>
          <w:tcPr>
            <w:tcW w:w="523" w:type="pct"/>
            <w:vMerge/>
            <w:tcBorders>
              <w:left w:val="single" w:sz="4" w:space="0" w:color="auto"/>
              <w:right w:val="single" w:sz="4" w:space="0" w:color="auto"/>
            </w:tcBorders>
            <w:shd w:val="clear" w:color="auto" w:fill="auto"/>
            <w:vAlign w:val="center"/>
          </w:tcPr>
          <w:p w:rsidR="00661226" w:rsidRPr="00F7369B" w:rsidRDefault="00661226" w:rsidP="00B776D2">
            <w:pPr>
              <w:pStyle w:val="TableLeft"/>
              <w:keepNext/>
              <w:rPr>
                <w:rFonts w:ascii="Arial Narrow" w:hAnsi="Arial Narrow" w:cstheme="minorHAnsi"/>
                <w:szCs w:val="20"/>
                <w:lang w:val="en-AU"/>
              </w:rPr>
            </w:pPr>
          </w:p>
        </w:tc>
        <w:tc>
          <w:tcPr>
            <w:tcW w:w="889" w:type="pct"/>
            <w:tcBorders>
              <w:top w:val="single" w:sz="4" w:space="0" w:color="auto"/>
              <w:left w:val="single" w:sz="4" w:space="0" w:color="auto"/>
              <w:right w:val="single" w:sz="4" w:space="0" w:color="auto"/>
            </w:tcBorders>
            <w:shd w:val="clear" w:color="auto" w:fill="auto"/>
            <w:vAlign w:val="center"/>
          </w:tcPr>
          <w:p w:rsidR="00661226" w:rsidRPr="00F7369B" w:rsidRDefault="00661226" w:rsidP="00B776D2">
            <w:pPr>
              <w:pStyle w:val="TableLeft"/>
              <w:keepNext/>
              <w:rPr>
                <w:rFonts w:ascii="Arial Narrow" w:hAnsi="Arial Narrow" w:cstheme="minorHAnsi"/>
                <w:szCs w:val="20"/>
                <w:lang w:val="en-AU"/>
              </w:rPr>
            </w:pPr>
            <w:r w:rsidRPr="00F7369B">
              <w:rPr>
                <w:rFonts w:ascii="Arial Narrow" w:hAnsi="Arial Narrow" w:cstheme="minorHAnsi"/>
                <w:szCs w:val="20"/>
                <w:lang w:val="en-AU"/>
              </w:rPr>
              <w:t>Vaccine </w:t>
            </w:r>
            <w:r w:rsidR="00B776D2">
              <w:rPr>
                <w:rFonts w:ascii="Arial Narrow" w:hAnsi="Arial Narrow" w:cstheme="minorHAnsi"/>
                <w:szCs w:val="20"/>
                <w:lang w:val="en-AU"/>
              </w:rPr>
              <w:t>g</w:t>
            </w:r>
            <w:r w:rsidRPr="00F7369B">
              <w:rPr>
                <w:rFonts w:ascii="Arial Narrow" w:hAnsi="Arial Narrow" w:cstheme="minorHAnsi"/>
                <w:szCs w:val="20"/>
                <w:lang w:val="en-AU"/>
              </w:rPr>
              <w:t>roup </w:t>
            </w:r>
            <w:r w:rsidR="00B776D2">
              <w:rPr>
                <w:rFonts w:ascii="Arial Narrow" w:hAnsi="Arial Narrow" w:cstheme="minorHAnsi"/>
                <w:szCs w:val="20"/>
                <w:lang w:val="en-AU"/>
              </w:rPr>
              <w:br/>
              <w:t>d</w:t>
            </w:r>
            <w:r w:rsidRPr="00F7369B">
              <w:rPr>
                <w:rFonts w:ascii="Arial Narrow" w:hAnsi="Arial Narrow" w:cstheme="minorHAnsi"/>
                <w:szCs w:val="20"/>
                <w:lang w:val="en-AU"/>
              </w:rPr>
              <w:t xml:space="preserve">ifference (95% CI) </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18.0%</w:t>
            </w:r>
          </w:p>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(13.6; 22.8)</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12.1%</w:t>
            </w:r>
          </w:p>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(8.16; 16.1)</w:t>
            </w:r>
          </w:p>
        </w:tc>
        <w:tc>
          <w:tcPr>
            <w:tcW w:w="629" w:type="pct"/>
            <w:tcBorders>
              <w:top w:val="single" w:sz="4" w:space="0" w:color="auto"/>
              <w:left w:val="single" w:sz="4" w:space="0" w:color="auto"/>
              <w:right w:val="single" w:sz="4" w:space="0" w:color="auto"/>
            </w:tcBorders>
            <w:shd w:val="clear" w:color="auto" w:fill="auto"/>
            <w:vAlign w:val="center"/>
          </w:tcPr>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w:t>
            </w:r>
          </w:p>
        </w:tc>
        <w:tc>
          <w:tcPr>
            <w:tcW w:w="629" w:type="pct"/>
            <w:tcBorders>
              <w:top w:val="single" w:sz="4" w:space="0" w:color="auto"/>
              <w:left w:val="single" w:sz="4" w:space="0" w:color="auto"/>
              <w:right w:val="single" w:sz="4" w:space="0" w:color="auto"/>
            </w:tcBorders>
            <w:shd w:val="clear" w:color="auto" w:fill="auto"/>
            <w:vAlign w:val="center"/>
          </w:tcPr>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24.6%</w:t>
            </w:r>
          </w:p>
          <w:p w:rsidR="00661226" w:rsidRPr="00F7369B" w:rsidRDefault="00661226" w:rsidP="00B776D2">
            <w:pPr>
              <w:pStyle w:val="TableCentre"/>
              <w:keepNext/>
              <w:rPr>
                <w:rFonts w:ascii="Arial Narrow" w:hAnsi="Arial Narrow" w:cstheme="minorHAnsi"/>
                <w:sz w:val="20"/>
                <w:szCs w:val="20"/>
                <w:lang w:val="en-AU"/>
              </w:rPr>
            </w:pPr>
            <w:r w:rsidRPr="00F7369B">
              <w:rPr>
                <w:rFonts w:ascii="Arial Narrow" w:hAnsi="Arial Narrow" w:cstheme="minorHAnsi"/>
                <w:sz w:val="20"/>
                <w:szCs w:val="20"/>
                <w:lang w:val="en-AU"/>
              </w:rPr>
              <w:t>(20.3; 29.0)</w:t>
            </w:r>
          </w:p>
        </w:tc>
      </w:tr>
      <w:tr w:rsidR="00665877" w:rsidRPr="00F7369B" w:rsidTr="00665877">
        <w:trPr>
          <w:jc w:val="center"/>
        </w:trPr>
        <w:tc>
          <w:tcPr>
            <w:tcW w:w="523" w:type="pct"/>
            <w:vMerge w:val="restart"/>
            <w:tcBorders>
              <w:top w:val="single" w:sz="4" w:space="0" w:color="auto"/>
              <w:left w:val="single" w:sz="4" w:space="0" w:color="auto"/>
              <w:right w:val="single" w:sz="4" w:space="0" w:color="auto"/>
            </w:tcBorders>
            <w:shd w:val="clear" w:color="auto" w:fill="auto"/>
            <w:vAlign w:val="center"/>
          </w:tcPr>
          <w:p w:rsidR="00661226" w:rsidRPr="00F7369B" w:rsidRDefault="00661226" w:rsidP="006D69CF">
            <w:pPr>
              <w:pStyle w:val="TableLeft"/>
              <w:rPr>
                <w:rFonts w:ascii="Arial Narrow" w:hAnsi="Arial Narrow" w:cstheme="minorHAnsi"/>
                <w:szCs w:val="20"/>
                <w:lang w:val="en-AU"/>
              </w:rPr>
            </w:pPr>
            <w:r w:rsidRPr="00F7369B">
              <w:rPr>
                <w:rFonts w:ascii="Arial Narrow" w:hAnsi="Arial Narrow" w:cstheme="minorHAnsi"/>
                <w:szCs w:val="20"/>
                <w:lang w:val="en-AU"/>
              </w:rPr>
              <w:t>MenW</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6D69CF">
            <w:pPr>
              <w:pStyle w:val="TableLeft"/>
              <w:rPr>
                <w:rFonts w:ascii="Arial Narrow" w:hAnsi="Arial Narrow" w:cstheme="minorHAnsi"/>
                <w:szCs w:val="20"/>
                <w:lang w:val="en-AU"/>
              </w:rPr>
            </w:pPr>
            <w:r w:rsidRPr="00F7369B">
              <w:rPr>
                <w:rFonts w:ascii="Arial Narrow" w:hAnsi="Arial Narrow" w:cstheme="minorHAnsi"/>
                <w:szCs w:val="20"/>
                <w:lang w:val="en-AU"/>
              </w:rPr>
              <w:t>MenQuadfi</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245/293</w:t>
            </w:r>
          </w:p>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83.6%</w:t>
            </w:r>
          </w:p>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(78.9; 87.7)</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415/489</w:t>
            </w:r>
          </w:p>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85%</w:t>
            </w:r>
          </w:p>
          <w:p w:rsidR="00386FB3" w:rsidRPr="00F7369B" w:rsidRDefault="00386FB3"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(81.4; 87.9)</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3/91</w:t>
            </w:r>
          </w:p>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3.3%</w:t>
            </w:r>
          </w:p>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(0.7; 9.3)</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91/91</w:t>
            </w:r>
          </w:p>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100.0%</w:t>
            </w:r>
          </w:p>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(96.0; 100.0)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399/463</w:t>
            </w:r>
          </w:p>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86.2%</w:t>
            </w:r>
          </w:p>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(82.7; 89.2)</w:t>
            </w:r>
          </w:p>
        </w:tc>
      </w:tr>
      <w:tr w:rsidR="00665877" w:rsidRPr="00F7369B" w:rsidTr="00665877">
        <w:trPr>
          <w:jc w:val="center"/>
        </w:trPr>
        <w:tc>
          <w:tcPr>
            <w:tcW w:w="523" w:type="pct"/>
            <w:vMerge/>
            <w:tcBorders>
              <w:left w:val="single" w:sz="4" w:space="0" w:color="auto"/>
              <w:right w:val="single" w:sz="4" w:space="0" w:color="auto"/>
            </w:tcBorders>
            <w:shd w:val="clear" w:color="auto" w:fill="auto"/>
            <w:vAlign w:val="center"/>
          </w:tcPr>
          <w:p w:rsidR="00661226" w:rsidRPr="00F7369B" w:rsidRDefault="00661226" w:rsidP="006D69CF">
            <w:pPr>
              <w:pStyle w:val="TableLeft"/>
              <w:rPr>
                <w:rFonts w:ascii="Arial Narrow" w:hAnsi="Arial Narrow" w:cstheme="minorHAnsi"/>
                <w:szCs w:val="20"/>
                <w:lang w:val="en-AU"/>
              </w:rPr>
            </w:pP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6D69CF">
            <w:pPr>
              <w:pStyle w:val="TableLeft"/>
              <w:rPr>
                <w:rFonts w:ascii="Arial Narrow" w:hAnsi="Arial Narrow" w:cstheme="minorHAnsi"/>
                <w:szCs w:val="20"/>
                <w:lang w:val="en-AU"/>
              </w:rPr>
            </w:pPr>
            <w:r w:rsidRPr="00F7369B">
              <w:rPr>
                <w:rFonts w:ascii="Arial Narrow" w:hAnsi="Arial Narrow" w:cstheme="minorHAnsi"/>
                <w:szCs w:val="20"/>
                <w:lang w:val="en-AU"/>
              </w:rPr>
              <w:t>Nimenrix</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247/296</w:t>
            </w:r>
          </w:p>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83.4%</w:t>
            </w:r>
          </w:p>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(78.7; 87.5)</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331/394</w:t>
            </w:r>
          </w:p>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84%</w:t>
            </w:r>
          </w:p>
          <w:p w:rsidR="00386FB3" w:rsidRPr="00F7369B" w:rsidRDefault="00386FB3"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(80.0; 87.5)</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6D69CF">
            <w:pPr>
              <w:autoSpaceDE w:val="0"/>
              <w:autoSpaceDN w:val="0"/>
              <w:adjustRightInd w:val="0"/>
              <w:jc w:val="center"/>
              <w:rPr>
                <w:rFonts w:ascii="Arial Narrow" w:hAnsi="Arial Narrow" w:cstheme="minorHAnsi"/>
                <w:sz w:val="20"/>
                <w:szCs w:val="20"/>
                <w:lang w:val="en-AU"/>
              </w:rPr>
            </w:pPr>
            <w:r w:rsidRPr="00F7369B">
              <w:rPr>
                <w:rFonts w:ascii="Arial Narrow" w:hAnsi="Arial Narrow" w:cstheme="minorHAnsi"/>
                <w:sz w:val="20"/>
                <w:szCs w:val="20"/>
                <w:lang w:val="en-AU"/>
              </w:rPr>
              <w:t>3/86</w:t>
            </w:r>
          </w:p>
          <w:p w:rsidR="00661226" w:rsidRPr="00F7369B" w:rsidRDefault="00661226" w:rsidP="006D69CF">
            <w:pPr>
              <w:autoSpaceDE w:val="0"/>
              <w:autoSpaceDN w:val="0"/>
              <w:adjustRightInd w:val="0"/>
              <w:jc w:val="center"/>
              <w:rPr>
                <w:rFonts w:ascii="Arial Narrow" w:hAnsi="Arial Narrow" w:cstheme="minorHAnsi"/>
                <w:sz w:val="20"/>
                <w:szCs w:val="20"/>
                <w:lang w:val="en-AU"/>
              </w:rPr>
            </w:pPr>
            <w:r w:rsidRPr="00F7369B">
              <w:rPr>
                <w:rFonts w:ascii="Arial Narrow" w:hAnsi="Arial Narrow" w:cstheme="minorHAnsi"/>
                <w:sz w:val="20"/>
                <w:szCs w:val="20"/>
                <w:lang w:val="en-AU"/>
              </w:rPr>
              <w:t>3.5%</w:t>
            </w:r>
          </w:p>
          <w:p w:rsidR="00661226" w:rsidRPr="00F7369B" w:rsidRDefault="00661226" w:rsidP="006D69CF">
            <w:pPr>
              <w:autoSpaceDE w:val="0"/>
              <w:autoSpaceDN w:val="0"/>
              <w:adjustRightInd w:val="0"/>
              <w:jc w:val="center"/>
              <w:rPr>
                <w:rFonts w:ascii="Arial Narrow" w:hAnsi="Arial Narrow" w:cstheme="minorHAnsi"/>
                <w:sz w:val="20"/>
                <w:szCs w:val="20"/>
                <w:lang w:val="en-AU"/>
              </w:rPr>
            </w:pPr>
            <w:r w:rsidRPr="00F7369B">
              <w:rPr>
                <w:rFonts w:ascii="Arial Narrow" w:hAnsi="Arial Narrow" w:cstheme="minorHAnsi"/>
                <w:sz w:val="20"/>
                <w:szCs w:val="20"/>
                <w:lang w:val="en-AU"/>
              </w:rPr>
              <w:t>(0.7; 9.9)</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6D69CF">
            <w:pPr>
              <w:autoSpaceDE w:val="0"/>
              <w:autoSpaceDN w:val="0"/>
              <w:adjustRightInd w:val="0"/>
              <w:jc w:val="center"/>
              <w:rPr>
                <w:rFonts w:ascii="Arial Narrow" w:hAnsi="Arial Narrow" w:cstheme="minorHAnsi"/>
                <w:sz w:val="20"/>
                <w:szCs w:val="20"/>
                <w:lang w:val="en-AU"/>
              </w:rPr>
            </w:pPr>
            <w:r w:rsidRPr="00F7369B">
              <w:rPr>
                <w:rFonts w:ascii="Arial Narrow" w:hAnsi="Arial Narrow" w:cstheme="minorHAnsi"/>
                <w:sz w:val="20"/>
                <w:szCs w:val="20"/>
                <w:lang w:val="en-AU"/>
              </w:rPr>
              <w:t>86/86</w:t>
            </w:r>
          </w:p>
          <w:p w:rsidR="00661226" w:rsidRPr="00F7369B" w:rsidRDefault="00661226" w:rsidP="006D69CF">
            <w:pPr>
              <w:autoSpaceDE w:val="0"/>
              <w:autoSpaceDN w:val="0"/>
              <w:adjustRightInd w:val="0"/>
              <w:jc w:val="center"/>
              <w:rPr>
                <w:rFonts w:ascii="Arial Narrow" w:hAnsi="Arial Narrow" w:cstheme="minorHAnsi"/>
                <w:sz w:val="20"/>
                <w:szCs w:val="20"/>
                <w:lang w:val="en-AU"/>
              </w:rPr>
            </w:pPr>
            <w:r w:rsidRPr="00F7369B">
              <w:rPr>
                <w:rFonts w:ascii="Arial Narrow" w:hAnsi="Arial Narrow" w:cstheme="minorHAnsi"/>
                <w:sz w:val="20"/>
                <w:szCs w:val="20"/>
                <w:lang w:val="en-AU"/>
              </w:rPr>
              <w:t>100.0%</w:t>
            </w:r>
          </w:p>
          <w:p w:rsidR="00661226" w:rsidRPr="00F7369B" w:rsidRDefault="00661226" w:rsidP="006D69CF">
            <w:pPr>
              <w:autoSpaceDE w:val="0"/>
              <w:autoSpaceDN w:val="0"/>
              <w:adjustRightInd w:val="0"/>
              <w:jc w:val="center"/>
              <w:rPr>
                <w:rFonts w:ascii="Arial Narrow" w:hAnsi="Arial Narrow" w:cstheme="minorHAnsi"/>
                <w:sz w:val="20"/>
                <w:szCs w:val="20"/>
                <w:lang w:val="en-AU"/>
              </w:rPr>
            </w:pPr>
            <w:r w:rsidRPr="00F7369B">
              <w:rPr>
                <w:rFonts w:ascii="Arial Narrow" w:hAnsi="Arial Narrow" w:cstheme="minorHAnsi"/>
                <w:sz w:val="20"/>
                <w:szCs w:val="20"/>
                <w:lang w:val="en-AU"/>
              </w:rPr>
              <w:t>(95.8; 100.0)</w:t>
            </w:r>
          </w:p>
        </w:tc>
        <w:tc>
          <w:tcPr>
            <w:tcW w:w="758" w:type="pct"/>
            <w:tcBorders>
              <w:top w:val="single" w:sz="4" w:space="0" w:color="auto"/>
              <w:left w:val="single" w:sz="4" w:space="0" w:color="auto"/>
              <w:right w:val="single" w:sz="4" w:space="0" w:color="auto"/>
            </w:tcBorders>
            <w:shd w:val="clear" w:color="auto" w:fill="auto"/>
            <w:vAlign w:val="center"/>
          </w:tcPr>
          <w:p w:rsidR="00661226" w:rsidRPr="00F7369B" w:rsidRDefault="00661226" w:rsidP="006D69CF">
            <w:pPr>
              <w:autoSpaceDE w:val="0"/>
              <w:autoSpaceDN w:val="0"/>
              <w:adjustRightInd w:val="0"/>
              <w:jc w:val="center"/>
              <w:rPr>
                <w:rFonts w:ascii="Arial Narrow" w:hAnsi="Arial Narrow" w:cstheme="minorHAnsi"/>
                <w:sz w:val="20"/>
                <w:szCs w:val="20"/>
                <w:lang w:val="en-AU"/>
              </w:rPr>
            </w:pPr>
            <w:r w:rsidRPr="00F7369B">
              <w:rPr>
                <w:rFonts w:ascii="Arial Narrow" w:hAnsi="Arial Narrow" w:cstheme="minorHAnsi"/>
                <w:sz w:val="20"/>
                <w:szCs w:val="20"/>
                <w:lang w:val="en-AU"/>
              </w:rPr>
              <w:t>-</w:t>
            </w:r>
          </w:p>
        </w:tc>
      </w:tr>
      <w:tr w:rsidR="00665877" w:rsidRPr="00F7369B" w:rsidTr="00665877">
        <w:trPr>
          <w:jc w:val="center"/>
        </w:trPr>
        <w:tc>
          <w:tcPr>
            <w:tcW w:w="523" w:type="pct"/>
            <w:vMerge/>
            <w:tcBorders>
              <w:left w:val="single" w:sz="4" w:space="0" w:color="auto"/>
              <w:right w:val="single" w:sz="4" w:space="0" w:color="auto"/>
            </w:tcBorders>
            <w:shd w:val="clear" w:color="auto" w:fill="auto"/>
            <w:vAlign w:val="center"/>
            <w:hideMark/>
          </w:tcPr>
          <w:p w:rsidR="00661226" w:rsidRPr="00F7369B" w:rsidRDefault="00661226" w:rsidP="006D69CF">
            <w:pPr>
              <w:pStyle w:val="TableLeft"/>
              <w:rPr>
                <w:rFonts w:ascii="Arial Narrow" w:hAnsi="Arial Narrow" w:cstheme="minorHAnsi"/>
                <w:szCs w:val="20"/>
                <w:lang w:val="en-AU"/>
              </w:rPr>
            </w:pP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6D69CF">
            <w:pPr>
              <w:pStyle w:val="TableLeft"/>
              <w:rPr>
                <w:rFonts w:ascii="Arial Narrow" w:hAnsi="Arial Narrow" w:cstheme="minorHAnsi"/>
                <w:szCs w:val="20"/>
                <w:lang w:val="en-AU"/>
              </w:rPr>
            </w:pPr>
            <w:r w:rsidRPr="00F7369B">
              <w:rPr>
                <w:rFonts w:ascii="Arial Narrow" w:hAnsi="Arial Narrow" w:cstheme="minorHAnsi"/>
                <w:szCs w:val="20"/>
                <w:lang w:val="en-AU"/>
              </w:rPr>
              <w:t>Menveo</w:t>
            </w:r>
          </w:p>
        </w:tc>
        <w:tc>
          <w:tcPr>
            <w:tcW w:w="786" w:type="pct"/>
            <w:tcBorders>
              <w:top w:val="single" w:sz="4" w:space="0" w:color="auto"/>
              <w:left w:val="single" w:sz="4" w:space="0" w:color="auto"/>
              <w:right w:val="single" w:sz="4" w:space="0" w:color="auto"/>
            </w:tcBorders>
            <w:shd w:val="clear" w:color="auto" w:fill="auto"/>
            <w:vAlign w:val="center"/>
          </w:tcPr>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w:t>
            </w:r>
          </w:p>
        </w:tc>
        <w:tc>
          <w:tcPr>
            <w:tcW w:w="786" w:type="pct"/>
            <w:tcBorders>
              <w:top w:val="single" w:sz="4" w:space="0" w:color="auto"/>
              <w:left w:val="single" w:sz="4" w:space="0" w:color="auto"/>
              <w:right w:val="single" w:sz="4" w:space="0" w:color="auto"/>
            </w:tcBorders>
            <w:shd w:val="clear" w:color="auto" w:fill="auto"/>
            <w:vAlign w:val="center"/>
          </w:tcPr>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6D69CF">
            <w:pPr>
              <w:autoSpaceDE w:val="0"/>
              <w:autoSpaceDN w:val="0"/>
              <w:adjustRightInd w:val="0"/>
              <w:jc w:val="center"/>
              <w:rPr>
                <w:rFonts w:ascii="Arial Narrow" w:hAnsi="Arial Narrow" w:cstheme="minorHAnsi"/>
                <w:sz w:val="20"/>
                <w:szCs w:val="20"/>
                <w:lang w:val="en-AU"/>
              </w:rPr>
            </w:pPr>
            <w:r w:rsidRPr="00F7369B">
              <w:rPr>
                <w:rFonts w:ascii="Arial Narrow" w:hAnsi="Arial Narrow" w:cstheme="minorHAnsi"/>
                <w:sz w:val="20"/>
                <w:szCs w:val="20"/>
                <w:lang w:val="en-AU"/>
              </w:rPr>
              <w:t>-</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6D69CF">
            <w:pPr>
              <w:autoSpaceDE w:val="0"/>
              <w:autoSpaceDN w:val="0"/>
              <w:adjustRightInd w:val="0"/>
              <w:jc w:val="center"/>
              <w:rPr>
                <w:rFonts w:ascii="Arial Narrow" w:hAnsi="Arial Narrow" w:cstheme="minorHAnsi"/>
                <w:sz w:val="20"/>
                <w:szCs w:val="20"/>
                <w:lang w:val="en-AU"/>
              </w:rPr>
            </w:pPr>
            <w:r w:rsidRPr="00F7369B">
              <w:rPr>
                <w:rFonts w:ascii="Arial Narrow" w:hAnsi="Arial Narrow" w:cstheme="minorHAnsi"/>
                <w:sz w:val="20"/>
                <w:szCs w:val="20"/>
                <w:lang w:val="en-AU"/>
              </w:rPr>
              <w:t>-</w:t>
            </w:r>
          </w:p>
        </w:tc>
        <w:tc>
          <w:tcPr>
            <w:tcW w:w="758" w:type="pct"/>
            <w:tcBorders>
              <w:top w:val="single" w:sz="4" w:space="0" w:color="auto"/>
              <w:left w:val="single" w:sz="4" w:space="0" w:color="auto"/>
              <w:right w:val="single" w:sz="4" w:space="0" w:color="auto"/>
            </w:tcBorders>
            <w:shd w:val="clear" w:color="auto" w:fill="auto"/>
            <w:vAlign w:val="center"/>
          </w:tcPr>
          <w:p w:rsidR="00661226" w:rsidRPr="00F7369B" w:rsidRDefault="00661226" w:rsidP="006D69CF">
            <w:pPr>
              <w:autoSpaceDE w:val="0"/>
              <w:autoSpaceDN w:val="0"/>
              <w:adjustRightInd w:val="0"/>
              <w:jc w:val="center"/>
              <w:rPr>
                <w:rFonts w:ascii="Arial Narrow" w:hAnsi="Arial Narrow" w:cstheme="minorHAnsi"/>
                <w:sz w:val="20"/>
                <w:szCs w:val="20"/>
                <w:lang w:val="en-AU"/>
              </w:rPr>
            </w:pPr>
            <w:r w:rsidRPr="00F7369B">
              <w:rPr>
                <w:rFonts w:ascii="Arial Narrow" w:hAnsi="Arial Narrow" w:cstheme="minorHAnsi"/>
                <w:sz w:val="20"/>
                <w:szCs w:val="20"/>
                <w:lang w:val="en-AU"/>
              </w:rPr>
              <w:t>309/464</w:t>
            </w:r>
          </w:p>
          <w:p w:rsidR="00661226" w:rsidRPr="00F7369B" w:rsidRDefault="00661226" w:rsidP="006D69CF">
            <w:pPr>
              <w:autoSpaceDE w:val="0"/>
              <w:autoSpaceDN w:val="0"/>
              <w:adjustRightInd w:val="0"/>
              <w:jc w:val="center"/>
              <w:rPr>
                <w:rFonts w:ascii="Arial Narrow" w:hAnsi="Arial Narrow" w:cstheme="minorHAnsi"/>
                <w:sz w:val="20"/>
                <w:szCs w:val="20"/>
                <w:lang w:val="en-AU"/>
              </w:rPr>
            </w:pPr>
            <w:r w:rsidRPr="00F7369B">
              <w:rPr>
                <w:rFonts w:ascii="Arial Narrow" w:hAnsi="Arial Narrow" w:cstheme="minorHAnsi"/>
                <w:sz w:val="20"/>
                <w:szCs w:val="20"/>
                <w:lang w:val="en-AU"/>
              </w:rPr>
              <w:t>66.6%</w:t>
            </w:r>
          </w:p>
          <w:p w:rsidR="00661226" w:rsidRPr="00F7369B" w:rsidRDefault="0098572F" w:rsidP="0098572F">
            <w:pPr>
              <w:autoSpaceDE w:val="0"/>
              <w:autoSpaceDN w:val="0"/>
              <w:adjustRightInd w:val="0"/>
              <w:jc w:val="center"/>
              <w:rPr>
                <w:rFonts w:ascii="Arial Narrow" w:hAnsi="Arial Narrow" w:cstheme="minorHAnsi"/>
                <w:sz w:val="20"/>
                <w:szCs w:val="20"/>
                <w:lang w:val="en-AU"/>
              </w:rPr>
            </w:pPr>
            <w:r w:rsidRPr="00F7369B">
              <w:rPr>
                <w:rFonts w:ascii="Arial Narrow" w:hAnsi="Arial Narrow" w:cstheme="minorHAnsi"/>
                <w:sz w:val="20"/>
                <w:szCs w:val="20"/>
                <w:lang w:val="en-AU"/>
              </w:rPr>
              <w:t>(62.1; 70.9)</w:t>
            </w:r>
          </w:p>
        </w:tc>
      </w:tr>
      <w:tr w:rsidR="00665877" w:rsidRPr="00F7369B" w:rsidTr="00665877">
        <w:trPr>
          <w:trHeight w:val="459"/>
          <w:jc w:val="center"/>
        </w:trPr>
        <w:tc>
          <w:tcPr>
            <w:tcW w:w="523" w:type="pct"/>
            <w:vMerge/>
            <w:tcBorders>
              <w:left w:val="single" w:sz="4" w:space="0" w:color="auto"/>
              <w:right w:val="single" w:sz="4" w:space="0" w:color="auto"/>
            </w:tcBorders>
            <w:shd w:val="clear" w:color="auto" w:fill="auto"/>
            <w:vAlign w:val="center"/>
          </w:tcPr>
          <w:p w:rsidR="00661226" w:rsidRPr="00F7369B" w:rsidRDefault="00661226" w:rsidP="006D69CF">
            <w:pPr>
              <w:pStyle w:val="TableLeft"/>
              <w:rPr>
                <w:rFonts w:ascii="Arial Narrow" w:hAnsi="Arial Narrow" w:cstheme="minorHAnsi"/>
                <w:szCs w:val="20"/>
                <w:lang w:val="en-AU"/>
              </w:rPr>
            </w:pPr>
          </w:p>
        </w:tc>
        <w:tc>
          <w:tcPr>
            <w:tcW w:w="889" w:type="pct"/>
            <w:tcBorders>
              <w:top w:val="single" w:sz="4" w:space="0" w:color="auto"/>
              <w:left w:val="single" w:sz="4" w:space="0" w:color="auto"/>
              <w:right w:val="single" w:sz="4" w:space="0" w:color="auto"/>
            </w:tcBorders>
            <w:shd w:val="clear" w:color="auto" w:fill="auto"/>
            <w:vAlign w:val="center"/>
          </w:tcPr>
          <w:p w:rsidR="00661226" w:rsidRPr="00F7369B" w:rsidRDefault="00661226" w:rsidP="00B776D2">
            <w:pPr>
              <w:pStyle w:val="TableLeft"/>
              <w:rPr>
                <w:rFonts w:ascii="Arial Narrow" w:hAnsi="Arial Narrow" w:cstheme="minorHAnsi"/>
                <w:szCs w:val="20"/>
                <w:lang w:val="en-AU"/>
              </w:rPr>
            </w:pPr>
            <w:r w:rsidRPr="00F7369B">
              <w:rPr>
                <w:rFonts w:ascii="Arial Narrow" w:hAnsi="Arial Narrow" w:cstheme="minorHAnsi"/>
                <w:szCs w:val="20"/>
                <w:lang w:val="en-AU"/>
              </w:rPr>
              <w:t>Vaccine </w:t>
            </w:r>
            <w:r w:rsidR="00B776D2">
              <w:rPr>
                <w:rFonts w:ascii="Arial Narrow" w:hAnsi="Arial Narrow" w:cstheme="minorHAnsi"/>
                <w:szCs w:val="20"/>
                <w:lang w:val="en-AU"/>
              </w:rPr>
              <w:t>g</w:t>
            </w:r>
            <w:r w:rsidRPr="00F7369B">
              <w:rPr>
                <w:rFonts w:ascii="Arial Narrow" w:hAnsi="Arial Narrow" w:cstheme="minorHAnsi"/>
                <w:szCs w:val="20"/>
                <w:lang w:val="en-AU"/>
              </w:rPr>
              <w:t>roup </w:t>
            </w:r>
            <w:r w:rsidR="00B776D2">
              <w:rPr>
                <w:rFonts w:ascii="Arial Narrow" w:hAnsi="Arial Narrow" w:cstheme="minorHAnsi"/>
                <w:szCs w:val="20"/>
                <w:lang w:val="en-AU"/>
              </w:rPr>
              <w:br/>
              <w:t>d</w:t>
            </w:r>
            <w:r w:rsidRPr="00F7369B">
              <w:rPr>
                <w:rFonts w:ascii="Arial Narrow" w:hAnsi="Arial Narrow" w:cstheme="minorHAnsi"/>
                <w:szCs w:val="20"/>
                <w:lang w:val="en-AU"/>
              </w:rPr>
              <w:t>ifference (95% CI)</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0.2%</w:t>
            </w:r>
          </w:p>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(-5.85; 6.18)</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0.</w:t>
            </w:r>
            <w:r w:rsidR="00D33802" w:rsidRPr="00F7369B">
              <w:rPr>
                <w:rFonts w:ascii="Arial Narrow" w:hAnsi="Arial Narrow" w:cstheme="minorHAnsi"/>
                <w:sz w:val="20"/>
                <w:szCs w:val="20"/>
                <w:lang w:val="en-AU"/>
              </w:rPr>
              <w:t>5</w:t>
            </w:r>
            <w:r w:rsidRPr="00F7369B">
              <w:rPr>
                <w:rFonts w:ascii="Arial Narrow" w:hAnsi="Arial Narrow" w:cstheme="minorHAnsi"/>
                <w:sz w:val="20"/>
                <w:szCs w:val="20"/>
                <w:lang w:val="en-AU"/>
              </w:rPr>
              <w:t>%</w:t>
            </w:r>
          </w:p>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(-4.37; 5.28)</w:t>
            </w:r>
          </w:p>
        </w:tc>
        <w:tc>
          <w:tcPr>
            <w:tcW w:w="629" w:type="pct"/>
            <w:tcBorders>
              <w:top w:val="single" w:sz="4" w:space="0" w:color="auto"/>
              <w:left w:val="single" w:sz="4" w:space="0" w:color="auto"/>
              <w:right w:val="single" w:sz="4" w:space="0" w:color="auto"/>
            </w:tcBorders>
            <w:shd w:val="clear" w:color="auto" w:fill="auto"/>
            <w:vAlign w:val="center"/>
          </w:tcPr>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w:t>
            </w:r>
          </w:p>
        </w:tc>
        <w:tc>
          <w:tcPr>
            <w:tcW w:w="629" w:type="pct"/>
            <w:tcBorders>
              <w:top w:val="single" w:sz="4" w:space="0" w:color="auto"/>
              <w:left w:val="single" w:sz="4" w:space="0" w:color="auto"/>
              <w:right w:val="single" w:sz="4" w:space="0" w:color="auto"/>
            </w:tcBorders>
            <w:shd w:val="clear" w:color="auto" w:fill="auto"/>
            <w:vAlign w:val="center"/>
          </w:tcPr>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19.6%</w:t>
            </w:r>
          </w:p>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(14.2; 24.8)</w:t>
            </w:r>
          </w:p>
        </w:tc>
      </w:tr>
      <w:tr w:rsidR="00665877" w:rsidRPr="00F7369B" w:rsidTr="00665877">
        <w:trPr>
          <w:jc w:val="center"/>
        </w:trPr>
        <w:tc>
          <w:tcPr>
            <w:tcW w:w="523" w:type="pct"/>
            <w:vMerge w:val="restart"/>
            <w:tcBorders>
              <w:top w:val="single" w:sz="4" w:space="0" w:color="auto"/>
              <w:left w:val="single" w:sz="4" w:space="0" w:color="auto"/>
              <w:right w:val="single" w:sz="4" w:space="0" w:color="auto"/>
            </w:tcBorders>
            <w:shd w:val="clear" w:color="auto" w:fill="auto"/>
            <w:vAlign w:val="center"/>
          </w:tcPr>
          <w:p w:rsidR="00661226" w:rsidRPr="00F7369B" w:rsidRDefault="00661226" w:rsidP="006D69CF">
            <w:pPr>
              <w:pStyle w:val="TableLeft"/>
              <w:rPr>
                <w:rFonts w:ascii="Arial Narrow" w:hAnsi="Arial Narrow" w:cstheme="minorHAnsi"/>
                <w:szCs w:val="20"/>
                <w:lang w:val="en-AU"/>
              </w:rPr>
            </w:pPr>
            <w:r w:rsidRPr="00F7369B">
              <w:rPr>
                <w:rFonts w:ascii="Arial Narrow" w:hAnsi="Arial Narrow" w:cstheme="minorHAnsi"/>
                <w:szCs w:val="20"/>
                <w:lang w:val="en-AU"/>
              </w:rPr>
              <w:t>MenY</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6D69CF">
            <w:pPr>
              <w:pStyle w:val="TableLeft"/>
              <w:rPr>
                <w:rFonts w:ascii="Arial Narrow" w:hAnsi="Arial Narrow" w:cstheme="minorHAnsi"/>
                <w:szCs w:val="20"/>
                <w:lang w:val="en-AU"/>
              </w:rPr>
            </w:pPr>
            <w:r w:rsidRPr="00F7369B">
              <w:rPr>
                <w:rFonts w:ascii="Arial Narrow" w:hAnsi="Arial Narrow" w:cstheme="minorHAnsi"/>
                <w:szCs w:val="20"/>
                <w:lang w:val="en-AU"/>
              </w:rPr>
              <w:t>MenQuadfi</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273/293</w:t>
            </w:r>
          </w:p>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93.2%</w:t>
            </w:r>
          </w:p>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(89.7; 95.8)</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462/490</w:t>
            </w:r>
          </w:p>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94%</w:t>
            </w:r>
          </w:p>
          <w:p w:rsidR="00386FB3" w:rsidRPr="00F7369B" w:rsidRDefault="00386FB3"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(91.8; 96.2)</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14/91</w:t>
            </w:r>
          </w:p>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15.4%</w:t>
            </w:r>
          </w:p>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(8.7; 24.5)</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91/91</w:t>
            </w:r>
          </w:p>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100.0%</w:t>
            </w:r>
          </w:p>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(96.0; 100.0)</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448/462</w:t>
            </w:r>
          </w:p>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97.0%</w:t>
            </w:r>
          </w:p>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(95.0; 98.3)</w:t>
            </w:r>
          </w:p>
        </w:tc>
      </w:tr>
      <w:tr w:rsidR="00665877" w:rsidRPr="00F7369B" w:rsidTr="00665877">
        <w:trPr>
          <w:jc w:val="center"/>
        </w:trPr>
        <w:tc>
          <w:tcPr>
            <w:tcW w:w="523" w:type="pct"/>
            <w:vMerge/>
            <w:tcBorders>
              <w:left w:val="single" w:sz="4" w:space="0" w:color="auto"/>
              <w:right w:val="single" w:sz="4" w:space="0" w:color="auto"/>
            </w:tcBorders>
            <w:shd w:val="clear" w:color="auto" w:fill="auto"/>
            <w:vAlign w:val="center"/>
            <w:hideMark/>
          </w:tcPr>
          <w:p w:rsidR="00661226" w:rsidRPr="00F7369B" w:rsidRDefault="00661226" w:rsidP="006D69CF">
            <w:pPr>
              <w:pStyle w:val="TableLeft"/>
              <w:rPr>
                <w:rFonts w:ascii="Arial Narrow" w:hAnsi="Arial Narrow" w:cstheme="minorHAnsi"/>
                <w:szCs w:val="20"/>
                <w:lang w:val="en-AU"/>
              </w:rPr>
            </w:pP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61226" w:rsidRPr="00F7369B" w:rsidRDefault="00661226" w:rsidP="006D69CF">
            <w:pPr>
              <w:pStyle w:val="TableLeft"/>
              <w:rPr>
                <w:rFonts w:ascii="Arial Narrow" w:hAnsi="Arial Narrow" w:cstheme="minorHAnsi"/>
                <w:szCs w:val="20"/>
                <w:lang w:val="en-AU"/>
              </w:rPr>
            </w:pPr>
            <w:r w:rsidRPr="00F7369B">
              <w:rPr>
                <w:rFonts w:ascii="Arial Narrow" w:hAnsi="Arial Narrow" w:cstheme="minorHAnsi"/>
                <w:szCs w:val="20"/>
                <w:lang w:val="en-AU"/>
              </w:rPr>
              <w:t>Nimenrix</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271/296</w:t>
            </w:r>
          </w:p>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91.6%</w:t>
            </w:r>
          </w:p>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(87.8; 94.5)</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362/395</w:t>
            </w:r>
          </w:p>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92%</w:t>
            </w:r>
          </w:p>
          <w:p w:rsidR="00386FB3" w:rsidRPr="00F7369B" w:rsidRDefault="00386FB3"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(88.5; 94.2)</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6D69CF">
            <w:pPr>
              <w:autoSpaceDE w:val="0"/>
              <w:autoSpaceDN w:val="0"/>
              <w:adjustRightInd w:val="0"/>
              <w:jc w:val="center"/>
              <w:rPr>
                <w:rFonts w:ascii="Arial Narrow" w:hAnsi="Arial Narrow" w:cstheme="minorHAnsi"/>
                <w:sz w:val="20"/>
                <w:szCs w:val="20"/>
                <w:lang w:val="en-AU"/>
              </w:rPr>
            </w:pPr>
            <w:r w:rsidRPr="00F7369B">
              <w:rPr>
                <w:rFonts w:ascii="Arial Narrow" w:hAnsi="Arial Narrow" w:cstheme="minorHAnsi"/>
                <w:sz w:val="20"/>
                <w:szCs w:val="20"/>
                <w:lang w:val="en-AU"/>
              </w:rPr>
              <w:t>9/86</w:t>
            </w:r>
          </w:p>
          <w:p w:rsidR="00661226" w:rsidRPr="00F7369B" w:rsidRDefault="00661226" w:rsidP="006D69CF">
            <w:pPr>
              <w:autoSpaceDE w:val="0"/>
              <w:autoSpaceDN w:val="0"/>
              <w:adjustRightInd w:val="0"/>
              <w:jc w:val="center"/>
              <w:rPr>
                <w:rFonts w:ascii="Arial Narrow" w:hAnsi="Arial Narrow" w:cstheme="minorHAnsi"/>
                <w:sz w:val="20"/>
                <w:szCs w:val="20"/>
                <w:lang w:val="en-AU"/>
              </w:rPr>
            </w:pPr>
            <w:r w:rsidRPr="00F7369B">
              <w:rPr>
                <w:rFonts w:ascii="Arial Narrow" w:hAnsi="Arial Narrow" w:cstheme="minorHAnsi"/>
                <w:sz w:val="20"/>
                <w:szCs w:val="20"/>
                <w:lang w:val="en-AU"/>
              </w:rPr>
              <w:t>10.5%</w:t>
            </w:r>
          </w:p>
          <w:p w:rsidR="00661226" w:rsidRPr="00F7369B" w:rsidRDefault="00661226" w:rsidP="006D69CF">
            <w:pPr>
              <w:autoSpaceDE w:val="0"/>
              <w:autoSpaceDN w:val="0"/>
              <w:adjustRightInd w:val="0"/>
              <w:jc w:val="center"/>
              <w:rPr>
                <w:rFonts w:ascii="Arial Narrow" w:hAnsi="Arial Narrow" w:cstheme="minorHAnsi"/>
                <w:sz w:val="20"/>
                <w:szCs w:val="20"/>
                <w:lang w:val="en-AU"/>
              </w:rPr>
            </w:pPr>
            <w:r w:rsidRPr="00F7369B">
              <w:rPr>
                <w:rFonts w:ascii="Arial Narrow" w:hAnsi="Arial Narrow" w:cstheme="minorHAnsi"/>
                <w:sz w:val="20"/>
                <w:szCs w:val="20"/>
                <w:lang w:val="en-AU"/>
              </w:rPr>
              <w:t>(4.9; 18.9)</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6D69CF">
            <w:pPr>
              <w:autoSpaceDE w:val="0"/>
              <w:autoSpaceDN w:val="0"/>
              <w:adjustRightInd w:val="0"/>
              <w:jc w:val="center"/>
              <w:rPr>
                <w:rFonts w:ascii="Arial Narrow" w:hAnsi="Arial Narrow" w:cstheme="minorHAnsi"/>
                <w:sz w:val="20"/>
                <w:szCs w:val="20"/>
                <w:lang w:val="en-AU"/>
              </w:rPr>
            </w:pPr>
            <w:r w:rsidRPr="00F7369B">
              <w:rPr>
                <w:rFonts w:ascii="Arial Narrow" w:hAnsi="Arial Narrow" w:cstheme="minorHAnsi"/>
                <w:sz w:val="20"/>
                <w:szCs w:val="20"/>
                <w:lang w:val="en-AU"/>
              </w:rPr>
              <w:t>86/86</w:t>
            </w:r>
          </w:p>
          <w:p w:rsidR="00661226" w:rsidRPr="00F7369B" w:rsidRDefault="00661226" w:rsidP="006D69CF">
            <w:pPr>
              <w:autoSpaceDE w:val="0"/>
              <w:autoSpaceDN w:val="0"/>
              <w:adjustRightInd w:val="0"/>
              <w:jc w:val="center"/>
              <w:rPr>
                <w:rFonts w:ascii="Arial Narrow" w:hAnsi="Arial Narrow" w:cstheme="minorHAnsi"/>
                <w:sz w:val="20"/>
                <w:szCs w:val="20"/>
                <w:lang w:val="en-AU"/>
              </w:rPr>
            </w:pPr>
            <w:r w:rsidRPr="00F7369B">
              <w:rPr>
                <w:rFonts w:ascii="Arial Narrow" w:hAnsi="Arial Narrow" w:cstheme="minorHAnsi"/>
                <w:sz w:val="20"/>
                <w:szCs w:val="20"/>
                <w:lang w:val="en-AU"/>
              </w:rPr>
              <w:t>100.0%</w:t>
            </w:r>
          </w:p>
          <w:p w:rsidR="00661226" w:rsidRPr="00F7369B" w:rsidRDefault="00661226" w:rsidP="006D69CF">
            <w:pPr>
              <w:autoSpaceDE w:val="0"/>
              <w:autoSpaceDN w:val="0"/>
              <w:adjustRightInd w:val="0"/>
              <w:jc w:val="center"/>
              <w:rPr>
                <w:rFonts w:ascii="Arial Narrow" w:hAnsi="Arial Narrow" w:cstheme="minorHAnsi"/>
                <w:sz w:val="20"/>
                <w:szCs w:val="20"/>
                <w:lang w:val="en-AU"/>
              </w:rPr>
            </w:pPr>
            <w:r w:rsidRPr="00F7369B">
              <w:rPr>
                <w:rFonts w:ascii="Arial Narrow" w:hAnsi="Arial Narrow" w:cstheme="minorHAnsi"/>
                <w:sz w:val="20"/>
                <w:szCs w:val="20"/>
                <w:lang w:val="en-AU"/>
              </w:rPr>
              <w:t>(95.8; 100.0)</w:t>
            </w:r>
          </w:p>
        </w:tc>
        <w:tc>
          <w:tcPr>
            <w:tcW w:w="758" w:type="pct"/>
            <w:tcBorders>
              <w:top w:val="single" w:sz="4" w:space="0" w:color="auto"/>
              <w:left w:val="single" w:sz="4" w:space="0" w:color="auto"/>
              <w:right w:val="single" w:sz="4" w:space="0" w:color="auto"/>
            </w:tcBorders>
            <w:shd w:val="clear" w:color="auto" w:fill="auto"/>
            <w:vAlign w:val="center"/>
          </w:tcPr>
          <w:p w:rsidR="00661226" w:rsidRPr="00F7369B" w:rsidRDefault="00661226" w:rsidP="006D69CF">
            <w:pPr>
              <w:autoSpaceDE w:val="0"/>
              <w:autoSpaceDN w:val="0"/>
              <w:adjustRightInd w:val="0"/>
              <w:jc w:val="center"/>
              <w:rPr>
                <w:rFonts w:ascii="Arial Narrow" w:hAnsi="Arial Narrow" w:cstheme="minorHAnsi"/>
                <w:sz w:val="20"/>
                <w:szCs w:val="20"/>
                <w:lang w:val="en-AU"/>
              </w:rPr>
            </w:pPr>
            <w:r w:rsidRPr="00F7369B">
              <w:rPr>
                <w:rFonts w:ascii="Arial Narrow" w:hAnsi="Arial Narrow" w:cstheme="minorHAnsi"/>
                <w:sz w:val="20"/>
                <w:szCs w:val="20"/>
                <w:lang w:val="en-AU"/>
              </w:rPr>
              <w:t>-</w:t>
            </w:r>
          </w:p>
        </w:tc>
      </w:tr>
      <w:tr w:rsidR="00665877" w:rsidRPr="00F7369B" w:rsidTr="00665877">
        <w:trPr>
          <w:jc w:val="center"/>
        </w:trPr>
        <w:tc>
          <w:tcPr>
            <w:tcW w:w="523" w:type="pct"/>
            <w:vMerge/>
            <w:tcBorders>
              <w:left w:val="single" w:sz="4" w:space="0" w:color="auto"/>
              <w:right w:val="single" w:sz="4" w:space="0" w:color="auto"/>
            </w:tcBorders>
            <w:shd w:val="clear" w:color="auto" w:fill="auto"/>
            <w:vAlign w:val="center"/>
          </w:tcPr>
          <w:p w:rsidR="00661226" w:rsidRPr="00F7369B" w:rsidRDefault="00661226" w:rsidP="006D69CF">
            <w:pPr>
              <w:pStyle w:val="TableLeft"/>
              <w:rPr>
                <w:rFonts w:ascii="Arial Narrow" w:hAnsi="Arial Narrow" w:cstheme="minorHAnsi"/>
                <w:szCs w:val="20"/>
                <w:lang w:val="en-AU"/>
              </w:rPr>
            </w:pP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6D69CF">
            <w:pPr>
              <w:pStyle w:val="TableLeft"/>
              <w:rPr>
                <w:rFonts w:ascii="Arial Narrow" w:hAnsi="Arial Narrow" w:cstheme="minorHAnsi"/>
                <w:szCs w:val="20"/>
                <w:lang w:val="en-AU"/>
              </w:rPr>
            </w:pPr>
            <w:r w:rsidRPr="00F7369B">
              <w:rPr>
                <w:rFonts w:ascii="Arial Narrow" w:hAnsi="Arial Narrow" w:cstheme="minorHAnsi"/>
                <w:szCs w:val="20"/>
                <w:lang w:val="en-AU"/>
              </w:rPr>
              <w:t>Menveo</w:t>
            </w:r>
          </w:p>
        </w:tc>
        <w:tc>
          <w:tcPr>
            <w:tcW w:w="786" w:type="pct"/>
            <w:tcBorders>
              <w:top w:val="single" w:sz="4" w:space="0" w:color="auto"/>
              <w:left w:val="single" w:sz="4" w:space="0" w:color="auto"/>
              <w:right w:val="single" w:sz="4" w:space="0" w:color="auto"/>
            </w:tcBorders>
            <w:shd w:val="clear" w:color="auto" w:fill="auto"/>
            <w:vAlign w:val="center"/>
          </w:tcPr>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w:t>
            </w:r>
          </w:p>
        </w:tc>
        <w:tc>
          <w:tcPr>
            <w:tcW w:w="786" w:type="pct"/>
            <w:tcBorders>
              <w:top w:val="single" w:sz="4" w:space="0" w:color="auto"/>
              <w:left w:val="single" w:sz="4" w:space="0" w:color="auto"/>
              <w:right w:val="single" w:sz="4" w:space="0" w:color="auto"/>
            </w:tcBorders>
            <w:shd w:val="clear" w:color="auto" w:fill="auto"/>
            <w:vAlign w:val="center"/>
          </w:tcPr>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6D69CF">
            <w:pPr>
              <w:autoSpaceDE w:val="0"/>
              <w:autoSpaceDN w:val="0"/>
              <w:adjustRightInd w:val="0"/>
              <w:jc w:val="center"/>
              <w:rPr>
                <w:rFonts w:ascii="Arial Narrow" w:hAnsi="Arial Narrow" w:cstheme="minorHAnsi"/>
                <w:sz w:val="20"/>
                <w:szCs w:val="20"/>
                <w:lang w:val="en-AU"/>
              </w:rPr>
            </w:pPr>
            <w:r w:rsidRPr="00F7369B">
              <w:rPr>
                <w:rFonts w:ascii="Arial Narrow" w:hAnsi="Arial Narrow" w:cstheme="minorHAnsi"/>
                <w:sz w:val="20"/>
                <w:szCs w:val="20"/>
                <w:lang w:val="en-AU"/>
              </w:rPr>
              <w:t>-</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661226" w:rsidRPr="00F7369B" w:rsidRDefault="00661226" w:rsidP="006D69CF">
            <w:pPr>
              <w:autoSpaceDE w:val="0"/>
              <w:autoSpaceDN w:val="0"/>
              <w:adjustRightInd w:val="0"/>
              <w:jc w:val="center"/>
              <w:rPr>
                <w:rFonts w:ascii="Arial Narrow" w:hAnsi="Arial Narrow" w:cstheme="minorHAnsi"/>
                <w:sz w:val="20"/>
                <w:szCs w:val="20"/>
                <w:lang w:val="en-AU"/>
              </w:rPr>
            </w:pPr>
            <w:r w:rsidRPr="00F7369B">
              <w:rPr>
                <w:rFonts w:ascii="Arial Narrow" w:hAnsi="Arial Narrow" w:cstheme="minorHAnsi"/>
                <w:sz w:val="20"/>
                <w:szCs w:val="20"/>
                <w:lang w:val="en-AU"/>
              </w:rPr>
              <w:t>-</w:t>
            </w:r>
          </w:p>
        </w:tc>
        <w:tc>
          <w:tcPr>
            <w:tcW w:w="758" w:type="pct"/>
            <w:tcBorders>
              <w:top w:val="single" w:sz="4" w:space="0" w:color="auto"/>
              <w:left w:val="single" w:sz="4" w:space="0" w:color="auto"/>
              <w:right w:val="single" w:sz="4" w:space="0" w:color="auto"/>
            </w:tcBorders>
            <w:shd w:val="clear" w:color="auto" w:fill="auto"/>
            <w:vAlign w:val="center"/>
          </w:tcPr>
          <w:p w:rsidR="00661226" w:rsidRPr="00F7369B" w:rsidRDefault="00661226" w:rsidP="006D69CF">
            <w:pPr>
              <w:autoSpaceDE w:val="0"/>
              <w:autoSpaceDN w:val="0"/>
              <w:adjustRightInd w:val="0"/>
              <w:jc w:val="center"/>
              <w:rPr>
                <w:rFonts w:ascii="Arial Narrow" w:hAnsi="Arial Narrow" w:cstheme="minorHAnsi"/>
                <w:sz w:val="20"/>
                <w:szCs w:val="20"/>
                <w:lang w:val="en-AU"/>
              </w:rPr>
            </w:pPr>
            <w:r w:rsidRPr="00F7369B">
              <w:rPr>
                <w:rFonts w:ascii="Arial Narrow" w:hAnsi="Arial Narrow" w:cstheme="minorHAnsi"/>
                <w:sz w:val="20"/>
                <w:szCs w:val="20"/>
                <w:lang w:val="en-AU"/>
              </w:rPr>
              <w:t>375/464</w:t>
            </w:r>
          </w:p>
          <w:p w:rsidR="00661226" w:rsidRPr="00F7369B" w:rsidRDefault="00661226" w:rsidP="006D69CF">
            <w:pPr>
              <w:autoSpaceDE w:val="0"/>
              <w:autoSpaceDN w:val="0"/>
              <w:adjustRightInd w:val="0"/>
              <w:jc w:val="center"/>
              <w:rPr>
                <w:rFonts w:ascii="Arial Narrow" w:hAnsi="Arial Narrow" w:cstheme="minorHAnsi"/>
                <w:sz w:val="20"/>
                <w:szCs w:val="20"/>
                <w:lang w:val="en-AU"/>
              </w:rPr>
            </w:pPr>
            <w:r w:rsidRPr="00F7369B">
              <w:rPr>
                <w:rFonts w:ascii="Arial Narrow" w:hAnsi="Arial Narrow" w:cstheme="minorHAnsi"/>
                <w:sz w:val="20"/>
                <w:szCs w:val="20"/>
                <w:lang w:val="en-AU"/>
              </w:rPr>
              <w:t>80.8%</w:t>
            </w:r>
          </w:p>
          <w:p w:rsidR="00661226" w:rsidRPr="00F7369B" w:rsidRDefault="00661226" w:rsidP="006D69CF">
            <w:pPr>
              <w:autoSpaceDE w:val="0"/>
              <w:autoSpaceDN w:val="0"/>
              <w:adjustRightInd w:val="0"/>
              <w:jc w:val="center"/>
              <w:rPr>
                <w:rFonts w:ascii="Arial Narrow" w:hAnsi="Arial Narrow" w:cstheme="minorHAnsi"/>
                <w:sz w:val="20"/>
                <w:szCs w:val="20"/>
                <w:lang w:val="en-AU"/>
              </w:rPr>
            </w:pPr>
            <w:r w:rsidRPr="00F7369B">
              <w:rPr>
                <w:rFonts w:ascii="Arial Narrow" w:hAnsi="Arial Narrow" w:cstheme="minorHAnsi"/>
                <w:sz w:val="20"/>
                <w:szCs w:val="20"/>
                <w:lang w:val="en-AU"/>
              </w:rPr>
              <w:t>(76.9; 84.3)</w:t>
            </w:r>
          </w:p>
        </w:tc>
      </w:tr>
      <w:tr w:rsidR="00665877" w:rsidRPr="00F7369B" w:rsidTr="00665877">
        <w:trPr>
          <w:trHeight w:val="50"/>
          <w:jc w:val="center"/>
        </w:trPr>
        <w:tc>
          <w:tcPr>
            <w:tcW w:w="523" w:type="pct"/>
            <w:vMerge/>
            <w:tcBorders>
              <w:left w:val="single" w:sz="4" w:space="0" w:color="auto"/>
              <w:right w:val="single" w:sz="4" w:space="0" w:color="auto"/>
            </w:tcBorders>
            <w:shd w:val="clear" w:color="auto" w:fill="auto"/>
            <w:vAlign w:val="center"/>
          </w:tcPr>
          <w:p w:rsidR="00661226" w:rsidRPr="00F7369B" w:rsidRDefault="00661226" w:rsidP="006D69CF">
            <w:pPr>
              <w:pStyle w:val="TableLeft"/>
              <w:rPr>
                <w:rFonts w:ascii="Arial Narrow" w:hAnsi="Arial Narrow" w:cstheme="minorHAnsi"/>
                <w:szCs w:val="20"/>
                <w:lang w:val="en-AU"/>
              </w:rPr>
            </w:pPr>
          </w:p>
        </w:tc>
        <w:tc>
          <w:tcPr>
            <w:tcW w:w="889" w:type="pct"/>
            <w:tcBorders>
              <w:top w:val="single" w:sz="4" w:space="0" w:color="auto"/>
              <w:left w:val="single" w:sz="4" w:space="0" w:color="auto"/>
              <w:right w:val="single" w:sz="4" w:space="0" w:color="auto"/>
            </w:tcBorders>
            <w:shd w:val="clear" w:color="auto" w:fill="auto"/>
            <w:vAlign w:val="center"/>
          </w:tcPr>
          <w:p w:rsidR="00661226" w:rsidRPr="00F7369B" w:rsidRDefault="00661226" w:rsidP="00B776D2">
            <w:pPr>
              <w:pStyle w:val="TableLeft"/>
              <w:rPr>
                <w:rFonts w:ascii="Arial Narrow" w:hAnsi="Arial Narrow" w:cstheme="minorHAnsi"/>
                <w:szCs w:val="20"/>
                <w:lang w:val="en-AU"/>
              </w:rPr>
            </w:pPr>
            <w:r w:rsidRPr="00F7369B">
              <w:rPr>
                <w:rFonts w:ascii="Arial Narrow" w:hAnsi="Arial Narrow" w:cstheme="minorHAnsi"/>
                <w:szCs w:val="20"/>
                <w:lang w:val="en-AU"/>
              </w:rPr>
              <w:t>Vaccine </w:t>
            </w:r>
            <w:r w:rsidR="00B776D2">
              <w:rPr>
                <w:rFonts w:ascii="Arial Narrow" w:hAnsi="Arial Narrow" w:cstheme="minorHAnsi"/>
                <w:szCs w:val="20"/>
                <w:lang w:val="en-AU"/>
              </w:rPr>
              <w:t>g</w:t>
            </w:r>
            <w:r w:rsidRPr="00F7369B">
              <w:rPr>
                <w:rFonts w:ascii="Arial Narrow" w:hAnsi="Arial Narrow" w:cstheme="minorHAnsi"/>
                <w:szCs w:val="20"/>
                <w:lang w:val="en-AU"/>
              </w:rPr>
              <w:t>roup </w:t>
            </w:r>
            <w:r w:rsidR="00B776D2">
              <w:rPr>
                <w:rFonts w:ascii="Arial Narrow" w:hAnsi="Arial Narrow" w:cstheme="minorHAnsi"/>
                <w:szCs w:val="20"/>
                <w:lang w:val="en-AU"/>
              </w:rPr>
              <w:br/>
              <w:t>d</w:t>
            </w:r>
            <w:r w:rsidRPr="00F7369B">
              <w:rPr>
                <w:rFonts w:ascii="Arial Narrow" w:hAnsi="Arial Narrow" w:cstheme="minorHAnsi"/>
                <w:szCs w:val="20"/>
                <w:lang w:val="en-AU"/>
              </w:rPr>
              <w:t xml:space="preserve">ifference (95% CI) </w:t>
            </w:r>
          </w:p>
        </w:tc>
        <w:tc>
          <w:tcPr>
            <w:tcW w:w="786" w:type="pct"/>
            <w:tcBorders>
              <w:top w:val="single" w:sz="4" w:space="0" w:color="auto"/>
              <w:left w:val="single" w:sz="4" w:space="0" w:color="auto"/>
              <w:right w:val="single" w:sz="4" w:space="0" w:color="auto"/>
            </w:tcBorders>
            <w:shd w:val="clear" w:color="auto" w:fill="auto"/>
            <w:vAlign w:val="center"/>
          </w:tcPr>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1.6%</w:t>
            </w:r>
          </w:p>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(-2.76; 6.03)</w:t>
            </w:r>
          </w:p>
        </w:tc>
        <w:tc>
          <w:tcPr>
            <w:tcW w:w="786" w:type="pct"/>
            <w:tcBorders>
              <w:top w:val="single" w:sz="4" w:space="0" w:color="auto"/>
              <w:left w:val="single" w:sz="4" w:space="0" w:color="auto"/>
              <w:right w:val="single" w:sz="4" w:space="0" w:color="auto"/>
            </w:tcBorders>
            <w:shd w:val="clear" w:color="auto" w:fill="auto"/>
            <w:vAlign w:val="center"/>
          </w:tcPr>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2.4%</w:t>
            </w:r>
          </w:p>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(-1.34; 6.19)</w:t>
            </w:r>
          </w:p>
        </w:tc>
        <w:tc>
          <w:tcPr>
            <w:tcW w:w="629" w:type="pct"/>
            <w:tcBorders>
              <w:top w:val="single" w:sz="4" w:space="0" w:color="auto"/>
              <w:left w:val="single" w:sz="4" w:space="0" w:color="auto"/>
              <w:right w:val="single" w:sz="4" w:space="0" w:color="auto"/>
            </w:tcBorders>
            <w:shd w:val="clear" w:color="auto" w:fill="auto"/>
            <w:vAlign w:val="center"/>
          </w:tcPr>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w:t>
            </w:r>
          </w:p>
        </w:tc>
        <w:tc>
          <w:tcPr>
            <w:tcW w:w="629" w:type="pct"/>
            <w:tcBorders>
              <w:top w:val="single" w:sz="4" w:space="0" w:color="auto"/>
              <w:left w:val="single" w:sz="4" w:space="0" w:color="auto"/>
              <w:right w:val="single" w:sz="4" w:space="0" w:color="auto"/>
            </w:tcBorders>
            <w:shd w:val="clear" w:color="auto" w:fill="auto"/>
            <w:vAlign w:val="center"/>
          </w:tcPr>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w:t>
            </w:r>
          </w:p>
        </w:tc>
        <w:tc>
          <w:tcPr>
            <w:tcW w:w="758" w:type="pct"/>
            <w:tcBorders>
              <w:top w:val="single" w:sz="4" w:space="0" w:color="auto"/>
              <w:left w:val="single" w:sz="4" w:space="0" w:color="auto"/>
              <w:right w:val="single" w:sz="4" w:space="0" w:color="auto"/>
            </w:tcBorders>
            <w:shd w:val="clear" w:color="auto" w:fill="auto"/>
            <w:vAlign w:val="center"/>
          </w:tcPr>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16.2%</w:t>
            </w:r>
          </w:p>
          <w:p w:rsidR="00661226" w:rsidRPr="00F7369B" w:rsidRDefault="00661226" w:rsidP="006D69CF">
            <w:pPr>
              <w:pStyle w:val="TableCentre"/>
              <w:rPr>
                <w:rFonts w:ascii="Arial Narrow" w:hAnsi="Arial Narrow" w:cstheme="minorHAnsi"/>
                <w:sz w:val="20"/>
                <w:szCs w:val="20"/>
                <w:lang w:val="en-AU"/>
              </w:rPr>
            </w:pPr>
            <w:r w:rsidRPr="00F7369B">
              <w:rPr>
                <w:rFonts w:ascii="Arial Narrow" w:hAnsi="Arial Narrow" w:cstheme="minorHAnsi"/>
                <w:sz w:val="20"/>
                <w:szCs w:val="20"/>
                <w:lang w:val="en-AU"/>
              </w:rPr>
              <w:t>(12.3; 20.2)</w:t>
            </w:r>
          </w:p>
        </w:tc>
      </w:tr>
    </w:tbl>
    <w:p w:rsidR="00046AFB" w:rsidRPr="00F7369B" w:rsidRDefault="00661226" w:rsidP="002B22BC">
      <w:pPr>
        <w:autoSpaceDE w:val="0"/>
        <w:autoSpaceDN w:val="0"/>
        <w:adjustRightInd w:val="0"/>
        <w:jc w:val="left"/>
        <w:rPr>
          <w:i/>
          <w:iCs/>
          <w:snapToGrid w:val="0"/>
        </w:rPr>
      </w:pPr>
      <w:r w:rsidRPr="00F7369B">
        <w:rPr>
          <w:rFonts w:ascii="Arial Narrow" w:hAnsi="Arial Narrow" w:cstheme="minorHAnsi"/>
          <w:sz w:val="18"/>
          <w:szCs w:val="18"/>
        </w:rPr>
        <w:t>CI: confiden</w:t>
      </w:r>
      <w:r w:rsidR="00D33802" w:rsidRPr="00F7369B">
        <w:rPr>
          <w:rFonts w:ascii="Arial Narrow" w:hAnsi="Arial Narrow" w:cstheme="minorHAnsi"/>
          <w:sz w:val="18"/>
          <w:szCs w:val="18"/>
        </w:rPr>
        <w:t>ce</w:t>
      </w:r>
      <w:r w:rsidRPr="00F7369B">
        <w:rPr>
          <w:rFonts w:ascii="Arial Narrow" w:hAnsi="Arial Narrow" w:cstheme="minorHAnsi"/>
          <w:sz w:val="18"/>
          <w:szCs w:val="18"/>
        </w:rPr>
        <w:t xml:space="preserve"> interval; MenA: </w:t>
      </w:r>
      <w:r w:rsidRPr="00F7369B">
        <w:rPr>
          <w:rFonts w:ascii="Arial Narrow" w:hAnsi="Arial Narrow" w:cstheme="minorHAnsi"/>
          <w:i/>
          <w:iCs/>
          <w:sz w:val="18"/>
          <w:szCs w:val="18"/>
        </w:rPr>
        <w:t>Neisseria meningitidis</w:t>
      </w:r>
      <w:r w:rsidRPr="00F7369B">
        <w:rPr>
          <w:rFonts w:ascii="Arial Narrow" w:hAnsi="Arial Narrow" w:cstheme="minorHAnsi"/>
          <w:sz w:val="18"/>
          <w:szCs w:val="18"/>
        </w:rPr>
        <w:t xml:space="preserve"> serogroup A; MenC: </w:t>
      </w:r>
      <w:r w:rsidRPr="00F7369B">
        <w:rPr>
          <w:rFonts w:ascii="Arial Narrow" w:hAnsi="Arial Narrow" w:cstheme="minorHAnsi"/>
          <w:i/>
          <w:iCs/>
          <w:sz w:val="18"/>
          <w:szCs w:val="18"/>
        </w:rPr>
        <w:t>Neisseria meningitidis</w:t>
      </w:r>
      <w:r w:rsidRPr="00F7369B">
        <w:rPr>
          <w:rFonts w:ascii="Arial Narrow" w:hAnsi="Arial Narrow" w:cstheme="minorHAnsi"/>
          <w:sz w:val="18"/>
          <w:szCs w:val="18"/>
        </w:rPr>
        <w:t xml:space="preserve"> serogroup C; MenW: </w:t>
      </w:r>
      <w:r w:rsidRPr="00F7369B">
        <w:rPr>
          <w:rFonts w:ascii="Arial Narrow" w:hAnsi="Arial Narrow" w:cstheme="minorHAnsi"/>
          <w:i/>
          <w:iCs/>
          <w:sz w:val="18"/>
          <w:szCs w:val="18"/>
        </w:rPr>
        <w:t>Neisseria meningitidis</w:t>
      </w:r>
      <w:r w:rsidRPr="00F7369B">
        <w:rPr>
          <w:rFonts w:ascii="Arial Narrow" w:hAnsi="Arial Narrow" w:cstheme="minorHAnsi"/>
          <w:sz w:val="18"/>
          <w:szCs w:val="18"/>
        </w:rPr>
        <w:t xml:space="preserve"> </w:t>
      </w:r>
      <w:r w:rsidRPr="00F7369B">
        <w:rPr>
          <w:rFonts w:ascii="Arial Narrow" w:hAnsi="Arial Narrow" w:cstheme="minorHAnsi"/>
          <w:i/>
          <w:iCs/>
          <w:sz w:val="18"/>
          <w:szCs w:val="18"/>
        </w:rPr>
        <w:t xml:space="preserve">serogroup </w:t>
      </w:r>
      <w:r w:rsidR="005D78D7" w:rsidRPr="00F7369B">
        <w:rPr>
          <w:rFonts w:ascii="Arial Narrow" w:hAnsi="Arial Narrow" w:cstheme="minorHAnsi"/>
          <w:i/>
          <w:iCs/>
          <w:sz w:val="18"/>
          <w:szCs w:val="18"/>
        </w:rPr>
        <w:t>W</w:t>
      </w:r>
      <w:r w:rsidRPr="00F7369B">
        <w:rPr>
          <w:rFonts w:ascii="Arial Narrow" w:hAnsi="Arial Narrow" w:cstheme="minorHAnsi"/>
          <w:i/>
          <w:iCs/>
          <w:sz w:val="18"/>
          <w:szCs w:val="18"/>
        </w:rPr>
        <w:t>; Men</w:t>
      </w:r>
      <w:r w:rsidR="005D78D7" w:rsidRPr="00F7369B">
        <w:rPr>
          <w:rFonts w:ascii="Arial Narrow" w:hAnsi="Arial Narrow" w:cstheme="minorHAnsi"/>
          <w:i/>
          <w:iCs/>
          <w:sz w:val="18"/>
          <w:szCs w:val="18"/>
        </w:rPr>
        <w:t>Y</w:t>
      </w:r>
      <w:r w:rsidRPr="00F7369B">
        <w:rPr>
          <w:rFonts w:ascii="Arial Narrow" w:hAnsi="Arial Narrow" w:cstheme="minorHAnsi"/>
          <w:i/>
          <w:iCs/>
          <w:sz w:val="18"/>
          <w:szCs w:val="18"/>
        </w:rPr>
        <w:t>: Neisseria meningitidis serogrou</w:t>
      </w:r>
      <w:r w:rsidR="00D33802" w:rsidRPr="00F7369B">
        <w:rPr>
          <w:rFonts w:ascii="Arial Narrow" w:hAnsi="Arial Narrow" w:cstheme="minorHAnsi"/>
          <w:i/>
          <w:iCs/>
          <w:sz w:val="18"/>
          <w:szCs w:val="18"/>
        </w:rPr>
        <w:t>p</w:t>
      </w:r>
      <w:r w:rsidRPr="00F7369B">
        <w:rPr>
          <w:rFonts w:ascii="Arial Narrow" w:hAnsi="Arial Narrow" w:cstheme="minorHAnsi"/>
          <w:i/>
          <w:iCs/>
          <w:sz w:val="18"/>
          <w:szCs w:val="18"/>
        </w:rPr>
        <w:t xml:space="preserve"> </w:t>
      </w:r>
      <w:r w:rsidR="005D78D7" w:rsidRPr="00F7369B">
        <w:rPr>
          <w:rFonts w:ascii="Arial Narrow" w:hAnsi="Arial Narrow" w:cstheme="minorHAnsi"/>
          <w:i/>
          <w:iCs/>
          <w:sz w:val="18"/>
          <w:szCs w:val="18"/>
        </w:rPr>
        <w:t>Y</w:t>
      </w:r>
      <w:r w:rsidR="00D33802" w:rsidRPr="00F7369B">
        <w:rPr>
          <w:rFonts w:ascii="Arial Narrow" w:hAnsi="Arial Narrow" w:cstheme="minorHAnsi"/>
          <w:i/>
          <w:iCs/>
          <w:sz w:val="18"/>
          <w:szCs w:val="18"/>
        </w:rPr>
        <w:t>.</w:t>
      </w:r>
      <w:r w:rsidR="00B90502" w:rsidRPr="00F7369B">
        <w:rPr>
          <w:rFonts w:ascii="Arial Narrow" w:hAnsi="Arial Narrow" w:cstheme="minorHAnsi"/>
          <w:i/>
          <w:iCs/>
          <w:sz w:val="18"/>
          <w:szCs w:val="18"/>
        </w:rPr>
        <w:t xml:space="preserve"> </w:t>
      </w:r>
      <w:r w:rsidR="002B22BC" w:rsidRPr="00F7369B">
        <w:rPr>
          <w:rFonts w:ascii="Arial Narrow" w:hAnsi="Arial Narrow" w:cstheme="minorHAnsi"/>
          <w:i/>
          <w:iCs/>
          <w:sz w:val="18"/>
          <w:szCs w:val="18"/>
        </w:rPr>
        <w:t xml:space="preserve">n=number of subjects experiencing the endpoint listed in the first three columns; M=number of subjects with valid serology results for the particular serogroup and time point; N= number of subjects in per-protocol analysis set; </w:t>
      </w:r>
      <w:r w:rsidR="002B22BC" w:rsidRPr="00F7369B">
        <w:rPr>
          <w:rFonts w:ascii="Arial Narrow" w:hAnsi="Arial Narrow" w:cstheme="minorHAnsi"/>
          <w:i/>
          <w:iCs/>
          <w:snapToGrid w:val="0"/>
          <w:sz w:val="18"/>
          <w:szCs w:val="18"/>
        </w:rPr>
        <w:t>Percentages are based on M.</w:t>
      </w:r>
    </w:p>
    <w:p w:rsidR="00CE510A" w:rsidRPr="00F7369B" w:rsidRDefault="00CE510A" w:rsidP="00CE510A">
      <w:pPr>
        <w:rPr>
          <w:rStyle w:val="CommentReference"/>
          <w:rFonts w:cstheme="minorHAnsi"/>
          <w:b w:val="0"/>
          <w:bCs/>
          <w:sz w:val="18"/>
          <w:szCs w:val="14"/>
        </w:rPr>
      </w:pPr>
      <w:r w:rsidRPr="00F7369B">
        <w:rPr>
          <w:rStyle w:val="CommentReference"/>
          <w:rFonts w:cstheme="minorHAnsi"/>
          <w:b w:val="0"/>
          <w:bCs/>
          <w:sz w:val="18"/>
          <w:szCs w:val="14"/>
        </w:rPr>
        <w:t>Source</w:t>
      </w:r>
      <w:r w:rsidR="00190F98" w:rsidRPr="00F7369B">
        <w:rPr>
          <w:rStyle w:val="CommentReference"/>
          <w:rFonts w:cstheme="minorHAnsi"/>
          <w:b w:val="0"/>
          <w:bCs/>
          <w:sz w:val="18"/>
          <w:szCs w:val="14"/>
        </w:rPr>
        <w:t xml:space="preserve">: </w:t>
      </w:r>
      <w:r w:rsidR="005D78D7" w:rsidRPr="00F7369B">
        <w:rPr>
          <w:rStyle w:val="CommentReference"/>
          <w:rFonts w:cstheme="minorHAnsi"/>
          <w:b w:val="0"/>
          <w:bCs/>
          <w:sz w:val="18"/>
          <w:szCs w:val="14"/>
        </w:rPr>
        <w:t>Table</w:t>
      </w:r>
      <w:r w:rsidR="00D33802" w:rsidRPr="00F7369B">
        <w:rPr>
          <w:rStyle w:val="CommentReference"/>
          <w:rFonts w:cstheme="minorHAnsi"/>
          <w:b w:val="0"/>
          <w:bCs/>
          <w:sz w:val="18"/>
          <w:szCs w:val="14"/>
        </w:rPr>
        <w:t xml:space="preserve"> </w:t>
      </w:r>
      <w:r w:rsidR="005D78D7" w:rsidRPr="00F7369B">
        <w:rPr>
          <w:rStyle w:val="CommentReference"/>
          <w:rFonts w:cstheme="minorHAnsi"/>
          <w:b w:val="0"/>
          <w:bCs/>
          <w:sz w:val="18"/>
          <w:szCs w:val="14"/>
        </w:rPr>
        <w:t>2.14, p36 of the submission; Table</w:t>
      </w:r>
      <w:r w:rsidR="00D33802" w:rsidRPr="00F7369B">
        <w:rPr>
          <w:rStyle w:val="CommentReference"/>
          <w:rFonts w:cstheme="minorHAnsi"/>
          <w:b w:val="0"/>
          <w:bCs/>
          <w:sz w:val="18"/>
          <w:szCs w:val="14"/>
        </w:rPr>
        <w:t xml:space="preserve"> </w:t>
      </w:r>
      <w:r w:rsidR="005D78D7" w:rsidRPr="00F7369B">
        <w:rPr>
          <w:rStyle w:val="CommentReference"/>
          <w:rFonts w:cstheme="minorHAnsi"/>
          <w:b w:val="0"/>
          <w:bCs/>
          <w:sz w:val="18"/>
          <w:szCs w:val="14"/>
        </w:rPr>
        <w:t>5.2, MET54 CSR; Table 2.31, p44 of the submission</w:t>
      </w:r>
      <w:r w:rsidR="00D33802" w:rsidRPr="00F7369B">
        <w:rPr>
          <w:rStyle w:val="CommentReference"/>
          <w:rFonts w:cstheme="minorHAnsi"/>
          <w:b w:val="0"/>
          <w:bCs/>
          <w:sz w:val="18"/>
          <w:szCs w:val="14"/>
        </w:rPr>
        <w:t>.</w:t>
      </w:r>
    </w:p>
    <w:p w:rsidR="00CE510A" w:rsidRPr="00F7369B" w:rsidRDefault="00CE510A" w:rsidP="00CE510A">
      <w:pPr>
        <w:pStyle w:val="ListBullet"/>
        <w:numPr>
          <w:ilvl w:val="0"/>
          <w:numId w:val="0"/>
        </w:numPr>
        <w:ind w:left="360"/>
        <w:rPr>
          <w:rFonts w:asciiTheme="minorHAnsi" w:hAnsiTheme="minorHAnsi" w:cstheme="minorHAnsi"/>
        </w:rPr>
      </w:pPr>
    </w:p>
    <w:p w:rsidR="009543AB" w:rsidRPr="00F7369B" w:rsidRDefault="009543AB" w:rsidP="0044471E">
      <w:pPr>
        <w:pStyle w:val="3-BodyText"/>
        <w:rPr>
          <w:rFonts w:cstheme="minorHAnsi"/>
          <w:i/>
          <w:iCs/>
        </w:rPr>
      </w:pPr>
      <w:r w:rsidRPr="00F7369B">
        <w:rPr>
          <w:rFonts w:cstheme="minorHAnsi"/>
          <w:iCs/>
        </w:rPr>
        <w:t>The ATAGI acknowledged ‘the absence of studies of MenQuadfi in populations with medical conditions associated with an increased risk of IMD. The comparator Nimenrix has been studied in limited population</w:t>
      </w:r>
      <w:r w:rsidR="00947F9A" w:rsidRPr="00F7369B">
        <w:rPr>
          <w:rFonts w:cstheme="minorHAnsi"/>
          <w:iCs/>
        </w:rPr>
        <w:t xml:space="preserve">s with medical risk conditions. </w:t>
      </w:r>
      <w:r w:rsidRPr="00F7369B">
        <w:rPr>
          <w:rFonts w:cstheme="minorHAnsi"/>
          <w:iCs/>
        </w:rPr>
        <w:t>A non</w:t>
      </w:r>
      <w:r w:rsidR="009D7EB2" w:rsidRPr="00F7369B">
        <w:rPr>
          <w:rFonts w:cstheme="minorHAnsi"/>
          <w:iCs/>
        </w:rPr>
        <w:noBreakHyphen/>
      </w:r>
      <w:r w:rsidRPr="00F7369B">
        <w:rPr>
          <w:rFonts w:cstheme="minorHAnsi"/>
          <w:iCs/>
        </w:rPr>
        <w:t>randomised, prospective study of 40 individuals with asplenia/hyposplenia had similar immunogenicity after two doses of Nimenrix compared to age-matched healthy control</w:t>
      </w:r>
      <w:r w:rsidR="009E0BED" w:rsidRPr="00F7369B">
        <w:rPr>
          <w:rFonts w:cstheme="minorHAnsi"/>
          <w:iCs/>
        </w:rPr>
        <w:t>s</w:t>
      </w:r>
      <w:r w:rsidRPr="00F7369B">
        <w:rPr>
          <w:rFonts w:cstheme="minorHAnsi"/>
          <w:iCs/>
        </w:rPr>
        <w:t>.</w:t>
      </w:r>
      <w:r w:rsidRPr="00F7369B">
        <w:rPr>
          <w:rFonts w:cstheme="minorHAnsi"/>
          <w:i/>
          <w:iCs/>
        </w:rPr>
        <w:t xml:space="preserve"> </w:t>
      </w:r>
      <w:r w:rsidRPr="00F7369B">
        <w:rPr>
          <w:rFonts w:cstheme="minorHAnsi"/>
          <w:iCs/>
        </w:rPr>
        <w:t>Given that Nimenrix is currently recommended for individuals with medical risk conditions and ATAGI is satisfied that MenQuadfi is immunogenic and comparable to Nimenrix for healthy individuals aged ≥12 months, ATAGI believes that MenQuadfi should be similarly immunogenic after the same number of doses, and would be clinically beneficial in individuals with medical conditions associated with an increased risk of IMD’.</w:t>
      </w:r>
    </w:p>
    <w:p w:rsidR="00D07340" w:rsidRPr="00F7369B" w:rsidRDefault="00D07340" w:rsidP="00D07340">
      <w:pPr>
        <w:pStyle w:val="4-SubsectionHeading"/>
        <w:rPr>
          <w:rFonts w:cstheme="minorHAnsi"/>
        </w:rPr>
      </w:pPr>
      <w:bookmarkStart w:id="17" w:name="_Toc22897642"/>
      <w:bookmarkStart w:id="18" w:name="_Toc51066739"/>
      <w:r w:rsidRPr="00F7369B">
        <w:rPr>
          <w:rFonts w:cstheme="minorHAnsi"/>
        </w:rPr>
        <w:t>Comparative harms</w:t>
      </w:r>
      <w:bookmarkEnd w:id="17"/>
      <w:bookmarkEnd w:id="18"/>
    </w:p>
    <w:p w:rsidR="00914E45" w:rsidRPr="00F7369B" w:rsidRDefault="00927BC1" w:rsidP="00D07340">
      <w:pPr>
        <w:pStyle w:val="3-BodyText"/>
        <w:rPr>
          <w:rFonts w:cstheme="minorHAnsi"/>
          <w:i/>
          <w:iCs/>
        </w:rPr>
      </w:pPr>
      <w:r w:rsidRPr="00F7369B">
        <w:rPr>
          <w:rFonts w:cstheme="minorHAnsi"/>
          <w:iCs/>
        </w:rPr>
        <w:t xml:space="preserve">The </w:t>
      </w:r>
      <w:r w:rsidR="00914E45" w:rsidRPr="00F7369B">
        <w:rPr>
          <w:rFonts w:cstheme="minorHAnsi"/>
          <w:iCs/>
        </w:rPr>
        <w:t>ATAGI d</w:t>
      </w:r>
      <w:r w:rsidR="00B0630F" w:rsidRPr="00F7369B">
        <w:rPr>
          <w:rFonts w:cstheme="minorHAnsi"/>
          <w:iCs/>
        </w:rPr>
        <w:t>id</w:t>
      </w:r>
      <w:r w:rsidR="00914E45" w:rsidRPr="00F7369B">
        <w:rPr>
          <w:rFonts w:cstheme="minorHAnsi"/>
          <w:iCs/>
        </w:rPr>
        <w:t xml:space="preserve"> not have any specific concerns regarding the safety of MenQuadfi in any age group, compared to Nimenrix and other registered MenACWY vaccines including </w:t>
      </w:r>
      <w:r w:rsidR="00F7369B" w:rsidRPr="00F7369B">
        <w:rPr>
          <w:rFonts w:cstheme="minorHAnsi"/>
          <w:iCs/>
        </w:rPr>
        <w:t>Menveo that</w:t>
      </w:r>
      <w:r w:rsidR="00914E45" w:rsidRPr="00F7369B">
        <w:rPr>
          <w:rFonts w:cstheme="minorHAnsi"/>
          <w:iCs/>
        </w:rPr>
        <w:t xml:space="preserve"> should preclude its use on the NIP, either alone or concomitantly with other routine vaccines, subject to approval of registration of MenQuadfi by the TGA.</w:t>
      </w:r>
    </w:p>
    <w:p w:rsidR="004839AB" w:rsidRPr="00F7369B" w:rsidRDefault="00AE7A2A" w:rsidP="00D07340">
      <w:pPr>
        <w:pStyle w:val="3-BodyText"/>
        <w:rPr>
          <w:rFonts w:cstheme="minorHAnsi"/>
          <w:i/>
          <w:iCs/>
        </w:rPr>
      </w:pPr>
      <w:r w:rsidRPr="00F7369B">
        <w:rPr>
          <w:rFonts w:cstheme="minorHAnsi"/>
        </w:rPr>
        <w:t>T</w:t>
      </w:r>
      <w:r w:rsidR="00914E45" w:rsidRPr="00F7369B">
        <w:rPr>
          <w:rFonts w:cstheme="minorHAnsi"/>
        </w:rPr>
        <w:t>he safety results across the main studies</w:t>
      </w:r>
      <w:r w:rsidRPr="00F7369B">
        <w:rPr>
          <w:rFonts w:cstheme="minorHAnsi"/>
        </w:rPr>
        <w:t xml:space="preserve"> are summarised in Table 6</w:t>
      </w:r>
      <w:r w:rsidR="00914E45" w:rsidRPr="00F7369B">
        <w:rPr>
          <w:rFonts w:cstheme="minorHAnsi"/>
        </w:rPr>
        <w:t>.</w:t>
      </w:r>
      <w:r w:rsidR="000059A3" w:rsidRPr="00F7369B">
        <w:rPr>
          <w:rFonts w:cstheme="minorHAnsi"/>
        </w:rPr>
        <w:t xml:space="preserve"> Overall</w:t>
      </w:r>
      <w:r w:rsidR="000A000D" w:rsidRPr="00F7369B">
        <w:rPr>
          <w:rFonts w:cstheme="minorHAnsi"/>
          <w:iCs/>
        </w:rPr>
        <w:t>, the safety results appear very similar between treatment arms in the trials.</w:t>
      </w:r>
    </w:p>
    <w:p w:rsidR="00914E45" w:rsidRPr="00F7369B" w:rsidRDefault="004839AB" w:rsidP="00947F9A">
      <w:pPr>
        <w:jc w:val="left"/>
        <w:rPr>
          <w:rFonts w:ascii="Arial Narrow" w:hAnsi="Arial Narrow" w:cstheme="minorHAnsi"/>
          <w:b/>
          <w:bCs/>
          <w:sz w:val="20"/>
          <w:szCs w:val="20"/>
        </w:rPr>
      </w:pPr>
      <w:r w:rsidRPr="00F7369B">
        <w:rPr>
          <w:rFonts w:asciiTheme="minorHAnsi" w:hAnsiTheme="minorHAnsi" w:cstheme="minorHAnsi"/>
          <w:i/>
          <w:iCs/>
        </w:rPr>
        <w:br w:type="page"/>
      </w:r>
      <w:r w:rsidR="00914E45" w:rsidRPr="00F7369B">
        <w:rPr>
          <w:rFonts w:ascii="Arial Narrow" w:hAnsi="Arial Narrow" w:cstheme="minorHAnsi"/>
          <w:b/>
          <w:bCs/>
          <w:sz w:val="20"/>
          <w:szCs w:val="20"/>
        </w:rPr>
        <w:t xml:space="preserve">Table </w:t>
      </w:r>
      <w:r w:rsidR="00497D25" w:rsidRPr="00F7369B">
        <w:rPr>
          <w:rFonts w:ascii="Arial Narrow" w:hAnsi="Arial Narrow" w:cstheme="minorHAnsi"/>
          <w:b/>
          <w:bCs/>
          <w:sz w:val="20"/>
          <w:szCs w:val="20"/>
        </w:rPr>
        <w:t>6</w:t>
      </w:r>
      <w:r w:rsidR="00914E45" w:rsidRPr="00F7369B">
        <w:rPr>
          <w:rFonts w:ascii="Arial Narrow" w:hAnsi="Arial Narrow" w:cstheme="minorHAnsi"/>
          <w:b/>
          <w:bCs/>
          <w:sz w:val="20"/>
          <w:szCs w:val="20"/>
        </w:rPr>
        <w:t>: Summary of key adverse events in the trials</w:t>
      </w:r>
    </w:p>
    <w:tbl>
      <w:tblPr>
        <w:tblStyle w:val="TableGrid"/>
        <w:tblW w:w="5000" w:type="pct"/>
        <w:tblLook w:val="01E0" w:firstRow="1" w:lastRow="1" w:firstColumn="1" w:lastColumn="1" w:noHBand="0" w:noVBand="0"/>
        <w:tblCaption w:val="Summary of key adverse events in the trials"/>
      </w:tblPr>
      <w:tblGrid>
        <w:gridCol w:w="2973"/>
        <w:gridCol w:w="992"/>
        <w:gridCol w:w="685"/>
        <w:gridCol w:w="1410"/>
        <w:gridCol w:w="1024"/>
        <w:gridCol w:w="667"/>
        <w:gridCol w:w="1266"/>
      </w:tblGrid>
      <w:tr w:rsidR="00DD7542" w:rsidRPr="00F7369B" w:rsidTr="00CA06D4">
        <w:trPr>
          <w:trHeight w:val="198"/>
          <w:tblHeader/>
        </w:trPr>
        <w:tc>
          <w:tcPr>
            <w:tcW w:w="1648" w:type="pct"/>
            <w:shd w:val="clear" w:color="auto" w:fill="auto"/>
          </w:tcPr>
          <w:p w:rsidR="00DD7542" w:rsidRPr="00F7369B" w:rsidRDefault="00DD7542" w:rsidP="00DD7542">
            <w:pPr>
              <w:pStyle w:val="Table"/>
              <w:rPr>
                <w:rStyle w:val="Small"/>
                <w:rFonts w:ascii="Arial Narrow" w:hAnsi="Arial Narrow"/>
                <w:sz w:val="20"/>
                <w:szCs w:val="20"/>
              </w:rPr>
            </w:pPr>
            <w:r w:rsidRPr="00F7369B">
              <w:rPr>
                <w:rStyle w:val="Small"/>
                <w:rFonts w:ascii="Arial Narrow" w:hAnsi="Arial Narrow"/>
                <w:b/>
                <w:bCs/>
                <w:sz w:val="20"/>
                <w:szCs w:val="20"/>
              </w:rPr>
              <w:t>MET51</w:t>
            </w:r>
          </w:p>
        </w:tc>
        <w:tc>
          <w:tcPr>
            <w:tcW w:w="1712" w:type="pct"/>
            <w:gridSpan w:val="3"/>
            <w:shd w:val="clear" w:color="auto" w:fill="auto"/>
          </w:tcPr>
          <w:p w:rsidR="00DD7542" w:rsidRPr="00F7369B" w:rsidRDefault="00DD7542" w:rsidP="00DD7542">
            <w:pPr>
              <w:pStyle w:val="TableCentre"/>
              <w:rPr>
                <w:rStyle w:val="Small"/>
                <w:rFonts w:ascii="Arial Narrow" w:hAnsi="Arial Narrow" w:cstheme="minorHAnsi"/>
                <w:b/>
                <w:bCs/>
                <w:sz w:val="20"/>
                <w:szCs w:val="20"/>
              </w:rPr>
            </w:pPr>
            <w:r w:rsidRPr="00F7369B">
              <w:rPr>
                <w:rStyle w:val="Small"/>
                <w:rFonts w:ascii="Arial Narrow" w:hAnsi="Arial Narrow" w:cstheme="minorHAnsi"/>
                <w:b/>
                <w:bCs/>
                <w:sz w:val="20"/>
                <w:szCs w:val="20"/>
              </w:rPr>
              <w:t>MenQuadfi (N=506)</w:t>
            </w:r>
          </w:p>
        </w:tc>
        <w:tc>
          <w:tcPr>
            <w:tcW w:w="1640" w:type="pct"/>
            <w:gridSpan w:val="3"/>
            <w:shd w:val="clear" w:color="auto" w:fill="auto"/>
          </w:tcPr>
          <w:p w:rsidR="00DD7542" w:rsidRPr="00F7369B" w:rsidRDefault="00DD7542" w:rsidP="00DD7542">
            <w:pPr>
              <w:pStyle w:val="TableCentre"/>
              <w:rPr>
                <w:rStyle w:val="Small"/>
                <w:rFonts w:ascii="Arial Narrow" w:hAnsi="Arial Narrow" w:cstheme="minorHAnsi"/>
                <w:b/>
                <w:bCs/>
                <w:sz w:val="20"/>
                <w:szCs w:val="20"/>
              </w:rPr>
            </w:pPr>
            <w:r w:rsidRPr="00F7369B">
              <w:rPr>
                <w:rStyle w:val="Small"/>
                <w:rFonts w:ascii="Arial Narrow" w:hAnsi="Arial Narrow" w:cstheme="minorHAnsi"/>
                <w:b/>
                <w:bCs/>
                <w:sz w:val="20"/>
                <w:szCs w:val="20"/>
              </w:rPr>
              <w:t>Nimenrix (N=408)</w:t>
            </w:r>
          </w:p>
        </w:tc>
      </w:tr>
      <w:tr w:rsidR="00DD7542" w:rsidRPr="00F7369B" w:rsidTr="00B776D2">
        <w:trPr>
          <w:trHeight w:val="198"/>
        </w:trPr>
        <w:tc>
          <w:tcPr>
            <w:tcW w:w="1648" w:type="pct"/>
            <w:shd w:val="clear" w:color="auto" w:fill="auto"/>
          </w:tcPr>
          <w:p w:rsidR="00DD7542" w:rsidRPr="00F7369B" w:rsidRDefault="00DD7542" w:rsidP="00DD7542">
            <w:pPr>
              <w:pStyle w:val="Table"/>
              <w:rPr>
                <w:rStyle w:val="Small"/>
                <w:rFonts w:ascii="Arial Narrow" w:hAnsi="Arial Narrow"/>
                <w:sz w:val="20"/>
                <w:szCs w:val="20"/>
              </w:rPr>
            </w:pPr>
            <w:r w:rsidRPr="00F7369B">
              <w:rPr>
                <w:rStyle w:val="Small"/>
                <w:rFonts w:ascii="Arial Narrow" w:hAnsi="Arial Narrow"/>
                <w:sz w:val="20"/>
                <w:szCs w:val="20"/>
              </w:rPr>
              <w:t>Subjects experiencing at least one:</w:t>
            </w:r>
          </w:p>
        </w:tc>
        <w:tc>
          <w:tcPr>
            <w:tcW w:w="550" w:type="pct"/>
            <w:shd w:val="clear" w:color="auto" w:fill="auto"/>
          </w:tcPr>
          <w:p w:rsidR="00DD7542" w:rsidRPr="00F7369B" w:rsidRDefault="00DD7542" w:rsidP="00E2145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n/</w:t>
            </w:r>
            <w:r w:rsidR="007A5312" w:rsidRPr="00F7369B">
              <w:rPr>
                <w:rStyle w:val="Small"/>
                <w:rFonts w:ascii="Arial Narrow" w:hAnsi="Arial Narrow" w:cstheme="minorHAnsi"/>
                <w:sz w:val="20"/>
                <w:szCs w:val="20"/>
              </w:rPr>
              <w:t>M</w:t>
            </w:r>
          </w:p>
        </w:tc>
        <w:tc>
          <w:tcPr>
            <w:tcW w:w="380"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w:t>
            </w:r>
          </w:p>
        </w:tc>
        <w:tc>
          <w:tcPr>
            <w:tcW w:w="782"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(95% CI)</w:t>
            </w:r>
          </w:p>
        </w:tc>
        <w:tc>
          <w:tcPr>
            <w:tcW w:w="568" w:type="pct"/>
            <w:shd w:val="clear" w:color="auto" w:fill="auto"/>
          </w:tcPr>
          <w:p w:rsidR="00DD7542" w:rsidRPr="00F7369B" w:rsidRDefault="00DD7542" w:rsidP="00E2145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n/</w:t>
            </w:r>
            <w:r w:rsidR="007A5312" w:rsidRPr="00F7369B">
              <w:rPr>
                <w:rStyle w:val="Small"/>
                <w:rFonts w:ascii="Arial Narrow" w:hAnsi="Arial Narrow" w:cstheme="minorHAnsi"/>
                <w:sz w:val="20"/>
                <w:szCs w:val="20"/>
              </w:rPr>
              <w:t>M</w:t>
            </w:r>
          </w:p>
        </w:tc>
        <w:tc>
          <w:tcPr>
            <w:tcW w:w="370"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w:t>
            </w:r>
          </w:p>
        </w:tc>
        <w:tc>
          <w:tcPr>
            <w:tcW w:w="702"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(95% CI)</w:t>
            </w:r>
          </w:p>
        </w:tc>
      </w:tr>
      <w:tr w:rsidR="00DD7542" w:rsidRPr="00F7369B" w:rsidTr="00680FB4">
        <w:trPr>
          <w:trHeight w:val="198"/>
        </w:trPr>
        <w:tc>
          <w:tcPr>
            <w:tcW w:w="5000" w:type="pct"/>
            <w:gridSpan w:val="7"/>
            <w:shd w:val="clear" w:color="auto" w:fill="auto"/>
            <w:vAlign w:val="center"/>
          </w:tcPr>
          <w:p w:rsidR="00DD7542" w:rsidRPr="00F7369B" w:rsidRDefault="00DD7542" w:rsidP="00DD7542">
            <w:pPr>
              <w:pStyle w:val="Table"/>
              <w:rPr>
                <w:rStyle w:val="Small"/>
                <w:rFonts w:ascii="Arial Narrow" w:hAnsi="Arial Narrow"/>
                <w:b/>
                <w:bCs/>
                <w:sz w:val="20"/>
                <w:szCs w:val="20"/>
              </w:rPr>
            </w:pPr>
            <w:r w:rsidRPr="00F7369B">
              <w:rPr>
                <w:rStyle w:val="Small"/>
                <w:rFonts w:ascii="Arial Narrow" w:hAnsi="Arial Narrow"/>
                <w:b/>
                <w:bCs/>
                <w:sz w:val="20"/>
                <w:szCs w:val="20"/>
              </w:rPr>
              <w:t>Within 30 minutes after vaccine injection</w:t>
            </w:r>
          </w:p>
        </w:tc>
      </w:tr>
      <w:tr w:rsidR="00DD7542" w:rsidRPr="00F7369B" w:rsidTr="00B776D2">
        <w:trPr>
          <w:trHeight w:val="198"/>
        </w:trPr>
        <w:tc>
          <w:tcPr>
            <w:tcW w:w="1648" w:type="pct"/>
            <w:shd w:val="clear" w:color="auto" w:fill="auto"/>
          </w:tcPr>
          <w:p w:rsidR="00DD7542" w:rsidRPr="00F7369B" w:rsidRDefault="00DD7542" w:rsidP="00DD7542">
            <w:pPr>
              <w:pStyle w:val="Table"/>
              <w:rPr>
                <w:rStyle w:val="Small"/>
                <w:rFonts w:ascii="Arial Narrow" w:hAnsi="Arial Narrow"/>
                <w:sz w:val="20"/>
                <w:szCs w:val="20"/>
              </w:rPr>
            </w:pPr>
            <w:r w:rsidRPr="00F7369B">
              <w:rPr>
                <w:rStyle w:val="Small"/>
                <w:rFonts w:ascii="Arial Narrow" w:hAnsi="Arial Narrow"/>
                <w:sz w:val="20"/>
                <w:szCs w:val="20"/>
              </w:rPr>
              <w:t>Immediate unsolicited AE</w:t>
            </w:r>
          </w:p>
        </w:tc>
        <w:tc>
          <w:tcPr>
            <w:tcW w:w="550"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0/506</w:t>
            </w:r>
          </w:p>
        </w:tc>
        <w:tc>
          <w:tcPr>
            <w:tcW w:w="380"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0.0</w:t>
            </w:r>
          </w:p>
        </w:tc>
        <w:tc>
          <w:tcPr>
            <w:tcW w:w="782"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(0.0; 0.7)</w:t>
            </w:r>
          </w:p>
        </w:tc>
        <w:tc>
          <w:tcPr>
            <w:tcW w:w="568"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0/408</w:t>
            </w:r>
          </w:p>
        </w:tc>
        <w:tc>
          <w:tcPr>
            <w:tcW w:w="370"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0.0</w:t>
            </w:r>
          </w:p>
        </w:tc>
        <w:tc>
          <w:tcPr>
            <w:tcW w:w="702"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(0.0; 0.9)</w:t>
            </w:r>
          </w:p>
        </w:tc>
      </w:tr>
      <w:tr w:rsidR="00DD7542" w:rsidRPr="00F7369B" w:rsidTr="00B776D2">
        <w:trPr>
          <w:trHeight w:val="198"/>
        </w:trPr>
        <w:tc>
          <w:tcPr>
            <w:tcW w:w="1648" w:type="pct"/>
            <w:shd w:val="clear" w:color="auto" w:fill="auto"/>
          </w:tcPr>
          <w:p w:rsidR="00DD7542" w:rsidRPr="00F7369B" w:rsidRDefault="00DD7542" w:rsidP="00DD7542">
            <w:pPr>
              <w:pStyle w:val="Table"/>
              <w:rPr>
                <w:rStyle w:val="Small"/>
                <w:rFonts w:ascii="Arial Narrow" w:hAnsi="Arial Narrow"/>
                <w:sz w:val="20"/>
                <w:szCs w:val="20"/>
              </w:rPr>
            </w:pPr>
            <w:r w:rsidRPr="00F7369B">
              <w:rPr>
                <w:rStyle w:val="Small"/>
                <w:rFonts w:ascii="Arial Narrow" w:hAnsi="Arial Narrow"/>
                <w:sz w:val="20"/>
                <w:szCs w:val="20"/>
              </w:rPr>
              <w:t>Immediate unsolicited AR</w:t>
            </w:r>
          </w:p>
        </w:tc>
        <w:tc>
          <w:tcPr>
            <w:tcW w:w="550"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0/506</w:t>
            </w:r>
          </w:p>
        </w:tc>
        <w:tc>
          <w:tcPr>
            <w:tcW w:w="380"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0.0</w:t>
            </w:r>
          </w:p>
        </w:tc>
        <w:tc>
          <w:tcPr>
            <w:tcW w:w="782"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(0.0; 0.7)</w:t>
            </w:r>
          </w:p>
        </w:tc>
        <w:tc>
          <w:tcPr>
            <w:tcW w:w="568"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0/408</w:t>
            </w:r>
          </w:p>
        </w:tc>
        <w:tc>
          <w:tcPr>
            <w:tcW w:w="370"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0.0</w:t>
            </w:r>
          </w:p>
        </w:tc>
        <w:tc>
          <w:tcPr>
            <w:tcW w:w="702"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(0.0; 0.9)</w:t>
            </w:r>
          </w:p>
        </w:tc>
      </w:tr>
      <w:tr w:rsidR="00DD7542" w:rsidRPr="00F7369B" w:rsidTr="00680FB4">
        <w:trPr>
          <w:trHeight w:val="198"/>
        </w:trPr>
        <w:tc>
          <w:tcPr>
            <w:tcW w:w="5000" w:type="pct"/>
            <w:gridSpan w:val="7"/>
            <w:shd w:val="clear" w:color="auto" w:fill="auto"/>
            <w:vAlign w:val="center"/>
          </w:tcPr>
          <w:p w:rsidR="00DD7542" w:rsidRPr="00F7369B" w:rsidRDefault="00DD7542" w:rsidP="00DD7542">
            <w:pPr>
              <w:pStyle w:val="Table"/>
              <w:rPr>
                <w:rStyle w:val="Small"/>
                <w:rFonts w:ascii="Arial Narrow" w:hAnsi="Arial Narrow"/>
                <w:b/>
                <w:bCs/>
                <w:sz w:val="20"/>
                <w:szCs w:val="20"/>
              </w:rPr>
            </w:pPr>
            <w:r w:rsidRPr="00F7369B">
              <w:rPr>
                <w:rStyle w:val="Small"/>
                <w:rFonts w:ascii="Arial Narrow" w:hAnsi="Arial Narrow"/>
                <w:b/>
                <w:bCs/>
                <w:sz w:val="20"/>
                <w:szCs w:val="20"/>
              </w:rPr>
              <w:t>Within 7 days after vaccine injection</w:t>
            </w:r>
          </w:p>
        </w:tc>
      </w:tr>
      <w:tr w:rsidR="00DD7542" w:rsidRPr="00F7369B" w:rsidTr="00B776D2">
        <w:trPr>
          <w:trHeight w:val="198"/>
        </w:trPr>
        <w:tc>
          <w:tcPr>
            <w:tcW w:w="1648" w:type="pct"/>
            <w:shd w:val="clear" w:color="auto" w:fill="auto"/>
          </w:tcPr>
          <w:p w:rsidR="00DD7542" w:rsidRPr="00F7369B" w:rsidRDefault="00DD7542" w:rsidP="00DD7542">
            <w:pPr>
              <w:pStyle w:val="Table"/>
              <w:rPr>
                <w:rStyle w:val="Small"/>
                <w:rFonts w:ascii="Arial Narrow" w:hAnsi="Arial Narrow"/>
                <w:sz w:val="20"/>
                <w:szCs w:val="20"/>
              </w:rPr>
            </w:pPr>
            <w:r w:rsidRPr="00F7369B">
              <w:rPr>
                <w:rStyle w:val="Small"/>
                <w:rFonts w:ascii="Arial Narrow" w:hAnsi="Arial Narrow"/>
                <w:sz w:val="20"/>
                <w:szCs w:val="20"/>
              </w:rPr>
              <w:t>Solicited reaction</w:t>
            </w:r>
          </w:p>
        </w:tc>
        <w:tc>
          <w:tcPr>
            <w:tcW w:w="550"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388/506</w:t>
            </w:r>
          </w:p>
        </w:tc>
        <w:tc>
          <w:tcPr>
            <w:tcW w:w="380"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76.7</w:t>
            </w:r>
          </w:p>
        </w:tc>
        <w:tc>
          <w:tcPr>
            <w:tcW w:w="782"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(72.7; 80.3)</w:t>
            </w:r>
          </w:p>
        </w:tc>
        <w:tc>
          <w:tcPr>
            <w:tcW w:w="568"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311/407</w:t>
            </w:r>
          </w:p>
        </w:tc>
        <w:tc>
          <w:tcPr>
            <w:tcW w:w="370"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76.4</w:t>
            </w:r>
          </w:p>
        </w:tc>
        <w:tc>
          <w:tcPr>
            <w:tcW w:w="702"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(72.0; 80.5)</w:t>
            </w:r>
          </w:p>
        </w:tc>
      </w:tr>
      <w:tr w:rsidR="00DD7542" w:rsidRPr="00F7369B" w:rsidTr="00B776D2">
        <w:trPr>
          <w:trHeight w:val="198"/>
        </w:trPr>
        <w:tc>
          <w:tcPr>
            <w:tcW w:w="1648" w:type="pct"/>
            <w:shd w:val="clear" w:color="auto" w:fill="auto"/>
          </w:tcPr>
          <w:p w:rsidR="00DD7542" w:rsidRPr="00F7369B" w:rsidRDefault="00DD7542" w:rsidP="00DD7542">
            <w:pPr>
              <w:pStyle w:val="Table"/>
              <w:rPr>
                <w:rStyle w:val="Small"/>
                <w:rFonts w:ascii="Arial Narrow" w:hAnsi="Arial Narrow"/>
                <w:sz w:val="20"/>
                <w:szCs w:val="20"/>
              </w:rPr>
            </w:pPr>
            <w:r w:rsidRPr="00F7369B">
              <w:rPr>
                <w:rStyle w:val="Small"/>
                <w:rFonts w:ascii="Arial Narrow" w:hAnsi="Arial Narrow"/>
                <w:sz w:val="20"/>
                <w:szCs w:val="20"/>
              </w:rPr>
              <w:t xml:space="preserve">Grade 3 solicited </w:t>
            </w:r>
            <w:r w:rsidR="003A155E" w:rsidRPr="00F7369B">
              <w:rPr>
                <w:rStyle w:val="Small"/>
                <w:rFonts w:ascii="Arial Narrow" w:hAnsi="Arial Narrow"/>
                <w:sz w:val="20"/>
                <w:szCs w:val="20"/>
              </w:rPr>
              <w:t>reaction</w:t>
            </w:r>
            <w:r w:rsidRPr="00F7369B">
              <w:rPr>
                <w:rStyle w:val="Small"/>
                <w:rFonts w:ascii="Arial Narrow" w:hAnsi="Arial Narrow"/>
                <w:sz w:val="20"/>
                <w:szCs w:val="20"/>
              </w:rPr>
              <w:t xml:space="preserve"> </w:t>
            </w:r>
          </w:p>
        </w:tc>
        <w:tc>
          <w:tcPr>
            <w:tcW w:w="550"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Fonts w:ascii="Arial Narrow" w:hAnsi="Arial Narrow" w:cstheme="minorHAnsi"/>
                <w:sz w:val="20"/>
                <w:szCs w:val="20"/>
              </w:rPr>
              <w:t>41/506</w:t>
            </w:r>
          </w:p>
        </w:tc>
        <w:tc>
          <w:tcPr>
            <w:tcW w:w="380"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Fonts w:ascii="Arial Narrow" w:hAnsi="Arial Narrow" w:cstheme="minorHAnsi"/>
                <w:sz w:val="20"/>
                <w:szCs w:val="20"/>
              </w:rPr>
              <w:t>8.1</w:t>
            </w:r>
          </w:p>
        </w:tc>
        <w:tc>
          <w:tcPr>
            <w:tcW w:w="782"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Fonts w:ascii="Arial Narrow" w:hAnsi="Arial Narrow" w:cstheme="minorHAnsi"/>
                <w:sz w:val="20"/>
                <w:szCs w:val="20"/>
              </w:rPr>
              <w:t>(5.9; 10.8)</w:t>
            </w:r>
          </w:p>
        </w:tc>
        <w:tc>
          <w:tcPr>
            <w:tcW w:w="568"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Fonts w:ascii="Arial Narrow" w:hAnsi="Arial Narrow" w:cstheme="minorHAnsi"/>
                <w:sz w:val="20"/>
                <w:szCs w:val="20"/>
              </w:rPr>
              <w:t>24/407</w:t>
            </w:r>
          </w:p>
        </w:tc>
        <w:tc>
          <w:tcPr>
            <w:tcW w:w="370"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Fonts w:ascii="Arial Narrow" w:hAnsi="Arial Narrow" w:cstheme="minorHAnsi"/>
                <w:sz w:val="20"/>
                <w:szCs w:val="20"/>
              </w:rPr>
              <w:t>5.9</w:t>
            </w:r>
          </w:p>
        </w:tc>
        <w:tc>
          <w:tcPr>
            <w:tcW w:w="702"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Fonts w:ascii="Arial Narrow" w:hAnsi="Arial Narrow" w:cstheme="minorHAnsi"/>
                <w:sz w:val="20"/>
                <w:szCs w:val="20"/>
              </w:rPr>
              <w:t>(3.8; 8.6)</w:t>
            </w:r>
          </w:p>
        </w:tc>
      </w:tr>
      <w:tr w:rsidR="00DD7542" w:rsidRPr="00F7369B" w:rsidTr="00B776D2">
        <w:trPr>
          <w:trHeight w:val="198"/>
        </w:trPr>
        <w:tc>
          <w:tcPr>
            <w:tcW w:w="1648" w:type="pct"/>
            <w:shd w:val="clear" w:color="auto" w:fill="auto"/>
          </w:tcPr>
          <w:p w:rsidR="00DD7542" w:rsidRPr="00F7369B" w:rsidRDefault="00DD7542" w:rsidP="00DD7542">
            <w:pPr>
              <w:pStyle w:val="Table"/>
              <w:rPr>
                <w:rStyle w:val="Small"/>
                <w:rFonts w:ascii="Arial Narrow" w:hAnsi="Arial Narrow"/>
                <w:sz w:val="20"/>
                <w:szCs w:val="20"/>
              </w:rPr>
            </w:pPr>
            <w:r w:rsidRPr="00F7369B">
              <w:rPr>
                <w:rStyle w:val="Small"/>
                <w:rFonts w:ascii="Arial Narrow" w:hAnsi="Arial Narrow"/>
                <w:sz w:val="20"/>
                <w:szCs w:val="20"/>
              </w:rPr>
              <w:t>Solicited injection site reaction</w:t>
            </w:r>
          </w:p>
        </w:tc>
        <w:tc>
          <w:tcPr>
            <w:tcW w:w="550"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261/506</w:t>
            </w:r>
          </w:p>
        </w:tc>
        <w:tc>
          <w:tcPr>
            <w:tcW w:w="380"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51.6</w:t>
            </w:r>
          </w:p>
        </w:tc>
        <w:tc>
          <w:tcPr>
            <w:tcW w:w="782"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(47.1; 56.0)</w:t>
            </w:r>
          </w:p>
        </w:tc>
        <w:tc>
          <w:tcPr>
            <w:tcW w:w="568"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214/407</w:t>
            </w:r>
          </w:p>
        </w:tc>
        <w:tc>
          <w:tcPr>
            <w:tcW w:w="370"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52.6</w:t>
            </w:r>
          </w:p>
        </w:tc>
        <w:tc>
          <w:tcPr>
            <w:tcW w:w="702"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(47.6; 57.5)</w:t>
            </w:r>
          </w:p>
        </w:tc>
      </w:tr>
      <w:tr w:rsidR="00DD7542" w:rsidRPr="00F7369B" w:rsidTr="00B776D2">
        <w:trPr>
          <w:trHeight w:val="198"/>
        </w:trPr>
        <w:tc>
          <w:tcPr>
            <w:tcW w:w="1648" w:type="pct"/>
            <w:shd w:val="clear" w:color="auto" w:fill="auto"/>
          </w:tcPr>
          <w:p w:rsidR="00DD7542" w:rsidRPr="00F7369B" w:rsidRDefault="00DD7542" w:rsidP="00DD7542">
            <w:pPr>
              <w:pStyle w:val="Table"/>
              <w:rPr>
                <w:rStyle w:val="Small"/>
                <w:rFonts w:ascii="Arial Narrow" w:hAnsi="Arial Narrow"/>
                <w:sz w:val="20"/>
                <w:szCs w:val="20"/>
              </w:rPr>
            </w:pPr>
            <w:r w:rsidRPr="00F7369B">
              <w:rPr>
                <w:rStyle w:val="Small"/>
                <w:rFonts w:ascii="Arial Narrow" w:hAnsi="Arial Narrow"/>
                <w:sz w:val="20"/>
                <w:szCs w:val="20"/>
              </w:rPr>
              <w:t>Solicited systemic reaction</w:t>
            </w:r>
          </w:p>
        </w:tc>
        <w:tc>
          <w:tcPr>
            <w:tcW w:w="550"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318/506</w:t>
            </w:r>
          </w:p>
        </w:tc>
        <w:tc>
          <w:tcPr>
            <w:tcW w:w="380"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62.8</w:t>
            </w:r>
          </w:p>
        </w:tc>
        <w:tc>
          <w:tcPr>
            <w:tcW w:w="782"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(58.5; 67.1)</w:t>
            </w:r>
          </w:p>
        </w:tc>
        <w:tc>
          <w:tcPr>
            <w:tcW w:w="568"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237/407</w:t>
            </w:r>
          </w:p>
        </w:tc>
        <w:tc>
          <w:tcPr>
            <w:tcW w:w="370"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58.2</w:t>
            </w:r>
          </w:p>
        </w:tc>
        <w:tc>
          <w:tcPr>
            <w:tcW w:w="702"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(53.3; 63.1)</w:t>
            </w:r>
          </w:p>
        </w:tc>
      </w:tr>
      <w:tr w:rsidR="00DD7542" w:rsidRPr="00F7369B" w:rsidTr="00680FB4">
        <w:trPr>
          <w:trHeight w:val="198"/>
        </w:trPr>
        <w:tc>
          <w:tcPr>
            <w:tcW w:w="5000" w:type="pct"/>
            <w:gridSpan w:val="7"/>
            <w:shd w:val="clear" w:color="auto" w:fill="auto"/>
            <w:vAlign w:val="center"/>
          </w:tcPr>
          <w:p w:rsidR="00DD7542" w:rsidRPr="00F7369B" w:rsidRDefault="00DD7542" w:rsidP="00DD7542">
            <w:pPr>
              <w:pStyle w:val="Table"/>
              <w:rPr>
                <w:rStyle w:val="Small"/>
                <w:rFonts w:ascii="Arial Narrow" w:hAnsi="Arial Narrow"/>
                <w:b/>
                <w:bCs/>
                <w:sz w:val="20"/>
                <w:szCs w:val="20"/>
              </w:rPr>
            </w:pPr>
            <w:r w:rsidRPr="00F7369B">
              <w:rPr>
                <w:rStyle w:val="Small"/>
                <w:rFonts w:ascii="Arial Narrow" w:hAnsi="Arial Narrow"/>
                <w:b/>
                <w:bCs/>
                <w:sz w:val="20"/>
                <w:szCs w:val="20"/>
              </w:rPr>
              <w:t>During the study</w:t>
            </w:r>
          </w:p>
        </w:tc>
      </w:tr>
      <w:tr w:rsidR="00DD7542" w:rsidRPr="00F7369B" w:rsidTr="00B776D2">
        <w:trPr>
          <w:trHeight w:val="198"/>
        </w:trPr>
        <w:tc>
          <w:tcPr>
            <w:tcW w:w="1648" w:type="pct"/>
            <w:shd w:val="clear" w:color="auto" w:fill="auto"/>
          </w:tcPr>
          <w:p w:rsidR="00DD7542" w:rsidRPr="00F7369B" w:rsidRDefault="00DD7542" w:rsidP="00DD7542">
            <w:pPr>
              <w:pStyle w:val="Table"/>
              <w:rPr>
                <w:rStyle w:val="Small"/>
                <w:rFonts w:ascii="Arial Narrow" w:hAnsi="Arial Narrow"/>
                <w:sz w:val="20"/>
                <w:szCs w:val="20"/>
              </w:rPr>
            </w:pPr>
            <w:r w:rsidRPr="00F7369B">
              <w:rPr>
                <w:rStyle w:val="Small"/>
                <w:rFonts w:ascii="Arial Narrow" w:hAnsi="Arial Narrow"/>
                <w:sz w:val="20"/>
                <w:szCs w:val="20"/>
              </w:rPr>
              <w:t>SAE</w:t>
            </w:r>
          </w:p>
        </w:tc>
        <w:tc>
          <w:tcPr>
            <w:tcW w:w="550"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4/506</w:t>
            </w:r>
          </w:p>
        </w:tc>
        <w:tc>
          <w:tcPr>
            <w:tcW w:w="380"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0.8</w:t>
            </w:r>
          </w:p>
        </w:tc>
        <w:tc>
          <w:tcPr>
            <w:tcW w:w="782"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(0.2; 2.0)</w:t>
            </w:r>
          </w:p>
        </w:tc>
        <w:tc>
          <w:tcPr>
            <w:tcW w:w="568"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3/408</w:t>
            </w:r>
          </w:p>
        </w:tc>
        <w:tc>
          <w:tcPr>
            <w:tcW w:w="370"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0.7</w:t>
            </w:r>
          </w:p>
        </w:tc>
        <w:tc>
          <w:tcPr>
            <w:tcW w:w="702"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(0.2; 2.1)</w:t>
            </w:r>
          </w:p>
        </w:tc>
      </w:tr>
      <w:tr w:rsidR="00DD7542" w:rsidRPr="00F7369B" w:rsidTr="00B776D2">
        <w:trPr>
          <w:trHeight w:val="198"/>
        </w:trPr>
        <w:tc>
          <w:tcPr>
            <w:tcW w:w="1648" w:type="pct"/>
            <w:shd w:val="clear" w:color="auto" w:fill="auto"/>
          </w:tcPr>
          <w:p w:rsidR="00DD7542" w:rsidRPr="00F7369B" w:rsidRDefault="00DD7542" w:rsidP="00DD7542">
            <w:pPr>
              <w:pStyle w:val="Table"/>
              <w:rPr>
                <w:rStyle w:val="Small"/>
                <w:rFonts w:ascii="Arial Narrow" w:hAnsi="Arial Narrow"/>
                <w:sz w:val="20"/>
                <w:szCs w:val="20"/>
              </w:rPr>
            </w:pPr>
            <w:r w:rsidRPr="00F7369B">
              <w:rPr>
                <w:rStyle w:val="Small"/>
                <w:rFonts w:ascii="Arial Narrow" w:hAnsi="Arial Narrow"/>
                <w:sz w:val="20"/>
                <w:szCs w:val="20"/>
              </w:rPr>
              <w:t>Related SAE</w:t>
            </w:r>
          </w:p>
        </w:tc>
        <w:tc>
          <w:tcPr>
            <w:tcW w:w="550"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0/506</w:t>
            </w:r>
          </w:p>
        </w:tc>
        <w:tc>
          <w:tcPr>
            <w:tcW w:w="380"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0.0</w:t>
            </w:r>
          </w:p>
        </w:tc>
        <w:tc>
          <w:tcPr>
            <w:tcW w:w="782"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(0.0; 0.7)</w:t>
            </w:r>
          </w:p>
        </w:tc>
        <w:tc>
          <w:tcPr>
            <w:tcW w:w="568"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0/408</w:t>
            </w:r>
          </w:p>
        </w:tc>
        <w:tc>
          <w:tcPr>
            <w:tcW w:w="370"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0.0</w:t>
            </w:r>
          </w:p>
        </w:tc>
        <w:tc>
          <w:tcPr>
            <w:tcW w:w="702"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(0.0; 0.9)</w:t>
            </w:r>
          </w:p>
        </w:tc>
      </w:tr>
      <w:tr w:rsidR="00DD7542" w:rsidRPr="00F7369B" w:rsidTr="00B776D2">
        <w:trPr>
          <w:trHeight w:val="198"/>
        </w:trPr>
        <w:tc>
          <w:tcPr>
            <w:tcW w:w="1648" w:type="pct"/>
            <w:shd w:val="clear" w:color="auto" w:fill="auto"/>
          </w:tcPr>
          <w:p w:rsidR="00DD7542" w:rsidRPr="00F7369B" w:rsidRDefault="00DD7542" w:rsidP="00DD7542">
            <w:pPr>
              <w:pStyle w:val="Table"/>
              <w:rPr>
                <w:rStyle w:val="Small"/>
                <w:rFonts w:ascii="Arial Narrow" w:hAnsi="Arial Narrow"/>
                <w:sz w:val="20"/>
                <w:szCs w:val="20"/>
              </w:rPr>
            </w:pPr>
            <w:r w:rsidRPr="00F7369B">
              <w:rPr>
                <w:rStyle w:val="Small"/>
                <w:rFonts w:ascii="Arial Narrow" w:hAnsi="Arial Narrow"/>
                <w:sz w:val="20"/>
                <w:szCs w:val="20"/>
              </w:rPr>
              <w:t>Death</w:t>
            </w:r>
          </w:p>
        </w:tc>
        <w:tc>
          <w:tcPr>
            <w:tcW w:w="550"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0/506</w:t>
            </w:r>
          </w:p>
        </w:tc>
        <w:tc>
          <w:tcPr>
            <w:tcW w:w="380"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0.0</w:t>
            </w:r>
          </w:p>
        </w:tc>
        <w:tc>
          <w:tcPr>
            <w:tcW w:w="782"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(0.0; 0.7)</w:t>
            </w:r>
          </w:p>
        </w:tc>
        <w:tc>
          <w:tcPr>
            <w:tcW w:w="568"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0/408</w:t>
            </w:r>
          </w:p>
        </w:tc>
        <w:tc>
          <w:tcPr>
            <w:tcW w:w="370"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0.0</w:t>
            </w:r>
          </w:p>
        </w:tc>
        <w:tc>
          <w:tcPr>
            <w:tcW w:w="702"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(0.0; 0.9)</w:t>
            </w:r>
          </w:p>
        </w:tc>
      </w:tr>
      <w:tr w:rsidR="00DD7542" w:rsidRPr="00F7369B" w:rsidTr="00B776D2">
        <w:trPr>
          <w:trHeight w:val="198"/>
        </w:trPr>
        <w:tc>
          <w:tcPr>
            <w:tcW w:w="1648" w:type="pct"/>
            <w:shd w:val="clear" w:color="auto" w:fill="auto"/>
          </w:tcPr>
          <w:p w:rsidR="00DD7542" w:rsidRPr="00F7369B" w:rsidRDefault="00DD7542" w:rsidP="00DD7542">
            <w:pPr>
              <w:pStyle w:val="Table"/>
              <w:rPr>
                <w:rStyle w:val="Small"/>
                <w:rFonts w:ascii="Arial Narrow" w:hAnsi="Arial Narrow"/>
                <w:sz w:val="20"/>
                <w:szCs w:val="20"/>
              </w:rPr>
            </w:pPr>
            <w:r w:rsidRPr="00F7369B">
              <w:rPr>
                <w:rStyle w:val="Small"/>
                <w:rFonts w:ascii="Arial Narrow" w:hAnsi="Arial Narrow"/>
                <w:sz w:val="20"/>
                <w:szCs w:val="20"/>
              </w:rPr>
              <w:t>AESI</w:t>
            </w:r>
          </w:p>
        </w:tc>
        <w:tc>
          <w:tcPr>
            <w:tcW w:w="550"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2/506</w:t>
            </w:r>
          </w:p>
        </w:tc>
        <w:tc>
          <w:tcPr>
            <w:tcW w:w="380"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0.4</w:t>
            </w:r>
          </w:p>
        </w:tc>
        <w:tc>
          <w:tcPr>
            <w:tcW w:w="782"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(0.0; 1.4)</w:t>
            </w:r>
          </w:p>
        </w:tc>
        <w:tc>
          <w:tcPr>
            <w:tcW w:w="568"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0/408</w:t>
            </w:r>
          </w:p>
        </w:tc>
        <w:tc>
          <w:tcPr>
            <w:tcW w:w="370"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0.0</w:t>
            </w:r>
          </w:p>
        </w:tc>
        <w:tc>
          <w:tcPr>
            <w:tcW w:w="702"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(0.0; 0.9)</w:t>
            </w:r>
          </w:p>
        </w:tc>
      </w:tr>
      <w:tr w:rsidR="00DD7542" w:rsidRPr="00F7369B" w:rsidTr="00B776D2">
        <w:trPr>
          <w:trHeight w:val="198"/>
        </w:trPr>
        <w:tc>
          <w:tcPr>
            <w:tcW w:w="1648" w:type="pct"/>
            <w:shd w:val="clear" w:color="auto" w:fill="auto"/>
          </w:tcPr>
          <w:p w:rsidR="00DD7542" w:rsidRPr="00F7369B" w:rsidRDefault="00DD7542" w:rsidP="00DD7542">
            <w:pPr>
              <w:pStyle w:val="Table"/>
              <w:rPr>
                <w:rStyle w:val="Small"/>
                <w:rFonts w:ascii="Arial Narrow" w:hAnsi="Arial Narrow"/>
                <w:b/>
                <w:bCs/>
                <w:sz w:val="20"/>
                <w:szCs w:val="20"/>
              </w:rPr>
            </w:pPr>
            <w:r w:rsidRPr="00F7369B">
              <w:rPr>
                <w:rStyle w:val="Small"/>
                <w:rFonts w:ascii="Arial Narrow" w:hAnsi="Arial Narrow"/>
                <w:b/>
                <w:bCs/>
                <w:sz w:val="20"/>
                <w:szCs w:val="20"/>
              </w:rPr>
              <w:t xml:space="preserve">MET54 </w:t>
            </w:r>
          </w:p>
        </w:tc>
        <w:tc>
          <w:tcPr>
            <w:tcW w:w="1712" w:type="pct"/>
            <w:gridSpan w:val="3"/>
            <w:shd w:val="clear" w:color="auto" w:fill="auto"/>
          </w:tcPr>
          <w:p w:rsidR="00DD7542" w:rsidRPr="00F7369B" w:rsidRDefault="00DD7542" w:rsidP="00DD7542">
            <w:pPr>
              <w:pStyle w:val="TableCentre"/>
              <w:rPr>
                <w:rStyle w:val="Small"/>
                <w:rFonts w:ascii="Arial Narrow" w:hAnsi="Arial Narrow" w:cstheme="minorHAnsi"/>
                <w:b/>
                <w:bCs/>
                <w:sz w:val="20"/>
                <w:szCs w:val="20"/>
              </w:rPr>
            </w:pPr>
            <w:r w:rsidRPr="00F7369B">
              <w:rPr>
                <w:rStyle w:val="Small"/>
                <w:rFonts w:ascii="Arial Narrow" w:hAnsi="Arial Narrow" w:cstheme="minorHAnsi"/>
                <w:b/>
                <w:bCs/>
                <w:sz w:val="20"/>
                <w:szCs w:val="20"/>
              </w:rPr>
              <w:t>MenQuadfi (N=94)</w:t>
            </w:r>
          </w:p>
        </w:tc>
        <w:tc>
          <w:tcPr>
            <w:tcW w:w="1640" w:type="pct"/>
            <w:gridSpan w:val="3"/>
            <w:shd w:val="clear" w:color="auto" w:fill="auto"/>
          </w:tcPr>
          <w:p w:rsidR="00DD7542" w:rsidRPr="00F7369B" w:rsidRDefault="00DD7542" w:rsidP="00DD7542">
            <w:pPr>
              <w:pStyle w:val="TableCentre"/>
              <w:rPr>
                <w:rStyle w:val="Small"/>
                <w:rFonts w:ascii="Arial Narrow" w:hAnsi="Arial Narrow" w:cstheme="minorHAnsi"/>
                <w:b/>
                <w:bCs/>
                <w:sz w:val="20"/>
                <w:szCs w:val="20"/>
              </w:rPr>
            </w:pPr>
            <w:r w:rsidRPr="00F7369B">
              <w:rPr>
                <w:rStyle w:val="Small"/>
                <w:rFonts w:ascii="Arial Narrow" w:hAnsi="Arial Narrow" w:cstheme="minorHAnsi"/>
                <w:b/>
                <w:bCs/>
                <w:sz w:val="20"/>
                <w:szCs w:val="20"/>
              </w:rPr>
              <w:t>Nimenrix (N=94)</w:t>
            </w:r>
          </w:p>
        </w:tc>
      </w:tr>
      <w:tr w:rsidR="00DD7542" w:rsidRPr="00F7369B" w:rsidTr="00B776D2">
        <w:trPr>
          <w:trHeight w:val="198"/>
        </w:trPr>
        <w:tc>
          <w:tcPr>
            <w:tcW w:w="1648" w:type="pct"/>
            <w:shd w:val="clear" w:color="auto" w:fill="auto"/>
          </w:tcPr>
          <w:p w:rsidR="00DD7542" w:rsidRPr="00F7369B" w:rsidRDefault="00DD7542" w:rsidP="00DD7542">
            <w:pPr>
              <w:pStyle w:val="Table"/>
              <w:rPr>
                <w:rStyle w:val="Small"/>
                <w:rFonts w:ascii="Arial Narrow" w:hAnsi="Arial Narrow"/>
                <w:b/>
                <w:bCs/>
                <w:sz w:val="20"/>
                <w:szCs w:val="20"/>
              </w:rPr>
            </w:pPr>
            <w:r w:rsidRPr="00F7369B">
              <w:rPr>
                <w:rStyle w:val="Small"/>
                <w:rFonts w:ascii="Arial Narrow" w:hAnsi="Arial Narrow"/>
                <w:sz w:val="20"/>
                <w:szCs w:val="20"/>
              </w:rPr>
              <w:t>Subjects experiencing at least one:</w:t>
            </w:r>
          </w:p>
        </w:tc>
        <w:tc>
          <w:tcPr>
            <w:tcW w:w="550" w:type="pct"/>
            <w:shd w:val="clear" w:color="auto" w:fill="auto"/>
          </w:tcPr>
          <w:p w:rsidR="00DD7542" w:rsidRPr="00F7369B" w:rsidRDefault="00DD7542" w:rsidP="00E21452">
            <w:pPr>
              <w:pStyle w:val="TableCentre"/>
              <w:rPr>
                <w:rStyle w:val="PageNumber"/>
                <w:rFonts w:ascii="Arial Narrow" w:hAnsi="Arial Narrow" w:cstheme="minorHAnsi"/>
                <w:sz w:val="20"/>
                <w:szCs w:val="20"/>
              </w:rPr>
            </w:pPr>
            <w:r w:rsidRPr="00F7369B">
              <w:rPr>
                <w:rStyle w:val="Small"/>
                <w:rFonts w:ascii="Arial Narrow" w:hAnsi="Arial Narrow" w:cstheme="minorHAnsi"/>
                <w:sz w:val="20"/>
                <w:szCs w:val="20"/>
              </w:rPr>
              <w:t>n/</w:t>
            </w:r>
            <w:r w:rsidR="007A5312" w:rsidRPr="00F7369B">
              <w:rPr>
                <w:rStyle w:val="Small"/>
                <w:rFonts w:ascii="Arial Narrow" w:hAnsi="Arial Narrow" w:cstheme="minorHAnsi"/>
                <w:sz w:val="20"/>
                <w:szCs w:val="20"/>
              </w:rPr>
              <w:t>M</w:t>
            </w:r>
          </w:p>
        </w:tc>
        <w:tc>
          <w:tcPr>
            <w:tcW w:w="380" w:type="pct"/>
            <w:shd w:val="clear" w:color="auto" w:fill="auto"/>
          </w:tcPr>
          <w:p w:rsidR="00DD7542" w:rsidRPr="00F7369B" w:rsidRDefault="00DD7542" w:rsidP="00DD7542">
            <w:pPr>
              <w:pStyle w:val="TableCentre"/>
              <w:rPr>
                <w:rStyle w:val="PageNumber"/>
                <w:rFonts w:ascii="Arial Narrow" w:hAnsi="Arial Narrow" w:cstheme="minorHAnsi"/>
                <w:sz w:val="20"/>
                <w:szCs w:val="20"/>
              </w:rPr>
            </w:pPr>
            <w:r w:rsidRPr="00F7369B">
              <w:rPr>
                <w:rStyle w:val="Small"/>
                <w:rFonts w:ascii="Arial Narrow" w:hAnsi="Arial Narrow" w:cstheme="minorHAnsi"/>
                <w:sz w:val="20"/>
                <w:szCs w:val="20"/>
              </w:rPr>
              <w:t>%</w:t>
            </w:r>
          </w:p>
        </w:tc>
        <w:tc>
          <w:tcPr>
            <w:tcW w:w="782"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(95% CI)</w:t>
            </w:r>
          </w:p>
        </w:tc>
        <w:tc>
          <w:tcPr>
            <w:tcW w:w="568" w:type="pct"/>
            <w:shd w:val="clear" w:color="auto" w:fill="auto"/>
          </w:tcPr>
          <w:p w:rsidR="00DD7542" w:rsidRPr="00F7369B" w:rsidRDefault="00DD7542" w:rsidP="00E2145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n/</w:t>
            </w:r>
            <w:r w:rsidR="007A5312" w:rsidRPr="00F7369B">
              <w:rPr>
                <w:rStyle w:val="Small"/>
                <w:rFonts w:ascii="Arial Narrow" w:hAnsi="Arial Narrow" w:cstheme="minorHAnsi"/>
                <w:sz w:val="20"/>
                <w:szCs w:val="20"/>
              </w:rPr>
              <w:t>M</w:t>
            </w:r>
          </w:p>
        </w:tc>
        <w:tc>
          <w:tcPr>
            <w:tcW w:w="370"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w:t>
            </w:r>
          </w:p>
        </w:tc>
        <w:tc>
          <w:tcPr>
            <w:tcW w:w="702"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(95% CI)</w:t>
            </w:r>
          </w:p>
        </w:tc>
      </w:tr>
      <w:tr w:rsidR="00DD7542" w:rsidRPr="00F7369B" w:rsidTr="00680FB4">
        <w:trPr>
          <w:trHeight w:val="198"/>
        </w:trPr>
        <w:tc>
          <w:tcPr>
            <w:tcW w:w="5000" w:type="pct"/>
            <w:gridSpan w:val="7"/>
            <w:shd w:val="clear" w:color="auto" w:fill="auto"/>
            <w:vAlign w:val="center"/>
          </w:tcPr>
          <w:p w:rsidR="00DD7542" w:rsidRPr="00F7369B" w:rsidRDefault="00DD7542" w:rsidP="00DD7542">
            <w:pPr>
              <w:pStyle w:val="TableCentre"/>
              <w:jc w:val="left"/>
              <w:rPr>
                <w:rStyle w:val="PageNumber"/>
                <w:rFonts w:ascii="Arial Narrow" w:hAnsi="Arial Narrow" w:cstheme="minorHAnsi"/>
                <w:sz w:val="20"/>
                <w:szCs w:val="20"/>
              </w:rPr>
            </w:pPr>
            <w:r w:rsidRPr="00F7369B">
              <w:rPr>
                <w:rStyle w:val="Small"/>
                <w:rFonts w:ascii="Arial Narrow" w:hAnsi="Arial Narrow" w:cstheme="minorHAnsi"/>
                <w:b/>
                <w:bCs/>
                <w:sz w:val="20"/>
                <w:szCs w:val="20"/>
              </w:rPr>
              <w:t>Within 30 minutes after vaccine injection</w:t>
            </w:r>
          </w:p>
        </w:tc>
      </w:tr>
      <w:tr w:rsidR="00DD7542" w:rsidRPr="00F7369B" w:rsidTr="00B776D2">
        <w:trPr>
          <w:trHeight w:val="198"/>
        </w:trPr>
        <w:tc>
          <w:tcPr>
            <w:tcW w:w="1648" w:type="pct"/>
            <w:shd w:val="clear" w:color="auto" w:fill="auto"/>
          </w:tcPr>
          <w:p w:rsidR="00DD7542" w:rsidRPr="00F7369B" w:rsidRDefault="00DD7542" w:rsidP="00DD7542">
            <w:pPr>
              <w:pStyle w:val="Table"/>
              <w:rPr>
                <w:rStyle w:val="PageNumber"/>
                <w:rFonts w:ascii="Arial Narrow" w:hAnsi="Arial Narrow"/>
                <w:sz w:val="20"/>
                <w:szCs w:val="20"/>
              </w:rPr>
            </w:pPr>
            <w:r w:rsidRPr="00F7369B">
              <w:rPr>
                <w:rStyle w:val="Small"/>
                <w:rFonts w:ascii="Arial Narrow" w:hAnsi="Arial Narrow"/>
                <w:sz w:val="20"/>
                <w:szCs w:val="20"/>
              </w:rPr>
              <w:t>Immediate unsolicited AE</w:t>
            </w:r>
          </w:p>
        </w:tc>
        <w:tc>
          <w:tcPr>
            <w:tcW w:w="550" w:type="pct"/>
            <w:shd w:val="clear" w:color="auto" w:fill="auto"/>
          </w:tcPr>
          <w:p w:rsidR="00DD7542" w:rsidRPr="00F7369B" w:rsidRDefault="00DD7542" w:rsidP="00DD7542">
            <w:pPr>
              <w:pStyle w:val="TableCentre"/>
              <w:rPr>
                <w:rStyle w:val="PageNumber"/>
                <w:rFonts w:ascii="Arial Narrow" w:hAnsi="Arial Narrow" w:cstheme="minorHAnsi"/>
                <w:sz w:val="20"/>
                <w:szCs w:val="20"/>
              </w:rPr>
            </w:pPr>
            <w:r w:rsidRPr="00F7369B">
              <w:rPr>
                <w:rFonts w:ascii="Arial Narrow" w:hAnsi="Arial Narrow" w:cstheme="minorHAnsi"/>
                <w:sz w:val="20"/>
                <w:szCs w:val="20"/>
              </w:rPr>
              <w:t>0/94</w:t>
            </w:r>
          </w:p>
        </w:tc>
        <w:tc>
          <w:tcPr>
            <w:tcW w:w="380" w:type="pct"/>
            <w:shd w:val="clear" w:color="auto" w:fill="auto"/>
          </w:tcPr>
          <w:p w:rsidR="00DD7542" w:rsidRPr="00F7369B" w:rsidRDefault="00DD7542" w:rsidP="00DD7542">
            <w:pPr>
              <w:pStyle w:val="TableCentre"/>
              <w:rPr>
                <w:rStyle w:val="PageNumber"/>
                <w:rFonts w:ascii="Arial Narrow" w:hAnsi="Arial Narrow" w:cstheme="minorHAnsi"/>
                <w:sz w:val="20"/>
                <w:szCs w:val="20"/>
              </w:rPr>
            </w:pPr>
            <w:r w:rsidRPr="00F7369B">
              <w:rPr>
                <w:rFonts w:ascii="Arial Narrow" w:hAnsi="Arial Narrow" w:cstheme="minorHAnsi"/>
                <w:sz w:val="20"/>
                <w:szCs w:val="20"/>
              </w:rPr>
              <w:t>0.0</w:t>
            </w:r>
          </w:p>
        </w:tc>
        <w:tc>
          <w:tcPr>
            <w:tcW w:w="782" w:type="pct"/>
            <w:shd w:val="clear" w:color="auto" w:fill="auto"/>
          </w:tcPr>
          <w:p w:rsidR="00DD7542" w:rsidRPr="00F7369B" w:rsidRDefault="00DD7542" w:rsidP="00DD7542">
            <w:pPr>
              <w:pStyle w:val="TableCentre"/>
              <w:rPr>
                <w:rStyle w:val="PageNumber"/>
                <w:rFonts w:ascii="Arial Narrow" w:hAnsi="Arial Narrow" w:cstheme="minorHAnsi"/>
                <w:sz w:val="20"/>
                <w:szCs w:val="20"/>
              </w:rPr>
            </w:pPr>
            <w:r w:rsidRPr="00F7369B">
              <w:rPr>
                <w:rFonts w:ascii="Arial Narrow" w:hAnsi="Arial Narrow" w:cstheme="minorHAnsi"/>
                <w:sz w:val="20"/>
                <w:szCs w:val="20"/>
              </w:rPr>
              <w:t>(0.0; 3.8)</w:t>
            </w:r>
          </w:p>
        </w:tc>
        <w:tc>
          <w:tcPr>
            <w:tcW w:w="568" w:type="pct"/>
            <w:shd w:val="clear" w:color="auto" w:fill="auto"/>
          </w:tcPr>
          <w:p w:rsidR="00DD7542" w:rsidRPr="00F7369B" w:rsidRDefault="00DD7542" w:rsidP="00DD7542">
            <w:pPr>
              <w:pStyle w:val="TableCentre"/>
              <w:rPr>
                <w:rStyle w:val="PageNumber"/>
                <w:rFonts w:ascii="Arial Narrow" w:hAnsi="Arial Narrow" w:cstheme="minorHAnsi"/>
                <w:sz w:val="20"/>
                <w:szCs w:val="20"/>
              </w:rPr>
            </w:pPr>
            <w:r w:rsidRPr="00F7369B">
              <w:rPr>
                <w:rFonts w:ascii="Arial Narrow" w:hAnsi="Arial Narrow" w:cstheme="minorHAnsi"/>
                <w:sz w:val="20"/>
                <w:szCs w:val="20"/>
              </w:rPr>
              <w:t>0/94</w:t>
            </w:r>
          </w:p>
        </w:tc>
        <w:tc>
          <w:tcPr>
            <w:tcW w:w="370" w:type="pct"/>
            <w:shd w:val="clear" w:color="auto" w:fill="auto"/>
          </w:tcPr>
          <w:p w:rsidR="00DD7542" w:rsidRPr="00F7369B" w:rsidRDefault="00DD7542" w:rsidP="00DD7542">
            <w:pPr>
              <w:pStyle w:val="TableCentre"/>
              <w:rPr>
                <w:rStyle w:val="PageNumber"/>
                <w:rFonts w:ascii="Arial Narrow" w:hAnsi="Arial Narrow" w:cstheme="minorHAnsi"/>
                <w:sz w:val="20"/>
                <w:szCs w:val="20"/>
              </w:rPr>
            </w:pPr>
            <w:r w:rsidRPr="00F7369B">
              <w:rPr>
                <w:rFonts w:ascii="Arial Narrow" w:hAnsi="Arial Narrow" w:cstheme="minorHAnsi"/>
                <w:sz w:val="20"/>
                <w:szCs w:val="20"/>
              </w:rPr>
              <w:t>0.0</w:t>
            </w:r>
          </w:p>
        </w:tc>
        <w:tc>
          <w:tcPr>
            <w:tcW w:w="702" w:type="pct"/>
            <w:shd w:val="clear" w:color="auto" w:fill="auto"/>
          </w:tcPr>
          <w:p w:rsidR="00DD7542" w:rsidRPr="00F7369B" w:rsidRDefault="00DD7542" w:rsidP="00DD7542">
            <w:pPr>
              <w:pStyle w:val="TableCentre"/>
              <w:rPr>
                <w:rStyle w:val="PageNumber"/>
                <w:rFonts w:ascii="Arial Narrow" w:hAnsi="Arial Narrow" w:cstheme="minorHAnsi"/>
                <w:sz w:val="20"/>
                <w:szCs w:val="20"/>
              </w:rPr>
            </w:pPr>
            <w:r w:rsidRPr="00F7369B">
              <w:rPr>
                <w:rFonts w:ascii="Arial Narrow" w:hAnsi="Arial Narrow" w:cstheme="minorHAnsi"/>
                <w:sz w:val="20"/>
                <w:szCs w:val="20"/>
              </w:rPr>
              <w:t>(0.0; 3.8)</w:t>
            </w:r>
          </w:p>
        </w:tc>
      </w:tr>
      <w:tr w:rsidR="00DD7542" w:rsidRPr="00F7369B" w:rsidTr="00B776D2">
        <w:trPr>
          <w:trHeight w:val="198"/>
        </w:trPr>
        <w:tc>
          <w:tcPr>
            <w:tcW w:w="1648" w:type="pct"/>
            <w:shd w:val="clear" w:color="auto" w:fill="auto"/>
          </w:tcPr>
          <w:p w:rsidR="00DD7542" w:rsidRPr="00F7369B" w:rsidRDefault="00DD7542" w:rsidP="00DD7542">
            <w:pPr>
              <w:pStyle w:val="Table"/>
              <w:rPr>
                <w:rStyle w:val="PageNumber"/>
                <w:rFonts w:ascii="Arial Narrow" w:hAnsi="Arial Narrow"/>
                <w:sz w:val="20"/>
                <w:szCs w:val="20"/>
              </w:rPr>
            </w:pPr>
            <w:r w:rsidRPr="00F7369B">
              <w:rPr>
                <w:rStyle w:val="Small"/>
                <w:rFonts w:ascii="Arial Narrow" w:hAnsi="Arial Narrow"/>
                <w:sz w:val="20"/>
                <w:szCs w:val="20"/>
              </w:rPr>
              <w:t>Immediate unsolicited AR</w:t>
            </w:r>
          </w:p>
        </w:tc>
        <w:tc>
          <w:tcPr>
            <w:tcW w:w="550"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hAnsi="Arial Narrow" w:cstheme="minorHAnsi"/>
                <w:sz w:val="20"/>
                <w:szCs w:val="20"/>
              </w:rPr>
              <w:t>0/94</w:t>
            </w:r>
          </w:p>
        </w:tc>
        <w:tc>
          <w:tcPr>
            <w:tcW w:w="380"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hAnsi="Arial Narrow" w:cstheme="minorHAnsi"/>
                <w:sz w:val="20"/>
                <w:szCs w:val="20"/>
              </w:rPr>
              <w:t>0.0</w:t>
            </w:r>
          </w:p>
        </w:tc>
        <w:tc>
          <w:tcPr>
            <w:tcW w:w="782"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hAnsi="Arial Narrow" w:cstheme="minorHAnsi"/>
                <w:sz w:val="20"/>
                <w:szCs w:val="20"/>
              </w:rPr>
              <w:t>(0.0; 3.8)</w:t>
            </w:r>
          </w:p>
        </w:tc>
        <w:tc>
          <w:tcPr>
            <w:tcW w:w="568"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hAnsi="Arial Narrow" w:cstheme="minorHAnsi"/>
                <w:sz w:val="20"/>
                <w:szCs w:val="20"/>
              </w:rPr>
              <w:t>0/94</w:t>
            </w:r>
          </w:p>
        </w:tc>
        <w:tc>
          <w:tcPr>
            <w:tcW w:w="370"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hAnsi="Arial Narrow" w:cstheme="minorHAnsi"/>
                <w:sz w:val="20"/>
                <w:szCs w:val="20"/>
              </w:rPr>
              <w:t>0.0</w:t>
            </w:r>
          </w:p>
        </w:tc>
        <w:tc>
          <w:tcPr>
            <w:tcW w:w="702"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hAnsi="Arial Narrow" w:cstheme="minorHAnsi"/>
                <w:sz w:val="20"/>
                <w:szCs w:val="20"/>
              </w:rPr>
              <w:t>(0.0; 3.8)</w:t>
            </w:r>
          </w:p>
        </w:tc>
      </w:tr>
      <w:tr w:rsidR="00DD7542" w:rsidRPr="00F7369B" w:rsidTr="00680FB4">
        <w:trPr>
          <w:trHeight w:val="198"/>
        </w:trPr>
        <w:tc>
          <w:tcPr>
            <w:tcW w:w="5000" w:type="pct"/>
            <w:gridSpan w:val="7"/>
            <w:shd w:val="clear" w:color="auto" w:fill="auto"/>
            <w:vAlign w:val="center"/>
          </w:tcPr>
          <w:p w:rsidR="00DD7542" w:rsidRPr="00F7369B" w:rsidRDefault="00DD7542" w:rsidP="00DD7542">
            <w:pPr>
              <w:pStyle w:val="TableCentre"/>
              <w:jc w:val="left"/>
              <w:rPr>
                <w:rFonts w:ascii="Arial Narrow" w:hAnsi="Arial Narrow" w:cstheme="minorHAnsi"/>
                <w:b/>
                <w:bCs/>
                <w:sz w:val="20"/>
                <w:szCs w:val="20"/>
              </w:rPr>
            </w:pPr>
            <w:r w:rsidRPr="00F7369B">
              <w:rPr>
                <w:rStyle w:val="Small"/>
                <w:rFonts w:ascii="Arial Narrow" w:hAnsi="Arial Narrow" w:cstheme="minorHAnsi"/>
                <w:b/>
                <w:bCs/>
                <w:sz w:val="20"/>
                <w:szCs w:val="20"/>
              </w:rPr>
              <w:t>Within 7 days after vaccine injection</w:t>
            </w:r>
          </w:p>
        </w:tc>
      </w:tr>
      <w:tr w:rsidR="00DD7542" w:rsidRPr="00F7369B" w:rsidTr="00B776D2">
        <w:trPr>
          <w:trHeight w:val="198"/>
        </w:trPr>
        <w:tc>
          <w:tcPr>
            <w:tcW w:w="1648" w:type="pct"/>
            <w:shd w:val="clear" w:color="auto" w:fill="auto"/>
          </w:tcPr>
          <w:p w:rsidR="00DD7542" w:rsidRPr="00F7369B" w:rsidRDefault="00DD7542" w:rsidP="00DD7542">
            <w:pPr>
              <w:pStyle w:val="Table"/>
              <w:rPr>
                <w:rStyle w:val="PageNumber"/>
                <w:rFonts w:ascii="Arial Narrow" w:hAnsi="Arial Narrow"/>
                <w:sz w:val="20"/>
                <w:szCs w:val="20"/>
              </w:rPr>
            </w:pPr>
            <w:r w:rsidRPr="00F7369B">
              <w:rPr>
                <w:rStyle w:val="Small"/>
                <w:rFonts w:ascii="Arial Narrow" w:hAnsi="Arial Narrow"/>
                <w:sz w:val="20"/>
                <w:szCs w:val="20"/>
              </w:rPr>
              <w:t>Solicited reaction</w:t>
            </w:r>
          </w:p>
        </w:tc>
        <w:tc>
          <w:tcPr>
            <w:tcW w:w="550"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hAnsi="Arial Narrow" w:cstheme="minorHAnsi"/>
                <w:sz w:val="20"/>
                <w:szCs w:val="20"/>
              </w:rPr>
              <w:t>75/94</w:t>
            </w:r>
          </w:p>
        </w:tc>
        <w:tc>
          <w:tcPr>
            <w:tcW w:w="380"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hAnsi="Arial Narrow" w:cstheme="minorHAnsi"/>
                <w:sz w:val="20"/>
                <w:szCs w:val="20"/>
              </w:rPr>
              <w:t>79.8</w:t>
            </w:r>
          </w:p>
        </w:tc>
        <w:tc>
          <w:tcPr>
            <w:tcW w:w="782"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hAnsi="Arial Narrow" w:cstheme="minorHAnsi"/>
                <w:sz w:val="20"/>
                <w:szCs w:val="20"/>
              </w:rPr>
              <w:t>(70.2; 87.4)</w:t>
            </w:r>
          </w:p>
        </w:tc>
        <w:tc>
          <w:tcPr>
            <w:tcW w:w="568"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hAnsi="Arial Narrow" w:cstheme="minorHAnsi"/>
                <w:sz w:val="20"/>
                <w:szCs w:val="20"/>
              </w:rPr>
              <w:t>78/94</w:t>
            </w:r>
          </w:p>
        </w:tc>
        <w:tc>
          <w:tcPr>
            <w:tcW w:w="370"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hAnsi="Arial Narrow" w:cstheme="minorHAnsi"/>
                <w:sz w:val="20"/>
                <w:szCs w:val="20"/>
              </w:rPr>
              <w:t>83.0</w:t>
            </w:r>
          </w:p>
        </w:tc>
        <w:tc>
          <w:tcPr>
            <w:tcW w:w="702"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hAnsi="Arial Narrow" w:cstheme="minorHAnsi"/>
                <w:sz w:val="20"/>
                <w:szCs w:val="20"/>
              </w:rPr>
              <w:t>(73.8; 89.9)</w:t>
            </w:r>
          </w:p>
        </w:tc>
      </w:tr>
      <w:tr w:rsidR="00DD7542" w:rsidRPr="00F7369B" w:rsidTr="00B776D2">
        <w:trPr>
          <w:trHeight w:val="198"/>
        </w:trPr>
        <w:tc>
          <w:tcPr>
            <w:tcW w:w="1648" w:type="pct"/>
            <w:shd w:val="clear" w:color="auto" w:fill="auto"/>
          </w:tcPr>
          <w:p w:rsidR="00DD7542" w:rsidRPr="00F7369B" w:rsidRDefault="00DD7542" w:rsidP="00DD7542">
            <w:pPr>
              <w:pStyle w:val="Table"/>
              <w:rPr>
                <w:rStyle w:val="PageNumber"/>
                <w:rFonts w:ascii="Arial Narrow" w:hAnsi="Arial Narrow"/>
                <w:sz w:val="20"/>
                <w:szCs w:val="20"/>
              </w:rPr>
            </w:pPr>
            <w:r w:rsidRPr="00F7369B">
              <w:rPr>
                <w:rStyle w:val="Small"/>
                <w:rFonts w:ascii="Arial Narrow" w:hAnsi="Arial Narrow"/>
                <w:sz w:val="20"/>
                <w:szCs w:val="20"/>
              </w:rPr>
              <w:t>Solicited injection site reaction</w:t>
            </w:r>
          </w:p>
        </w:tc>
        <w:tc>
          <w:tcPr>
            <w:tcW w:w="550"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hAnsi="Arial Narrow" w:cstheme="minorHAnsi"/>
                <w:sz w:val="20"/>
                <w:szCs w:val="20"/>
              </w:rPr>
              <w:t>46/94</w:t>
            </w:r>
          </w:p>
        </w:tc>
        <w:tc>
          <w:tcPr>
            <w:tcW w:w="380"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hAnsi="Arial Narrow" w:cstheme="minorHAnsi"/>
                <w:sz w:val="20"/>
                <w:szCs w:val="20"/>
              </w:rPr>
              <w:t>48.9</w:t>
            </w:r>
          </w:p>
        </w:tc>
        <w:tc>
          <w:tcPr>
            <w:tcW w:w="782"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hAnsi="Arial Narrow" w:cstheme="minorHAnsi"/>
                <w:sz w:val="20"/>
                <w:szCs w:val="20"/>
              </w:rPr>
              <w:t>(38.5; 59.5)</w:t>
            </w:r>
          </w:p>
        </w:tc>
        <w:tc>
          <w:tcPr>
            <w:tcW w:w="568"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hAnsi="Arial Narrow" w:cstheme="minorHAnsi"/>
                <w:sz w:val="20"/>
                <w:szCs w:val="20"/>
              </w:rPr>
              <w:t>50/94</w:t>
            </w:r>
          </w:p>
        </w:tc>
        <w:tc>
          <w:tcPr>
            <w:tcW w:w="370"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hAnsi="Arial Narrow" w:cstheme="minorHAnsi"/>
                <w:sz w:val="20"/>
                <w:szCs w:val="20"/>
              </w:rPr>
              <w:t>53.2</w:t>
            </w:r>
          </w:p>
        </w:tc>
        <w:tc>
          <w:tcPr>
            <w:tcW w:w="702"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hAnsi="Arial Narrow" w:cstheme="minorHAnsi"/>
                <w:sz w:val="20"/>
                <w:szCs w:val="20"/>
              </w:rPr>
              <w:t>(42.6; 63.6)</w:t>
            </w:r>
          </w:p>
        </w:tc>
      </w:tr>
      <w:tr w:rsidR="00DD7542" w:rsidRPr="00F7369B" w:rsidTr="00B776D2">
        <w:trPr>
          <w:trHeight w:val="198"/>
        </w:trPr>
        <w:tc>
          <w:tcPr>
            <w:tcW w:w="1648" w:type="pct"/>
            <w:shd w:val="clear" w:color="auto" w:fill="auto"/>
          </w:tcPr>
          <w:p w:rsidR="00DD7542" w:rsidRPr="00F7369B" w:rsidRDefault="00DD7542" w:rsidP="00DD7542">
            <w:pPr>
              <w:pStyle w:val="Table"/>
              <w:rPr>
                <w:rStyle w:val="PageNumber"/>
                <w:rFonts w:ascii="Arial Narrow" w:hAnsi="Arial Narrow"/>
                <w:sz w:val="20"/>
                <w:szCs w:val="20"/>
              </w:rPr>
            </w:pPr>
            <w:r w:rsidRPr="00F7369B">
              <w:rPr>
                <w:rStyle w:val="Small"/>
                <w:rFonts w:ascii="Arial Narrow" w:hAnsi="Arial Narrow"/>
                <w:sz w:val="20"/>
                <w:szCs w:val="20"/>
              </w:rPr>
              <w:t>Solicited systemic reaction</w:t>
            </w:r>
          </w:p>
        </w:tc>
        <w:tc>
          <w:tcPr>
            <w:tcW w:w="550"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hAnsi="Arial Narrow" w:cstheme="minorHAnsi"/>
                <w:sz w:val="20"/>
                <w:szCs w:val="20"/>
              </w:rPr>
              <w:t>58/94</w:t>
            </w:r>
          </w:p>
        </w:tc>
        <w:tc>
          <w:tcPr>
            <w:tcW w:w="380"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hAnsi="Arial Narrow" w:cstheme="minorHAnsi"/>
                <w:sz w:val="20"/>
                <w:szCs w:val="20"/>
              </w:rPr>
              <w:t>61.7</w:t>
            </w:r>
          </w:p>
        </w:tc>
        <w:tc>
          <w:tcPr>
            <w:tcW w:w="782"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hAnsi="Arial Narrow" w:cstheme="minorHAnsi"/>
                <w:sz w:val="20"/>
                <w:szCs w:val="20"/>
              </w:rPr>
              <w:t>(51.1; 71.5)</w:t>
            </w:r>
          </w:p>
        </w:tc>
        <w:tc>
          <w:tcPr>
            <w:tcW w:w="568"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hAnsi="Arial Narrow" w:cstheme="minorHAnsi"/>
                <w:sz w:val="20"/>
                <w:szCs w:val="20"/>
              </w:rPr>
              <w:t>65/94</w:t>
            </w:r>
          </w:p>
        </w:tc>
        <w:tc>
          <w:tcPr>
            <w:tcW w:w="370"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hAnsi="Arial Narrow" w:cstheme="minorHAnsi"/>
                <w:sz w:val="20"/>
                <w:szCs w:val="20"/>
              </w:rPr>
              <w:t>69.1</w:t>
            </w:r>
          </w:p>
        </w:tc>
        <w:tc>
          <w:tcPr>
            <w:tcW w:w="702"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hAnsi="Arial Narrow" w:cstheme="minorHAnsi"/>
                <w:sz w:val="20"/>
                <w:szCs w:val="20"/>
              </w:rPr>
              <w:t>(58.8; 78.3)</w:t>
            </w:r>
          </w:p>
        </w:tc>
      </w:tr>
      <w:tr w:rsidR="00DD7542" w:rsidRPr="00F7369B" w:rsidTr="00B776D2">
        <w:trPr>
          <w:trHeight w:val="198"/>
        </w:trPr>
        <w:tc>
          <w:tcPr>
            <w:tcW w:w="1648" w:type="pct"/>
            <w:shd w:val="clear" w:color="auto" w:fill="auto"/>
          </w:tcPr>
          <w:p w:rsidR="00DD7542" w:rsidRPr="00F7369B" w:rsidRDefault="00DD7542" w:rsidP="00DD7542">
            <w:pPr>
              <w:pStyle w:val="Table"/>
              <w:rPr>
                <w:rStyle w:val="PageNumber"/>
                <w:rFonts w:ascii="Arial Narrow" w:hAnsi="Arial Narrow"/>
                <w:sz w:val="20"/>
                <w:szCs w:val="20"/>
              </w:rPr>
            </w:pPr>
            <w:r w:rsidRPr="00F7369B">
              <w:rPr>
                <w:rStyle w:val="Small"/>
                <w:rFonts w:ascii="Arial Narrow" w:hAnsi="Arial Narrow"/>
                <w:sz w:val="20"/>
                <w:szCs w:val="20"/>
              </w:rPr>
              <w:t>Death</w:t>
            </w:r>
          </w:p>
        </w:tc>
        <w:tc>
          <w:tcPr>
            <w:tcW w:w="550"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hAnsi="Arial Narrow" w:cstheme="minorHAnsi"/>
                <w:sz w:val="20"/>
                <w:szCs w:val="20"/>
              </w:rPr>
              <w:t>0/94</w:t>
            </w:r>
          </w:p>
        </w:tc>
        <w:tc>
          <w:tcPr>
            <w:tcW w:w="380"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hAnsi="Arial Narrow" w:cstheme="minorHAnsi"/>
                <w:sz w:val="20"/>
                <w:szCs w:val="20"/>
              </w:rPr>
              <w:t>0.0</w:t>
            </w:r>
          </w:p>
        </w:tc>
        <w:tc>
          <w:tcPr>
            <w:tcW w:w="782"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hAnsi="Arial Narrow" w:cstheme="minorHAnsi"/>
                <w:sz w:val="20"/>
                <w:szCs w:val="20"/>
              </w:rPr>
              <w:t>(0.0; 3.8)</w:t>
            </w:r>
          </w:p>
        </w:tc>
        <w:tc>
          <w:tcPr>
            <w:tcW w:w="568"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hAnsi="Arial Narrow" w:cstheme="minorHAnsi"/>
                <w:sz w:val="20"/>
                <w:szCs w:val="20"/>
              </w:rPr>
              <w:t>0/94</w:t>
            </w:r>
          </w:p>
        </w:tc>
        <w:tc>
          <w:tcPr>
            <w:tcW w:w="370"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hAnsi="Arial Narrow" w:cstheme="minorHAnsi"/>
                <w:sz w:val="20"/>
                <w:szCs w:val="20"/>
              </w:rPr>
              <w:t>0.0</w:t>
            </w:r>
          </w:p>
        </w:tc>
        <w:tc>
          <w:tcPr>
            <w:tcW w:w="702"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hAnsi="Arial Narrow" w:cstheme="minorHAnsi"/>
                <w:sz w:val="20"/>
                <w:szCs w:val="20"/>
              </w:rPr>
              <w:t>(0.0; 3.8)</w:t>
            </w:r>
          </w:p>
        </w:tc>
      </w:tr>
      <w:tr w:rsidR="00DD7542" w:rsidRPr="00F7369B" w:rsidTr="00680FB4">
        <w:trPr>
          <w:trHeight w:val="198"/>
        </w:trPr>
        <w:tc>
          <w:tcPr>
            <w:tcW w:w="5000" w:type="pct"/>
            <w:gridSpan w:val="7"/>
            <w:shd w:val="clear" w:color="auto" w:fill="auto"/>
            <w:vAlign w:val="center"/>
          </w:tcPr>
          <w:p w:rsidR="00DD7542" w:rsidRPr="00F7369B" w:rsidRDefault="00DD7542" w:rsidP="00DD7542">
            <w:pPr>
              <w:pStyle w:val="TableCentre"/>
              <w:jc w:val="left"/>
              <w:rPr>
                <w:rFonts w:ascii="Arial Narrow" w:hAnsi="Arial Narrow" w:cstheme="minorHAnsi"/>
                <w:b/>
                <w:bCs/>
                <w:sz w:val="20"/>
                <w:szCs w:val="20"/>
              </w:rPr>
            </w:pPr>
            <w:r w:rsidRPr="00F7369B">
              <w:rPr>
                <w:rStyle w:val="Small"/>
                <w:rFonts w:ascii="Arial Narrow" w:hAnsi="Arial Narrow" w:cstheme="minorHAnsi"/>
                <w:b/>
                <w:bCs/>
                <w:sz w:val="20"/>
                <w:szCs w:val="20"/>
              </w:rPr>
              <w:t>During the study</w:t>
            </w:r>
          </w:p>
        </w:tc>
      </w:tr>
      <w:tr w:rsidR="00DD7542" w:rsidRPr="00F7369B" w:rsidTr="00B776D2">
        <w:trPr>
          <w:trHeight w:val="198"/>
        </w:trPr>
        <w:tc>
          <w:tcPr>
            <w:tcW w:w="1648" w:type="pct"/>
            <w:shd w:val="clear" w:color="auto" w:fill="auto"/>
          </w:tcPr>
          <w:p w:rsidR="00DD7542" w:rsidRPr="00F7369B" w:rsidRDefault="00DD7542" w:rsidP="00DD7542">
            <w:pPr>
              <w:pStyle w:val="Table"/>
              <w:rPr>
                <w:rStyle w:val="PageNumber"/>
                <w:rFonts w:ascii="Arial Narrow" w:hAnsi="Arial Narrow"/>
                <w:sz w:val="20"/>
                <w:szCs w:val="20"/>
              </w:rPr>
            </w:pPr>
            <w:r w:rsidRPr="00F7369B">
              <w:rPr>
                <w:rStyle w:val="Small"/>
                <w:rFonts w:ascii="Arial Narrow" w:hAnsi="Arial Narrow"/>
                <w:sz w:val="20"/>
                <w:szCs w:val="20"/>
              </w:rPr>
              <w:t>SAE</w:t>
            </w:r>
          </w:p>
        </w:tc>
        <w:tc>
          <w:tcPr>
            <w:tcW w:w="550"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hAnsi="Arial Narrow" w:cstheme="minorHAnsi"/>
                <w:sz w:val="20"/>
                <w:szCs w:val="20"/>
              </w:rPr>
              <w:t>1/94</w:t>
            </w:r>
          </w:p>
        </w:tc>
        <w:tc>
          <w:tcPr>
            <w:tcW w:w="380"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hAnsi="Arial Narrow" w:cstheme="minorHAnsi"/>
                <w:sz w:val="20"/>
                <w:szCs w:val="20"/>
              </w:rPr>
              <w:t>1.1</w:t>
            </w:r>
          </w:p>
        </w:tc>
        <w:tc>
          <w:tcPr>
            <w:tcW w:w="782"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hAnsi="Arial Narrow" w:cstheme="minorHAnsi"/>
                <w:sz w:val="20"/>
                <w:szCs w:val="20"/>
              </w:rPr>
              <w:t>(0.0; 5.8)</w:t>
            </w:r>
          </w:p>
        </w:tc>
        <w:tc>
          <w:tcPr>
            <w:tcW w:w="568"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hAnsi="Arial Narrow" w:cstheme="minorHAnsi"/>
                <w:sz w:val="20"/>
                <w:szCs w:val="20"/>
              </w:rPr>
              <w:t>0/94</w:t>
            </w:r>
          </w:p>
        </w:tc>
        <w:tc>
          <w:tcPr>
            <w:tcW w:w="370"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hAnsi="Arial Narrow" w:cstheme="minorHAnsi"/>
                <w:sz w:val="20"/>
                <w:szCs w:val="20"/>
              </w:rPr>
              <w:t>0.0</w:t>
            </w:r>
          </w:p>
        </w:tc>
        <w:tc>
          <w:tcPr>
            <w:tcW w:w="702"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hAnsi="Arial Narrow" w:cstheme="minorHAnsi"/>
                <w:sz w:val="20"/>
                <w:szCs w:val="20"/>
              </w:rPr>
              <w:t>(0.0; 3.8)</w:t>
            </w:r>
          </w:p>
        </w:tc>
      </w:tr>
      <w:tr w:rsidR="00DD7542" w:rsidRPr="00F7369B" w:rsidTr="00B776D2">
        <w:trPr>
          <w:trHeight w:val="198"/>
        </w:trPr>
        <w:tc>
          <w:tcPr>
            <w:tcW w:w="1648" w:type="pct"/>
            <w:shd w:val="clear" w:color="auto" w:fill="auto"/>
          </w:tcPr>
          <w:p w:rsidR="00DD7542" w:rsidRPr="00F7369B" w:rsidRDefault="00DD7542" w:rsidP="00DD7542">
            <w:pPr>
              <w:pStyle w:val="Table"/>
              <w:rPr>
                <w:rStyle w:val="PageNumber"/>
                <w:rFonts w:ascii="Arial Narrow" w:hAnsi="Arial Narrow"/>
                <w:sz w:val="20"/>
                <w:szCs w:val="20"/>
              </w:rPr>
            </w:pPr>
            <w:r w:rsidRPr="00F7369B">
              <w:rPr>
                <w:rStyle w:val="Small"/>
                <w:rFonts w:ascii="Arial Narrow" w:hAnsi="Arial Narrow"/>
                <w:sz w:val="20"/>
                <w:szCs w:val="20"/>
              </w:rPr>
              <w:t>Related SAE</w:t>
            </w:r>
          </w:p>
        </w:tc>
        <w:tc>
          <w:tcPr>
            <w:tcW w:w="550"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hAnsi="Arial Narrow" w:cstheme="minorHAnsi"/>
                <w:sz w:val="20"/>
                <w:szCs w:val="20"/>
              </w:rPr>
              <w:t>0/94</w:t>
            </w:r>
          </w:p>
        </w:tc>
        <w:tc>
          <w:tcPr>
            <w:tcW w:w="380"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hAnsi="Arial Narrow" w:cstheme="minorHAnsi"/>
                <w:sz w:val="20"/>
                <w:szCs w:val="20"/>
              </w:rPr>
              <w:t>0.0</w:t>
            </w:r>
          </w:p>
        </w:tc>
        <w:tc>
          <w:tcPr>
            <w:tcW w:w="782"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hAnsi="Arial Narrow" w:cstheme="minorHAnsi"/>
                <w:sz w:val="20"/>
                <w:szCs w:val="20"/>
              </w:rPr>
              <w:t>(0.0; 3.8)</w:t>
            </w:r>
          </w:p>
        </w:tc>
        <w:tc>
          <w:tcPr>
            <w:tcW w:w="568"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hAnsi="Arial Narrow" w:cstheme="minorHAnsi"/>
                <w:sz w:val="20"/>
                <w:szCs w:val="20"/>
              </w:rPr>
              <w:t>0/94</w:t>
            </w:r>
          </w:p>
        </w:tc>
        <w:tc>
          <w:tcPr>
            <w:tcW w:w="370"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hAnsi="Arial Narrow" w:cstheme="minorHAnsi"/>
                <w:sz w:val="20"/>
                <w:szCs w:val="20"/>
              </w:rPr>
              <w:t>0.0</w:t>
            </w:r>
          </w:p>
        </w:tc>
        <w:tc>
          <w:tcPr>
            <w:tcW w:w="702"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hAnsi="Arial Narrow" w:cstheme="minorHAnsi"/>
                <w:sz w:val="20"/>
                <w:szCs w:val="20"/>
              </w:rPr>
              <w:t>(0.0; 3.8)</w:t>
            </w:r>
          </w:p>
        </w:tc>
      </w:tr>
      <w:tr w:rsidR="00DD7542" w:rsidRPr="00F7369B" w:rsidTr="00B776D2">
        <w:trPr>
          <w:trHeight w:val="198"/>
        </w:trPr>
        <w:tc>
          <w:tcPr>
            <w:tcW w:w="1648" w:type="pct"/>
            <w:shd w:val="clear" w:color="auto" w:fill="auto"/>
          </w:tcPr>
          <w:p w:rsidR="00DD7542" w:rsidRPr="00F7369B" w:rsidRDefault="00DD7542" w:rsidP="00DD7542">
            <w:pPr>
              <w:pStyle w:val="Table"/>
              <w:rPr>
                <w:rStyle w:val="PageNumber"/>
                <w:rFonts w:ascii="Arial Narrow" w:hAnsi="Arial Narrow"/>
                <w:sz w:val="20"/>
                <w:szCs w:val="20"/>
              </w:rPr>
            </w:pPr>
            <w:r w:rsidRPr="00F7369B">
              <w:rPr>
                <w:rStyle w:val="Small"/>
                <w:rFonts w:ascii="Arial Narrow" w:hAnsi="Arial Narrow"/>
                <w:sz w:val="20"/>
                <w:szCs w:val="20"/>
              </w:rPr>
              <w:t>Death</w:t>
            </w:r>
          </w:p>
        </w:tc>
        <w:tc>
          <w:tcPr>
            <w:tcW w:w="550"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hAnsi="Arial Narrow" w:cstheme="minorHAnsi"/>
                <w:sz w:val="20"/>
                <w:szCs w:val="20"/>
              </w:rPr>
              <w:t>0/94</w:t>
            </w:r>
          </w:p>
        </w:tc>
        <w:tc>
          <w:tcPr>
            <w:tcW w:w="380"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hAnsi="Arial Narrow" w:cstheme="minorHAnsi"/>
                <w:sz w:val="20"/>
                <w:szCs w:val="20"/>
              </w:rPr>
              <w:t>0.0</w:t>
            </w:r>
          </w:p>
        </w:tc>
        <w:tc>
          <w:tcPr>
            <w:tcW w:w="782"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hAnsi="Arial Narrow" w:cstheme="minorHAnsi"/>
                <w:sz w:val="20"/>
                <w:szCs w:val="20"/>
              </w:rPr>
              <w:t>(0.0; 3.8)</w:t>
            </w:r>
          </w:p>
        </w:tc>
        <w:tc>
          <w:tcPr>
            <w:tcW w:w="568"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hAnsi="Arial Narrow" w:cstheme="minorHAnsi"/>
                <w:sz w:val="20"/>
                <w:szCs w:val="20"/>
              </w:rPr>
              <w:t>0/94</w:t>
            </w:r>
          </w:p>
        </w:tc>
        <w:tc>
          <w:tcPr>
            <w:tcW w:w="370"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hAnsi="Arial Narrow" w:cstheme="minorHAnsi"/>
                <w:sz w:val="20"/>
                <w:szCs w:val="20"/>
              </w:rPr>
              <w:t>0.0</w:t>
            </w:r>
          </w:p>
        </w:tc>
        <w:tc>
          <w:tcPr>
            <w:tcW w:w="702"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hAnsi="Arial Narrow" w:cstheme="minorHAnsi"/>
                <w:sz w:val="20"/>
                <w:szCs w:val="20"/>
              </w:rPr>
              <w:t>(0.0; 3.8)</w:t>
            </w:r>
          </w:p>
        </w:tc>
      </w:tr>
      <w:tr w:rsidR="00DD7542" w:rsidRPr="00F7369B" w:rsidTr="00B776D2">
        <w:trPr>
          <w:trHeight w:val="198"/>
        </w:trPr>
        <w:tc>
          <w:tcPr>
            <w:tcW w:w="1648" w:type="pct"/>
            <w:shd w:val="clear" w:color="auto" w:fill="auto"/>
          </w:tcPr>
          <w:p w:rsidR="00DD7542" w:rsidRPr="00F7369B" w:rsidRDefault="00DD7542" w:rsidP="00DD7542">
            <w:pPr>
              <w:pStyle w:val="Table"/>
              <w:rPr>
                <w:rStyle w:val="Small"/>
                <w:rFonts w:ascii="Arial Narrow" w:hAnsi="Arial Narrow"/>
                <w:sz w:val="20"/>
                <w:szCs w:val="20"/>
              </w:rPr>
            </w:pPr>
            <w:r w:rsidRPr="00F7369B">
              <w:rPr>
                <w:rStyle w:val="Small"/>
                <w:rFonts w:ascii="Arial Narrow" w:hAnsi="Arial Narrow"/>
                <w:sz w:val="20"/>
                <w:szCs w:val="20"/>
              </w:rPr>
              <w:t>Fever</w:t>
            </w:r>
          </w:p>
        </w:tc>
        <w:tc>
          <w:tcPr>
            <w:tcW w:w="550"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eastAsia="TimesNewRoman" w:hAnsi="Arial Narrow" w:cstheme="minorHAnsi"/>
                <w:sz w:val="20"/>
                <w:szCs w:val="20"/>
              </w:rPr>
              <w:t>7/94</w:t>
            </w:r>
          </w:p>
        </w:tc>
        <w:tc>
          <w:tcPr>
            <w:tcW w:w="380"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eastAsia="TimesNewRoman" w:hAnsi="Arial Narrow" w:cstheme="minorHAnsi"/>
                <w:sz w:val="20"/>
                <w:szCs w:val="20"/>
              </w:rPr>
              <w:t>7.4</w:t>
            </w:r>
          </w:p>
        </w:tc>
        <w:tc>
          <w:tcPr>
            <w:tcW w:w="782"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eastAsia="TimesNewRoman" w:hAnsi="Arial Narrow" w:cstheme="minorHAnsi"/>
                <w:sz w:val="20"/>
                <w:szCs w:val="20"/>
              </w:rPr>
              <w:t>(3.0; 14.7)</w:t>
            </w:r>
          </w:p>
        </w:tc>
        <w:tc>
          <w:tcPr>
            <w:tcW w:w="568"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eastAsia="TimesNewRoman" w:hAnsi="Arial Narrow" w:cstheme="minorHAnsi"/>
                <w:sz w:val="20"/>
                <w:szCs w:val="20"/>
              </w:rPr>
              <w:t>4/91</w:t>
            </w:r>
          </w:p>
        </w:tc>
        <w:tc>
          <w:tcPr>
            <w:tcW w:w="370"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eastAsia="TimesNewRoman" w:hAnsi="Arial Narrow" w:cstheme="minorHAnsi"/>
                <w:sz w:val="20"/>
                <w:szCs w:val="20"/>
              </w:rPr>
              <w:t>4.4</w:t>
            </w:r>
          </w:p>
        </w:tc>
        <w:tc>
          <w:tcPr>
            <w:tcW w:w="702"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Fonts w:ascii="Arial Narrow" w:eastAsia="TimesNewRoman" w:hAnsi="Arial Narrow" w:cstheme="minorHAnsi"/>
                <w:sz w:val="20"/>
                <w:szCs w:val="20"/>
              </w:rPr>
              <w:t>(1.2; 10.9)</w:t>
            </w:r>
          </w:p>
        </w:tc>
      </w:tr>
      <w:tr w:rsidR="00DD7542" w:rsidRPr="00F7369B" w:rsidTr="00B776D2">
        <w:trPr>
          <w:trHeight w:val="198"/>
        </w:trPr>
        <w:tc>
          <w:tcPr>
            <w:tcW w:w="1648" w:type="pct"/>
            <w:shd w:val="clear" w:color="auto" w:fill="auto"/>
          </w:tcPr>
          <w:p w:rsidR="00DD7542" w:rsidRPr="00F7369B" w:rsidRDefault="00DD7542" w:rsidP="00DD7542">
            <w:pPr>
              <w:pStyle w:val="Table"/>
              <w:rPr>
                <w:rStyle w:val="Small"/>
                <w:rFonts w:ascii="Arial Narrow" w:hAnsi="Arial Narrow"/>
                <w:b/>
                <w:bCs/>
                <w:sz w:val="20"/>
                <w:szCs w:val="20"/>
              </w:rPr>
            </w:pPr>
            <w:r w:rsidRPr="00F7369B">
              <w:rPr>
                <w:rStyle w:val="Small"/>
                <w:rFonts w:ascii="Arial Narrow" w:hAnsi="Arial Narrow"/>
                <w:b/>
                <w:bCs/>
                <w:sz w:val="20"/>
                <w:szCs w:val="20"/>
              </w:rPr>
              <w:t xml:space="preserve">MET50 </w:t>
            </w:r>
          </w:p>
        </w:tc>
        <w:tc>
          <w:tcPr>
            <w:tcW w:w="1712" w:type="pct"/>
            <w:gridSpan w:val="3"/>
            <w:shd w:val="clear" w:color="auto" w:fill="auto"/>
          </w:tcPr>
          <w:p w:rsidR="00DD7542" w:rsidRPr="00F7369B" w:rsidRDefault="00DD7542" w:rsidP="00DD7542">
            <w:pPr>
              <w:pStyle w:val="TableCentre"/>
              <w:rPr>
                <w:rFonts w:ascii="Arial Narrow" w:hAnsi="Arial Narrow" w:cstheme="minorHAnsi"/>
                <w:b/>
                <w:bCs/>
                <w:sz w:val="20"/>
                <w:szCs w:val="20"/>
              </w:rPr>
            </w:pPr>
            <w:r w:rsidRPr="00F7369B">
              <w:rPr>
                <w:rStyle w:val="Small"/>
                <w:rFonts w:ascii="Arial Narrow" w:hAnsi="Arial Narrow" w:cstheme="minorHAnsi"/>
                <w:b/>
                <w:bCs/>
                <w:sz w:val="20"/>
                <w:szCs w:val="20"/>
              </w:rPr>
              <w:t>MenQuadfi (N=503)</w:t>
            </w:r>
          </w:p>
        </w:tc>
        <w:tc>
          <w:tcPr>
            <w:tcW w:w="1640" w:type="pct"/>
            <w:gridSpan w:val="3"/>
            <w:shd w:val="clear" w:color="auto" w:fill="auto"/>
          </w:tcPr>
          <w:p w:rsidR="00DD7542" w:rsidRPr="00F7369B" w:rsidRDefault="00DD7542" w:rsidP="00DD7542">
            <w:pPr>
              <w:pStyle w:val="TableCentre"/>
              <w:rPr>
                <w:rFonts w:ascii="Arial Narrow" w:hAnsi="Arial Narrow" w:cstheme="minorHAnsi"/>
                <w:b/>
                <w:bCs/>
                <w:sz w:val="20"/>
                <w:szCs w:val="20"/>
              </w:rPr>
            </w:pPr>
            <w:r w:rsidRPr="00F7369B">
              <w:rPr>
                <w:rStyle w:val="Small"/>
                <w:rFonts w:ascii="Arial Narrow" w:hAnsi="Arial Narrow" w:cstheme="minorHAnsi"/>
                <w:b/>
                <w:bCs/>
                <w:sz w:val="20"/>
                <w:szCs w:val="20"/>
              </w:rPr>
              <w:t>Menveo (N=501)</w:t>
            </w:r>
          </w:p>
        </w:tc>
      </w:tr>
      <w:tr w:rsidR="007A5312" w:rsidRPr="00F7369B" w:rsidTr="00B776D2">
        <w:trPr>
          <w:trHeight w:val="198"/>
        </w:trPr>
        <w:tc>
          <w:tcPr>
            <w:tcW w:w="1648" w:type="pct"/>
            <w:shd w:val="clear" w:color="auto" w:fill="auto"/>
          </w:tcPr>
          <w:p w:rsidR="007A5312" w:rsidRPr="00F7369B" w:rsidRDefault="007A5312" w:rsidP="00F7369B">
            <w:pPr>
              <w:pStyle w:val="Table"/>
              <w:rPr>
                <w:rStyle w:val="Small"/>
                <w:rFonts w:ascii="Arial Narrow" w:hAnsi="Arial Narrow"/>
                <w:b/>
                <w:bCs/>
                <w:sz w:val="20"/>
                <w:szCs w:val="20"/>
              </w:rPr>
            </w:pPr>
            <w:r w:rsidRPr="00F7369B">
              <w:rPr>
                <w:rStyle w:val="Small"/>
                <w:rFonts w:ascii="Arial Narrow" w:hAnsi="Arial Narrow"/>
                <w:sz w:val="20"/>
                <w:szCs w:val="20"/>
              </w:rPr>
              <w:t>Subjects experiencing at least one:</w:t>
            </w:r>
          </w:p>
        </w:tc>
        <w:tc>
          <w:tcPr>
            <w:tcW w:w="550" w:type="pct"/>
            <w:shd w:val="clear" w:color="auto" w:fill="auto"/>
          </w:tcPr>
          <w:p w:rsidR="007A5312" w:rsidRPr="00F7369B" w:rsidRDefault="007A5312" w:rsidP="00F7369B">
            <w:pPr>
              <w:pStyle w:val="TableCentre"/>
              <w:rPr>
                <w:rStyle w:val="PageNumber"/>
                <w:rFonts w:ascii="Arial Narrow" w:hAnsi="Arial Narrow" w:cstheme="minorHAnsi"/>
                <w:sz w:val="20"/>
                <w:szCs w:val="20"/>
              </w:rPr>
            </w:pPr>
            <w:r w:rsidRPr="00F7369B">
              <w:rPr>
                <w:rStyle w:val="Small"/>
                <w:rFonts w:ascii="Arial Narrow" w:hAnsi="Arial Narrow" w:cstheme="minorHAnsi"/>
                <w:sz w:val="20"/>
                <w:szCs w:val="20"/>
              </w:rPr>
              <w:t>n/M</w:t>
            </w:r>
          </w:p>
        </w:tc>
        <w:tc>
          <w:tcPr>
            <w:tcW w:w="380" w:type="pct"/>
            <w:shd w:val="clear" w:color="auto" w:fill="auto"/>
          </w:tcPr>
          <w:p w:rsidR="007A5312" w:rsidRPr="00F7369B" w:rsidRDefault="007A5312" w:rsidP="00F7369B">
            <w:pPr>
              <w:pStyle w:val="TableCentre"/>
              <w:rPr>
                <w:rStyle w:val="PageNumber"/>
                <w:rFonts w:ascii="Arial Narrow" w:hAnsi="Arial Narrow" w:cstheme="minorHAnsi"/>
                <w:sz w:val="20"/>
                <w:szCs w:val="20"/>
              </w:rPr>
            </w:pPr>
            <w:r w:rsidRPr="00F7369B">
              <w:rPr>
                <w:rStyle w:val="Small"/>
                <w:rFonts w:ascii="Arial Narrow" w:hAnsi="Arial Narrow" w:cstheme="minorHAnsi"/>
                <w:sz w:val="20"/>
                <w:szCs w:val="20"/>
              </w:rPr>
              <w:t>%</w:t>
            </w:r>
          </w:p>
        </w:tc>
        <w:tc>
          <w:tcPr>
            <w:tcW w:w="782" w:type="pct"/>
            <w:shd w:val="clear" w:color="auto" w:fill="auto"/>
          </w:tcPr>
          <w:p w:rsidR="007A5312" w:rsidRPr="00F7369B" w:rsidRDefault="007A5312" w:rsidP="00F7369B">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(95% CI)</w:t>
            </w:r>
          </w:p>
        </w:tc>
        <w:tc>
          <w:tcPr>
            <w:tcW w:w="568" w:type="pct"/>
            <w:shd w:val="clear" w:color="auto" w:fill="auto"/>
          </w:tcPr>
          <w:p w:rsidR="007A5312" w:rsidRPr="00F7369B" w:rsidRDefault="007A5312" w:rsidP="00F7369B">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n/M</w:t>
            </w:r>
          </w:p>
        </w:tc>
        <w:tc>
          <w:tcPr>
            <w:tcW w:w="370" w:type="pct"/>
            <w:shd w:val="clear" w:color="auto" w:fill="auto"/>
          </w:tcPr>
          <w:p w:rsidR="007A5312" w:rsidRPr="00F7369B" w:rsidRDefault="007A5312" w:rsidP="00F7369B">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w:t>
            </w:r>
          </w:p>
        </w:tc>
        <w:tc>
          <w:tcPr>
            <w:tcW w:w="702" w:type="pct"/>
            <w:shd w:val="clear" w:color="auto" w:fill="auto"/>
          </w:tcPr>
          <w:p w:rsidR="007A5312" w:rsidRPr="00F7369B" w:rsidRDefault="007A5312" w:rsidP="00F7369B">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(95% CI)</w:t>
            </w:r>
          </w:p>
        </w:tc>
      </w:tr>
      <w:tr w:rsidR="00DD7542" w:rsidRPr="00F7369B" w:rsidTr="00680FB4">
        <w:trPr>
          <w:trHeight w:val="198"/>
        </w:trPr>
        <w:tc>
          <w:tcPr>
            <w:tcW w:w="5000" w:type="pct"/>
            <w:gridSpan w:val="7"/>
            <w:shd w:val="clear" w:color="auto" w:fill="auto"/>
          </w:tcPr>
          <w:p w:rsidR="00DD7542" w:rsidRPr="00F7369B" w:rsidRDefault="00DD7542" w:rsidP="00DD7542">
            <w:pPr>
              <w:pStyle w:val="TableCentre"/>
              <w:jc w:val="left"/>
              <w:rPr>
                <w:rFonts w:ascii="Arial Narrow" w:hAnsi="Arial Narrow" w:cstheme="minorHAnsi"/>
                <w:sz w:val="20"/>
                <w:szCs w:val="20"/>
              </w:rPr>
            </w:pPr>
            <w:r w:rsidRPr="00F7369B">
              <w:rPr>
                <w:rStyle w:val="Small"/>
                <w:rFonts w:ascii="Arial Narrow" w:hAnsi="Arial Narrow" w:cstheme="minorHAnsi"/>
                <w:b/>
                <w:bCs/>
                <w:sz w:val="20"/>
                <w:szCs w:val="20"/>
              </w:rPr>
              <w:t>During the study</w:t>
            </w:r>
          </w:p>
        </w:tc>
      </w:tr>
      <w:tr w:rsidR="00DD7542" w:rsidRPr="00F7369B" w:rsidTr="00B776D2">
        <w:trPr>
          <w:trHeight w:val="198"/>
        </w:trPr>
        <w:tc>
          <w:tcPr>
            <w:tcW w:w="1648" w:type="pct"/>
            <w:shd w:val="clear" w:color="auto" w:fill="auto"/>
          </w:tcPr>
          <w:p w:rsidR="00DD7542" w:rsidRPr="00F7369B" w:rsidRDefault="00DD7542" w:rsidP="00DD7542">
            <w:pPr>
              <w:pStyle w:val="Table"/>
              <w:rPr>
                <w:rStyle w:val="Small"/>
                <w:rFonts w:ascii="Arial Narrow" w:hAnsi="Arial Narrow"/>
                <w:sz w:val="20"/>
                <w:szCs w:val="20"/>
              </w:rPr>
            </w:pPr>
            <w:r w:rsidRPr="00F7369B">
              <w:rPr>
                <w:rStyle w:val="Small"/>
                <w:rFonts w:ascii="Arial Narrow" w:hAnsi="Arial Narrow"/>
                <w:sz w:val="20"/>
                <w:szCs w:val="20"/>
              </w:rPr>
              <w:t>SAE</w:t>
            </w:r>
          </w:p>
        </w:tc>
        <w:tc>
          <w:tcPr>
            <w:tcW w:w="550"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4/503</w:t>
            </w:r>
          </w:p>
        </w:tc>
        <w:tc>
          <w:tcPr>
            <w:tcW w:w="380"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Style w:val="Small"/>
                <w:rFonts w:ascii="Arial Narrow" w:hAnsi="Arial Narrow" w:cstheme="minorHAnsi"/>
                <w:sz w:val="20"/>
                <w:szCs w:val="20"/>
              </w:rPr>
              <w:t>0.8</w:t>
            </w:r>
          </w:p>
        </w:tc>
        <w:tc>
          <w:tcPr>
            <w:tcW w:w="782"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Style w:val="Small"/>
                <w:rFonts w:ascii="Arial Narrow" w:hAnsi="Arial Narrow" w:cstheme="minorHAnsi"/>
                <w:sz w:val="20"/>
                <w:szCs w:val="20"/>
              </w:rPr>
              <w:t>(0.2; 2.0)</w:t>
            </w:r>
          </w:p>
        </w:tc>
        <w:tc>
          <w:tcPr>
            <w:tcW w:w="568"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4/501</w:t>
            </w:r>
          </w:p>
        </w:tc>
        <w:tc>
          <w:tcPr>
            <w:tcW w:w="370"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Style w:val="Small"/>
                <w:rFonts w:ascii="Arial Narrow" w:hAnsi="Arial Narrow" w:cstheme="minorHAnsi"/>
                <w:sz w:val="20"/>
                <w:szCs w:val="20"/>
              </w:rPr>
              <w:t>0.8</w:t>
            </w:r>
          </w:p>
        </w:tc>
        <w:tc>
          <w:tcPr>
            <w:tcW w:w="702" w:type="pct"/>
            <w:shd w:val="clear" w:color="auto" w:fill="auto"/>
          </w:tcPr>
          <w:p w:rsidR="00DD7542" w:rsidRPr="00F7369B" w:rsidRDefault="00DD7542" w:rsidP="00DD7542">
            <w:pPr>
              <w:pStyle w:val="TableCentre"/>
              <w:rPr>
                <w:rFonts w:ascii="Arial Narrow" w:hAnsi="Arial Narrow" w:cstheme="minorHAnsi"/>
                <w:sz w:val="20"/>
                <w:szCs w:val="20"/>
              </w:rPr>
            </w:pPr>
            <w:r w:rsidRPr="00F7369B">
              <w:rPr>
                <w:rStyle w:val="Small"/>
                <w:rFonts w:ascii="Arial Narrow" w:hAnsi="Arial Narrow" w:cstheme="minorHAnsi"/>
                <w:sz w:val="20"/>
                <w:szCs w:val="20"/>
              </w:rPr>
              <w:t>(0.2; 2.0)</w:t>
            </w:r>
          </w:p>
        </w:tc>
      </w:tr>
      <w:tr w:rsidR="00DD7542" w:rsidRPr="00F7369B" w:rsidTr="00B776D2">
        <w:trPr>
          <w:trHeight w:val="198"/>
        </w:trPr>
        <w:tc>
          <w:tcPr>
            <w:tcW w:w="1648" w:type="pct"/>
            <w:shd w:val="clear" w:color="auto" w:fill="auto"/>
          </w:tcPr>
          <w:p w:rsidR="00DD7542" w:rsidRPr="00F7369B" w:rsidRDefault="00DD7542" w:rsidP="00DD7542">
            <w:pPr>
              <w:pStyle w:val="Table"/>
              <w:rPr>
                <w:rStyle w:val="PageNumber"/>
                <w:rFonts w:ascii="Arial Narrow" w:hAnsi="Arial Narrow"/>
                <w:sz w:val="20"/>
                <w:szCs w:val="20"/>
              </w:rPr>
            </w:pPr>
            <w:r w:rsidRPr="00F7369B">
              <w:rPr>
                <w:rStyle w:val="Small"/>
                <w:rFonts w:ascii="Arial Narrow" w:hAnsi="Arial Narrow"/>
                <w:sz w:val="20"/>
                <w:szCs w:val="20"/>
              </w:rPr>
              <w:t>Related SAE</w:t>
            </w:r>
          </w:p>
        </w:tc>
        <w:tc>
          <w:tcPr>
            <w:tcW w:w="550" w:type="pct"/>
            <w:shd w:val="clear" w:color="auto" w:fill="auto"/>
          </w:tcPr>
          <w:p w:rsidR="00DD7542" w:rsidRPr="00F7369B" w:rsidRDefault="00DD7542" w:rsidP="00DD7542">
            <w:pPr>
              <w:pStyle w:val="TableCentre"/>
              <w:rPr>
                <w:rStyle w:val="PageNumber"/>
                <w:rFonts w:ascii="Arial Narrow" w:hAnsi="Arial Narrow" w:cstheme="minorHAnsi"/>
                <w:sz w:val="20"/>
                <w:szCs w:val="20"/>
              </w:rPr>
            </w:pPr>
            <w:r w:rsidRPr="00F7369B">
              <w:rPr>
                <w:rStyle w:val="Small"/>
                <w:rFonts w:ascii="Arial Narrow" w:hAnsi="Arial Narrow" w:cstheme="minorHAnsi"/>
                <w:sz w:val="20"/>
                <w:szCs w:val="20"/>
              </w:rPr>
              <w:t>0/503</w:t>
            </w:r>
          </w:p>
        </w:tc>
        <w:tc>
          <w:tcPr>
            <w:tcW w:w="380" w:type="pct"/>
            <w:shd w:val="clear" w:color="auto" w:fill="auto"/>
          </w:tcPr>
          <w:p w:rsidR="00DD7542" w:rsidRPr="00F7369B" w:rsidRDefault="00DD7542" w:rsidP="00DD7542">
            <w:pPr>
              <w:pStyle w:val="TableCentre"/>
              <w:rPr>
                <w:rStyle w:val="PageNumber"/>
                <w:rFonts w:ascii="Arial Narrow" w:hAnsi="Arial Narrow" w:cstheme="minorHAnsi"/>
                <w:sz w:val="20"/>
                <w:szCs w:val="20"/>
              </w:rPr>
            </w:pPr>
            <w:r w:rsidRPr="00F7369B">
              <w:rPr>
                <w:rStyle w:val="Small"/>
                <w:rFonts w:ascii="Arial Narrow" w:hAnsi="Arial Narrow" w:cstheme="minorHAnsi"/>
                <w:sz w:val="20"/>
                <w:szCs w:val="20"/>
              </w:rPr>
              <w:t>0.0</w:t>
            </w:r>
          </w:p>
        </w:tc>
        <w:tc>
          <w:tcPr>
            <w:tcW w:w="782" w:type="pct"/>
            <w:shd w:val="clear" w:color="auto" w:fill="auto"/>
          </w:tcPr>
          <w:p w:rsidR="00DD7542" w:rsidRPr="00F7369B" w:rsidRDefault="00DD7542" w:rsidP="00DD7542">
            <w:pPr>
              <w:pStyle w:val="TableCentre"/>
              <w:rPr>
                <w:rStyle w:val="PageNumber"/>
                <w:rFonts w:ascii="Arial Narrow" w:hAnsi="Arial Narrow" w:cstheme="minorHAnsi"/>
                <w:sz w:val="20"/>
                <w:szCs w:val="20"/>
              </w:rPr>
            </w:pPr>
            <w:r w:rsidRPr="00F7369B">
              <w:rPr>
                <w:rStyle w:val="Small"/>
                <w:rFonts w:ascii="Arial Narrow" w:hAnsi="Arial Narrow" w:cstheme="minorHAnsi"/>
                <w:sz w:val="20"/>
                <w:szCs w:val="20"/>
              </w:rPr>
              <w:t>(0.0; 0.7)</w:t>
            </w:r>
          </w:p>
        </w:tc>
        <w:tc>
          <w:tcPr>
            <w:tcW w:w="568" w:type="pct"/>
            <w:shd w:val="clear" w:color="auto" w:fill="auto"/>
          </w:tcPr>
          <w:p w:rsidR="00DD7542" w:rsidRPr="00F7369B" w:rsidRDefault="00DD7542" w:rsidP="00DD7542">
            <w:pPr>
              <w:pStyle w:val="TableCentre"/>
              <w:rPr>
                <w:rStyle w:val="PageNumber"/>
                <w:rFonts w:ascii="Arial Narrow" w:hAnsi="Arial Narrow" w:cstheme="minorHAnsi"/>
                <w:sz w:val="20"/>
                <w:szCs w:val="20"/>
              </w:rPr>
            </w:pPr>
            <w:r w:rsidRPr="00F7369B">
              <w:rPr>
                <w:rStyle w:val="Small"/>
                <w:rFonts w:ascii="Arial Narrow" w:hAnsi="Arial Narrow" w:cstheme="minorHAnsi"/>
                <w:sz w:val="20"/>
                <w:szCs w:val="20"/>
              </w:rPr>
              <w:t>0/501</w:t>
            </w:r>
          </w:p>
        </w:tc>
        <w:tc>
          <w:tcPr>
            <w:tcW w:w="370" w:type="pct"/>
            <w:shd w:val="clear" w:color="auto" w:fill="auto"/>
          </w:tcPr>
          <w:p w:rsidR="00DD7542" w:rsidRPr="00F7369B" w:rsidRDefault="00DD7542" w:rsidP="00DD7542">
            <w:pPr>
              <w:pStyle w:val="TableCentre"/>
              <w:rPr>
                <w:rStyle w:val="PageNumber"/>
                <w:rFonts w:ascii="Arial Narrow" w:hAnsi="Arial Narrow" w:cstheme="minorHAnsi"/>
                <w:sz w:val="20"/>
                <w:szCs w:val="20"/>
              </w:rPr>
            </w:pPr>
            <w:r w:rsidRPr="00F7369B">
              <w:rPr>
                <w:rStyle w:val="Small"/>
                <w:rFonts w:ascii="Arial Narrow" w:hAnsi="Arial Narrow" w:cstheme="minorHAnsi"/>
                <w:sz w:val="20"/>
                <w:szCs w:val="20"/>
              </w:rPr>
              <w:t>0.0</w:t>
            </w:r>
          </w:p>
        </w:tc>
        <w:tc>
          <w:tcPr>
            <w:tcW w:w="702" w:type="pct"/>
            <w:shd w:val="clear" w:color="auto" w:fill="auto"/>
          </w:tcPr>
          <w:p w:rsidR="00DD7542" w:rsidRPr="00F7369B" w:rsidRDefault="00DD7542" w:rsidP="00DD7542">
            <w:pPr>
              <w:pStyle w:val="TableCentre"/>
              <w:rPr>
                <w:rStyle w:val="PageNumber"/>
                <w:rFonts w:ascii="Arial Narrow" w:hAnsi="Arial Narrow" w:cstheme="minorHAnsi"/>
                <w:sz w:val="20"/>
                <w:szCs w:val="20"/>
              </w:rPr>
            </w:pPr>
            <w:r w:rsidRPr="00F7369B">
              <w:rPr>
                <w:rStyle w:val="Small"/>
                <w:rFonts w:ascii="Arial Narrow" w:hAnsi="Arial Narrow" w:cstheme="minorHAnsi"/>
                <w:sz w:val="20"/>
                <w:szCs w:val="20"/>
              </w:rPr>
              <w:t>(0.0; 0.7)</w:t>
            </w:r>
          </w:p>
        </w:tc>
      </w:tr>
      <w:tr w:rsidR="00DD7542" w:rsidRPr="00F7369B" w:rsidTr="00B776D2">
        <w:trPr>
          <w:trHeight w:val="198"/>
        </w:trPr>
        <w:tc>
          <w:tcPr>
            <w:tcW w:w="1648" w:type="pct"/>
            <w:shd w:val="clear" w:color="auto" w:fill="auto"/>
          </w:tcPr>
          <w:p w:rsidR="00DD7542" w:rsidRPr="00F7369B" w:rsidRDefault="00DD7542" w:rsidP="00DD7542">
            <w:pPr>
              <w:pStyle w:val="Table"/>
              <w:rPr>
                <w:rStyle w:val="PageNumber"/>
                <w:rFonts w:ascii="Arial Narrow" w:hAnsi="Arial Narrow"/>
                <w:sz w:val="20"/>
                <w:szCs w:val="20"/>
              </w:rPr>
            </w:pPr>
            <w:r w:rsidRPr="00F7369B">
              <w:rPr>
                <w:rStyle w:val="Small"/>
                <w:rFonts w:ascii="Arial Narrow" w:hAnsi="Arial Narrow"/>
                <w:sz w:val="20"/>
                <w:szCs w:val="20"/>
              </w:rPr>
              <w:t>Death</w:t>
            </w:r>
          </w:p>
        </w:tc>
        <w:tc>
          <w:tcPr>
            <w:tcW w:w="550" w:type="pct"/>
            <w:shd w:val="clear" w:color="auto" w:fill="auto"/>
          </w:tcPr>
          <w:p w:rsidR="00DD7542" w:rsidRPr="00F7369B" w:rsidRDefault="00DD7542" w:rsidP="00DD7542">
            <w:pPr>
              <w:pStyle w:val="TableCentre"/>
              <w:rPr>
                <w:rStyle w:val="PageNumber"/>
                <w:rFonts w:ascii="Arial Narrow" w:hAnsi="Arial Narrow" w:cstheme="minorHAnsi"/>
                <w:sz w:val="20"/>
                <w:szCs w:val="20"/>
              </w:rPr>
            </w:pPr>
            <w:r w:rsidRPr="00F7369B">
              <w:rPr>
                <w:rStyle w:val="Small"/>
                <w:rFonts w:ascii="Arial Narrow" w:hAnsi="Arial Narrow" w:cstheme="minorHAnsi"/>
                <w:sz w:val="20"/>
                <w:szCs w:val="20"/>
              </w:rPr>
              <w:t>0/503</w:t>
            </w:r>
          </w:p>
        </w:tc>
        <w:tc>
          <w:tcPr>
            <w:tcW w:w="380" w:type="pct"/>
            <w:shd w:val="clear" w:color="auto" w:fill="auto"/>
          </w:tcPr>
          <w:p w:rsidR="00DD7542" w:rsidRPr="00F7369B" w:rsidRDefault="00DD7542" w:rsidP="00DD7542">
            <w:pPr>
              <w:pStyle w:val="TableCentre"/>
              <w:rPr>
                <w:rStyle w:val="PageNumber"/>
                <w:rFonts w:ascii="Arial Narrow" w:hAnsi="Arial Narrow" w:cstheme="minorHAnsi"/>
                <w:sz w:val="20"/>
                <w:szCs w:val="20"/>
              </w:rPr>
            </w:pPr>
            <w:r w:rsidRPr="00F7369B">
              <w:rPr>
                <w:rStyle w:val="Small"/>
                <w:rFonts w:ascii="Arial Narrow" w:hAnsi="Arial Narrow" w:cstheme="minorHAnsi"/>
                <w:sz w:val="20"/>
                <w:szCs w:val="20"/>
              </w:rPr>
              <w:t>0.0</w:t>
            </w:r>
          </w:p>
        </w:tc>
        <w:tc>
          <w:tcPr>
            <w:tcW w:w="782" w:type="pct"/>
            <w:shd w:val="clear" w:color="auto" w:fill="auto"/>
          </w:tcPr>
          <w:p w:rsidR="00DD7542" w:rsidRPr="00F7369B" w:rsidRDefault="00DD7542" w:rsidP="00DD7542">
            <w:pPr>
              <w:pStyle w:val="TableCentre"/>
              <w:rPr>
                <w:rStyle w:val="PageNumber"/>
                <w:rFonts w:ascii="Arial Narrow" w:hAnsi="Arial Narrow" w:cstheme="minorHAnsi"/>
                <w:sz w:val="20"/>
                <w:szCs w:val="20"/>
              </w:rPr>
            </w:pPr>
            <w:r w:rsidRPr="00F7369B">
              <w:rPr>
                <w:rStyle w:val="Small"/>
                <w:rFonts w:ascii="Arial Narrow" w:hAnsi="Arial Narrow" w:cstheme="minorHAnsi"/>
                <w:sz w:val="20"/>
                <w:szCs w:val="20"/>
              </w:rPr>
              <w:t>(0.0; 0.7)</w:t>
            </w:r>
          </w:p>
        </w:tc>
        <w:tc>
          <w:tcPr>
            <w:tcW w:w="568" w:type="pct"/>
            <w:shd w:val="clear" w:color="auto" w:fill="auto"/>
          </w:tcPr>
          <w:p w:rsidR="00DD7542" w:rsidRPr="00F7369B" w:rsidRDefault="00DD7542" w:rsidP="00DD7542">
            <w:pPr>
              <w:pStyle w:val="TableCentre"/>
              <w:rPr>
                <w:rStyle w:val="PageNumber"/>
                <w:rFonts w:ascii="Arial Narrow" w:hAnsi="Arial Narrow" w:cstheme="minorHAnsi"/>
                <w:sz w:val="20"/>
                <w:szCs w:val="20"/>
              </w:rPr>
            </w:pPr>
            <w:r w:rsidRPr="00F7369B">
              <w:rPr>
                <w:rStyle w:val="Small"/>
                <w:rFonts w:ascii="Arial Narrow" w:hAnsi="Arial Narrow" w:cstheme="minorHAnsi"/>
                <w:sz w:val="20"/>
                <w:szCs w:val="20"/>
              </w:rPr>
              <w:t>0/501</w:t>
            </w:r>
          </w:p>
        </w:tc>
        <w:tc>
          <w:tcPr>
            <w:tcW w:w="370" w:type="pct"/>
            <w:shd w:val="clear" w:color="auto" w:fill="auto"/>
          </w:tcPr>
          <w:p w:rsidR="00DD7542" w:rsidRPr="00F7369B" w:rsidRDefault="00DD7542" w:rsidP="00DD7542">
            <w:pPr>
              <w:pStyle w:val="TableCentre"/>
              <w:rPr>
                <w:rStyle w:val="PageNumber"/>
                <w:rFonts w:ascii="Arial Narrow" w:hAnsi="Arial Narrow" w:cstheme="minorHAnsi"/>
                <w:sz w:val="20"/>
                <w:szCs w:val="20"/>
              </w:rPr>
            </w:pPr>
            <w:r w:rsidRPr="00F7369B">
              <w:rPr>
                <w:rStyle w:val="Small"/>
                <w:rFonts w:ascii="Arial Narrow" w:hAnsi="Arial Narrow" w:cstheme="minorHAnsi"/>
                <w:sz w:val="20"/>
                <w:szCs w:val="20"/>
              </w:rPr>
              <w:t>0.0</w:t>
            </w:r>
          </w:p>
        </w:tc>
        <w:tc>
          <w:tcPr>
            <w:tcW w:w="702" w:type="pct"/>
            <w:shd w:val="clear" w:color="auto" w:fill="auto"/>
          </w:tcPr>
          <w:p w:rsidR="00DD7542" w:rsidRPr="00F7369B" w:rsidRDefault="00DD7542" w:rsidP="00DD7542">
            <w:pPr>
              <w:pStyle w:val="TableCentre"/>
              <w:rPr>
                <w:rStyle w:val="PageNumber"/>
                <w:rFonts w:ascii="Arial Narrow" w:hAnsi="Arial Narrow" w:cstheme="minorHAnsi"/>
                <w:sz w:val="20"/>
                <w:szCs w:val="20"/>
              </w:rPr>
            </w:pPr>
            <w:r w:rsidRPr="00F7369B">
              <w:rPr>
                <w:rStyle w:val="Small"/>
                <w:rFonts w:ascii="Arial Narrow" w:hAnsi="Arial Narrow" w:cstheme="minorHAnsi"/>
                <w:sz w:val="20"/>
                <w:szCs w:val="20"/>
              </w:rPr>
              <w:t>(0.0; 0.7)</w:t>
            </w:r>
          </w:p>
        </w:tc>
      </w:tr>
      <w:tr w:rsidR="00DD7542" w:rsidRPr="00F7369B" w:rsidTr="00680FB4">
        <w:trPr>
          <w:trHeight w:val="198"/>
        </w:trPr>
        <w:tc>
          <w:tcPr>
            <w:tcW w:w="5000" w:type="pct"/>
            <w:gridSpan w:val="7"/>
            <w:shd w:val="clear" w:color="auto" w:fill="auto"/>
          </w:tcPr>
          <w:p w:rsidR="00DD7542" w:rsidRPr="00F7369B" w:rsidRDefault="00DD7542" w:rsidP="00DD7542">
            <w:pPr>
              <w:pStyle w:val="TableCentre"/>
              <w:jc w:val="left"/>
              <w:rPr>
                <w:rStyle w:val="Small"/>
                <w:rFonts w:ascii="Arial Narrow" w:hAnsi="Arial Narrow" w:cstheme="minorHAnsi"/>
                <w:sz w:val="20"/>
                <w:szCs w:val="20"/>
              </w:rPr>
            </w:pPr>
            <w:r w:rsidRPr="00F7369B">
              <w:rPr>
                <w:rStyle w:val="Small"/>
                <w:rFonts w:ascii="Arial Narrow" w:hAnsi="Arial Narrow" w:cstheme="minorHAnsi"/>
                <w:b/>
                <w:bCs/>
                <w:sz w:val="20"/>
                <w:szCs w:val="20"/>
              </w:rPr>
              <w:t>Within 30 days after visit 1 injections</w:t>
            </w:r>
          </w:p>
        </w:tc>
      </w:tr>
      <w:tr w:rsidR="00DD7542" w:rsidRPr="00F7369B" w:rsidTr="00B776D2">
        <w:trPr>
          <w:trHeight w:val="198"/>
        </w:trPr>
        <w:tc>
          <w:tcPr>
            <w:tcW w:w="1648" w:type="pct"/>
            <w:shd w:val="clear" w:color="auto" w:fill="auto"/>
          </w:tcPr>
          <w:p w:rsidR="00DD7542" w:rsidRPr="00F7369B" w:rsidRDefault="00DD7542" w:rsidP="00DD7542">
            <w:pPr>
              <w:pStyle w:val="Table"/>
              <w:rPr>
                <w:rStyle w:val="Small"/>
                <w:rFonts w:ascii="Arial Narrow" w:hAnsi="Arial Narrow"/>
                <w:sz w:val="20"/>
                <w:szCs w:val="20"/>
              </w:rPr>
            </w:pPr>
            <w:r w:rsidRPr="00F7369B">
              <w:rPr>
                <w:rStyle w:val="Small"/>
                <w:rFonts w:ascii="Arial Narrow" w:hAnsi="Arial Narrow"/>
                <w:sz w:val="20"/>
                <w:szCs w:val="20"/>
              </w:rPr>
              <w:t>SAE</w:t>
            </w:r>
          </w:p>
        </w:tc>
        <w:tc>
          <w:tcPr>
            <w:tcW w:w="550"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2/503</w:t>
            </w:r>
          </w:p>
        </w:tc>
        <w:tc>
          <w:tcPr>
            <w:tcW w:w="380"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0.4</w:t>
            </w:r>
          </w:p>
        </w:tc>
        <w:tc>
          <w:tcPr>
            <w:tcW w:w="782"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(0.0; 1.4)</w:t>
            </w:r>
          </w:p>
        </w:tc>
        <w:tc>
          <w:tcPr>
            <w:tcW w:w="568"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1/501</w:t>
            </w:r>
          </w:p>
        </w:tc>
        <w:tc>
          <w:tcPr>
            <w:tcW w:w="370"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0.2</w:t>
            </w:r>
          </w:p>
        </w:tc>
        <w:tc>
          <w:tcPr>
            <w:tcW w:w="702"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(0.0; 1.1)</w:t>
            </w:r>
          </w:p>
        </w:tc>
      </w:tr>
      <w:tr w:rsidR="00DD7542" w:rsidRPr="00F7369B" w:rsidTr="00B776D2">
        <w:trPr>
          <w:trHeight w:val="198"/>
        </w:trPr>
        <w:tc>
          <w:tcPr>
            <w:tcW w:w="1648" w:type="pct"/>
            <w:shd w:val="clear" w:color="auto" w:fill="auto"/>
          </w:tcPr>
          <w:p w:rsidR="00DD7542" w:rsidRPr="00F7369B" w:rsidRDefault="00DD7542" w:rsidP="00DD7542">
            <w:pPr>
              <w:pStyle w:val="Table"/>
              <w:rPr>
                <w:rStyle w:val="Small"/>
                <w:rFonts w:ascii="Arial Narrow" w:hAnsi="Arial Narrow"/>
                <w:sz w:val="20"/>
                <w:szCs w:val="20"/>
              </w:rPr>
            </w:pPr>
            <w:r w:rsidRPr="00F7369B">
              <w:rPr>
                <w:rStyle w:val="Small"/>
                <w:rFonts w:ascii="Arial Narrow" w:hAnsi="Arial Narrow"/>
                <w:sz w:val="20"/>
                <w:szCs w:val="20"/>
              </w:rPr>
              <w:t>Related SAE</w:t>
            </w:r>
          </w:p>
        </w:tc>
        <w:tc>
          <w:tcPr>
            <w:tcW w:w="550"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0/503</w:t>
            </w:r>
          </w:p>
        </w:tc>
        <w:tc>
          <w:tcPr>
            <w:tcW w:w="380"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0.0</w:t>
            </w:r>
          </w:p>
        </w:tc>
        <w:tc>
          <w:tcPr>
            <w:tcW w:w="782"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(0.0; 0.7)</w:t>
            </w:r>
          </w:p>
        </w:tc>
        <w:tc>
          <w:tcPr>
            <w:tcW w:w="568"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0/501</w:t>
            </w:r>
          </w:p>
        </w:tc>
        <w:tc>
          <w:tcPr>
            <w:tcW w:w="370"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0.0</w:t>
            </w:r>
          </w:p>
        </w:tc>
        <w:tc>
          <w:tcPr>
            <w:tcW w:w="702"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(0.0; 0.7)</w:t>
            </w:r>
          </w:p>
        </w:tc>
      </w:tr>
      <w:tr w:rsidR="00DD7542" w:rsidRPr="00F7369B" w:rsidTr="00B776D2">
        <w:trPr>
          <w:trHeight w:val="198"/>
        </w:trPr>
        <w:tc>
          <w:tcPr>
            <w:tcW w:w="1648" w:type="pct"/>
            <w:shd w:val="clear" w:color="auto" w:fill="auto"/>
          </w:tcPr>
          <w:p w:rsidR="00DD7542" w:rsidRPr="00F7369B" w:rsidRDefault="00DD7542" w:rsidP="00DD7542">
            <w:pPr>
              <w:pStyle w:val="Table"/>
              <w:rPr>
                <w:rStyle w:val="Small"/>
                <w:rFonts w:ascii="Arial Narrow" w:hAnsi="Arial Narrow"/>
                <w:sz w:val="20"/>
                <w:szCs w:val="20"/>
              </w:rPr>
            </w:pPr>
            <w:r w:rsidRPr="00F7369B">
              <w:rPr>
                <w:rStyle w:val="Small"/>
                <w:rFonts w:ascii="Arial Narrow" w:hAnsi="Arial Narrow"/>
                <w:sz w:val="20"/>
                <w:szCs w:val="20"/>
              </w:rPr>
              <w:t>Solicited reaction</w:t>
            </w:r>
          </w:p>
        </w:tc>
        <w:tc>
          <w:tcPr>
            <w:tcW w:w="550" w:type="pct"/>
            <w:shd w:val="clear" w:color="auto" w:fill="auto"/>
          </w:tcPr>
          <w:p w:rsidR="00DD7542" w:rsidRPr="00F7369B" w:rsidRDefault="00DD7542" w:rsidP="00DD7542">
            <w:pPr>
              <w:pStyle w:val="TableCentre"/>
              <w:rPr>
                <w:rStyle w:val="Small"/>
                <w:rFonts w:ascii="Arial Narrow" w:eastAsiaTheme="minorHAnsi" w:hAnsi="Arial Narrow" w:cstheme="minorHAnsi"/>
                <w:sz w:val="20"/>
                <w:szCs w:val="20"/>
                <w:lang w:bidi="ar-SA"/>
              </w:rPr>
            </w:pPr>
            <w:r w:rsidRPr="00F7369B">
              <w:rPr>
                <w:rStyle w:val="Small"/>
                <w:rFonts w:ascii="Arial Narrow" w:eastAsiaTheme="minorHAnsi" w:hAnsi="Arial Narrow" w:cstheme="minorHAnsi"/>
                <w:sz w:val="20"/>
                <w:szCs w:val="20"/>
                <w:lang w:bidi="ar-SA"/>
              </w:rPr>
              <w:t>315/496</w:t>
            </w:r>
          </w:p>
        </w:tc>
        <w:tc>
          <w:tcPr>
            <w:tcW w:w="380" w:type="pct"/>
            <w:shd w:val="clear" w:color="auto" w:fill="auto"/>
          </w:tcPr>
          <w:p w:rsidR="00DD7542" w:rsidRPr="00F7369B" w:rsidRDefault="00DD7542" w:rsidP="00DD7542">
            <w:pPr>
              <w:pStyle w:val="TableCentre"/>
              <w:rPr>
                <w:rStyle w:val="Small"/>
                <w:rFonts w:ascii="Arial Narrow" w:eastAsiaTheme="minorHAnsi" w:hAnsi="Arial Narrow" w:cstheme="minorHAnsi"/>
                <w:sz w:val="20"/>
                <w:szCs w:val="20"/>
                <w:lang w:bidi="ar-SA"/>
              </w:rPr>
            </w:pPr>
            <w:r w:rsidRPr="00F7369B">
              <w:rPr>
                <w:rStyle w:val="Small"/>
                <w:rFonts w:ascii="Arial Narrow" w:eastAsiaTheme="minorHAnsi" w:hAnsi="Arial Narrow" w:cstheme="minorHAnsi"/>
                <w:sz w:val="20"/>
                <w:szCs w:val="20"/>
                <w:lang w:bidi="ar-SA"/>
              </w:rPr>
              <w:t>63.5</w:t>
            </w:r>
          </w:p>
        </w:tc>
        <w:tc>
          <w:tcPr>
            <w:tcW w:w="782" w:type="pct"/>
            <w:shd w:val="clear" w:color="auto" w:fill="auto"/>
          </w:tcPr>
          <w:p w:rsidR="00DD7542" w:rsidRPr="00F7369B" w:rsidRDefault="00DD7542" w:rsidP="00DD7542">
            <w:pPr>
              <w:pStyle w:val="TableCentre"/>
              <w:rPr>
                <w:rStyle w:val="Small"/>
                <w:rFonts w:ascii="Arial Narrow" w:eastAsiaTheme="minorHAnsi" w:hAnsi="Arial Narrow" w:cstheme="minorHAnsi"/>
                <w:sz w:val="20"/>
                <w:szCs w:val="20"/>
                <w:lang w:bidi="ar-SA"/>
              </w:rPr>
            </w:pPr>
            <w:r w:rsidRPr="00F7369B">
              <w:rPr>
                <w:rStyle w:val="Small"/>
                <w:rFonts w:ascii="Arial Narrow" w:eastAsiaTheme="minorHAnsi" w:hAnsi="Arial Narrow" w:cstheme="minorHAnsi"/>
                <w:sz w:val="20"/>
                <w:szCs w:val="20"/>
                <w:lang w:bidi="ar-SA"/>
              </w:rPr>
              <w:t>(59.1; 67.8)</w:t>
            </w:r>
          </w:p>
        </w:tc>
        <w:tc>
          <w:tcPr>
            <w:tcW w:w="568" w:type="pct"/>
            <w:shd w:val="clear" w:color="auto" w:fill="auto"/>
          </w:tcPr>
          <w:p w:rsidR="00DD7542" w:rsidRPr="00F7369B" w:rsidRDefault="00DD7542" w:rsidP="00DD7542">
            <w:pPr>
              <w:pStyle w:val="TableCentre"/>
              <w:rPr>
                <w:rStyle w:val="Small"/>
                <w:rFonts w:ascii="Arial Narrow" w:eastAsiaTheme="minorHAnsi" w:hAnsi="Arial Narrow" w:cstheme="minorHAnsi"/>
                <w:sz w:val="20"/>
                <w:szCs w:val="20"/>
                <w:lang w:bidi="ar-SA"/>
              </w:rPr>
            </w:pPr>
            <w:r w:rsidRPr="00F7369B">
              <w:rPr>
                <w:rStyle w:val="Small"/>
                <w:rFonts w:ascii="Arial Narrow" w:eastAsiaTheme="minorHAnsi" w:hAnsi="Arial Narrow" w:cstheme="minorHAnsi"/>
                <w:sz w:val="20"/>
                <w:szCs w:val="20"/>
                <w:lang w:bidi="ar-SA"/>
              </w:rPr>
              <w:t>316/492</w:t>
            </w:r>
          </w:p>
        </w:tc>
        <w:tc>
          <w:tcPr>
            <w:tcW w:w="370" w:type="pct"/>
            <w:shd w:val="clear" w:color="auto" w:fill="auto"/>
          </w:tcPr>
          <w:p w:rsidR="00DD7542" w:rsidRPr="00F7369B" w:rsidRDefault="00DD7542" w:rsidP="00DD7542">
            <w:pPr>
              <w:pStyle w:val="TableCentre"/>
              <w:rPr>
                <w:rStyle w:val="Small"/>
                <w:rFonts w:ascii="Arial Narrow" w:eastAsiaTheme="minorHAnsi" w:hAnsi="Arial Narrow" w:cstheme="minorHAnsi"/>
                <w:sz w:val="20"/>
                <w:szCs w:val="20"/>
                <w:lang w:bidi="ar-SA"/>
              </w:rPr>
            </w:pPr>
            <w:r w:rsidRPr="00F7369B">
              <w:rPr>
                <w:rStyle w:val="Small"/>
                <w:rFonts w:ascii="Arial Narrow" w:eastAsiaTheme="minorHAnsi" w:hAnsi="Arial Narrow" w:cstheme="minorHAnsi"/>
                <w:sz w:val="20"/>
                <w:szCs w:val="20"/>
                <w:lang w:bidi="ar-SA"/>
              </w:rPr>
              <w:t>64.2</w:t>
            </w:r>
          </w:p>
        </w:tc>
        <w:tc>
          <w:tcPr>
            <w:tcW w:w="702" w:type="pct"/>
            <w:shd w:val="clear" w:color="auto" w:fill="auto"/>
          </w:tcPr>
          <w:p w:rsidR="00DD7542" w:rsidRPr="00F7369B" w:rsidRDefault="00DD7542" w:rsidP="00DD7542">
            <w:pPr>
              <w:pStyle w:val="TableCentre"/>
              <w:rPr>
                <w:rStyle w:val="Small"/>
                <w:rFonts w:ascii="Arial Narrow" w:eastAsiaTheme="minorHAnsi" w:hAnsi="Arial Narrow" w:cstheme="minorHAnsi"/>
                <w:sz w:val="20"/>
                <w:szCs w:val="20"/>
                <w:lang w:bidi="ar-SA"/>
              </w:rPr>
            </w:pPr>
            <w:r w:rsidRPr="00F7369B">
              <w:rPr>
                <w:rStyle w:val="Small"/>
                <w:rFonts w:ascii="Arial Narrow" w:eastAsiaTheme="minorHAnsi" w:hAnsi="Arial Narrow" w:cstheme="minorHAnsi"/>
                <w:sz w:val="20"/>
                <w:szCs w:val="20"/>
                <w:lang w:bidi="ar-SA"/>
              </w:rPr>
              <w:t>(59.8; 68.5)</w:t>
            </w:r>
          </w:p>
        </w:tc>
      </w:tr>
      <w:tr w:rsidR="00DD7542" w:rsidRPr="00F7369B" w:rsidTr="00B776D2">
        <w:trPr>
          <w:trHeight w:val="198"/>
        </w:trPr>
        <w:tc>
          <w:tcPr>
            <w:tcW w:w="1648" w:type="pct"/>
            <w:shd w:val="clear" w:color="auto" w:fill="auto"/>
          </w:tcPr>
          <w:p w:rsidR="00DD7542" w:rsidRPr="00F7369B" w:rsidRDefault="00DD7542" w:rsidP="00DD7542">
            <w:pPr>
              <w:pStyle w:val="Table"/>
              <w:rPr>
                <w:rStyle w:val="Small"/>
                <w:rFonts w:ascii="Arial Narrow" w:hAnsi="Arial Narrow"/>
                <w:sz w:val="20"/>
                <w:szCs w:val="20"/>
              </w:rPr>
            </w:pPr>
            <w:r w:rsidRPr="00F7369B">
              <w:rPr>
                <w:rStyle w:val="Small"/>
                <w:rFonts w:ascii="Arial Narrow" w:hAnsi="Arial Narrow"/>
                <w:sz w:val="20"/>
                <w:szCs w:val="20"/>
              </w:rPr>
              <w:t>Death</w:t>
            </w:r>
          </w:p>
        </w:tc>
        <w:tc>
          <w:tcPr>
            <w:tcW w:w="550"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0/503</w:t>
            </w:r>
          </w:p>
        </w:tc>
        <w:tc>
          <w:tcPr>
            <w:tcW w:w="380"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0.0</w:t>
            </w:r>
          </w:p>
        </w:tc>
        <w:tc>
          <w:tcPr>
            <w:tcW w:w="782"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(0.0; 0.7)</w:t>
            </w:r>
          </w:p>
        </w:tc>
        <w:tc>
          <w:tcPr>
            <w:tcW w:w="568"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0/501</w:t>
            </w:r>
          </w:p>
        </w:tc>
        <w:tc>
          <w:tcPr>
            <w:tcW w:w="370"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0.0</w:t>
            </w:r>
          </w:p>
        </w:tc>
        <w:tc>
          <w:tcPr>
            <w:tcW w:w="702" w:type="pct"/>
            <w:shd w:val="clear" w:color="auto" w:fill="auto"/>
          </w:tcPr>
          <w:p w:rsidR="00DD7542" w:rsidRPr="00F7369B" w:rsidRDefault="00DD7542" w:rsidP="00DD7542">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(0.0; 0.7)</w:t>
            </w:r>
          </w:p>
        </w:tc>
      </w:tr>
    </w:tbl>
    <w:p w:rsidR="007A5312" w:rsidRPr="00F7369B" w:rsidRDefault="00DD7542" w:rsidP="007A5312">
      <w:pPr>
        <w:rPr>
          <w:rFonts w:ascii="Arial Narrow" w:hAnsi="Arial Narrow" w:cstheme="minorHAnsi"/>
          <w:sz w:val="18"/>
          <w:szCs w:val="18"/>
        </w:rPr>
      </w:pPr>
      <w:r w:rsidRPr="00F7369B">
        <w:rPr>
          <w:rFonts w:ascii="Arial Narrow" w:hAnsi="Arial Narrow" w:cstheme="minorHAnsi"/>
          <w:sz w:val="18"/>
          <w:szCs w:val="18"/>
        </w:rPr>
        <w:t>AE: adverse event; AR: adverse reaction; SAE: serious adverse event</w:t>
      </w:r>
      <w:r w:rsidR="007A5312" w:rsidRPr="00F7369B">
        <w:rPr>
          <w:rFonts w:ascii="Arial Narrow" w:hAnsi="Arial Narrow" w:cstheme="minorHAnsi"/>
          <w:sz w:val="18"/>
          <w:szCs w:val="18"/>
        </w:rPr>
        <w:t>1.</w:t>
      </w:r>
    </w:p>
    <w:p w:rsidR="00DD7542" w:rsidRPr="00F7369B" w:rsidRDefault="007A5312" w:rsidP="007A5312">
      <w:pPr>
        <w:rPr>
          <w:rFonts w:ascii="Arial Narrow" w:hAnsi="Arial Narrow" w:cstheme="minorHAnsi"/>
          <w:sz w:val="18"/>
          <w:szCs w:val="18"/>
        </w:rPr>
      </w:pPr>
      <w:r w:rsidRPr="00F7369B">
        <w:rPr>
          <w:rFonts w:ascii="Arial Narrow" w:hAnsi="Arial Narrow" w:cstheme="minorHAnsi"/>
          <w:sz w:val="18"/>
          <w:szCs w:val="18"/>
        </w:rPr>
        <w:t>n=number of subjects experiencing the endpoint listed in the first column M=number of subjects with available data for the relevant endpoint. N=number of subjects in the safety analysis. Percentages are based on M.</w:t>
      </w:r>
    </w:p>
    <w:p w:rsidR="00DD7542" w:rsidRPr="00F7369B" w:rsidRDefault="00DD7542" w:rsidP="00DD7542">
      <w:pPr>
        <w:rPr>
          <w:rFonts w:ascii="Arial Narrow" w:hAnsi="Arial Narrow" w:cstheme="minorHAnsi"/>
          <w:sz w:val="18"/>
          <w:szCs w:val="18"/>
        </w:rPr>
      </w:pPr>
      <w:r w:rsidRPr="00F7369B">
        <w:rPr>
          <w:rFonts w:ascii="Arial Narrow" w:hAnsi="Arial Narrow" w:cstheme="minorHAnsi"/>
          <w:sz w:val="18"/>
          <w:szCs w:val="18"/>
        </w:rPr>
        <w:t>Source: Table 2.39, p49 of the submission; Table 2.40, p50 of the submission; Table 2.41, p51 of the submission.</w:t>
      </w:r>
    </w:p>
    <w:p w:rsidR="00DD7542" w:rsidRPr="00F7369B" w:rsidRDefault="00DD7542" w:rsidP="00DD7542">
      <w:pPr>
        <w:rPr>
          <w:rFonts w:asciiTheme="minorHAnsi" w:hAnsiTheme="minorHAnsi" w:cstheme="minorHAnsi"/>
          <w:sz w:val="18"/>
          <w:szCs w:val="18"/>
        </w:rPr>
      </w:pPr>
    </w:p>
    <w:p w:rsidR="00D07340" w:rsidRPr="00F7369B" w:rsidRDefault="00D07340" w:rsidP="00D07340">
      <w:pPr>
        <w:pStyle w:val="4-SubsectionHeading"/>
        <w:rPr>
          <w:rFonts w:cstheme="minorHAnsi"/>
        </w:rPr>
      </w:pPr>
      <w:bookmarkStart w:id="19" w:name="_Toc22897644"/>
      <w:bookmarkStart w:id="20" w:name="_Toc51066740"/>
      <w:bookmarkStart w:id="21" w:name="_Hlk48556858"/>
      <w:r w:rsidRPr="00F7369B">
        <w:rPr>
          <w:rFonts w:cstheme="minorHAnsi"/>
        </w:rPr>
        <w:t>Clinical claim</w:t>
      </w:r>
      <w:bookmarkEnd w:id="19"/>
      <w:bookmarkEnd w:id="20"/>
    </w:p>
    <w:p w:rsidR="00740E14" w:rsidRPr="00F7369B" w:rsidRDefault="00740E14" w:rsidP="00D07340">
      <w:pPr>
        <w:pStyle w:val="3-BodyText"/>
        <w:rPr>
          <w:rFonts w:eastAsia="Calibri" w:cstheme="minorHAnsi"/>
        </w:rPr>
      </w:pPr>
      <w:r w:rsidRPr="00F7369B">
        <w:rPr>
          <w:rFonts w:eastAsia="Calibri" w:cstheme="minorHAnsi"/>
        </w:rPr>
        <w:t>The submission described MenQuadfi as non-inferior in terms of effectiveness and safety compared with Nimenrix in</w:t>
      </w:r>
      <w:r w:rsidR="00B23CD3" w:rsidRPr="00F7369B">
        <w:rPr>
          <w:rFonts w:eastAsia="Calibri" w:cstheme="minorHAnsi"/>
        </w:rPr>
        <w:t xml:space="preserve"> </w:t>
      </w:r>
      <w:r w:rsidR="000F4BC1" w:rsidRPr="00F7369B">
        <w:rPr>
          <w:rFonts w:eastAsia="Calibri" w:cstheme="minorHAnsi"/>
        </w:rPr>
        <w:t>children</w:t>
      </w:r>
      <w:r w:rsidRPr="00F7369B">
        <w:rPr>
          <w:rFonts w:eastAsia="Calibri" w:cstheme="minorHAnsi"/>
        </w:rPr>
        <w:t xml:space="preserve"> aged approximately 12 months and </w:t>
      </w:r>
      <w:r w:rsidR="00813726" w:rsidRPr="00F7369B">
        <w:rPr>
          <w:rFonts w:eastAsia="Calibri" w:cstheme="minorHAnsi"/>
        </w:rPr>
        <w:t xml:space="preserve">in </w:t>
      </w:r>
      <w:r w:rsidRPr="00F7369B">
        <w:rPr>
          <w:rFonts w:eastAsia="Calibri" w:cstheme="minorHAnsi"/>
        </w:rPr>
        <w:t>adolescents aged 14</w:t>
      </w:r>
      <w:r w:rsidR="004E43BE" w:rsidRPr="00F7369B">
        <w:rPr>
          <w:rFonts w:eastAsia="Calibri" w:cstheme="minorHAnsi"/>
        </w:rPr>
        <w:t>-</w:t>
      </w:r>
      <w:r w:rsidRPr="00F7369B">
        <w:rPr>
          <w:rFonts w:eastAsia="Calibri" w:cstheme="minorHAnsi"/>
        </w:rPr>
        <w:t>1</w:t>
      </w:r>
      <w:r w:rsidR="004E43BE" w:rsidRPr="00F7369B">
        <w:rPr>
          <w:rFonts w:eastAsia="Calibri" w:cstheme="minorHAnsi"/>
        </w:rPr>
        <w:t>9</w:t>
      </w:r>
      <w:r w:rsidRPr="00F7369B">
        <w:rPr>
          <w:rFonts w:eastAsia="Calibri" w:cstheme="minorHAnsi"/>
        </w:rPr>
        <w:t xml:space="preserve"> years.</w:t>
      </w:r>
    </w:p>
    <w:p w:rsidR="00250B02" w:rsidRPr="00F7369B" w:rsidRDefault="00250B02" w:rsidP="00250B02">
      <w:pPr>
        <w:pStyle w:val="3-BodyText"/>
        <w:rPr>
          <w:rFonts w:eastAsia="Calibri" w:cstheme="minorHAnsi"/>
        </w:rPr>
      </w:pPr>
      <w:r w:rsidRPr="00F7369B">
        <w:rPr>
          <w:rFonts w:eastAsia="Calibri" w:cstheme="minorHAnsi"/>
        </w:rPr>
        <w:t xml:space="preserve">The submission stated that ‘while there are no reliable data available regarding the comparative effectiveness and safety of the ATAGI-recommended 2 x primary </w:t>
      </w:r>
      <w:r w:rsidR="008578DE" w:rsidRPr="00F7369B">
        <w:rPr>
          <w:rFonts w:eastAsia="Calibri" w:cstheme="minorHAnsi"/>
        </w:rPr>
        <w:t>plus</w:t>
      </w:r>
      <w:r w:rsidRPr="00F7369B">
        <w:rPr>
          <w:rFonts w:eastAsia="Calibri" w:cstheme="minorHAnsi"/>
        </w:rPr>
        <w:t xml:space="preserve"> booster dose regimens of MenQuadfi and Nimenrix among the target populations of medically </w:t>
      </w:r>
      <w:r w:rsidR="004330E0" w:rsidRPr="00F7369B">
        <w:rPr>
          <w:rFonts w:eastAsia="Calibri" w:cstheme="minorHAnsi"/>
        </w:rPr>
        <w:t>at-risk</w:t>
      </w:r>
      <w:r w:rsidRPr="00F7369B">
        <w:rPr>
          <w:rFonts w:eastAsia="Calibri" w:cstheme="minorHAnsi"/>
        </w:rPr>
        <w:t xml:space="preserve"> subjects aged ≥12 months, there is equally no evidence or clinical expectation that the therapeutic relativity here would differ from that of a single dose regimen in other populations’.</w:t>
      </w:r>
    </w:p>
    <w:p w:rsidR="004E43BE" w:rsidRPr="00F7369B" w:rsidRDefault="000F4BC1" w:rsidP="001910FF">
      <w:pPr>
        <w:pStyle w:val="3-BodyText"/>
        <w:rPr>
          <w:rFonts w:eastAsia="Calibri" w:cstheme="minorHAnsi"/>
          <w:iCs/>
        </w:rPr>
      </w:pPr>
      <w:r w:rsidRPr="00F7369B">
        <w:rPr>
          <w:rFonts w:eastAsia="Calibri" w:cstheme="minorHAnsi"/>
          <w:iCs/>
        </w:rPr>
        <w:t xml:space="preserve">Children </w:t>
      </w:r>
      <w:r w:rsidR="004E43BE" w:rsidRPr="00F7369B">
        <w:rPr>
          <w:rFonts w:eastAsia="Calibri" w:cstheme="minorHAnsi"/>
          <w:iCs/>
        </w:rPr>
        <w:t>12 months:</w:t>
      </w:r>
    </w:p>
    <w:p w:rsidR="004E43BE" w:rsidRPr="00F7369B" w:rsidRDefault="004E43BE" w:rsidP="00B776D2">
      <w:pPr>
        <w:pStyle w:val="3-BodyText"/>
        <w:numPr>
          <w:ilvl w:val="0"/>
          <w:numId w:val="14"/>
        </w:numPr>
        <w:ind w:left="1077" w:hanging="357"/>
        <w:rPr>
          <w:rFonts w:eastAsia="Calibri" w:cstheme="minorHAnsi"/>
          <w:i/>
          <w:iCs/>
        </w:rPr>
      </w:pPr>
      <w:r w:rsidRPr="00F7369B">
        <w:rPr>
          <w:rFonts w:eastAsia="Calibri" w:cstheme="minorHAnsi"/>
          <w:iCs/>
        </w:rPr>
        <w:t xml:space="preserve">The </w:t>
      </w:r>
      <w:r w:rsidR="00DA7013" w:rsidRPr="00F7369B">
        <w:rPr>
          <w:rFonts w:eastAsia="Calibri" w:cstheme="minorHAnsi"/>
          <w:iCs/>
        </w:rPr>
        <w:t xml:space="preserve">submission </w:t>
      </w:r>
      <w:r w:rsidRPr="00F7369B">
        <w:rPr>
          <w:rFonts w:eastAsia="Calibri" w:cstheme="minorHAnsi"/>
          <w:iCs/>
        </w:rPr>
        <w:t>claim</w:t>
      </w:r>
      <w:r w:rsidR="00DA7013" w:rsidRPr="00F7369B">
        <w:rPr>
          <w:rFonts w:eastAsia="Calibri" w:cstheme="minorHAnsi"/>
          <w:iCs/>
        </w:rPr>
        <w:t>ed</w:t>
      </w:r>
      <w:r w:rsidRPr="00F7369B">
        <w:rPr>
          <w:rFonts w:eastAsia="Calibri" w:cstheme="minorHAnsi"/>
          <w:iCs/>
        </w:rPr>
        <w:t xml:space="preserve"> that MenQuadfi </w:t>
      </w:r>
      <w:r w:rsidR="00DA7013" w:rsidRPr="00F7369B">
        <w:rPr>
          <w:rFonts w:eastAsia="Calibri" w:cstheme="minorHAnsi"/>
          <w:iCs/>
        </w:rPr>
        <w:t>wa</w:t>
      </w:r>
      <w:r w:rsidRPr="00F7369B">
        <w:rPr>
          <w:rFonts w:eastAsia="Calibri" w:cstheme="minorHAnsi"/>
          <w:iCs/>
        </w:rPr>
        <w:t>s non-inferior to Nimenrix in terms of immunogenicity and safety</w:t>
      </w:r>
      <w:r w:rsidRPr="00F7369B">
        <w:rPr>
          <w:rFonts w:eastAsia="Calibri" w:cstheme="minorHAnsi"/>
          <w:i/>
          <w:iCs/>
        </w:rPr>
        <w:t xml:space="preserve">. </w:t>
      </w:r>
    </w:p>
    <w:p w:rsidR="00813726" w:rsidRPr="00F7369B" w:rsidRDefault="00813726" w:rsidP="00B776D2">
      <w:pPr>
        <w:pStyle w:val="3-BodyText"/>
        <w:numPr>
          <w:ilvl w:val="0"/>
          <w:numId w:val="14"/>
        </w:numPr>
        <w:ind w:left="1077" w:hanging="357"/>
        <w:rPr>
          <w:rFonts w:eastAsia="Calibri" w:cstheme="minorHAnsi"/>
          <w:iCs/>
        </w:rPr>
      </w:pPr>
      <w:r w:rsidRPr="00F7369B">
        <w:rPr>
          <w:rFonts w:eastAsia="Calibri" w:cstheme="minorHAnsi"/>
          <w:iCs/>
        </w:rPr>
        <w:t>The ATAGI</w:t>
      </w:r>
      <w:r w:rsidR="009800A7" w:rsidRPr="00F7369B">
        <w:rPr>
          <w:rFonts w:eastAsia="Calibri" w:cstheme="minorHAnsi"/>
          <w:iCs/>
        </w:rPr>
        <w:t xml:space="preserve"> considered this claim was reasonable</w:t>
      </w:r>
      <w:r w:rsidRPr="00F7369B">
        <w:rPr>
          <w:rFonts w:eastAsia="Calibri" w:cstheme="minorHAnsi"/>
          <w:iCs/>
        </w:rPr>
        <w:t xml:space="preserve">. </w:t>
      </w:r>
    </w:p>
    <w:p w:rsidR="00F06849" w:rsidRPr="00F7369B" w:rsidRDefault="004E43BE" w:rsidP="00B776D2">
      <w:pPr>
        <w:pStyle w:val="3-BodyText"/>
        <w:numPr>
          <w:ilvl w:val="0"/>
          <w:numId w:val="14"/>
        </w:numPr>
        <w:ind w:left="1077" w:hanging="357"/>
        <w:rPr>
          <w:rFonts w:eastAsia="Calibri" w:cstheme="minorHAnsi"/>
          <w:iCs/>
        </w:rPr>
      </w:pPr>
      <w:r w:rsidRPr="00F7369B">
        <w:rPr>
          <w:rFonts w:eastAsia="Calibri" w:cstheme="minorHAnsi"/>
          <w:iCs/>
        </w:rPr>
        <w:t xml:space="preserve">However, none of the trials collected clinical efficacy data in terms of cases of MenACWY avoided. Immunogenicity does not necessarily correlate to efficacy of a vaccine to prevent a disease. Given meningococcal disease is relatively rare, </w:t>
      </w:r>
      <w:r w:rsidR="00813726" w:rsidRPr="00F7369B">
        <w:rPr>
          <w:rFonts w:eastAsia="Calibri" w:cstheme="minorHAnsi"/>
          <w:iCs/>
        </w:rPr>
        <w:t>it would be difficult to design a trial of the effectiveness of vaccines in reducing incidence of meningococcal disease</w:t>
      </w:r>
      <w:r w:rsidRPr="00F7369B">
        <w:rPr>
          <w:rFonts w:eastAsia="Calibri" w:cstheme="minorHAnsi"/>
          <w:iCs/>
        </w:rPr>
        <w:t xml:space="preserve">. </w:t>
      </w:r>
    </w:p>
    <w:p w:rsidR="00F06849" w:rsidRPr="00F7369B" w:rsidRDefault="00F06849" w:rsidP="00B776D2">
      <w:pPr>
        <w:pStyle w:val="3-BodyText"/>
        <w:numPr>
          <w:ilvl w:val="0"/>
          <w:numId w:val="14"/>
        </w:numPr>
        <w:ind w:left="1077" w:hanging="357"/>
        <w:rPr>
          <w:rFonts w:eastAsia="Calibri" w:cstheme="minorHAnsi"/>
          <w:iCs/>
        </w:rPr>
      </w:pPr>
      <w:r w:rsidRPr="00F7369B">
        <w:rPr>
          <w:rFonts w:cstheme="minorHAnsi"/>
        </w:rPr>
        <w:t xml:space="preserve">The </w:t>
      </w:r>
      <w:r w:rsidR="005D2E04" w:rsidRPr="00F7369B">
        <w:rPr>
          <w:rFonts w:cstheme="minorHAnsi"/>
        </w:rPr>
        <w:t xml:space="preserve">ESC noted that </w:t>
      </w:r>
      <w:r w:rsidR="003776B4" w:rsidRPr="00F7369B">
        <w:rPr>
          <w:rFonts w:cstheme="minorHAnsi"/>
        </w:rPr>
        <w:t>PBAC had</w:t>
      </w:r>
      <w:r w:rsidRPr="00F7369B">
        <w:rPr>
          <w:rFonts w:cstheme="minorHAnsi"/>
        </w:rPr>
        <w:t xml:space="preserve"> previously accepted the use of immunogenicity as a surrogate outcome for IMD (Menitorix </w:t>
      </w:r>
      <w:r w:rsidR="00F81BB5">
        <w:rPr>
          <w:rFonts w:cstheme="minorHAnsi"/>
        </w:rPr>
        <w:t>Public Summary Document (</w:t>
      </w:r>
      <w:r w:rsidRPr="00F7369B">
        <w:rPr>
          <w:rFonts w:cstheme="minorHAnsi"/>
        </w:rPr>
        <w:t>PSD</w:t>
      </w:r>
      <w:r w:rsidR="00F81BB5">
        <w:rPr>
          <w:rFonts w:cstheme="minorHAnsi"/>
        </w:rPr>
        <w:t>)</w:t>
      </w:r>
      <w:r w:rsidRPr="00F7369B">
        <w:rPr>
          <w:rFonts w:cstheme="minorHAnsi"/>
        </w:rPr>
        <w:t>, November 2010; Nimenrix PSD, March 2018; Menveo PSD, July 2018).</w:t>
      </w:r>
    </w:p>
    <w:p w:rsidR="004E43BE" w:rsidRPr="00F7369B" w:rsidRDefault="004E43BE" w:rsidP="00F06849">
      <w:pPr>
        <w:pStyle w:val="3-BodyText"/>
        <w:rPr>
          <w:rFonts w:eastAsia="Calibri" w:cstheme="minorHAnsi"/>
        </w:rPr>
      </w:pPr>
      <w:r w:rsidRPr="00F7369B">
        <w:rPr>
          <w:rFonts w:eastAsia="Calibri" w:cstheme="minorHAnsi"/>
        </w:rPr>
        <w:t xml:space="preserve">Adolescents: </w:t>
      </w:r>
    </w:p>
    <w:p w:rsidR="004E43BE" w:rsidRPr="00F7369B" w:rsidRDefault="004E43BE" w:rsidP="00B776D2">
      <w:pPr>
        <w:pStyle w:val="3-BodyText"/>
        <w:numPr>
          <w:ilvl w:val="0"/>
          <w:numId w:val="15"/>
        </w:numPr>
        <w:ind w:left="1077" w:hanging="357"/>
        <w:rPr>
          <w:rFonts w:eastAsia="Calibri" w:cstheme="minorHAnsi"/>
          <w:iCs/>
        </w:rPr>
      </w:pPr>
      <w:r w:rsidRPr="00F7369B">
        <w:rPr>
          <w:rFonts w:eastAsia="Calibri" w:cstheme="minorHAnsi"/>
          <w:iCs/>
        </w:rPr>
        <w:t xml:space="preserve">There </w:t>
      </w:r>
      <w:r w:rsidR="00DA7013" w:rsidRPr="00F7369B">
        <w:rPr>
          <w:rFonts w:eastAsia="Calibri" w:cstheme="minorHAnsi"/>
          <w:iCs/>
        </w:rPr>
        <w:t>wa</w:t>
      </w:r>
      <w:r w:rsidRPr="00F7369B">
        <w:rPr>
          <w:rFonts w:eastAsia="Calibri" w:cstheme="minorHAnsi"/>
          <w:iCs/>
        </w:rPr>
        <w:t>s no direct head to head trial comparing MenQuadfi with Nimenrix in adolescent</w:t>
      </w:r>
      <w:r w:rsidR="004F0871" w:rsidRPr="00F7369B">
        <w:rPr>
          <w:rFonts w:eastAsia="Calibri" w:cstheme="minorHAnsi"/>
          <w:iCs/>
        </w:rPr>
        <w:t>s</w:t>
      </w:r>
      <w:r w:rsidRPr="00F7369B">
        <w:rPr>
          <w:rFonts w:eastAsia="Calibri" w:cstheme="minorHAnsi"/>
          <w:iCs/>
        </w:rPr>
        <w:t xml:space="preserve"> age</w:t>
      </w:r>
      <w:r w:rsidR="00F7369B">
        <w:rPr>
          <w:rFonts w:eastAsia="Calibri" w:cstheme="minorHAnsi"/>
          <w:iCs/>
        </w:rPr>
        <w:t>d</w:t>
      </w:r>
      <w:r w:rsidRPr="00F7369B">
        <w:rPr>
          <w:rFonts w:eastAsia="Calibri" w:cstheme="minorHAnsi"/>
          <w:iCs/>
        </w:rPr>
        <w:t xml:space="preserve"> 14-19 years. </w:t>
      </w:r>
    </w:p>
    <w:p w:rsidR="00813726" w:rsidRPr="00F7369B" w:rsidRDefault="004F0871" w:rsidP="00B776D2">
      <w:pPr>
        <w:pStyle w:val="3-BodyText"/>
        <w:numPr>
          <w:ilvl w:val="0"/>
          <w:numId w:val="15"/>
        </w:numPr>
        <w:ind w:left="1077" w:hanging="357"/>
        <w:rPr>
          <w:rFonts w:eastAsia="Calibri" w:cstheme="minorHAnsi"/>
          <w:iCs/>
        </w:rPr>
      </w:pPr>
      <w:r w:rsidRPr="00F7369B">
        <w:rPr>
          <w:rFonts w:eastAsia="Calibri" w:cstheme="minorHAnsi"/>
          <w:iCs/>
        </w:rPr>
        <w:t>The submission claimed that MenQuadfi is non-inferior to Nimenrix given that (a) MenQuadfi was non-inferior to Menveo in MET50, and (b) that the PBAC has previously concluded that Menveo is non-inferior to Nimenrix</w:t>
      </w:r>
      <w:r w:rsidR="002403E4" w:rsidRPr="00F7369B">
        <w:rPr>
          <w:rFonts w:eastAsia="Calibri" w:cstheme="minorHAnsi"/>
          <w:iCs/>
        </w:rPr>
        <w:t>.</w:t>
      </w:r>
      <w:r w:rsidR="00F06849" w:rsidRPr="00F7369B">
        <w:rPr>
          <w:rFonts w:eastAsia="Calibri" w:cstheme="minorHAnsi"/>
          <w:iCs/>
        </w:rPr>
        <w:t xml:space="preserve"> </w:t>
      </w:r>
    </w:p>
    <w:p w:rsidR="004F0871" w:rsidRPr="00F7369B" w:rsidRDefault="00F06849" w:rsidP="00B776D2">
      <w:pPr>
        <w:pStyle w:val="3-BodyText"/>
        <w:numPr>
          <w:ilvl w:val="0"/>
          <w:numId w:val="15"/>
        </w:numPr>
        <w:ind w:left="1077" w:hanging="357"/>
        <w:rPr>
          <w:rFonts w:eastAsia="Calibri" w:cstheme="minorHAnsi"/>
          <w:iCs/>
        </w:rPr>
      </w:pPr>
      <w:r w:rsidRPr="00F7369B">
        <w:rPr>
          <w:rFonts w:eastAsia="Calibri" w:cstheme="minorHAnsi"/>
          <w:iCs/>
        </w:rPr>
        <w:t>The ATAGI</w:t>
      </w:r>
      <w:r w:rsidR="009800A7" w:rsidRPr="00F7369B">
        <w:rPr>
          <w:rFonts w:eastAsia="Calibri" w:cstheme="minorHAnsi"/>
          <w:iCs/>
        </w:rPr>
        <w:t xml:space="preserve"> considered this claim was reasonable</w:t>
      </w:r>
      <w:r w:rsidRPr="00F7369B">
        <w:rPr>
          <w:rFonts w:eastAsia="Calibri" w:cstheme="minorHAnsi"/>
          <w:iCs/>
        </w:rPr>
        <w:t xml:space="preserve">. </w:t>
      </w:r>
    </w:p>
    <w:p w:rsidR="004E43BE" w:rsidRPr="00F7369B" w:rsidRDefault="004E43BE" w:rsidP="00B776D2">
      <w:pPr>
        <w:pStyle w:val="3-BodyText"/>
        <w:numPr>
          <w:ilvl w:val="0"/>
          <w:numId w:val="15"/>
        </w:numPr>
        <w:ind w:left="1077" w:hanging="357"/>
        <w:rPr>
          <w:rFonts w:eastAsia="Calibri" w:cstheme="minorHAnsi"/>
          <w:iCs/>
        </w:rPr>
      </w:pPr>
      <w:r w:rsidRPr="00F7369B">
        <w:rPr>
          <w:rFonts w:eastAsia="Calibri" w:cstheme="minorHAnsi"/>
          <w:iCs/>
        </w:rPr>
        <w:t xml:space="preserve">Additionally, the ATAGI considered it valid to extrapolate the </w:t>
      </w:r>
      <w:r w:rsidR="004F0871" w:rsidRPr="00F7369B">
        <w:rPr>
          <w:rFonts w:eastAsia="Calibri" w:cstheme="minorHAnsi"/>
          <w:iCs/>
        </w:rPr>
        <w:t xml:space="preserve">finding that </w:t>
      </w:r>
      <w:r w:rsidRPr="00F7369B">
        <w:rPr>
          <w:rFonts w:eastAsia="Calibri" w:cstheme="minorHAnsi"/>
          <w:iCs/>
        </w:rPr>
        <w:t xml:space="preserve">MenQuadfi </w:t>
      </w:r>
      <w:r w:rsidR="004F0871" w:rsidRPr="00F7369B">
        <w:rPr>
          <w:rFonts w:eastAsia="Calibri" w:cstheme="minorHAnsi"/>
          <w:iCs/>
        </w:rPr>
        <w:t xml:space="preserve">is non-inferior to </w:t>
      </w:r>
      <w:r w:rsidRPr="00F7369B">
        <w:rPr>
          <w:rFonts w:eastAsia="Calibri" w:cstheme="minorHAnsi"/>
          <w:iCs/>
        </w:rPr>
        <w:t xml:space="preserve">Nimenrix </w:t>
      </w:r>
      <w:r w:rsidR="004F0871" w:rsidRPr="00F7369B">
        <w:rPr>
          <w:rFonts w:eastAsia="Calibri" w:cstheme="minorHAnsi"/>
          <w:iCs/>
        </w:rPr>
        <w:t xml:space="preserve">in terms of immunogenicity </w:t>
      </w:r>
      <w:r w:rsidRPr="00F7369B">
        <w:rPr>
          <w:rFonts w:eastAsia="Calibri" w:cstheme="minorHAnsi"/>
          <w:iCs/>
        </w:rPr>
        <w:t>in children aged 12–23 months</w:t>
      </w:r>
      <w:r w:rsidR="004F0871" w:rsidRPr="00F7369B">
        <w:rPr>
          <w:rFonts w:eastAsia="Calibri" w:cstheme="minorHAnsi"/>
          <w:iCs/>
        </w:rPr>
        <w:t xml:space="preserve"> </w:t>
      </w:r>
      <w:r w:rsidRPr="00F7369B">
        <w:rPr>
          <w:rFonts w:eastAsia="Calibri" w:cstheme="minorHAnsi"/>
          <w:iCs/>
        </w:rPr>
        <w:t xml:space="preserve">to the adolescent population, on the basis that immune responses to meningococcal conjugate vaccines are typically similar or stronger in older children. </w:t>
      </w:r>
    </w:p>
    <w:p w:rsidR="004E43BE" w:rsidRPr="00F7369B" w:rsidRDefault="004E43BE" w:rsidP="00B776D2">
      <w:pPr>
        <w:pStyle w:val="3-BodyText"/>
        <w:numPr>
          <w:ilvl w:val="0"/>
          <w:numId w:val="15"/>
        </w:numPr>
        <w:ind w:left="1077" w:hanging="357"/>
        <w:rPr>
          <w:rFonts w:eastAsia="Calibri" w:cstheme="minorHAnsi"/>
          <w:iCs/>
        </w:rPr>
      </w:pPr>
      <w:r w:rsidRPr="00F7369B">
        <w:rPr>
          <w:rFonts w:eastAsia="Calibri" w:cstheme="minorHAnsi"/>
          <w:iCs/>
        </w:rPr>
        <w:t>It may be reasonable to claim that MenQuadfi is non-inferior to Nimenrix given the above ATAGI advice</w:t>
      </w:r>
      <w:r w:rsidR="00813726" w:rsidRPr="00F7369B">
        <w:rPr>
          <w:rFonts w:eastAsia="Calibri" w:cstheme="minorHAnsi"/>
          <w:iCs/>
        </w:rPr>
        <w:t xml:space="preserve">, given that </w:t>
      </w:r>
      <w:r w:rsidR="002403E4" w:rsidRPr="00F7369B">
        <w:rPr>
          <w:rFonts w:eastAsia="Calibri" w:cstheme="minorHAnsi"/>
          <w:iCs/>
        </w:rPr>
        <w:t>MenQuadfi was</w:t>
      </w:r>
      <w:r w:rsidR="00813726" w:rsidRPr="00F7369B">
        <w:rPr>
          <w:rFonts w:eastAsia="Calibri" w:cstheme="minorHAnsi"/>
          <w:iCs/>
        </w:rPr>
        <w:t xml:space="preserve"> </w:t>
      </w:r>
      <w:r w:rsidR="002403E4" w:rsidRPr="00F7369B">
        <w:rPr>
          <w:rFonts w:eastAsia="Calibri" w:cstheme="minorHAnsi"/>
          <w:iCs/>
        </w:rPr>
        <w:t>non-inferior to Menveo in MET50 and</w:t>
      </w:r>
      <w:r w:rsidR="00813726" w:rsidRPr="00F7369B">
        <w:rPr>
          <w:rFonts w:eastAsia="Calibri" w:cstheme="minorHAnsi"/>
          <w:iCs/>
        </w:rPr>
        <w:t xml:space="preserve"> given that</w:t>
      </w:r>
      <w:r w:rsidR="002403E4" w:rsidRPr="00F7369B">
        <w:rPr>
          <w:rFonts w:eastAsia="Calibri" w:cstheme="minorHAnsi"/>
          <w:iCs/>
        </w:rPr>
        <w:t xml:space="preserve"> </w:t>
      </w:r>
      <w:r w:rsidRPr="00F7369B">
        <w:rPr>
          <w:rFonts w:eastAsia="Calibri" w:cstheme="minorHAnsi"/>
          <w:iCs/>
        </w:rPr>
        <w:t>the PBAC previously considered Menveo non-inferior to Nimenrix.</w:t>
      </w:r>
      <w:r w:rsidR="00DD56F4" w:rsidRPr="00F7369B">
        <w:rPr>
          <w:rFonts w:eastAsia="Calibri" w:cstheme="minorHAnsi"/>
          <w:iCs/>
        </w:rPr>
        <w:t xml:space="preserve"> </w:t>
      </w:r>
      <w:r w:rsidR="008578DE" w:rsidRPr="00F7369B">
        <w:rPr>
          <w:rFonts w:eastAsia="Calibri" w:cstheme="minorHAnsi"/>
          <w:iCs/>
        </w:rPr>
        <w:t>The evaluation considered</w:t>
      </w:r>
      <w:r w:rsidRPr="00F7369B">
        <w:rPr>
          <w:rFonts w:eastAsia="Calibri" w:cstheme="minorHAnsi"/>
          <w:iCs/>
        </w:rPr>
        <w:t xml:space="preserve"> this claim uncertain given the lack of direct randomised evidence comparing MenQuadfi and Nimenrix in adolescents.</w:t>
      </w:r>
    </w:p>
    <w:p w:rsidR="004E43BE" w:rsidRPr="00F7369B" w:rsidRDefault="004E43BE" w:rsidP="00F07301">
      <w:pPr>
        <w:pStyle w:val="3-BodyText"/>
        <w:rPr>
          <w:rFonts w:eastAsia="Calibri" w:cstheme="minorHAnsi"/>
        </w:rPr>
      </w:pPr>
      <w:r w:rsidRPr="00F7369B">
        <w:rPr>
          <w:rFonts w:eastAsia="Calibri" w:cstheme="minorHAnsi"/>
        </w:rPr>
        <w:t>Medically at-risk population</w:t>
      </w:r>
      <w:r w:rsidR="00F07301" w:rsidRPr="00F7369B">
        <w:rPr>
          <w:rFonts w:eastAsia="Calibri" w:cstheme="minorHAnsi"/>
        </w:rPr>
        <w:t>:</w:t>
      </w:r>
    </w:p>
    <w:p w:rsidR="004E43BE" w:rsidRPr="00F7369B" w:rsidRDefault="004E43BE" w:rsidP="00B776D2">
      <w:pPr>
        <w:pStyle w:val="3-BodyText"/>
        <w:numPr>
          <w:ilvl w:val="0"/>
          <w:numId w:val="15"/>
        </w:numPr>
        <w:ind w:left="1077" w:hanging="357"/>
        <w:rPr>
          <w:rFonts w:eastAsia="Calibri" w:cstheme="minorHAnsi"/>
          <w:iCs/>
        </w:rPr>
      </w:pPr>
      <w:r w:rsidRPr="00F7369B">
        <w:rPr>
          <w:rFonts w:eastAsia="Calibri" w:cstheme="minorHAnsi"/>
          <w:iCs/>
        </w:rPr>
        <w:t xml:space="preserve">No trial data </w:t>
      </w:r>
      <w:r w:rsidR="002403E4" w:rsidRPr="00F7369B">
        <w:rPr>
          <w:rFonts w:eastAsia="Calibri" w:cstheme="minorHAnsi"/>
          <w:iCs/>
        </w:rPr>
        <w:t xml:space="preserve">was </w:t>
      </w:r>
      <w:r w:rsidRPr="00F7369B">
        <w:rPr>
          <w:rFonts w:eastAsia="Calibri" w:cstheme="minorHAnsi"/>
          <w:iCs/>
        </w:rPr>
        <w:t xml:space="preserve">available for the medically at-risk population. However, </w:t>
      </w:r>
      <w:r w:rsidR="003D4F31" w:rsidRPr="00F7369B">
        <w:rPr>
          <w:rFonts w:eastAsia="Calibri" w:cstheme="minorHAnsi"/>
          <w:iCs/>
        </w:rPr>
        <w:t xml:space="preserve">the </w:t>
      </w:r>
      <w:r w:rsidR="003F2C6B" w:rsidRPr="00F7369B">
        <w:rPr>
          <w:rFonts w:eastAsia="Calibri" w:cstheme="minorHAnsi"/>
          <w:iCs/>
        </w:rPr>
        <w:t>ATAGI consider</w:t>
      </w:r>
      <w:r w:rsidR="003D4F31" w:rsidRPr="00F7369B">
        <w:rPr>
          <w:rFonts w:eastAsia="Calibri" w:cstheme="minorHAnsi"/>
          <w:iCs/>
        </w:rPr>
        <w:t>ed</w:t>
      </w:r>
      <w:r w:rsidR="003F2C6B" w:rsidRPr="00F7369B">
        <w:rPr>
          <w:rFonts w:eastAsia="Calibri" w:cstheme="minorHAnsi"/>
          <w:iCs/>
        </w:rPr>
        <w:t xml:space="preserve"> that </w:t>
      </w:r>
      <w:r w:rsidRPr="00F7369B">
        <w:rPr>
          <w:rFonts w:eastAsia="Calibri" w:cstheme="minorHAnsi"/>
          <w:iCs/>
        </w:rPr>
        <w:t xml:space="preserve">‘given that Nimenrix is currently recommended for individuals with medical risk conditions and ATAGI is satisfied that MenQuadfi is immunogenic and comparable to Nimenrix for healthy individuals aged ≥12 months, ATAGI believes that MenQuadfi should be similarly immunogenic after the same number of doses, and would be clinically beneficial in individuals with medical conditions associated with an increased risk of IMD’. </w:t>
      </w:r>
    </w:p>
    <w:p w:rsidR="00DD56F4" w:rsidRPr="00F7369B" w:rsidRDefault="00DA7013" w:rsidP="00B776D2">
      <w:pPr>
        <w:pStyle w:val="3-BodyText"/>
        <w:numPr>
          <w:ilvl w:val="0"/>
          <w:numId w:val="15"/>
        </w:numPr>
        <w:ind w:left="1077" w:hanging="357"/>
        <w:rPr>
          <w:rFonts w:eastAsia="Calibri" w:cstheme="minorHAnsi"/>
          <w:i/>
          <w:iCs/>
        </w:rPr>
      </w:pPr>
      <w:r w:rsidRPr="00F7369B">
        <w:rPr>
          <w:rFonts w:eastAsia="Calibri" w:cstheme="minorHAnsi"/>
          <w:iCs/>
        </w:rPr>
        <w:t>The PBAC previously recommended MenACWY for the medically at-risk population in consideration of the clinical need for vaccination</w:t>
      </w:r>
      <w:r w:rsidR="00804D5C" w:rsidRPr="00F7369B">
        <w:rPr>
          <w:rFonts w:eastAsia="Calibri" w:cstheme="minorHAnsi"/>
          <w:iCs/>
        </w:rPr>
        <w:t xml:space="preserve"> </w:t>
      </w:r>
      <w:r w:rsidRPr="00F7369B">
        <w:rPr>
          <w:rFonts w:eastAsia="Calibri" w:cstheme="minorHAnsi"/>
          <w:iCs/>
        </w:rPr>
        <w:t>and the current best practice guidelines such as the Australian Immunisation Handbook and the Therapeutic Guidelines.</w:t>
      </w:r>
    </w:p>
    <w:p w:rsidR="003F2C6B" w:rsidRPr="00F7369B" w:rsidRDefault="00116CC6" w:rsidP="003F2C6B">
      <w:pPr>
        <w:pStyle w:val="3-BodyText"/>
        <w:rPr>
          <w:rFonts w:eastAsia="Calibri" w:cstheme="minorHAnsi"/>
        </w:rPr>
      </w:pPr>
      <w:r w:rsidRPr="00F7369B">
        <w:rPr>
          <w:rFonts w:eastAsia="Calibri" w:cstheme="minorHAnsi"/>
          <w:iCs/>
        </w:rPr>
        <w:t xml:space="preserve">The </w:t>
      </w:r>
      <w:r w:rsidR="003F2C6B" w:rsidRPr="00F7369B">
        <w:rPr>
          <w:rFonts w:eastAsia="Calibri" w:cstheme="minorHAnsi"/>
          <w:iCs/>
        </w:rPr>
        <w:t>ATAGI considered that ‘There is also a lack of data on duration of clinical protection or on persistence of antibody levels induced by MenQuadfi. Despite this uncertainty, the post-vaccination geometric mean titres (GMT) trend higher after vaccination with MenQuadfi than with Nimenrix (in children aged 12–23 months)</w:t>
      </w:r>
      <w:r w:rsidR="000A1C7E" w:rsidRPr="00F7369B">
        <w:rPr>
          <w:rFonts w:eastAsia="Calibri" w:cstheme="minorHAnsi"/>
          <w:iCs/>
        </w:rPr>
        <w:t xml:space="preserve"> </w:t>
      </w:r>
      <w:r w:rsidR="003F2C6B" w:rsidRPr="00F7369B">
        <w:rPr>
          <w:rFonts w:eastAsia="Calibri" w:cstheme="minorHAnsi"/>
          <w:iCs/>
        </w:rPr>
        <w:t>and MenACWY</w:t>
      </w:r>
      <w:r w:rsidR="000A1C7E" w:rsidRPr="00F7369B" w:rsidDel="000A1C7E">
        <w:rPr>
          <w:rFonts w:eastAsia="Calibri" w:cstheme="minorHAnsi"/>
          <w:iCs/>
        </w:rPr>
        <w:t xml:space="preserve"> </w:t>
      </w:r>
      <w:r w:rsidR="00980960" w:rsidRPr="00F7369B">
        <w:rPr>
          <w:rFonts w:eastAsia="Calibri" w:cstheme="minorHAnsi"/>
          <w:iCs/>
        </w:rPr>
        <w:t>(</w:t>
      </w:r>
      <w:r w:rsidR="000A1C7E" w:rsidRPr="00F7369B">
        <w:rPr>
          <w:rFonts w:eastAsia="Calibri" w:cstheme="minorHAnsi"/>
          <w:iCs/>
        </w:rPr>
        <w:t>Menveo/ Menactra</w:t>
      </w:r>
      <w:r w:rsidR="00980960" w:rsidRPr="00F7369B">
        <w:rPr>
          <w:rFonts w:eastAsia="Calibri" w:cstheme="minorHAnsi"/>
          <w:iCs/>
        </w:rPr>
        <w:t xml:space="preserve">) </w:t>
      </w:r>
      <w:r w:rsidR="003F2C6B" w:rsidRPr="00F7369B">
        <w:rPr>
          <w:rFonts w:eastAsia="Calibri" w:cstheme="minorHAnsi"/>
          <w:iCs/>
        </w:rPr>
        <w:t>adolescents for most covered serogroups. As both MenQuadfi and Nimenrix are similar tetanus toxoid protein–conjugated vaccines, ATAGI expects MenQuadfi persistence to be at least similar to the current comparator Nimenrix.</w:t>
      </w:r>
    </w:p>
    <w:p w:rsidR="003F2C6B" w:rsidRPr="00F7369B" w:rsidRDefault="003F2C6B" w:rsidP="003F2C6B">
      <w:pPr>
        <w:pStyle w:val="3-BodyText"/>
        <w:rPr>
          <w:rFonts w:eastAsia="Calibri" w:cstheme="minorHAnsi"/>
        </w:rPr>
      </w:pPr>
      <w:r w:rsidRPr="00F7369B">
        <w:rPr>
          <w:rFonts w:eastAsia="Calibri" w:cstheme="minorHAnsi"/>
          <w:iCs/>
        </w:rPr>
        <w:t>Overall, the ATAGI d</w:t>
      </w:r>
      <w:r w:rsidR="00E9523B" w:rsidRPr="00F7369B">
        <w:rPr>
          <w:rFonts w:eastAsia="Calibri" w:cstheme="minorHAnsi"/>
          <w:iCs/>
        </w:rPr>
        <w:t>id</w:t>
      </w:r>
      <w:r w:rsidRPr="00F7369B">
        <w:rPr>
          <w:rFonts w:eastAsia="Calibri" w:cstheme="minorHAnsi"/>
          <w:iCs/>
        </w:rPr>
        <w:t xml:space="preserve"> not have significant safety concerns regarding the use of MenQuadfi in the proposed population groups.</w:t>
      </w:r>
      <w:r w:rsidRPr="00F7369B">
        <w:rPr>
          <w:rFonts w:eastAsia="Calibri" w:cstheme="minorHAnsi"/>
        </w:rPr>
        <w:t xml:space="preserve"> </w:t>
      </w:r>
    </w:p>
    <w:p w:rsidR="007657E9" w:rsidRPr="00F7369B" w:rsidRDefault="007657E9" w:rsidP="003F2C6B">
      <w:pPr>
        <w:pStyle w:val="3-BodyText"/>
        <w:rPr>
          <w:rFonts w:eastAsia="Calibri" w:cstheme="minorHAnsi"/>
        </w:rPr>
      </w:pPr>
      <w:r w:rsidRPr="00F7369B">
        <w:rPr>
          <w:rFonts w:eastAsia="Calibri" w:cstheme="minorHAnsi"/>
        </w:rPr>
        <w:t xml:space="preserve">The ESC considered the claim </w:t>
      </w:r>
      <w:r w:rsidR="000756EE" w:rsidRPr="00F7369B">
        <w:rPr>
          <w:rFonts w:eastAsia="Calibri" w:cstheme="minorHAnsi"/>
        </w:rPr>
        <w:t xml:space="preserve">that MenQuadfi was non-inferior in terms of effectiveness and safety compared to Nimenrix in children and adolescents was reasonably supported by the evidence presented. </w:t>
      </w:r>
    </w:p>
    <w:p w:rsidR="00BF72E0" w:rsidRPr="00F7369B" w:rsidRDefault="00BF72E0" w:rsidP="00BF72E0">
      <w:pPr>
        <w:pStyle w:val="3-BodyText"/>
        <w:rPr>
          <w:rFonts w:eastAsia="Calibri" w:cstheme="minorHAnsi"/>
        </w:rPr>
      </w:pPr>
      <w:r w:rsidRPr="00F7369B">
        <w:rPr>
          <w:rFonts w:eastAsia="Calibri" w:cstheme="minorHAnsi"/>
        </w:rPr>
        <w:t xml:space="preserve">The PBAC considered that the claim of non-inferior comparative effectiveness </w:t>
      </w:r>
      <w:r w:rsidR="00FD73EE" w:rsidRPr="00F7369B">
        <w:rPr>
          <w:rFonts w:eastAsia="Calibri" w:cstheme="minorHAnsi"/>
        </w:rPr>
        <w:t xml:space="preserve">(based on immunogenicity data) </w:t>
      </w:r>
      <w:r w:rsidRPr="00F7369B">
        <w:rPr>
          <w:rFonts w:eastAsia="Calibri" w:cstheme="minorHAnsi"/>
        </w:rPr>
        <w:t>was reasonable.</w:t>
      </w:r>
    </w:p>
    <w:p w:rsidR="00BF72E0" w:rsidRPr="00F7369B" w:rsidRDefault="00BF72E0" w:rsidP="00BF72E0">
      <w:pPr>
        <w:pStyle w:val="3-BodyText"/>
        <w:rPr>
          <w:rFonts w:eastAsia="Calibri" w:cstheme="minorHAnsi"/>
        </w:rPr>
      </w:pPr>
      <w:r w:rsidRPr="00F7369B">
        <w:rPr>
          <w:rFonts w:eastAsia="Calibri" w:cstheme="minorHAnsi"/>
        </w:rPr>
        <w:t xml:space="preserve">The PBAC considered that the claim of </w:t>
      </w:r>
      <w:r w:rsidR="00A204D2" w:rsidRPr="00F7369B">
        <w:rPr>
          <w:rFonts w:eastAsia="Calibri" w:cstheme="minorHAnsi"/>
        </w:rPr>
        <w:t>non-</w:t>
      </w:r>
      <w:r w:rsidRPr="00F7369B">
        <w:rPr>
          <w:rFonts w:eastAsia="Calibri" w:cstheme="minorHAnsi"/>
        </w:rPr>
        <w:t>inferior comparative safety was reasonable.</w:t>
      </w:r>
    </w:p>
    <w:p w:rsidR="00D07340" w:rsidRPr="00F7369B" w:rsidRDefault="00D07340" w:rsidP="00787F67">
      <w:pPr>
        <w:pStyle w:val="4-SubsectionHeading"/>
        <w:rPr>
          <w:rFonts w:cstheme="minorHAnsi"/>
        </w:rPr>
      </w:pPr>
      <w:bookmarkStart w:id="22" w:name="_Toc22897645"/>
      <w:bookmarkStart w:id="23" w:name="_Toc51066741"/>
      <w:bookmarkEnd w:id="21"/>
      <w:r w:rsidRPr="00F7369B">
        <w:rPr>
          <w:rFonts w:cstheme="minorHAnsi"/>
        </w:rPr>
        <w:t>Economic analysis</w:t>
      </w:r>
      <w:bookmarkEnd w:id="22"/>
      <w:bookmarkEnd w:id="23"/>
      <w:r w:rsidRPr="00F7369B">
        <w:rPr>
          <w:rFonts w:cstheme="minorHAnsi"/>
        </w:rPr>
        <w:t xml:space="preserve"> </w:t>
      </w:r>
    </w:p>
    <w:p w:rsidR="00B26126" w:rsidRPr="00F7369B" w:rsidRDefault="000A3D72" w:rsidP="00D07340">
      <w:pPr>
        <w:pStyle w:val="3-BodyText"/>
        <w:rPr>
          <w:rFonts w:cstheme="minorHAnsi"/>
        </w:rPr>
      </w:pPr>
      <w:r w:rsidRPr="00F7369B">
        <w:rPr>
          <w:rFonts w:cstheme="minorHAnsi"/>
        </w:rPr>
        <w:t xml:space="preserve">The submission </w:t>
      </w:r>
      <w:r w:rsidR="009800A7" w:rsidRPr="00F7369B">
        <w:rPr>
          <w:rFonts w:cstheme="minorHAnsi"/>
        </w:rPr>
        <w:t xml:space="preserve">presented </w:t>
      </w:r>
      <w:r w:rsidRPr="00F7369B">
        <w:rPr>
          <w:rFonts w:cstheme="minorHAnsi"/>
        </w:rPr>
        <w:t>a cost-minimisation analysis</w:t>
      </w:r>
      <w:r w:rsidR="00D43967" w:rsidRPr="00F7369B">
        <w:rPr>
          <w:rFonts w:cstheme="minorHAnsi"/>
        </w:rPr>
        <w:t xml:space="preserve"> versus the currently listed MenACWY vaccine, Nimenrix. </w:t>
      </w:r>
    </w:p>
    <w:p w:rsidR="000A3D72" w:rsidRPr="00F7369B" w:rsidRDefault="000A3D72" w:rsidP="00D07340">
      <w:pPr>
        <w:pStyle w:val="3-BodyText"/>
        <w:rPr>
          <w:rFonts w:cstheme="minorHAnsi"/>
        </w:rPr>
      </w:pPr>
      <w:r w:rsidRPr="00F7369B">
        <w:rPr>
          <w:rFonts w:cstheme="minorHAnsi"/>
        </w:rPr>
        <w:t xml:space="preserve">The submission stated that the sponsor would match the revealed </w:t>
      </w:r>
      <w:r w:rsidR="004C2CD9" w:rsidRPr="00F7369B">
        <w:rPr>
          <w:rFonts w:cstheme="minorHAnsi"/>
        </w:rPr>
        <w:t>NNP</w:t>
      </w:r>
      <w:r w:rsidRPr="00F7369B">
        <w:rPr>
          <w:rFonts w:cstheme="minorHAnsi"/>
        </w:rPr>
        <w:t xml:space="preserve"> of Nimenrix if </w:t>
      </w:r>
      <w:r w:rsidR="00113679" w:rsidRPr="00F7369B">
        <w:rPr>
          <w:rFonts w:cstheme="minorHAnsi"/>
        </w:rPr>
        <w:t xml:space="preserve">MenQuadfi </w:t>
      </w:r>
      <w:r w:rsidR="00AB2637" w:rsidRPr="00F7369B">
        <w:rPr>
          <w:rFonts w:cstheme="minorHAnsi"/>
        </w:rPr>
        <w:t>wa</w:t>
      </w:r>
      <w:r w:rsidR="00113679" w:rsidRPr="00F7369B">
        <w:rPr>
          <w:rFonts w:cstheme="minorHAnsi"/>
        </w:rPr>
        <w:t>s</w:t>
      </w:r>
      <w:r w:rsidRPr="00F7369B">
        <w:rPr>
          <w:rFonts w:cstheme="minorHAnsi"/>
        </w:rPr>
        <w:t xml:space="preserve"> </w:t>
      </w:r>
      <w:r w:rsidR="00C03D38" w:rsidRPr="00F7369B">
        <w:rPr>
          <w:rFonts w:cstheme="minorHAnsi"/>
        </w:rPr>
        <w:t xml:space="preserve">recommended for listing </w:t>
      </w:r>
      <w:r w:rsidRPr="00F7369B">
        <w:rPr>
          <w:rFonts w:cstheme="minorHAnsi"/>
        </w:rPr>
        <w:t>on the NIP. The submission proposed a proxy price of $</w:t>
      </w:r>
      <w:r w:rsidR="0007305C">
        <w:rPr>
          <w:rFonts w:cstheme="minorHAnsi"/>
          <w:noProof/>
          <w:color w:val="000000"/>
          <w:highlight w:val="black"/>
        </w:rPr>
        <w:t>''''''''''''</w:t>
      </w:r>
      <w:r w:rsidRPr="00F7369B">
        <w:rPr>
          <w:rFonts w:cstheme="minorHAnsi"/>
        </w:rPr>
        <w:t xml:space="preserve"> for MenQuadfi and Nimenrix</w:t>
      </w:r>
      <w:r w:rsidR="00F7369B">
        <w:rPr>
          <w:rFonts w:cstheme="minorHAnsi"/>
        </w:rPr>
        <w:t xml:space="preserve">. </w:t>
      </w:r>
    </w:p>
    <w:p w:rsidR="00105867" w:rsidRPr="00F7369B" w:rsidRDefault="00105867" w:rsidP="00D07340">
      <w:pPr>
        <w:pStyle w:val="3-BodyText"/>
        <w:rPr>
          <w:rFonts w:cstheme="minorHAnsi"/>
        </w:rPr>
      </w:pPr>
      <w:r w:rsidRPr="00F7369B">
        <w:rPr>
          <w:rFonts w:cstheme="minorHAnsi"/>
        </w:rPr>
        <w:t xml:space="preserve">Menveo was identified as a near-market comparator in the submission but </w:t>
      </w:r>
      <w:r w:rsidR="000059A3" w:rsidRPr="00F7369B">
        <w:rPr>
          <w:rFonts w:cstheme="minorHAnsi"/>
        </w:rPr>
        <w:t xml:space="preserve">no equi-effective dose was provided and it </w:t>
      </w:r>
      <w:r w:rsidRPr="00F7369B">
        <w:rPr>
          <w:rFonts w:cstheme="minorHAnsi"/>
        </w:rPr>
        <w:t>was not included in the economic evaluation as it was not listed on the NIP at the time of</w:t>
      </w:r>
      <w:r w:rsidR="004C2CD9" w:rsidRPr="00F7369B">
        <w:rPr>
          <w:rFonts w:cstheme="minorHAnsi"/>
        </w:rPr>
        <w:t xml:space="preserve"> submission.</w:t>
      </w:r>
      <w:r w:rsidR="000756EE" w:rsidRPr="00F7369B">
        <w:rPr>
          <w:rFonts w:cstheme="minorHAnsi"/>
        </w:rPr>
        <w:t xml:space="preserve"> The ESC considered this was reasonable but noted </w:t>
      </w:r>
      <w:r w:rsidR="004C2CD9" w:rsidRPr="00F7369B">
        <w:rPr>
          <w:rFonts w:cstheme="minorHAnsi"/>
        </w:rPr>
        <w:t>Menveo ha</w:t>
      </w:r>
      <w:r w:rsidR="00FD73EE" w:rsidRPr="00F7369B">
        <w:rPr>
          <w:rFonts w:cstheme="minorHAnsi"/>
        </w:rPr>
        <w:t>d</w:t>
      </w:r>
      <w:r w:rsidR="004C2CD9" w:rsidRPr="00F7369B">
        <w:rPr>
          <w:rFonts w:cstheme="minorHAnsi"/>
        </w:rPr>
        <w:t xml:space="preserve"> recently been</w:t>
      </w:r>
      <w:r w:rsidRPr="00F7369B">
        <w:rPr>
          <w:rFonts w:cstheme="minorHAnsi"/>
        </w:rPr>
        <w:t xml:space="preserve"> included on the </w:t>
      </w:r>
      <w:r w:rsidR="0004583C" w:rsidRPr="00F7369B">
        <w:rPr>
          <w:rFonts w:cstheme="minorHAnsi"/>
        </w:rPr>
        <w:t>Determination</w:t>
      </w:r>
      <w:r w:rsidRPr="00F7369B">
        <w:rPr>
          <w:rFonts w:cstheme="minorHAnsi"/>
        </w:rPr>
        <w:t xml:space="preserve"> for the adolescent </w:t>
      </w:r>
      <w:r w:rsidR="004C2CD9" w:rsidRPr="00F7369B">
        <w:rPr>
          <w:rFonts w:cstheme="minorHAnsi"/>
        </w:rPr>
        <w:t xml:space="preserve">cohort </w:t>
      </w:r>
      <w:r w:rsidR="0004583C" w:rsidRPr="00F7369B">
        <w:rPr>
          <w:rFonts w:cstheme="minorHAnsi"/>
        </w:rPr>
        <w:t>(amendment dated 27 August 2020</w:t>
      </w:r>
      <w:r w:rsidR="004C2CD9" w:rsidRPr="00F7369B">
        <w:rPr>
          <w:rFonts w:cstheme="minorHAnsi"/>
        </w:rPr>
        <w:t>)</w:t>
      </w:r>
      <w:r w:rsidRPr="00F7369B">
        <w:rPr>
          <w:rFonts w:cstheme="minorHAnsi"/>
        </w:rPr>
        <w:t xml:space="preserve">. </w:t>
      </w:r>
    </w:p>
    <w:p w:rsidR="000A3D72" w:rsidRPr="00F7369B" w:rsidRDefault="00787F67" w:rsidP="00D07340">
      <w:pPr>
        <w:pStyle w:val="3-BodyText"/>
        <w:rPr>
          <w:rFonts w:cstheme="minorHAnsi"/>
        </w:rPr>
      </w:pPr>
      <w:r w:rsidRPr="00F7369B">
        <w:rPr>
          <w:rFonts w:cstheme="minorHAnsi"/>
        </w:rPr>
        <w:t xml:space="preserve">The key components and assumptions of the cost-minimisation analysis are presented in Table </w:t>
      </w:r>
      <w:r w:rsidR="00497D25" w:rsidRPr="00F7369B">
        <w:rPr>
          <w:rFonts w:cstheme="minorHAnsi"/>
        </w:rPr>
        <w:t>7</w:t>
      </w:r>
      <w:r w:rsidRPr="00F7369B">
        <w:rPr>
          <w:rFonts w:cstheme="minorHAnsi"/>
        </w:rPr>
        <w:t>.</w:t>
      </w:r>
    </w:p>
    <w:p w:rsidR="000A3D72" w:rsidRPr="00F7369B" w:rsidRDefault="000A3D72" w:rsidP="000A3D72">
      <w:pPr>
        <w:pStyle w:val="TableFigureHeading"/>
        <w:rPr>
          <w:rStyle w:val="CommentReference"/>
          <w:rFonts w:cstheme="minorHAnsi"/>
          <w:b/>
          <w:szCs w:val="20"/>
        </w:rPr>
      </w:pPr>
      <w:r w:rsidRPr="00F7369B">
        <w:rPr>
          <w:rStyle w:val="CommentReference"/>
          <w:rFonts w:cstheme="minorHAnsi"/>
          <w:b/>
          <w:szCs w:val="20"/>
        </w:rPr>
        <w:t xml:space="preserve">Table </w:t>
      </w:r>
      <w:r w:rsidR="00497D25" w:rsidRPr="00F7369B">
        <w:rPr>
          <w:rStyle w:val="CommentReference"/>
          <w:rFonts w:cstheme="minorHAnsi"/>
          <w:b/>
          <w:szCs w:val="20"/>
        </w:rPr>
        <w:t>7</w:t>
      </w:r>
      <w:r w:rsidRPr="00F7369B">
        <w:rPr>
          <w:rStyle w:val="CommentReference"/>
          <w:rFonts w:cstheme="minorHAnsi"/>
          <w:b/>
          <w:szCs w:val="20"/>
        </w:rPr>
        <w:t>: Key components and assumptions of the cost-minimisation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6404"/>
      </w:tblGrid>
      <w:tr w:rsidR="000A3D72" w:rsidRPr="00F7369B" w:rsidTr="00680FB4">
        <w:tc>
          <w:tcPr>
            <w:tcW w:w="1449" w:type="pct"/>
            <w:vAlign w:val="center"/>
          </w:tcPr>
          <w:p w:rsidR="000A3D72" w:rsidRPr="00F7369B" w:rsidRDefault="000A3D72" w:rsidP="006D69CF">
            <w:pPr>
              <w:pStyle w:val="In-tableHeading"/>
              <w:rPr>
                <w:rFonts w:cstheme="minorHAnsi"/>
                <w:szCs w:val="20"/>
                <w:lang w:val="en-AU"/>
              </w:rPr>
            </w:pPr>
            <w:r w:rsidRPr="00F7369B">
              <w:rPr>
                <w:rFonts w:cstheme="minorHAnsi"/>
                <w:szCs w:val="20"/>
                <w:lang w:val="en-AU"/>
              </w:rPr>
              <w:t>Component</w:t>
            </w:r>
          </w:p>
        </w:tc>
        <w:tc>
          <w:tcPr>
            <w:tcW w:w="3551" w:type="pct"/>
            <w:vAlign w:val="center"/>
          </w:tcPr>
          <w:p w:rsidR="000A3D72" w:rsidRPr="00F7369B" w:rsidRDefault="000A3D72" w:rsidP="006D69CF">
            <w:pPr>
              <w:pStyle w:val="In-tableHeading"/>
              <w:rPr>
                <w:rFonts w:cstheme="minorHAnsi"/>
                <w:szCs w:val="20"/>
                <w:lang w:val="en-AU"/>
              </w:rPr>
            </w:pPr>
            <w:r w:rsidRPr="00F7369B">
              <w:rPr>
                <w:rFonts w:cstheme="minorHAnsi"/>
                <w:szCs w:val="20"/>
                <w:lang w:val="en-AU"/>
              </w:rPr>
              <w:t>Claim or assumption</w:t>
            </w:r>
          </w:p>
        </w:tc>
      </w:tr>
      <w:tr w:rsidR="000A3D72" w:rsidRPr="00F7369B" w:rsidTr="00680FB4">
        <w:tc>
          <w:tcPr>
            <w:tcW w:w="1449" w:type="pct"/>
            <w:vAlign w:val="center"/>
          </w:tcPr>
          <w:p w:rsidR="000A3D72" w:rsidRPr="00F7369B" w:rsidRDefault="000A3D72" w:rsidP="006D69CF">
            <w:pPr>
              <w:pStyle w:val="TableText0"/>
              <w:rPr>
                <w:rFonts w:cstheme="minorHAnsi"/>
                <w:szCs w:val="20"/>
              </w:rPr>
            </w:pPr>
            <w:r w:rsidRPr="00F7369B">
              <w:rPr>
                <w:rFonts w:cstheme="minorHAnsi"/>
                <w:szCs w:val="20"/>
              </w:rPr>
              <w:t>Therapeutic claim: effectiveness</w:t>
            </w:r>
          </w:p>
        </w:tc>
        <w:tc>
          <w:tcPr>
            <w:tcW w:w="3551" w:type="pct"/>
            <w:vAlign w:val="center"/>
          </w:tcPr>
          <w:p w:rsidR="000A3D72" w:rsidRPr="00F7369B" w:rsidRDefault="000A3D72" w:rsidP="006D69CF">
            <w:pPr>
              <w:pStyle w:val="TableText0"/>
              <w:rPr>
                <w:rFonts w:cstheme="minorHAnsi"/>
                <w:szCs w:val="20"/>
              </w:rPr>
            </w:pPr>
            <w:r w:rsidRPr="00F7369B">
              <w:rPr>
                <w:rFonts w:cstheme="minorHAnsi"/>
                <w:szCs w:val="20"/>
              </w:rPr>
              <w:t xml:space="preserve">Based on evidence presented, </w:t>
            </w:r>
            <w:r w:rsidR="00113679" w:rsidRPr="00F7369B">
              <w:rPr>
                <w:rFonts w:cstheme="minorHAnsi"/>
                <w:szCs w:val="20"/>
              </w:rPr>
              <w:t xml:space="preserve">MenQuadfi </w:t>
            </w:r>
            <w:r w:rsidRPr="00F7369B">
              <w:rPr>
                <w:rFonts w:cstheme="minorHAnsi"/>
                <w:szCs w:val="20"/>
              </w:rPr>
              <w:t xml:space="preserve">is assumed to be non-inferior </w:t>
            </w:r>
            <w:r w:rsidR="00113679" w:rsidRPr="00F7369B">
              <w:rPr>
                <w:rFonts w:cstheme="minorHAnsi"/>
                <w:szCs w:val="20"/>
              </w:rPr>
              <w:t xml:space="preserve">to </w:t>
            </w:r>
            <w:r w:rsidRPr="00F7369B">
              <w:rPr>
                <w:rFonts w:cstheme="minorHAnsi"/>
                <w:szCs w:val="20"/>
              </w:rPr>
              <w:t>Nimenrix.</w:t>
            </w:r>
          </w:p>
        </w:tc>
      </w:tr>
      <w:tr w:rsidR="000A3D72" w:rsidRPr="00F7369B" w:rsidTr="00680FB4">
        <w:tc>
          <w:tcPr>
            <w:tcW w:w="1449" w:type="pct"/>
            <w:vAlign w:val="center"/>
          </w:tcPr>
          <w:p w:rsidR="000A3D72" w:rsidRPr="00F7369B" w:rsidRDefault="000A3D72" w:rsidP="006D69CF">
            <w:pPr>
              <w:pStyle w:val="TableText0"/>
              <w:rPr>
                <w:rFonts w:cstheme="minorHAnsi"/>
                <w:szCs w:val="20"/>
              </w:rPr>
            </w:pPr>
            <w:r w:rsidRPr="00F7369B">
              <w:rPr>
                <w:rFonts w:cstheme="minorHAnsi"/>
                <w:szCs w:val="20"/>
              </w:rPr>
              <w:t>Therapeutic claim: safety</w:t>
            </w:r>
          </w:p>
        </w:tc>
        <w:tc>
          <w:tcPr>
            <w:tcW w:w="3551" w:type="pct"/>
            <w:vAlign w:val="center"/>
          </w:tcPr>
          <w:p w:rsidR="000A3D72" w:rsidRPr="00F7369B" w:rsidRDefault="000A3D72" w:rsidP="006D69CF">
            <w:pPr>
              <w:pStyle w:val="TableText0"/>
              <w:rPr>
                <w:rFonts w:cstheme="minorHAnsi"/>
                <w:szCs w:val="20"/>
              </w:rPr>
            </w:pPr>
            <w:r w:rsidRPr="00F7369B">
              <w:rPr>
                <w:rFonts w:cstheme="minorHAnsi"/>
                <w:szCs w:val="20"/>
              </w:rPr>
              <w:t xml:space="preserve">Based on evidence presented, </w:t>
            </w:r>
            <w:r w:rsidR="00113679" w:rsidRPr="00F7369B">
              <w:rPr>
                <w:rFonts w:cstheme="minorHAnsi"/>
                <w:szCs w:val="20"/>
              </w:rPr>
              <w:t xml:space="preserve">MenQuadfi </w:t>
            </w:r>
            <w:r w:rsidRPr="00F7369B">
              <w:rPr>
                <w:rFonts w:cstheme="minorHAnsi"/>
                <w:szCs w:val="20"/>
              </w:rPr>
              <w:t xml:space="preserve">is assumed to be non-inferior </w:t>
            </w:r>
            <w:r w:rsidR="00113679" w:rsidRPr="00F7369B">
              <w:rPr>
                <w:rFonts w:cstheme="minorHAnsi"/>
                <w:szCs w:val="20"/>
              </w:rPr>
              <w:t>to</w:t>
            </w:r>
            <w:r w:rsidRPr="00F7369B">
              <w:rPr>
                <w:rFonts w:cstheme="minorHAnsi"/>
                <w:szCs w:val="20"/>
              </w:rPr>
              <w:t xml:space="preserve"> Nimenrix.</w:t>
            </w:r>
          </w:p>
        </w:tc>
      </w:tr>
      <w:tr w:rsidR="000A3D72" w:rsidRPr="00F7369B" w:rsidTr="00680FB4">
        <w:tc>
          <w:tcPr>
            <w:tcW w:w="1449" w:type="pct"/>
            <w:vAlign w:val="center"/>
          </w:tcPr>
          <w:p w:rsidR="000A3D72" w:rsidRPr="00F7369B" w:rsidRDefault="000A3D72" w:rsidP="006D69CF">
            <w:pPr>
              <w:pStyle w:val="TableText0"/>
              <w:rPr>
                <w:rFonts w:cstheme="minorHAnsi"/>
                <w:szCs w:val="20"/>
              </w:rPr>
            </w:pPr>
            <w:r w:rsidRPr="00F7369B">
              <w:rPr>
                <w:rFonts w:cstheme="minorHAnsi"/>
                <w:szCs w:val="20"/>
              </w:rPr>
              <w:t>Evidence base</w:t>
            </w:r>
          </w:p>
        </w:tc>
        <w:tc>
          <w:tcPr>
            <w:tcW w:w="3551" w:type="pct"/>
            <w:vAlign w:val="center"/>
          </w:tcPr>
          <w:p w:rsidR="000A3D72" w:rsidRPr="00F7369B" w:rsidRDefault="000A3D72" w:rsidP="006D69CF">
            <w:pPr>
              <w:pStyle w:val="TableText0"/>
              <w:rPr>
                <w:rFonts w:cstheme="minorHAnsi"/>
                <w:szCs w:val="20"/>
              </w:rPr>
            </w:pPr>
            <w:r w:rsidRPr="00F7369B">
              <w:rPr>
                <w:rFonts w:cstheme="minorHAnsi"/>
                <w:szCs w:val="20"/>
              </w:rPr>
              <w:t>Direct comparison of MenQuadfi and Nimenrix for children 12-23 months old.</w:t>
            </w:r>
          </w:p>
          <w:p w:rsidR="000A3D72" w:rsidRPr="00F7369B" w:rsidRDefault="000A3D72" w:rsidP="006D69CF">
            <w:pPr>
              <w:pStyle w:val="TableFooter"/>
              <w:rPr>
                <w:rFonts w:cstheme="minorHAnsi"/>
                <w:sz w:val="20"/>
                <w:szCs w:val="20"/>
              </w:rPr>
            </w:pPr>
          </w:p>
          <w:p w:rsidR="000A3D72" w:rsidRPr="00F7369B" w:rsidRDefault="000A3D72" w:rsidP="006D69CF">
            <w:pPr>
              <w:pStyle w:val="TableText0"/>
              <w:rPr>
                <w:rFonts w:cstheme="minorHAnsi"/>
                <w:szCs w:val="20"/>
              </w:rPr>
            </w:pPr>
            <w:r w:rsidRPr="00F7369B">
              <w:rPr>
                <w:rFonts w:cstheme="minorHAnsi"/>
                <w:szCs w:val="20"/>
              </w:rPr>
              <w:t xml:space="preserve">Direct comparison of MenQuadfi and Menveo for adolescent population. </w:t>
            </w:r>
            <w:r w:rsidR="005B046C" w:rsidRPr="00F7369B">
              <w:rPr>
                <w:rFonts w:cstheme="minorHAnsi"/>
                <w:szCs w:val="20"/>
              </w:rPr>
              <w:t xml:space="preserve">No direct evidence available vs Nimenrix. </w:t>
            </w:r>
          </w:p>
          <w:p w:rsidR="000A3D72" w:rsidRPr="00F7369B" w:rsidRDefault="000A3D72" w:rsidP="006D69CF">
            <w:pPr>
              <w:pStyle w:val="TableText0"/>
              <w:rPr>
                <w:rFonts w:cstheme="minorHAnsi"/>
                <w:szCs w:val="20"/>
              </w:rPr>
            </w:pPr>
            <w:r w:rsidRPr="00F7369B">
              <w:rPr>
                <w:rFonts w:cstheme="minorHAnsi"/>
                <w:szCs w:val="20"/>
              </w:rPr>
              <w:t>No data available for medically at-risk population.</w:t>
            </w:r>
          </w:p>
        </w:tc>
      </w:tr>
      <w:tr w:rsidR="000A3D72" w:rsidRPr="00F7369B" w:rsidTr="00680FB4">
        <w:tc>
          <w:tcPr>
            <w:tcW w:w="1449" w:type="pct"/>
            <w:vAlign w:val="center"/>
          </w:tcPr>
          <w:p w:rsidR="000A3D72" w:rsidRPr="00F7369B" w:rsidRDefault="000A3D72" w:rsidP="006D69CF">
            <w:pPr>
              <w:pStyle w:val="TableText0"/>
              <w:rPr>
                <w:rFonts w:cstheme="minorHAnsi"/>
                <w:szCs w:val="20"/>
              </w:rPr>
            </w:pPr>
            <w:r w:rsidRPr="00F7369B">
              <w:rPr>
                <w:rFonts w:cstheme="minorHAnsi"/>
                <w:szCs w:val="20"/>
              </w:rPr>
              <w:t>Equi-effective doses</w:t>
            </w:r>
          </w:p>
        </w:tc>
        <w:tc>
          <w:tcPr>
            <w:tcW w:w="3551" w:type="pct"/>
            <w:vAlign w:val="center"/>
          </w:tcPr>
          <w:p w:rsidR="000A3D72" w:rsidRPr="00F7369B" w:rsidRDefault="000A3D72" w:rsidP="006D69CF">
            <w:pPr>
              <w:pStyle w:val="TableText0"/>
              <w:rPr>
                <w:rFonts w:cstheme="minorHAnsi"/>
                <w:szCs w:val="20"/>
              </w:rPr>
            </w:pPr>
            <w:r w:rsidRPr="00F7369B">
              <w:rPr>
                <w:rFonts w:cstheme="minorHAnsi"/>
                <w:szCs w:val="20"/>
              </w:rPr>
              <w:t>Children 12 months old*.</w:t>
            </w:r>
          </w:p>
          <w:p w:rsidR="000A3D72" w:rsidRPr="00F7369B" w:rsidRDefault="000A3D72" w:rsidP="006D69CF">
            <w:pPr>
              <w:pStyle w:val="TableText0"/>
              <w:rPr>
                <w:rFonts w:cstheme="minorHAnsi"/>
                <w:szCs w:val="20"/>
              </w:rPr>
            </w:pPr>
            <w:r w:rsidRPr="00F7369B">
              <w:rPr>
                <w:rFonts w:cstheme="minorHAnsi"/>
                <w:szCs w:val="20"/>
              </w:rPr>
              <w:t>A single dose of (0.5 mL) of MenQuadfi = a single dose (0.5 mL) of Nimenrix</w:t>
            </w:r>
          </w:p>
          <w:p w:rsidR="00DD56F4" w:rsidRPr="00F7369B" w:rsidRDefault="00DD56F4" w:rsidP="006D69CF">
            <w:pPr>
              <w:pStyle w:val="TableText0"/>
              <w:rPr>
                <w:rFonts w:cstheme="minorHAnsi"/>
                <w:szCs w:val="20"/>
              </w:rPr>
            </w:pPr>
          </w:p>
          <w:p w:rsidR="000A3D72" w:rsidRPr="00F7369B" w:rsidRDefault="000A3D72" w:rsidP="006D69CF">
            <w:pPr>
              <w:pStyle w:val="TableText0"/>
              <w:rPr>
                <w:rFonts w:cstheme="minorHAnsi"/>
                <w:szCs w:val="20"/>
              </w:rPr>
            </w:pPr>
            <w:r w:rsidRPr="00F7369B">
              <w:rPr>
                <w:rFonts w:cstheme="minorHAnsi"/>
                <w:szCs w:val="20"/>
              </w:rPr>
              <w:t>Adolescents (14-19 years):</w:t>
            </w:r>
          </w:p>
          <w:p w:rsidR="000A3D72" w:rsidRPr="00F7369B" w:rsidRDefault="000A3D72" w:rsidP="006D69CF">
            <w:pPr>
              <w:pStyle w:val="TableText0"/>
              <w:rPr>
                <w:rFonts w:cstheme="minorHAnsi"/>
                <w:szCs w:val="20"/>
              </w:rPr>
            </w:pPr>
            <w:r w:rsidRPr="00F7369B">
              <w:rPr>
                <w:rFonts w:cstheme="minorHAnsi"/>
                <w:szCs w:val="20"/>
              </w:rPr>
              <w:t>A single dose of (0.5 mL) of MenQuadfi = a single dose (0.5 mL) of Nimenrix</w:t>
            </w:r>
          </w:p>
          <w:p w:rsidR="00DD56F4" w:rsidRPr="00F7369B" w:rsidRDefault="00DD56F4" w:rsidP="006D69CF">
            <w:pPr>
              <w:pStyle w:val="TableText0"/>
              <w:rPr>
                <w:rFonts w:cstheme="minorHAnsi"/>
                <w:szCs w:val="20"/>
              </w:rPr>
            </w:pPr>
          </w:p>
          <w:p w:rsidR="000A3D72" w:rsidRPr="00F7369B" w:rsidRDefault="000A3D72" w:rsidP="006D69CF">
            <w:pPr>
              <w:pStyle w:val="TableText0"/>
              <w:rPr>
                <w:rFonts w:cstheme="minorHAnsi"/>
                <w:szCs w:val="20"/>
              </w:rPr>
            </w:pPr>
            <w:r w:rsidRPr="00F7369B">
              <w:rPr>
                <w:rFonts w:cstheme="minorHAnsi"/>
                <w:szCs w:val="20"/>
              </w:rPr>
              <w:t xml:space="preserve">Medically at-risk individuals (≥12 months) **: </w:t>
            </w:r>
          </w:p>
          <w:p w:rsidR="000A3D72" w:rsidRPr="00F7369B" w:rsidRDefault="000A3D72" w:rsidP="006D69CF">
            <w:pPr>
              <w:pStyle w:val="TableText0"/>
              <w:rPr>
                <w:rFonts w:cstheme="minorHAnsi"/>
                <w:szCs w:val="20"/>
              </w:rPr>
            </w:pPr>
            <w:r w:rsidRPr="00F7369B">
              <w:rPr>
                <w:rFonts w:cstheme="minorHAnsi"/>
                <w:szCs w:val="20"/>
              </w:rPr>
              <w:t>Two doses of (0.5 mL) of MenQuadfi = Two doses (0.5 mL) of Nimenrix</w:t>
            </w:r>
          </w:p>
        </w:tc>
      </w:tr>
      <w:tr w:rsidR="000A3D72" w:rsidRPr="00F7369B" w:rsidTr="00680FB4">
        <w:tc>
          <w:tcPr>
            <w:tcW w:w="1449" w:type="pct"/>
            <w:vAlign w:val="center"/>
          </w:tcPr>
          <w:p w:rsidR="000A3D72" w:rsidRPr="00F7369B" w:rsidRDefault="000A3D72" w:rsidP="006D69CF">
            <w:pPr>
              <w:pStyle w:val="TableText0"/>
              <w:rPr>
                <w:rFonts w:cstheme="minorHAnsi"/>
                <w:szCs w:val="20"/>
              </w:rPr>
            </w:pPr>
            <w:r w:rsidRPr="00F7369B">
              <w:rPr>
                <w:rFonts w:cstheme="minorHAnsi"/>
                <w:szCs w:val="20"/>
              </w:rPr>
              <w:t>Direct medicine costs</w:t>
            </w:r>
          </w:p>
        </w:tc>
        <w:tc>
          <w:tcPr>
            <w:tcW w:w="3551" w:type="pct"/>
            <w:vAlign w:val="center"/>
          </w:tcPr>
          <w:p w:rsidR="000A3D72" w:rsidRPr="00F7369B" w:rsidRDefault="000A3D72" w:rsidP="004C2CD9">
            <w:pPr>
              <w:pStyle w:val="TableText0"/>
              <w:rPr>
                <w:rFonts w:cstheme="minorHAnsi"/>
                <w:szCs w:val="20"/>
              </w:rPr>
            </w:pPr>
            <w:r w:rsidRPr="00F7369B">
              <w:rPr>
                <w:rFonts w:cstheme="minorHAnsi"/>
                <w:szCs w:val="20"/>
              </w:rPr>
              <w:t xml:space="preserve">The submission stated that the sponsor would ‘match the revealed </w:t>
            </w:r>
            <w:r w:rsidR="004C2CD9" w:rsidRPr="00F7369B">
              <w:rPr>
                <w:rFonts w:cstheme="minorHAnsi"/>
                <w:szCs w:val="20"/>
              </w:rPr>
              <w:t xml:space="preserve">NNP </w:t>
            </w:r>
            <w:r w:rsidRPr="00F7369B">
              <w:rPr>
                <w:rFonts w:cstheme="minorHAnsi"/>
                <w:szCs w:val="20"/>
              </w:rPr>
              <w:t xml:space="preserve">list price of Nimenrix’ if </w:t>
            </w:r>
            <w:r w:rsidR="00413390" w:rsidRPr="00F7369B">
              <w:rPr>
                <w:rFonts w:cstheme="minorHAnsi"/>
                <w:szCs w:val="20"/>
              </w:rPr>
              <w:t>MenQuadfi is</w:t>
            </w:r>
            <w:r w:rsidR="004C2CD9" w:rsidRPr="00F7369B">
              <w:rPr>
                <w:rFonts w:cstheme="minorHAnsi"/>
                <w:szCs w:val="20"/>
              </w:rPr>
              <w:t xml:space="preserve"> recommended for listing </w:t>
            </w:r>
            <w:r w:rsidRPr="00F7369B">
              <w:rPr>
                <w:rFonts w:cstheme="minorHAnsi"/>
                <w:szCs w:val="20"/>
              </w:rPr>
              <w:t>on the NIP.</w:t>
            </w:r>
          </w:p>
        </w:tc>
      </w:tr>
      <w:tr w:rsidR="000A3D72" w:rsidRPr="00F7369B" w:rsidTr="00680FB4">
        <w:tc>
          <w:tcPr>
            <w:tcW w:w="1449" w:type="pct"/>
            <w:vAlign w:val="center"/>
          </w:tcPr>
          <w:p w:rsidR="000A3D72" w:rsidRPr="00F7369B" w:rsidRDefault="000A3D72" w:rsidP="006D69CF">
            <w:pPr>
              <w:pStyle w:val="TableText0"/>
              <w:rPr>
                <w:rFonts w:cstheme="minorHAnsi"/>
                <w:szCs w:val="20"/>
              </w:rPr>
            </w:pPr>
            <w:r w:rsidRPr="00F7369B">
              <w:rPr>
                <w:rFonts w:cstheme="minorHAnsi"/>
                <w:szCs w:val="20"/>
              </w:rPr>
              <w:t>Other costs or cost offsets</w:t>
            </w:r>
          </w:p>
        </w:tc>
        <w:tc>
          <w:tcPr>
            <w:tcW w:w="3551" w:type="pct"/>
            <w:vAlign w:val="center"/>
          </w:tcPr>
          <w:p w:rsidR="000A3D72" w:rsidRPr="00F7369B" w:rsidRDefault="000A3D72" w:rsidP="006D69CF">
            <w:pPr>
              <w:rPr>
                <w:rFonts w:ascii="Arial Narrow" w:hAnsi="Arial Narrow" w:cstheme="minorHAnsi"/>
                <w:sz w:val="20"/>
                <w:szCs w:val="20"/>
              </w:rPr>
            </w:pPr>
            <w:r w:rsidRPr="00F7369B">
              <w:rPr>
                <w:rFonts w:ascii="Arial Narrow" w:hAnsi="Arial Narrow" w:cstheme="minorHAnsi"/>
                <w:sz w:val="20"/>
                <w:szCs w:val="20"/>
              </w:rPr>
              <w:t>None</w:t>
            </w:r>
          </w:p>
        </w:tc>
      </w:tr>
    </w:tbl>
    <w:p w:rsidR="000A3D72" w:rsidRPr="00F7369B" w:rsidRDefault="000A3D72" w:rsidP="000A3D72">
      <w:pPr>
        <w:pStyle w:val="TableFooter"/>
        <w:rPr>
          <w:rFonts w:cstheme="minorHAnsi"/>
          <w:sz w:val="20"/>
          <w:szCs w:val="20"/>
        </w:rPr>
      </w:pPr>
      <w:r w:rsidRPr="00F7369B">
        <w:rPr>
          <w:rFonts w:cstheme="minorHAnsi"/>
          <w:sz w:val="20"/>
          <w:szCs w:val="20"/>
        </w:rPr>
        <w:t xml:space="preserve">*the submission stated children 12-23 months old, but the current NIP is listed as children 12 months old. </w:t>
      </w:r>
    </w:p>
    <w:p w:rsidR="000A3D72" w:rsidRPr="00F7369B" w:rsidRDefault="000A3D72" w:rsidP="000A3D72">
      <w:pPr>
        <w:pStyle w:val="TableFooter"/>
        <w:rPr>
          <w:rFonts w:cstheme="minorHAnsi"/>
          <w:sz w:val="20"/>
          <w:szCs w:val="20"/>
        </w:rPr>
      </w:pPr>
      <w:r w:rsidRPr="00F7369B">
        <w:rPr>
          <w:rFonts w:cstheme="minorHAnsi"/>
          <w:sz w:val="20"/>
          <w:szCs w:val="20"/>
        </w:rPr>
        <w:t xml:space="preserve">**modified to ≥12 months, instead of all ages given that MenQuadfi is indicated for use in individual ≥12 months </w:t>
      </w:r>
    </w:p>
    <w:p w:rsidR="000A3D72" w:rsidRPr="00F7369B" w:rsidRDefault="000A3D72" w:rsidP="000A3D72">
      <w:pPr>
        <w:pStyle w:val="TableFooter"/>
        <w:rPr>
          <w:rFonts w:asciiTheme="minorHAnsi" w:hAnsiTheme="minorHAnsi" w:cstheme="minorHAnsi"/>
          <w:sz w:val="20"/>
        </w:rPr>
      </w:pPr>
      <w:r w:rsidRPr="00F7369B">
        <w:rPr>
          <w:rFonts w:cstheme="minorHAnsi"/>
          <w:sz w:val="20"/>
          <w:szCs w:val="20"/>
        </w:rPr>
        <w:t>Source: Compiled during the evaluation based on the information provided in Section 2 and Section 3 of the submission.</w:t>
      </w:r>
    </w:p>
    <w:p w:rsidR="00D07340" w:rsidRPr="00F7369B" w:rsidRDefault="00D07340" w:rsidP="00787F67">
      <w:pPr>
        <w:pStyle w:val="3-BodyText"/>
        <w:numPr>
          <w:ilvl w:val="0"/>
          <w:numId w:val="0"/>
        </w:numPr>
        <w:rPr>
          <w:rFonts w:cstheme="minorHAnsi"/>
          <w:color w:val="0066FF"/>
        </w:rPr>
      </w:pPr>
    </w:p>
    <w:p w:rsidR="000A3D72" w:rsidRPr="00F7369B" w:rsidRDefault="00D07340" w:rsidP="00D07340">
      <w:pPr>
        <w:pStyle w:val="3-BodyText"/>
        <w:rPr>
          <w:rFonts w:cstheme="minorHAnsi"/>
          <w:iCs/>
        </w:rPr>
      </w:pPr>
      <w:r w:rsidRPr="00F7369B">
        <w:rPr>
          <w:rFonts w:cstheme="minorHAnsi"/>
        </w:rPr>
        <w:t xml:space="preserve">The equi-effective doses were estimated as </w:t>
      </w:r>
      <w:r w:rsidR="000A3D72" w:rsidRPr="00F7369B">
        <w:rPr>
          <w:rFonts w:cstheme="minorHAnsi"/>
        </w:rPr>
        <w:t>MenQuadfi (</w:t>
      </w:r>
      <w:r w:rsidR="000A3D72" w:rsidRPr="00F7369B">
        <w:rPr>
          <w:rFonts w:cstheme="minorHAnsi"/>
          <w:iCs/>
        </w:rPr>
        <w:t>1 x 0.5 mL)</w:t>
      </w:r>
      <w:r w:rsidR="000A3D72" w:rsidRPr="00F7369B">
        <w:rPr>
          <w:rFonts w:cstheme="minorHAnsi"/>
        </w:rPr>
        <w:t xml:space="preserve"> </w:t>
      </w:r>
      <w:r w:rsidRPr="00F7369B">
        <w:rPr>
          <w:rFonts w:cstheme="minorHAnsi"/>
        </w:rPr>
        <w:t xml:space="preserve">and </w:t>
      </w:r>
      <w:r w:rsidR="000A3D72" w:rsidRPr="00F7369B">
        <w:rPr>
          <w:rFonts w:cstheme="minorHAnsi"/>
          <w:iCs/>
        </w:rPr>
        <w:t>Nimenrix (1</w:t>
      </w:r>
      <w:r w:rsidR="00D70D45" w:rsidRPr="00F7369B">
        <w:rPr>
          <w:rFonts w:cstheme="minorHAnsi"/>
          <w:iCs/>
        </w:rPr>
        <w:t> </w:t>
      </w:r>
      <w:r w:rsidR="000A3D72" w:rsidRPr="00F7369B">
        <w:rPr>
          <w:rFonts w:cstheme="minorHAnsi"/>
          <w:iCs/>
        </w:rPr>
        <w:t>x</w:t>
      </w:r>
      <w:r w:rsidR="00D70D45" w:rsidRPr="00F7369B">
        <w:rPr>
          <w:rFonts w:cstheme="minorHAnsi"/>
          <w:iCs/>
        </w:rPr>
        <w:t> </w:t>
      </w:r>
      <w:r w:rsidR="000A3D72" w:rsidRPr="00F7369B">
        <w:rPr>
          <w:rFonts w:cstheme="minorHAnsi"/>
          <w:iCs/>
        </w:rPr>
        <w:t>0.5 mL)</w:t>
      </w:r>
      <w:r w:rsidR="000A3D72" w:rsidRPr="00F7369B">
        <w:rPr>
          <w:rFonts w:cstheme="minorHAnsi"/>
        </w:rPr>
        <w:t xml:space="preserve"> for children (12</w:t>
      </w:r>
      <w:r w:rsidR="00FD73EE" w:rsidRPr="00F7369B">
        <w:rPr>
          <w:rFonts w:cstheme="minorHAnsi"/>
        </w:rPr>
        <w:t xml:space="preserve"> </w:t>
      </w:r>
      <w:r w:rsidR="000A3D72" w:rsidRPr="00F7369B">
        <w:rPr>
          <w:rFonts w:cstheme="minorHAnsi"/>
        </w:rPr>
        <w:t>months) and adolescent</w:t>
      </w:r>
      <w:r w:rsidR="00EC2624" w:rsidRPr="00F7369B">
        <w:rPr>
          <w:rFonts w:cstheme="minorHAnsi"/>
        </w:rPr>
        <w:t>s</w:t>
      </w:r>
      <w:r w:rsidR="000A3D72" w:rsidRPr="00F7369B">
        <w:rPr>
          <w:rFonts w:cstheme="minorHAnsi"/>
        </w:rPr>
        <w:t xml:space="preserve"> (14-19 years old). </w:t>
      </w:r>
      <w:r w:rsidR="000A3D72" w:rsidRPr="00F7369B">
        <w:rPr>
          <w:rFonts w:cstheme="minorHAnsi"/>
          <w:iCs/>
        </w:rPr>
        <w:t xml:space="preserve">The proposed dose for the </w:t>
      </w:r>
      <w:r w:rsidR="00CB11D7" w:rsidRPr="00F7369B">
        <w:rPr>
          <w:rFonts w:cstheme="minorHAnsi"/>
          <w:iCs/>
        </w:rPr>
        <w:t>children</w:t>
      </w:r>
      <w:r w:rsidR="000A3D72" w:rsidRPr="00F7369B">
        <w:rPr>
          <w:rFonts w:cstheme="minorHAnsi"/>
          <w:iCs/>
        </w:rPr>
        <w:t xml:space="preserve"> and adolescent populations </w:t>
      </w:r>
      <w:r w:rsidR="00EF1C3A" w:rsidRPr="00F7369B">
        <w:rPr>
          <w:rFonts w:cstheme="minorHAnsi"/>
          <w:iCs/>
        </w:rPr>
        <w:t xml:space="preserve">was consistent with </w:t>
      </w:r>
      <w:r w:rsidR="000A3D72" w:rsidRPr="00F7369B">
        <w:rPr>
          <w:rFonts w:cstheme="minorHAnsi"/>
          <w:iCs/>
        </w:rPr>
        <w:t>the draft MenQuadfi P</w:t>
      </w:r>
      <w:r w:rsidR="00DD3906" w:rsidRPr="00F7369B">
        <w:rPr>
          <w:rFonts w:cstheme="minorHAnsi"/>
          <w:iCs/>
        </w:rPr>
        <w:t>I</w:t>
      </w:r>
      <w:r w:rsidR="00EC2624" w:rsidRPr="00F7369B">
        <w:rPr>
          <w:rFonts w:cstheme="minorHAnsi"/>
          <w:iCs/>
        </w:rPr>
        <w:t xml:space="preserve"> provided with the submission</w:t>
      </w:r>
      <w:r w:rsidR="000A3D72" w:rsidRPr="00F7369B">
        <w:rPr>
          <w:rFonts w:cstheme="minorHAnsi"/>
          <w:iCs/>
        </w:rPr>
        <w:t>.</w:t>
      </w:r>
    </w:p>
    <w:p w:rsidR="00F63418" w:rsidRPr="00F7369B" w:rsidRDefault="000A3D72" w:rsidP="00F63418">
      <w:pPr>
        <w:pStyle w:val="3-BodyText"/>
        <w:rPr>
          <w:rFonts w:cstheme="minorHAnsi"/>
        </w:rPr>
      </w:pPr>
      <w:r w:rsidRPr="00F7369B">
        <w:rPr>
          <w:rFonts w:cstheme="minorHAnsi"/>
        </w:rPr>
        <w:t>The equi-effective doses were estimated as MenQuadfi (</w:t>
      </w:r>
      <w:r w:rsidRPr="00F7369B">
        <w:rPr>
          <w:rFonts w:cstheme="minorHAnsi"/>
          <w:iCs/>
        </w:rPr>
        <w:t>2 x 0.5 mL)</w:t>
      </w:r>
      <w:r w:rsidRPr="00F7369B">
        <w:rPr>
          <w:rFonts w:cstheme="minorHAnsi"/>
        </w:rPr>
        <w:t xml:space="preserve"> and </w:t>
      </w:r>
      <w:r w:rsidRPr="00F7369B">
        <w:rPr>
          <w:rFonts w:cstheme="minorHAnsi"/>
          <w:iCs/>
        </w:rPr>
        <w:t>Nimenrix (2</w:t>
      </w:r>
      <w:r w:rsidR="00D70D45" w:rsidRPr="00F7369B">
        <w:rPr>
          <w:rFonts w:cstheme="minorHAnsi"/>
          <w:iCs/>
        </w:rPr>
        <w:t> </w:t>
      </w:r>
      <w:r w:rsidRPr="00F7369B">
        <w:rPr>
          <w:rFonts w:cstheme="minorHAnsi"/>
          <w:iCs/>
        </w:rPr>
        <w:t>x</w:t>
      </w:r>
      <w:r w:rsidR="00D70D45" w:rsidRPr="00F7369B">
        <w:rPr>
          <w:rFonts w:cstheme="minorHAnsi"/>
          <w:iCs/>
        </w:rPr>
        <w:t> </w:t>
      </w:r>
      <w:r w:rsidRPr="00F7369B">
        <w:rPr>
          <w:rFonts w:cstheme="minorHAnsi"/>
          <w:iCs/>
        </w:rPr>
        <w:t>0.5 mL)</w:t>
      </w:r>
      <w:r w:rsidRPr="00F7369B">
        <w:rPr>
          <w:rFonts w:cstheme="minorHAnsi"/>
        </w:rPr>
        <w:t xml:space="preserve"> for medically at-risk individuals (≥12 months)</w:t>
      </w:r>
      <w:r w:rsidR="00105867" w:rsidRPr="00F7369B">
        <w:rPr>
          <w:rStyle w:val="FootnoteReference"/>
          <w:rFonts w:cstheme="minorHAnsi"/>
        </w:rPr>
        <w:footnoteReference w:id="3"/>
      </w:r>
      <w:r w:rsidRPr="00F7369B">
        <w:rPr>
          <w:rFonts w:cstheme="minorHAnsi"/>
        </w:rPr>
        <w:t xml:space="preserve">. </w:t>
      </w:r>
      <w:r w:rsidR="005C49C3" w:rsidRPr="00F7369B">
        <w:rPr>
          <w:rFonts w:cstheme="minorHAnsi"/>
        </w:rPr>
        <w:t xml:space="preserve">The </w:t>
      </w:r>
      <w:r w:rsidR="00F06449" w:rsidRPr="00F7369B">
        <w:rPr>
          <w:rFonts w:cstheme="minorHAnsi"/>
        </w:rPr>
        <w:t>e</w:t>
      </w:r>
      <w:r w:rsidR="005C49C3" w:rsidRPr="00F7369B">
        <w:rPr>
          <w:rFonts w:cstheme="minorHAnsi"/>
        </w:rPr>
        <w:t xml:space="preserve">valuation considered </w:t>
      </w:r>
      <w:r w:rsidR="005C49C3" w:rsidRPr="00F7369B">
        <w:rPr>
          <w:rFonts w:cstheme="minorHAnsi"/>
          <w:iCs/>
        </w:rPr>
        <w:t>t</w:t>
      </w:r>
      <w:r w:rsidRPr="00F7369B">
        <w:rPr>
          <w:rFonts w:cstheme="minorHAnsi"/>
          <w:iCs/>
        </w:rPr>
        <w:t xml:space="preserve">his </w:t>
      </w:r>
      <w:r w:rsidR="00AB2637" w:rsidRPr="00F7369B">
        <w:rPr>
          <w:rFonts w:cstheme="minorHAnsi"/>
          <w:iCs/>
        </w:rPr>
        <w:t>wa</w:t>
      </w:r>
      <w:r w:rsidRPr="00F7369B">
        <w:rPr>
          <w:rFonts w:cstheme="minorHAnsi"/>
          <w:iCs/>
        </w:rPr>
        <w:t>s reasonable as the ATAGI proposed ‘a 2 dose schedule with an interval of 8</w:t>
      </w:r>
      <w:r w:rsidR="006F1ECE" w:rsidRPr="00F7369B">
        <w:rPr>
          <w:rFonts w:cstheme="minorHAnsi"/>
          <w:iCs/>
        </w:rPr>
        <w:t> </w:t>
      </w:r>
      <w:r w:rsidRPr="00F7369B">
        <w:rPr>
          <w:rFonts w:cstheme="minorHAnsi"/>
          <w:iCs/>
        </w:rPr>
        <w:t>weeks between doses for those with a specified medical condition associated with an increased risk of IMD’</w:t>
      </w:r>
      <w:r w:rsidR="00787F67" w:rsidRPr="00F7369B">
        <w:rPr>
          <w:rFonts w:cstheme="minorHAnsi"/>
          <w:iCs/>
        </w:rPr>
        <w:t>.</w:t>
      </w:r>
    </w:p>
    <w:p w:rsidR="00413390" w:rsidRPr="00F7369B" w:rsidRDefault="00CB11D7" w:rsidP="00F63418">
      <w:pPr>
        <w:pStyle w:val="3-BodyText"/>
        <w:rPr>
          <w:rFonts w:cstheme="minorHAnsi"/>
        </w:rPr>
      </w:pPr>
      <w:r w:rsidRPr="00F7369B">
        <w:rPr>
          <w:rFonts w:cstheme="minorHAnsi"/>
          <w:iCs/>
          <w:snapToGrid/>
        </w:rPr>
        <w:t>The submission did not include the cost to the GP</w:t>
      </w:r>
      <w:r w:rsidR="004E18AE" w:rsidRPr="00F7369B">
        <w:rPr>
          <w:rFonts w:cstheme="minorHAnsi"/>
          <w:iCs/>
          <w:snapToGrid/>
        </w:rPr>
        <w:t xml:space="preserve"> or</w:t>
      </w:r>
      <w:r w:rsidRPr="00F7369B">
        <w:rPr>
          <w:rFonts w:cstheme="minorHAnsi"/>
          <w:iCs/>
          <w:snapToGrid/>
        </w:rPr>
        <w:t xml:space="preserve"> costs of</w:t>
      </w:r>
      <w:r w:rsidR="004E18AE" w:rsidRPr="00F7369B">
        <w:rPr>
          <w:rFonts w:cstheme="minorHAnsi"/>
          <w:iCs/>
          <w:snapToGrid/>
        </w:rPr>
        <w:t xml:space="preserve"> treating</w:t>
      </w:r>
      <w:r w:rsidRPr="00F7369B">
        <w:rPr>
          <w:rFonts w:cstheme="minorHAnsi"/>
          <w:iCs/>
          <w:snapToGrid/>
        </w:rPr>
        <w:t xml:space="preserve"> adverse event</w:t>
      </w:r>
      <w:r w:rsidR="004E18AE" w:rsidRPr="00F7369B">
        <w:rPr>
          <w:rFonts w:cstheme="minorHAnsi"/>
          <w:iCs/>
          <w:snapToGrid/>
        </w:rPr>
        <w:t>s</w:t>
      </w:r>
      <w:r w:rsidRPr="00F7369B">
        <w:rPr>
          <w:rFonts w:cstheme="minorHAnsi"/>
          <w:iCs/>
          <w:snapToGrid/>
        </w:rPr>
        <w:t xml:space="preserve"> associated with the administration of MenQuadfi. However,</w:t>
      </w:r>
      <w:r w:rsidR="004E18AE" w:rsidRPr="00F7369B">
        <w:rPr>
          <w:rFonts w:cstheme="minorHAnsi"/>
          <w:iCs/>
          <w:snapToGrid/>
        </w:rPr>
        <w:t xml:space="preserve"> these costs are likely to be equal for MenQuadfi and Nimenrix</w:t>
      </w:r>
      <w:r w:rsidR="00F7369B">
        <w:rPr>
          <w:rFonts w:cstheme="minorHAnsi"/>
          <w:iCs/>
          <w:snapToGrid/>
        </w:rPr>
        <w:t xml:space="preserve">. </w:t>
      </w:r>
      <w:r w:rsidR="004E18AE" w:rsidRPr="00F7369B">
        <w:rPr>
          <w:rFonts w:cstheme="minorHAnsi"/>
          <w:iCs/>
          <w:snapToGrid/>
        </w:rPr>
        <w:t>Further,</w:t>
      </w:r>
      <w:r w:rsidRPr="00F7369B">
        <w:rPr>
          <w:rFonts w:cstheme="minorHAnsi"/>
          <w:iCs/>
          <w:snapToGrid/>
        </w:rPr>
        <w:t xml:space="preserve"> the</w:t>
      </w:r>
      <w:r w:rsidR="00BF464C" w:rsidRPr="00F7369B">
        <w:rPr>
          <w:rFonts w:cstheme="minorHAnsi"/>
          <w:iCs/>
          <w:snapToGrid/>
        </w:rPr>
        <w:t xml:space="preserve"> totals costs per patient </w:t>
      </w:r>
      <w:r w:rsidR="00B26126" w:rsidRPr="00F7369B">
        <w:rPr>
          <w:rFonts w:cstheme="minorHAnsi"/>
          <w:iCs/>
          <w:snapToGrid/>
        </w:rPr>
        <w:t>we</w:t>
      </w:r>
      <w:r w:rsidR="00E31E44" w:rsidRPr="00F7369B">
        <w:rPr>
          <w:rFonts w:cstheme="minorHAnsi"/>
          <w:iCs/>
          <w:snapToGrid/>
        </w:rPr>
        <w:t>re</w:t>
      </w:r>
      <w:r w:rsidR="00BF464C" w:rsidRPr="00F7369B">
        <w:rPr>
          <w:rFonts w:cstheme="minorHAnsi"/>
          <w:iCs/>
          <w:snapToGrid/>
        </w:rPr>
        <w:t xml:space="preserve"> likely to be equal for MenQuadfi and Nimenrix given that the sponsor would match the </w:t>
      </w:r>
      <w:r w:rsidR="000756EE" w:rsidRPr="00F7369B">
        <w:rPr>
          <w:rFonts w:cstheme="minorHAnsi"/>
          <w:iCs/>
          <w:snapToGrid/>
        </w:rPr>
        <w:t>NPP</w:t>
      </w:r>
      <w:r w:rsidR="00BF464C" w:rsidRPr="00F7369B">
        <w:rPr>
          <w:rFonts w:cstheme="minorHAnsi"/>
          <w:iCs/>
          <w:snapToGrid/>
        </w:rPr>
        <w:t xml:space="preserve"> of Nimenrix if </w:t>
      </w:r>
      <w:r w:rsidR="00413390" w:rsidRPr="00F7369B">
        <w:rPr>
          <w:rFonts w:cstheme="minorHAnsi"/>
          <w:iCs/>
          <w:snapToGrid/>
        </w:rPr>
        <w:t xml:space="preserve">MenQuadfi </w:t>
      </w:r>
      <w:r w:rsidR="00AB2637" w:rsidRPr="00F7369B">
        <w:rPr>
          <w:rFonts w:cstheme="minorHAnsi"/>
          <w:iCs/>
          <w:snapToGrid/>
        </w:rPr>
        <w:t>wa</w:t>
      </w:r>
      <w:r w:rsidR="00413390" w:rsidRPr="00F7369B">
        <w:rPr>
          <w:rFonts w:cstheme="minorHAnsi"/>
          <w:iCs/>
          <w:snapToGrid/>
        </w:rPr>
        <w:t>s</w:t>
      </w:r>
      <w:r w:rsidR="004437D5" w:rsidRPr="00F7369B">
        <w:rPr>
          <w:rFonts w:cstheme="minorHAnsi"/>
          <w:iCs/>
          <w:snapToGrid/>
        </w:rPr>
        <w:t xml:space="preserve"> </w:t>
      </w:r>
      <w:r w:rsidR="00D43967" w:rsidRPr="00F7369B">
        <w:rPr>
          <w:rFonts w:cstheme="minorHAnsi"/>
          <w:iCs/>
          <w:snapToGrid/>
        </w:rPr>
        <w:t xml:space="preserve">recommended for inclusion </w:t>
      </w:r>
      <w:r w:rsidR="00BF464C" w:rsidRPr="00F7369B">
        <w:rPr>
          <w:rFonts w:cstheme="minorHAnsi"/>
          <w:iCs/>
          <w:snapToGrid/>
        </w:rPr>
        <w:t xml:space="preserve">on the </w:t>
      </w:r>
      <w:r w:rsidR="00FD73EE" w:rsidRPr="00F7369B">
        <w:rPr>
          <w:rFonts w:cstheme="minorHAnsi"/>
          <w:iCs/>
          <w:snapToGrid/>
        </w:rPr>
        <w:t>Determination</w:t>
      </w:r>
      <w:r w:rsidRPr="00F7369B">
        <w:rPr>
          <w:rFonts w:cstheme="minorHAnsi"/>
          <w:iCs/>
          <w:snapToGrid/>
        </w:rPr>
        <w:t xml:space="preserve">. </w:t>
      </w:r>
    </w:p>
    <w:p w:rsidR="00413390" w:rsidRPr="00F7369B" w:rsidRDefault="00413390" w:rsidP="00413390">
      <w:pPr>
        <w:pStyle w:val="3-BodyText"/>
        <w:numPr>
          <w:ilvl w:val="0"/>
          <w:numId w:val="0"/>
        </w:numPr>
        <w:ind w:left="720"/>
        <w:rPr>
          <w:rFonts w:cstheme="minorHAnsi"/>
          <w:i/>
          <w:iCs/>
          <w:snapToGrid/>
        </w:rPr>
      </w:pPr>
    </w:p>
    <w:p w:rsidR="00D07340" w:rsidRPr="00F7369B" w:rsidRDefault="00D07340" w:rsidP="00D07340">
      <w:pPr>
        <w:pStyle w:val="4-SubsectionHeading"/>
        <w:rPr>
          <w:rFonts w:cstheme="minorHAnsi"/>
        </w:rPr>
      </w:pPr>
      <w:bookmarkStart w:id="24" w:name="_Toc22897647"/>
      <w:bookmarkStart w:id="25" w:name="_Toc51066742"/>
      <w:r w:rsidRPr="00F7369B">
        <w:rPr>
          <w:rFonts w:cstheme="minorHAnsi"/>
        </w:rPr>
        <w:t xml:space="preserve">Estimated </w:t>
      </w:r>
      <w:r w:rsidR="00206207" w:rsidRPr="00F7369B">
        <w:rPr>
          <w:rFonts w:cstheme="minorHAnsi"/>
        </w:rPr>
        <w:t xml:space="preserve">NIP </w:t>
      </w:r>
      <w:r w:rsidRPr="00F7369B">
        <w:rPr>
          <w:rFonts w:cstheme="minorHAnsi"/>
        </w:rPr>
        <w:t>usage &amp; financial implications</w:t>
      </w:r>
      <w:bookmarkEnd w:id="24"/>
      <w:bookmarkEnd w:id="25"/>
    </w:p>
    <w:p w:rsidR="006D69CF" w:rsidRPr="00F7369B" w:rsidRDefault="00D07340" w:rsidP="00F852A0">
      <w:pPr>
        <w:pStyle w:val="3-BodyText"/>
        <w:rPr>
          <w:rFonts w:cstheme="minorHAnsi"/>
        </w:rPr>
      </w:pPr>
      <w:r w:rsidRPr="00F7369B">
        <w:rPr>
          <w:rFonts w:cstheme="minorHAnsi"/>
        </w:rPr>
        <w:t xml:space="preserve">This submission </w:t>
      </w:r>
      <w:r w:rsidR="007969C0" w:rsidRPr="00F7369B">
        <w:rPr>
          <w:rFonts w:cstheme="minorHAnsi"/>
        </w:rPr>
        <w:t>was not</w:t>
      </w:r>
      <w:r w:rsidRPr="00F7369B">
        <w:rPr>
          <w:rFonts w:cstheme="minorHAnsi"/>
        </w:rPr>
        <w:t xml:space="preserve"> considered by DUSC.</w:t>
      </w:r>
      <w:r w:rsidR="006D69CF" w:rsidRPr="00F7369B">
        <w:rPr>
          <w:rFonts w:cstheme="minorHAnsi"/>
        </w:rPr>
        <w:t xml:space="preserve"> The submission used a market share approach to estimate the use and financial impact of the proposed vaccination program. </w:t>
      </w:r>
    </w:p>
    <w:p w:rsidR="00987B59" w:rsidRPr="00F7369B" w:rsidRDefault="004437D5" w:rsidP="00F852A0">
      <w:pPr>
        <w:pStyle w:val="3-BodyText"/>
        <w:rPr>
          <w:rFonts w:cstheme="minorHAnsi"/>
          <w:i/>
          <w:iCs/>
        </w:rPr>
      </w:pPr>
      <w:r w:rsidRPr="00F7369B">
        <w:rPr>
          <w:rFonts w:cstheme="minorHAnsi"/>
          <w:iCs/>
        </w:rPr>
        <w:t xml:space="preserve">The submission </w:t>
      </w:r>
      <w:r w:rsidR="00177E2E" w:rsidRPr="00F7369B">
        <w:rPr>
          <w:rFonts w:cstheme="minorHAnsi"/>
          <w:iCs/>
        </w:rPr>
        <w:t>based its financial estimates on</w:t>
      </w:r>
      <w:r w:rsidR="0021728F" w:rsidRPr="00F7369B">
        <w:rPr>
          <w:rFonts w:cstheme="minorHAnsi"/>
          <w:iCs/>
        </w:rPr>
        <w:t xml:space="preserve"> Nimenrix,</w:t>
      </w:r>
      <w:r w:rsidR="00177E2E" w:rsidRPr="00F7369B">
        <w:rPr>
          <w:rFonts w:cstheme="minorHAnsi"/>
          <w:iCs/>
        </w:rPr>
        <w:t xml:space="preserve"> the </w:t>
      </w:r>
      <w:r w:rsidR="00206207" w:rsidRPr="00F7369B">
        <w:rPr>
          <w:rFonts w:cstheme="minorHAnsi"/>
          <w:iCs/>
        </w:rPr>
        <w:t>NIP</w:t>
      </w:r>
      <w:r w:rsidR="00E8740E" w:rsidRPr="00F7369B">
        <w:rPr>
          <w:rFonts w:cstheme="minorHAnsi"/>
          <w:iCs/>
        </w:rPr>
        <w:t>-</w:t>
      </w:r>
      <w:r w:rsidR="00177E2E" w:rsidRPr="00F7369B">
        <w:rPr>
          <w:rFonts w:cstheme="minorHAnsi"/>
          <w:iCs/>
        </w:rPr>
        <w:t xml:space="preserve">listed vaccine </w:t>
      </w:r>
      <w:r w:rsidR="000E796A" w:rsidRPr="00F7369B">
        <w:rPr>
          <w:rFonts w:cstheme="minorHAnsi"/>
          <w:iCs/>
        </w:rPr>
        <w:t>at the time of submission</w:t>
      </w:r>
      <w:r w:rsidR="00177E2E" w:rsidRPr="00F7369B">
        <w:rPr>
          <w:rFonts w:cstheme="minorHAnsi"/>
          <w:iCs/>
        </w:rPr>
        <w:t>.</w:t>
      </w:r>
      <w:r w:rsidR="00987B59" w:rsidRPr="00F7369B">
        <w:rPr>
          <w:rFonts w:cstheme="minorHAnsi"/>
          <w:iCs/>
        </w:rPr>
        <w:t xml:space="preserve"> The key data sources data applied were </w:t>
      </w:r>
      <w:r w:rsidR="00987B59" w:rsidRPr="00F7369B">
        <w:rPr>
          <w:rFonts w:cstheme="minorHAnsi"/>
        </w:rPr>
        <w:t>ABS population projections for Australian infants 12 months old</w:t>
      </w:r>
      <w:r w:rsidR="00013B62" w:rsidRPr="00F7369B">
        <w:rPr>
          <w:rFonts w:cstheme="minorHAnsi"/>
        </w:rPr>
        <w:t xml:space="preserve"> and</w:t>
      </w:r>
      <w:r w:rsidR="00987B59" w:rsidRPr="00F7369B">
        <w:rPr>
          <w:rFonts w:cstheme="minorHAnsi"/>
        </w:rPr>
        <w:t xml:space="preserve"> adolescents aged 14-19 years. The submission assumed </w:t>
      </w:r>
      <w:r w:rsidR="00914829">
        <w:rPr>
          <w:rFonts w:cstheme="minorHAnsi"/>
        </w:rPr>
        <w:t>500 to &lt; 5,000</w:t>
      </w:r>
      <w:r w:rsidR="00987B59" w:rsidRPr="00F7369B">
        <w:rPr>
          <w:rFonts w:cstheme="minorHAnsi"/>
        </w:rPr>
        <w:t xml:space="preserve"> </w:t>
      </w:r>
      <w:r w:rsidR="00013B62" w:rsidRPr="00F7369B">
        <w:rPr>
          <w:rFonts w:cstheme="minorHAnsi"/>
        </w:rPr>
        <w:t xml:space="preserve">medically at-risk </w:t>
      </w:r>
      <w:r w:rsidR="00987B59" w:rsidRPr="00F7369B">
        <w:rPr>
          <w:rFonts w:cstheme="minorHAnsi"/>
        </w:rPr>
        <w:t>individuals per annum.</w:t>
      </w:r>
      <w:r w:rsidR="00987B59" w:rsidRPr="00F7369B">
        <w:rPr>
          <w:rFonts w:cstheme="minorHAnsi"/>
          <w:iCs/>
        </w:rPr>
        <w:t xml:space="preserve"> T</w:t>
      </w:r>
      <w:r w:rsidR="000413AD" w:rsidRPr="00F7369B">
        <w:rPr>
          <w:rFonts w:cstheme="minorHAnsi"/>
          <w:iCs/>
        </w:rPr>
        <w:t xml:space="preserve">he evaluation considered this to be </w:t>
      </w:r>
      <w:r w:rsidR="00987B59" w:rsidRPr="00F7369B">
        <w:rPr>
          <w:rFonts w:cstheme="minorHAnsi"/>
          <w:iCs/>
        </w:rPr>
        <w:t>uncertain.</w:t>
      </w:r>
      <w:r w:rsidR="00987B59" w:rsidRPr="00F7369B">
        <w:rPr>
          <w:rFonts w:cstheme="minorHAnsi"/>
          <w:i/>
          <w:iCs/>
        </w:rPr>
        <w:t xml:space="preserve"> </w:t>
      </w:r>
      <w:r w:rsidR="00987B59" w:rsidRPr="00F7369B">
        <w:rPr>
          <w:rFonts w:cstheme="minorHAnsi"/>
          <w:iCs/>
        </w:rPr>
        <w:t>The detailed data sources and parameter values applied in the utili</w:t>
      </w:r>
      <w:r w:rsidR="000413AD" w:rsidRPr="00F7369B">
        <w:rPr>
          <w:rFonts w:cstheme="minorHAnsi"/>
          <w:iCs/>
        </w:rPr>
        <w:t>s</w:t>
      </w:r>
      <w:r w:rsidR="00987B59" w:rsidRPr="00F7369B">
        <w:rPr>
          <w:rFonts w:cstheme="minorHAnsi"/>
          <w:iCs/>
        </w:rPr>
        <w:t>ation and financial estimates are summarised in Table 8</w:t>
      </w:r>
      <w:r w:rsidR="00013B62" w:rsidRPr="00F7369B">
        <w:rPr>
          <w:rFonts w:cstheme="minorHAnsi"/>
          <w:iCs/>
        </w:rPr>
        <w:t>.</w:t>
      </w:r>
    </w:p>
    <w:p w:rsidR="00250B02" w:rsidRPr="00F7369B" w:rsidRDefault="00250B02" w:rsidP="00B776D2">
      <w:pPr>
        <w:pStyle w:val="3-BodyText"/>
        <w:keepNext/>
        <w:numPr>
          <w:ilvl w:val="0"/>
          <w:numId w:val="0"/>
        </w:numPr>
        <w:rPr>
          <w:rStyle w:val="CommentReference"/>
          <w:rFonts w:cstheme="minorHAnsi"/>
          <w:b w:val="0"/>
          <w:i/>
          <w:iCs/>
          <w:sz w:val="24"/>
          <w:szCs w:val="24"/>
        </w:rPr>
      </w:pPr>
      <w:r w:rsidRPr="00F7369B">
        <w:rPr>
          <w:rStyle w:val="CommentReference"/>
          <w:rFonts w:cstheme="minorHAnsi"/>
          <w:szCs w:val="24"/>
        </w:rPr>
        <w:t xml:space="preserve">Table </w:t>
      </w:r>
      <w:r w:rsidR="00497D25" w:rsidRPr="00F7369B">
        <w:rPr>
          <w:rStyle w:val="CommentReference"/>
          <w:rFonts w:cstheme="minorHAnsi"/>
          <w:szCs w:val="24"/>
        </w:rPr>
        <w:t>8</w:t>
      </w:r>
      <w:r w:rsidRPr="00F7369B">
        <w:rPr>
          <w:rStyle w:val="CommentReference"/>
          <w:rFonts w:cstheme="minorHAnsi"/>
          <w:szCs w:val="24"/>
        </w:rPr>
        <w:t>: Data sources and parameter values applied in the utilisation and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827"/>
        <w:gridCol w:w="3210"/>
      </w:tblGrid>
      <w:tr w:rsidR="00250B02" w:rsidRPr="00F7369B" w:rsidTr="00B776D2">
        <w:trPr>
          <w:tblHeader/>
        </w:trPr>
        <w:tc>
          <w:tcPr>
            <w:tcW w:w="1098" w:type="pct"/>
            <w:vAlign w:val="center"/>
          </w:tcPr>
          <w:p w:rsidR="00250B02" w:rsidRPr="00F7369B" w:rsidRDefault="00250B02" w:rsidP="00B776D2">
            <w:pPr>
              <w:pStyle w:val="In-tableHeading"/>
              <w:jc w:val="center"/>
              <w:rPr>
                <w:rFonts w:cstheme="minorHAnsi"/>
                <w:lang w:val="en-AU"/>
              </w:rPr>
            </w:pPr>
            <w:r w:rsidRPr="00F7369B">
              <w:rPr>
                <w:rFonts w:cstheme="minorHAnsi"/>
                <w:lang w:val="en-AU"/>
              </w:rPr>
              <w:t>Data</w:t>
            </w:r>
          </w:p>
        </w:tc>
        <w:tc>
          <w:tcPr>
            <w:tcW w:w="2122" w:type="pct"/>
            <w:vAlign w:val="center"/>
          </w:tcPr>
          <w:p w:rsidR="00250B02" w:rsidRPr="00F7369B" w:rsidRDefault="00250B02" w:rsidP="00B776D2">
            <w:pPr>
              <w:pStyle w:val="In-tableHeading"/>
              <w:jc w:val="center"/>
              <w:rPr>
                <w:rFonts w:cstheme="minorHAnsi"/>
                <w:lang w:val="en-AU"/>
              </w:rPr>
            </w:pPr>
            <w:r w:rsidRPr="00F7369B">
              <w:rPr>
                <w:rFonts w:cstheme="minorHAnsi"/>
                <w:lang w:val="en-AU"/>
              </w:rPr>
              <w:t>Value applied and source</w:t>
            </w:r>
          </w:p>
        </w:tc>
        <w:tc>
          <w:tcPr>
            <w:tcW w:w="1780" w:type="pct"/>
            <w:vAlign w:val="center"/>
          </w:tcPr>
          <w:p w:rsidR="00250B02" w:rsidRPr="00F7369B" w:rsidRDefault="00250B02" w:rsidP="00B776D2">
            <w:pPr>
              <w:pStyle w:val="In-tableHeading"/>
              <w:jc w:val="center"/>
              <w:rPr>
                <w:rFonts w:cstheme="minorHAnsi"/>
                <w:lang w:val="en-AU"/>
              </w:rPr>
            </w:pPr>
            <w:r w:rsidRPr="00F7369B">
              <w:rPr>
                <w:rFonts w:cstheme="minorHAnsi"/>
                <w:lang w:val="en-AU"/>
              </w:rPr>
              <w:t>Comment</w:t>
            </w:r>
          </w:p>
        </w:tc>
      </w:tr>
      <w:tr w:rsidR="003C7F98" w:rsidRPr="00F7369B" w:rsidTr="00B776D2">
        <w:tc>
          <w:tcPr>
            <w:tcW w:w="1098" w:type="pct"/>
            <w:vAlign w:val="center"/>
          </w:tcPr>
          <w:p w:rsidR="003C7F98" w:rsidRPr="00F7369B" w:rsidRDefault="003C7F98" w:rsidP="00B776D2">
            <w:pPr>
              <w:pStyle w:val="In-tableHeading"/>
              <w:jc w:val="center"/>
              <w:rPr>
                <w:rFonts w:cstheme="minorHAnsi"/>
                <w:lang w:val="en-AU"/>
              </w:rPr>
            </w:pPr>
            <w:r w:rsidRPr="00F7369B">
              <w:rPr>
                <w:rFonts w:cstheme="minorHAnsi"/>
                <w:lang w:val="en-AU"/>
              </w:rPr>
              <w:t xml:space="preserve">Eligible population </w:t>
            </w:r>
          </w:p>
        </w:tc>
        <w:tc>
          <w:tcPr>
            <w:tcW w:w="2122" w:type="pct"/>
            <w:vAlign w:val="center"/>
          </w:tcPr>
          <w:p w:rsidR="003C7F98" w:rsidRPr="00F7369B" w:rsidRDefault="003C7F98" w:rsidP="00B776D2">
            <w:pPr>
              <w:pStyle w:val="In-tableHeading"/>
              <w:jc w:val="center"/>
              <w:rPr>
                <w:rFonts w:cstheme="minorHAnsi"/>
                <w:lang w:val="en-AU"/>
              </w:rPr>
            </w:pPr>
          </w:p>
        </w:tc>
        <w:tc>
          <w:tcPr>
            <w:tcW w:w="1780" w:type="pct"/>
            <w:vAlign w:val="center"/>
          </w:tcPr>
          <w:p w:rsidR="003C7F98" w:rsidRPr="00F7369B" w:rsidRDefault="003C7F98" w:rsidP="00B776D2">
            <w:pPr>
              <w:pStyle w:val="In-tableHeading"/>
              <w:jc w:val="center"/>
              <w:rPr>
                <w:rFonts w:cstheme="minorHAnsi"/>
                <w:lang w:val="en-AU"/>
              </w:rPr>
            </w:pPr>
          </w:p>
        </w:tc>
      </w:tr>
      <w:tr w:rsidR="00250B02" w:rsidRPr="00F7369B" w:rsidTr="00B776D2">
        <w:tc>
          <w:tcPr>
            <w:tcW w:w="1098" w:type="pct"/>
            <w:vAlign w:val="center"/>
          </w:tcPr>
          <w:p w:rsidR="00250B02" w:rsidRPr="00F7369B" w:rsidRDefault="00250B02" w:rsidP="00B776D2">
            <w:pPr>
              <w:pStyle w:val="TableText0"/>
              <w:rPr>
                <w:rFonts w:cstheme="minorHAnsi"/>
              </w:rPr>
            </w:pPr>
            <w:r w:rsidRPr="00F7369B">
              <w:rPr>
                <w:rFonts w:cstheme="minorHAnsi"/>
              </w:rPr>
              <w:t>Children 12 months old</w:t>
            </w:r>
          </w:p>
        </w:tc>
        <w:tc>
          <w:tcPr>
            <w:tcW w:w="2122" w:type="pct"/>
            <w:vAlign w:val="center"/>
          </w:tcPr>
          <w:p w:rsidR="00250B02" w:rsidRPr="00F7369B" w:rsidRDefault="00250B02" w:rsidP="00B776D2">
            <w:pPr>
              <w:pStyle w:val="TableText0"/>
              <w:rPr>
                <w:rFonts w:cstheme="minorHAnsi"/>
              </w:rPr>
            </w:pPr>
            <w:r w:rsidRPr="00F7369B">
              <w:rPr>
                <w:rFonts w:cstheme="minorHAnsi"/>
              </w:rPr>
              <w:t>ABS cat. No.3222.0</w:t>
            </w:r>
          </w:p>
          <w:p w:rsidR="003D4F31" w:rsidRPr="00F7369B" w:rsidRDefault="003D4F31" w:rsidP="00B776D2">
            <w:pPr>
              <w:pStyle w:val="TableText0"/>
              <w:rPr>
                <w:rFonts w:cstheme="minorHAnsi"/>
              </w:rPr>
            </w:pPr>
          </w:p>
          <w:p w:rsidR="003D4F31" w:rsidRPr="00F7369B" w:rsidRDefault="0007305C" w:rsidP="00B776D2">
            <w:pPr>
              <w:pStyle w:val="TableText0"/>
              <w:rPr>
                <w:rFonts w:cstheme="minorHAnsi"/>
                <w:szCs w:val="20"/>
              </w:rPr>
            </w:pPr>
            <w:r>
              <w:rPr>
                <w:rFonts w:cstheme="minorHAnsi"/>
                <w:noProof/>
                <w:color w:val="000000"/>
                <w:szCs w:val="20"/>
                <w:highlight w:val="black"/>
              </w:rPr>
              <w:t>''''''''''''''''''</w:t>
            </w:r>
            <w:r w:rsidR="00DC4028">
              <w:rPr>
                <w:rFonts w:cstheme="minorHAnsi"/>
                <w:color w:val="000000"/>
                <w:szCs w:val="20"/>
                <w:vertAlign w:val="superscript"/>
              </w:rPr>
              <w:t>1</w:t>
            </w:r>
            <w:r w:rsidR="00C64F02" w:rsidRPr="00F7369B">
              <w:rPr>
                <w:rFonts w:cstheme="minorHAnsi"/>
                <w:color w:val="000000"/>
                <w:szCs w:val="20"/>
              </w:rPr>
              <w:t xml:space="preserve">(Yr1) to </w:t>
            </w:r>
            <w:r>
              <w:rPr>
                <w:rFonts w:cstheme="minorHAnsi"/>
                <w:noProof/>
                <w:color w:val="000000"/>
                <w:szCs w:val="20"/>
                <w:highlight w:val="black"/>
              </w:rPr>
              <w:t>''''''''''''''''''</w:t>
            </w:r>
            <w:r w:rsidR="00DC4028">
              <w:rPr>
                <w:rFonts w:cstheme="minorHAnsi"/>
                <w:color w:val="000000"/>
                <w:szCs w:val="20"/>
                <w:vertAlign w:val="superscript"/>
              </w:rPr>
              <w:t>1</w:t>
            </w:r>
            <w:r w:rsidR="00C64F02" w:rsidRPr="00F7369B">
              <w:rPr>
                <w:rFonts w:cstheme="minorHAnsi"/>
                <w:color w:val="000000"/>
                <w:szCs w:val="20"/>
              </w:rPr>
              <w:t xml:space="preserve"> (Yr6) </w:t>
            </w:r>
          </w:p>
        </w:tc>
        <w:tc>
          <w:tcPr>
            <w:tcW w:w="1780" w:type="pct"/>
            <w:vAlign w:val="center"/>
          </w:tcPr>
          <w:p w:rsidR="00250B02" w:rsidRPr="00F7369B" w:rsidRDefault="00FD73EE" w:rsidP="00B776D2">
            <w:pPr>
              <w:pStyle w:val="TableText0"/>
              <w:rPr>
                <w:rFonts w:cstheme="minorHAnsi"/>
              </w:rPr>
            </w:pPr>
            <w:r w:rsidRPr="00F7369B">
              <w:rPr>
                <w:rFonts w:cstheme="minorHAnsi"/>
              </w:rPr>
              <w:t>-</w:t>
            </w:r>
          </w:p>
        </w:tc>
      </w:tr>
      <w:tr w:rsidR="00250B02" w:rsidRPr="00F7369B" w:rsidTr="00B776D2">
        <w:tc>
          <w:tcPr>
            <w:tcW w:w="1098" w:type="pct"/>
            <w:vAlign w:val="center"/>
          </w:tcPr>
          <w:p w:rsidR="00250B02" w:rsidRPr="00F7369B" w:rsidRDefault="00250B02" w:rsidP="00B776D2">
            <w:pPr>
              <w:pStyle w:val="TableText0"/>
              <w:rPr>
                <w:rFonts w:cstheme="minorHAnsi"/>
              </w:rPr>
            </w:pPr>
            <w:r w:rsidRPr="00F7369B">
              <w:rPr>
                <w:rFonts w:cstheme="minorHAnsi"/>
              </w:rPr>
              <w:t xml:space="preserve">Adolescents 14 years old </w:t>
            </w:r>
          </w:p>
        </w:tc>
        <w:tc>
          <w:tcPr>
            <w:tcW w:w="2122" w:type="pct"/>
            <w:vAlign w:val="center"/>
          </w:tcPr>
          <w:p w:rsidR="00250B02" w:rsidRPr="00F7369B" w:rsidRDefault="00250B02" w:rsidP="00B776D2">
            <w:pPr>
              <w:pStyle w:val="TableText0"/>
              <w:rPr>
                <w:rFonts w:cstheme="minorHAnsi"/>
              </w:rPr>
            </w:pPr>
            <w:r w:rsidRPr="00F7369B">
              <w:rPr>
                <w:rFonts w:cstheme="minorHAnsi"/>
              </w:rPr>
              <w:t>ABS cat. No.3101.0</w:t>
            </w:r>
          </w:p>
          <w:p w:rsidR="003D4F31" w:rsidRPr="00F7369B" w:rsidRDefault="003D4F31" w:rsidP="00B776D2">
            <w:pPr>
              <w:pStyle w:val="TableText0"/>
              <w:rPr>
                <w:rFonts w:cstheme="minorHAnsi"/>
              </w:rPr>
            </w:pPr>
          </w:p>
          <w:p w:rsidR="003D4F31" w:rsidRPr="00F7369B" w:rsidRDefault="0007305C" w:rsidP="00B776D2">
            <w:pPr>
              <w:pStyle w:val="TableText0"/>
              <w:rPr>
                <w:rFonts w:cstheme="minorHAnsi"/>
              </w:rPr>
            </w:pPr>
            <w:r>
              <w:rPr>
                <w:rFonts w:cstheme="minorHAnsi"/>
                <w:noProof/>
                <w:color w:val="000000"/>
                <w:szCs w:val="20"/>
                <w:highlight w:val="black"/>
              </w:rPr>
              <w:t>''''''''''''''''''''''</w:t>
            </w:r>
            <w:r w:rsidR="00DC4028">
              <w:rPr>
                <w:rFonts w:cstheme="minorHAnsi"/>
                <w:color w:val="000000"/>
                <w:szCs w:val="20"/>
                <w:vertAlign w:val="superscript"/>
              </w:rPr>
              <w:t>1</w:t>
            </w:r>
            <w:r w:rsidR="00C64F02" w:rsidRPr="00F7369B">
              <w:rPr>
                <w:rFonts w:cstheme="minorHAnsi"/>
                <w:color w:val="000000"/>
                <w:szCs w:val="20"/>
              </w:rPr>
              <w:t xml:space="preserve"> (Yr1) to </w:t>
            </w:r>
            <w:r>
              <w:rPr>
                <w:rFonts w:cstheme="minorHAnsi"/>
                <w:noProof/>
                <w:color w:val="000000"/>
                <w:szCs w:val="20"/>
                <w:highlight w:val="black"/>
              </w:rPr>
              <w:t>'''''''''''''''''</w:t>
            </w:r>
            <w:r w:rsidR="00DC4028">
              <w:rPr>
                <w:rFonts w:cstheme="minorHAnsi"/>
                <w:color w:val="000000"/>
                <w:szCs w:val="20"/>
                <w:vertAlign w:val="superscript"/>
              </w:rPr>
              <w:t>1</w:t>
            </w:r>
            <w:r w:rsidR="00C64F02" w:rsidRPr="00F7369B">
              <w:rPr>
                <w:rFonts w:cstheme="minorHAnsi"/>
                <w:color w:val="000000"/>
                <w:szCs w:val="20"/>
              </w:rPr>
              <w:t xml:space="preserve"> (Yr6) </w:t>
            </w:r>
          </w:p>
        </w:tc>
        <w:tc>
          <w:tcPr>
            <w:tcW w:w="1780" w:type="pct"/>
            <w:vAlign w:val="center"/>
          </w:tcPr>
          <w:p w:rsidR="00250B02" w:rsidRPr="00F7369B" w:rsidRDefault="00250B02" w:rsidP="00B776D2">
            <w:pPr>
              <w:pStyle w:val="TableText0"/>
              <w:rPr>
                <w:rFonts w:cstheme="minorHAnsi"/>
              </w:rPr>
            </w:pPr>
            <w:r w:rsidRPr="00F7369B">
              <w:rPr>
                <w:rFonts w:cstheme="minorHAnsi"/>
              </w:rPr>
              <w:t xml:space="preserve">The current NIP school program is for adolescents aged 14- </w:t>
            </w:r>
            <w:r w:rsidR="004E18AE" w:rsidRPr="00F7369B">
              <w:rPr>
                <w:rFonts w:cstheme="minorHAnsi"/>
              </w:rPr>
              <w:t>1</w:t>
            </w:r>
            <w:r w:rsidRPr="00F7369B">
              <w:rPr>
                <w:rFonts w:cstheme="minorHAnsi"/>
              </w:rPr>
              <w:t>6 years (e.g. in NSW, it is for students in year 10). Thus, to estimate the number of school aged adolescents,</w:t>
            </w:r>
            <w:r w:rsidR="00625470" w:rsidRPr="00F7369B">
              <w:rPr>
                <w:rFonts w:cstheme="minorHAnsi"/>
              </w:rPr>
              <w:t xml:space="preserve"> the evaluation considered</w:t>
            </w:r>
            <w:r w:rsidRPr="00F7369B">
              <w:rPr>
                <w:rFonts w:cstheme="minorHAnsi"/>
              </w:rPr>
              <w:t xml:space="preserve"> it may</w:t>
            </w:r>
            <w:r w:rsidR="004E18AE" w:rsidRPr="00F7369B">
              <w:rPr>
                <w:rFonts w:cstheme="minorHAnsi"/>
              </w:rPr>
              <w:t xml:space="preserve"> </w:t>
            </w:r>
            <w:r w:rsidRPr="00F7369B">
              <w:rPr>
                <w:rFonts w:cstheme="minorHAnsi"/>
              </w:rPr>
              <w:t xml:space="preserve">be more appropriate to use the 15 years old population data instead of 14 years old. </w:t>
            </w:r>
            <w:r w:rsidR="00625470" w:rsidRPr="00F7369B">
              <w:rPr>
                <w:rFonts w:cstheme="minorHAnsi"/>
              </w:rPr>
              <w:t xml:space="preserve">The ESC agreed with the </w:t>
            </w:r>
            <w:r w:rsidR="008E4772" w:rsidRPr="00F7369B">
              <w:rPr>
                <w:rFonts w:cstheme="minorHAnsi"/>
              </w:rPr>
              <w:t>PSCR that</w:t>
            </w:r>
            <w:r w:rsidR="00625470" w:rsidRPr="00F7369B">
              <w:rPr>
                <w:rFonts w:cstheme="minorHAnsi"/>
              </w:rPr>
              <w:t xml:space="preserve"> </w:t>
            </w:r>
            <w:r w:rsidR="000A3922" w:rsidRPr="00F7369B">
              <w:rPr>
                <w:rFonts w:cstheme="minorHAnsi"/>
              </w:rPr>
              <w:t xml:space="preserve">using the 15 year old population </w:t>
            </w:r>
            <w:r w:rsidR="00625470" w:rsidRPr="00F7369B">
              <w:rPr>
                <w:rFonts w:cstheme="minorHAnsi"/>
              </w:rPr>
              <w:t>would have little impact on the financial estimate</w:t>
            </w:r>
            <w:r w:rsidR="000A3922" w:rsidRPr="00F7369B">
              <w:rPr>
                <w:rFonts w:cstheme="minorHAnsi"/>
              </w:rPr>
              <w:t>s</w:t>
            </w:r>
            <w:r w:rsidR="00F7369B">
              <w:rPr>
                <w:rFonts w:cstheme="minorHAnsi"/>
              </w:rPr>
              <w:t xml:space="preserve">. </w:t>
            </w:r>
          </w:p>
        </w:tc>
      </w:tr>
      <w:tr w:rsidR="00250B02" w:rsidRPr="00F7369B" w:rsidTr="00B776D2">
        <w:tc>
          <w:tcPr>
            <w:tcW w:w="1098" w:type="pct"/>
            <w:vAlign w:val="center"/>
          </w:tcPr>
          <w:p w:rsidR="00250B02" w:rsidRPr="00F7369B" w:rsidRDefault="00250B02" w:rsidP="00B776D2">
            <w:pPr>
              <w:pStyle w:val="TableText0"/>
              <w:rPr>
                <w:rFonts w:cstheme="minorHAnsi"/>
              </w:rPr>
            </w:pPr>
            <w:r w:rsidRPr="00F7369B">
              <w:rPr>
                <w:rFonts w:cstheme="minorHAnsi"/>
              </w:rPr>
              <w:t>Adolescents 15-19 years total</w:t>
            </w:r>
            <w:r w:rsidR="00F63418" w:rsidRPr="00F7369B">
              <w:rPr>
                <w:rFonts w:cstheme="minorHAnsi"/>
              </w:rPr>
              <w:t xml:space="preserve"> (for school catch up program)</w:t>
            </w:r>
          </w:p>
        </w:tc>
        <w:tc>
          <w:tcPr>
            <w:tcW w:w="2122" w:type="pct"/>
            <w:vAlign w:val="center"/>
          </w:tcPr>
          <w:p w:rsidR="00250B02" w:rsidRPr="00F7369B" w:rsidRDefault="00250B02" w:rsidP="00B776D2">
            <w:pPr>
              <w:pStyle w:val="TableText0"/>
              <w:rPr>
                <w:rFonts w:cstheme="minorHAnsi"/>
              </w:rPr>
            </w:pPr>
            <w:r w:rsidRPr="00F7369B">
              <w:rPr>
                <w:rFonts w:cstheme="minorHAnsi"/>
              </w:rPr>
              <w:t>ABS cat. No.3101.0</w:t>
            </w:r>
          </w:p>
          <w:p w:rsidR="003D4F31" w:rsidRPr="00F7369B" w:rsidRDefault="003D4F31" w:rsidP="00B776D2">
            <w:pPr>
              <w:pStyle w:val="TableText0"/>
              <w:rPr>
                <w:rFonts w:cstheme="minorHAnsi"/>
              </w:rPr>
            </w:pPr>
          </w:p>
          <w:p w:rsidR="003D4F31" w:rsidRPr="00F7369B" w:rsidRDefault="0007305C" w:rsidP="00B776D2">
            <w:pPr>
              <w:pStyle w:val="TableText0"/>
              <w:rPr>
                <w:rFonts w:cstheme="minorHAnsi"/>
              </w:rPr>
            </w:pPr>
            <w:r>
              <w:rPr>
                <w:rStyle w:val="Small"/>
                <w:rFonts w:ascii="Arial Narrow" w:hAnsi="Arial Narrow" w:cstheme="minorHAnsi"/>
                <w:noProof/>
                <w:color w:val="000000"/>
                <w:sz w:val="20"/>
                <w:szCs w:val="20"/>
                <w:highlight w:val="black"/>
              </w:rPr>
              <w:t>'''''''''''''''''''''''''</w:t>
            </w:r>
            <w:r w:rsidR="00513712">
              <w:rPr>
                <w:rStyle w:val="Small"/>
                <w:rFonts w:ascii="Arial Narrow" w:hAnsi="Arial Narrow" w:cstheme="minorHAnsi"/>
                <w:sz w:val="20"/>
                <w:szCs w:val="20"/>
                <w:vertAlign w:val="superscript"/>
              </w:rPr>
              <w:t>2</w:t>
            </w:r>
            <w:r w:rsidR="00C64F02" w:rsidRPr="00F7369B">
              <w:rPr>
                <w:rFonts w:cstheme="minorHAnsi"/>
                <w:color w:val="000000"/>
                <w:szCs w:val="20"/>
              </w:rPr>
              <w:t xml:space="preserve"> (Yr1) to </w:t>
            </w:r>
            <w:r>
              <w:rPr>
                <w:rStyle w:val="Small"/>
                <w:rFonts w:ascii="Arial Narrow" w:hAnsi="Arial Narrow" w:cstheme="minorHAnsi"/>
                <w:noProof/>
                <w:color w:val="000000"/>
                <w:sz w:val="20"/>
                <w:szCs w:val="20"/>
                <w:highlight w:val="black"/>
              </w:rPr>
              <w:t>''''''''''''''''''''''</w:t>
            </w:r>
            <w:r w:rsidR="00513712">
              <w:rPr>
                <w:rStyle w:val="Small"/>
                <w:rFonts w:ascii="Arial Narrow" w:hAnsi="Arial Narrow" w:cstheme="minorHAnsi"/>
                <w:sz w:val="20"/>
                <w:szCs w:val="20"/>
                <w:vertAlign w:val="superscript"/>
              </w:rPr>
              <w:t>2</w:t>
            </w:r>
            <w:r w:rsidR="00C64F02" w:rsidRPr="00F7369B">
              <w:rPr>
                <w:rFonts w:cstheme="minorHAnsi"/>
                <w:color w:val="000000"/>
                <w:szCs w:val="20"/>
              </w:rPr>
              <w:t xml:space="preserve"> (Yr6) </w:t>
            </w:r>
          </w:p>
        </w:tc>
        <w:tc>
          <w:tcPr>
            <w:tcW w:w="1780" w:type="pct"/>
            <w:vAlign w:val="center"/>
          </w:tcPr>
          <w:p w:rsidR="00250B02" w:rsidRPr="00F7369B" w:rsidRDefault="00FD73EE" w:rsidP="00B776D2">
            <w:pPr>
              <w:pStyle w:val="TableText0"/>
              <w:rPr>
                <w:rFonts w:cstheme="minorHAnsi"/>
              </w:rPr>
            </w:pPr>
            <w:r w:rsidRPr="00F7369B">
              <w:rPr>
                <w:rFonts w:cstheme="minorHAnsi"/>
              </w:rPr>
              <w:t>-</w:t>
            </w:r>
          </w:p>
        </w:tc>
      </w:tr>
      <w:tr w:rsidR="00250B02" w:rsidRPr="00F7369B" w:rsidTr="00B776D2">
        <w:tc>
          <w:tcPr>
            <w:tcW w:w="1098" w:type="pct"/>
            <w:vAlign w:val="center"/>
          </w:tcPr>
          <w:p w:rsidR="00250B02" w:rsidRPr="00F7369B" w:rsidRDefault="00250B02" w:rsidP="00B776D2">
            <w:pPr>
              <w:pStyle w:val="TableText0"/>
              <w:rPr>
                <w:rFonts w:cstheme="minorHAnsi"/>
              </w:rPr>
            </w:pPr>
            <w:r w:rsidRPr="00F7369B">
              <w:rPr>
                <w:rFonts w:cstheme="minorHAnsi"/>
              </w:rPr>
              <w:t xml:space="preserve">Adolescents 15-19 years (eligible) </w:t>
            </w:r>
          </w:p>
        </w:tc>
        <w:tc>
          <w:tcPr>
            <w:tcW w:w="2122" w:type="pct"/>
            <w:vAlign w:val="center"/>
          </w:tcPr>
          <w:p w:rsidR="00250B02" w:rsidRPr="00F7369B" w:rsidRDefault="00250B02" w:rsidP="00B776D2">
            <w:pPr>
              <w:pStyle w:val="TableText0"/>
              <w:rPr>
                <w:rFonts w:cstheme="minorHAnsi"/>
              </w:rPr>
            </w:pPr>
            <w:r w:rsidRPr="00F7369B">
              <w:rPr>
                <w:rFonts w:cstheme="minorHAnsi"/>
              </w:rPr>
              <w:t>Calculated. The submission estimated the total amount of adolescents who are not vaccinated and eligible for the catch up program as the total number of adolescents (aged 15-19) above minus the number vaccinated through the school program and the catch up program in the previous year.</w:t>
            </w:r>
          </w:p>
          <w:p w:rsidR="003D4F31" w:rsidRPr="00F7369B" w:rsidRDefault="003D4F31" w:rsidP="00B776D2">
            <w:pPr>
              <w:pStyle w:val="TableText0"/>
              <w:rPr>
                <w:rFonts w:cstheme="minorHAnsi"/>
              </w:rPr>
            </w:pPr>
          </w:p>
          <w:p w:rsidR="003D4F31" w:rsidRPr="00F7369B" w:rsidRDefault="0007305C" w:rsidP="00B776D2">
            <w:pPr>
              <w:pStyle w:val="TableText0"/>
              <w:rPr>
                <w:rFonts w:cstheme="minorHAnsi"/>
              </w:rPr>
            </w:pPr>
            <w:r>
              <w:rPr>
                <w:rStyle w:val="Small"/>
                <w:rFonts w:ascii="Arial Narrow" w:hAnsi="Arial Narrow" w:cstheme="minorHAnsi"/>
                <w:noProof/>
                <w:color w:val="000000"/>
                <w:sz w:val="20"/>
                <w:szCs w:val="20"/>
                <w:highlight w:val="black"/>
              </w:rPr>
              <w:t>'''''''''''''''''''''</w:t>
            </w:r>
            <w:r w:rsidR="00513712">
              <w:rPr>
                <w:rStyle w:val="Small"/>
                <w:rFonts w:ascii="Arial Narrow" w:hAnsi="Arial Narrow" w:cstheme="minorHAnsi"/>
                <w:sz w:val="20"/>
                <w:szCs w:val="20"/>
                <w:vertAlign w:val="superscript"/>
              </w:rPr>
              <w:t>3</w:t>
            </w:r>
            <w:r w:rsidR="00C64F02" w:rsidRPr="00F7369B">
              <w:rPr>
                <w:rFonts w:cstheme="minorHAnsi"/>
                <w:color w:val="000000"/>
                <w:szCs w:val="20"/>
              </w:rPr>
              <w:t xml:space="preserve"> (Yr1) to </w:t>
            </w:r>
            <w:r>
              <w:rPr>
                <w:rStyle w:val="Small"/>
                <w:rFonts w:ascii="Arial Narrow" w:hAnsi="Arial Narrow" w:cstheme="minorHAnsi"/>
                <w:noProof/>
                <w:color w:val="000000"/>
                <w:sz w:val="20"/>
                <w:szCs w:val="20"/>
                <w:highlight w:val="black"/>
              </w:rPr>
              <w:t>''''''''''''''''''''''</w:t>
            </w:r>
            <w:r w:rsidR="00513712">
              <w:rPr>
                <w:rStyle w:val="Small"/>
                <w:rFonts w:ascii="Arial Narrow" w:hAnsi="Arial Narrow" w:cstheme="minorHAnsi"/>
                <w:sz w:val="20"/>
                <w:szCs w:val="20"/>
                <w:vertAlign w:val="superscript"/>
              </w:rPr>
              <w:t>4</w:t>
            </w:r>
            <w:r w:rsidR="00C64F02" w:rsidRPr="00F7369B">
              <w:rPr>
                <w:rFonts w:cstheme="minorHAnsi"/>
                <w:color w:val="000000"/>
                <w:szCs w:val="20"/>
              </w:rPr>
              <w:t xml:space="preserve"> (Yr6) </w:t>
            </w:r>
          </w:p>
        </w:tc>
        <w:tc>
          <w:tcPr>
            <w:tcW w:w="1780" w:type="pct"/>
            <w:vAlign w:val="center"/>
          </w:tcPr>
          <w:p w:rsidR="00250B02" w:rsidRPr="00F7369B" w:rsidRDefault="00FD73EE" w:rsidP="00B776D2">
            <w:pPr>
              <w:pStyle w:val="TableText0"/>
              <w:rPr>
                <w:rFonts w:cstheme="minorHAnsi"/>
                <w:iCs/>
              </w:rPr>
            </w:pPr>
            <w:r w:rsidRPr="00F7369B">
              <w:rPr>
                <w:rFonts w:cstheme="minorHAnsi"/>
                <w:iCs/>
              </w:rPr>
              <w:t>-</w:t>
            </w:r>
          </w:p>
        </w:tc>
      </w:tr>
      <w:tr w:rsidR="00250B02" w:rsidRPr="00F7369B" w:rsidTr="00B776D2">
        <w:tc>
          <w:tcPr>
            <w:tcW w:w="1098" w:type="pct"/>
            <w:vAlign w:val="center"/>
          </w:tcPr>
          <w:p w:rsidR="00250B02" w:rsidRPr="00F7369B" w:rsidRDefault="00250B02" w:rsidP="00B776D2">
            <w:pPr>
              <w:pStyle w:val="TableText0"/>
              <w:rPr>
                <w:rFonts w:cstheme="minorHAnsi"/>
              </w:rPr>
            </w:pPr>
            <w:r w:rsidRPr="00F7369B">
              <w:rPr>
                <w:rFonts w:cstheme="minorHAnsi"/>
              </w:rPr>
              <w:t>Medically at-risk (≥12 months)</w:t>
            </w:r>
          </w:p>
        </w:tc>
        <w:tc>
          <w:tcPr>
            <w:tcW w:w="2122" w:type="pct"/>
            <w:vAlign w:val="center"/>
          </w:tcPr>
          <w:p w:rsidR="00250B02" w:rsidRPr="00F7369B" w:rsidRDefault="00250B02" w:rsidP="00B776D2">
            <w:pPr>
              <w:pStyle w:val="TableText0"/>
              <w:rPr>
                <w:rFonts w:cstheme="minorHAnsi"/>
              </w:rPr>
            </w:pPr>
            <w:r w:rsidRPr="00F7369B">
              <w:rPr>
                <w:rFonts w:cstheme="minorHAnsi"/>
              </w:rPr>
              <w:t xml:space="preserve">Assumed to be </w:t>
            </w:r>
            <w:r w:rsidR="0007305C">
              <w:rPr>
                <w:rFonts w:cstheme="minorHAnsi"/>
                <w:noProof/>
                <w:color w:val="000000"/>
                <w:highlight w:val="black"/>
              </w:rPr>
              <w:t>''''''''''''''</w:t>
            </w:r>
            <w:r w:rsidR="00513712">
              <w:rPr>
                <w:rFonts w:cstheme="minorHAnsi"/>
                <w:vertAlign w:val="superscript"/>
              </w:rPr>
              <w:t>5</w:t>
            </w:r>
            <w:r w:rsidRPr="00F7369B">
              <w:rPr>
                <w:rFonts w:cstheme="minorHAnsi"/>
              </w:rPr>
              <w:t xml:space="preserve"> </w:t>
            </w:r>
            <w:r w:rsidR="003C7F98" w:rsidRPr="00F7369B">
              <w:rPr>
                <w:rFonts w:cstheme="minorHAnsi"/>
              </w:rPr>
              <w:t>individuals</w:t>
            </w:r>
            <w:r w:rsidRPr="00F7369B">
              <w:rPr>
                <w:rFonts w:cstheme="minorHAnsi"/>
              </w:rPr>
              <w:t xml:space="preserve"> per annum, </w:t>
            </w:r>
            <w:r w:rsidR="003C7F98" w:rsidRPr="00F7369B">
              <w:rPr>
                <w:rFonts w:cstheme="minorHAnsi"/>
              </w:rPr>
              <w:t xml:space="preserve">source </w:t>
            </w:r>
            <w:r w:rsidR="008D7CB2" w:rsidRPr="00F7369B">
              <w:rPr>
                <w:rFonts w:cstheme="minorHAnsi"/>
              </w:rPr>
              <w:t xml:space="preserve">of </w:t>
            </w:r>
            <w:r w:rsidR="003C7F98" w:rsidRPr="00F7369B">
              <w:rPr>
                <w:rFonts w:cstheme="minorHAnsi"/>
              </w:rPr>
              <w:t xml:space="preserve">reference </w:t>
            </w:r>
            <w:r w:rsidR="008D7CB2" w:rsidRPr="00F7369B">
              <w:rPr>
                <w:rFonts w:cstheme="minorHAnsi"/>
              </w:rPr>
              <w:t>not given.</w:t>
            </w:r>
          </w:p>
        </w:tc>
        <w:tc>
          <w:tcPr>
            <w:tcW w:w="1780" w:type="pct"/>
            <w:vAlign w:val="center"/>
          </w:tcPr>
          <w:p w:rsidR="00250B02" w:rsidRPr="00F7369B" w:rsidRDefault="00F07301" w:rsidP="00B776D2">
            <w:pPr>
              <w:pStyle w:val="TableText0"/>
              <w:rPr>
                <w:rFonts w:cstheme="minorHAnsi"/>
                <w:iCs/>
              </w:rPr>
            </w:pPr>
            <w:r w:rsidRPr="00F7369B">
              <w:rPr>
                <w:rFonts w:cstheme="minorHAnsi"/>
              </w:rPr>
              <w:t xml:space="preserve"> The evaluation considered this was uncertain. </w:t>
            </w:r>
          </w:p>
        </w:tc>
      </w:tr>
      <w:tr w:rsidR="008D7CB2" w:rsidRPr="00F7369B" w:rsidTr="00680FB4">
        <w:tc>
          <w:tcPr>
            <w:tcW w:w="5000" w:type="pct"/>
            <w:gridSpan w:val="3"/>
            <w:vAlign w:val="center"/>
          </w:tcPr>
          <w:p w:rsidR="008D7CB2" w:rsidRPr="00F7369B" w:rsidRDefault="008D7CB2" w:rsidP="00B776D2">
            <w:pPr>
              <w:pStyle w:val="TableText0"/>
              <w:rPr>
                <w:rFonts w:cstheme="minorHAnsi"/>
                <w:i/>
                <w:iCs/>
              </w:rPr>
            </w:pPr>
            <w:r w:rsidRPr="00F7369B">
              <w:rPr>
                <w:rFonts w:cstheme="minorHAnsi"/>
                <w:b/>
              </w:rPr>
              <w:t>Treatment utilisation</w:t>
            </w:r>
          </w:p>
        </w:tc>
      </w:tr>
      <w:tr w:rsidR="00250B02" w:rsidRPr="00F7369B" w:rsidTr="00B776D2">
        <w:tc>
          <w:tcPr>
            <w:tcW w:w="1098" w:type="pct"/>
            <w:vAlign w:val="center"/>
          </w:tcPr>
          <w:p w:rsidR="00250B02" w:rsidRPr="00F7369B" w:rsidRDefault="00250B02" w:rsidP="00B776D2">
            <w:pPr>
              <w:pStyle w:val="TableText0"/>
              <w:rPr>
                <w:rFonts w:cstheme="minorHAnsi"/>
              </w:rPr>
            </w:pPr>
            <w:r w:rsidRPr="00F7369B">
              <w:rPr>
                <w:rFonts w:cstheme="minorHAnsi"/>
              </w:rPr>
              <w:t>Uptake rate children 12 months</w:t>
            </w:r>
          </w:p>
        </w:tc>
        <w:tc>
          <w:tcPr>
            <w:tcW w:w="2122" w:type="pct"/>
            <w:vMerge w:val="restart"/>
            <w:vAlign w:val="center"/>
          </w:tcPr>
          <w:p w:rsidR="00250B02" w:rsidRPr="00F7369B" w:rsidRDefault="00250B02" w:rsidP="00B776D2">
            <w:pPr>
              <w:pStyle w:val="TableText0"/>
              <w:rPr>
                <w:rFonts w:cstheme="minorHAnsi"/>
              </w:rPr>
            </w:pPr>
            <w:r w:rsidRPr="00F7369B">
              <w:rPr>
                <w:rFonts w:cstheme="minorHAnsi"/>
              </w:rPr>
              <w:t>Estimated based on National centre for immunisation research and surveillance (NCIRS 2019)</w:t>
            </w:r>
          </w:p>
          <w:p w:rsidR="003D4F31" w:rsidRPr="00F7369B" w:rsidRDefault="003D4F31" w:rsidP="00B776D2">
            <w:pPr>
              <w:pStyle w:val="TableText0"/>
              <w:rPr>
                <w:rFonts w:cstheme="minorHAnsi"/>
                <w:i/>
                <w:iCs/>
              </w:rPr>
            </w:pPr>
          </w:p>
          <w:p w:rsidR="003D4F31" w:rsidRPr="00F7369B" w:rsidRDefault="003D4F31" w:rsidP="00B776D2">
            <w:pPr>
              <w:pStyle w:val="TableText0"/>
              <w:rPr>
                <w:rFonts w:cstheme="minorHAnsi"/>
              </w:rPr>
            </w:pPr>
            <w:r w:rsidRPr="00F7369B">
              <w:rPr>
                <w:rFonts w:cstheme="minorHAnsi"/>
              </w:rPr>
              <w:t>Children 12 months: 90% (Yr1 to Yr6)</w:t>
            </w:r>
          </w:p>
          <w:p w:rsidR="003D4F31" w:rsidRPr="00F7369B" w:rsidRDefault="003D4F31" w:rsidP="00B776D2">
            <w:pPr>
              <w:pStyle w:val="TableText0"/>
              <w:rPr>
                <w:rFonts w:cstheme="minorHAnsi"/>
              </w:rPr>
            </w:pPr>
            <w:r w:rsidRPr="00F7369B">
              <w:rPr>
                <w:rFonts w:cstheme="minorHAnsi"/>
              </w:rPr>
              <w:t>School program: 85% (Yr1 to Yr6)</w:t>
            </w:r>
          </w:p>
          <w:p w:rsidR="003D4F31" w:rsidRPr="00F7369B" w:rsidRDefault="003D4F31" w:rsidP="00B776D2">
            <w:pPr>
              <w:pStyle w:val="TableText0"/>
              <w:rPr>
                <w:rFonts w:cstheme="minorHAnsi"/>
              </w:rPr>
            </w:pPr>
            <w:r w:rsidRPr="00F7369B">
              <w:rPr>
                <w:rFonts w:cstheme="minorHAnsi"/>
              </w:rPr>
              <w:t xml:space="preserve">School catch up: </w:t>
            </w:r>
            <w:r w:rsidR="00C2243C" w:rsidRPr="00F7369B">
              <w:rPr>
                <w:rFonts w:cstheme="minorHAnsi"/>
              </w:rPr>
              <w:t>20</w:t>
            </w:r>
            <w:r w:rsidRPr="00F7369B">
              <w:rPr>
                <w:rFonts w:cstheme="minorHAnsi"/>
              </w:rPr>
              <w:t>% (Yr1 to Yr6)</w:t>
            </w:r>
          </w:p>
          <w:p w:rsidR="003D4F31" w:rsidRPr="00F7369B" w:rsidRDefault="003D4F31" w:rsidP="00B776D2">
            <w:pPr>
              <w:pStyle w:val="TableText0"/>
              <w:rPr>
                <w:rFonts w:cstheme="minorHAnsi"/>
              </w:rPr>
            </w:pPr>
          </w:p>
        </w:tc>
        <w:tc>
          <w:tcPr>
            <w:tcW w:w="1780" w:type="pct"/>
            <w:vMerge w:val="restart"/>
            <w:vAlign w:val="center"/>
          </w:tcPr>
          <w:p w:rsidR="00250B02" w:rsidRPr="00F7369B" w:rsidRDefault="00F07301" w:rsidP="00B776D2">
            <w:pPr>
              <w:pStyle w:val="TableText0"/>
              <w:rPr>
                <w:rFonts w:cstheme="minorHAnsi"/>
                <w:iCs/>
              </w:rPr>
            </w:pPr>
            <w:r w:rsidRPr="00F7369B">
              <w:rPr>
                <w:rFonts w:cstheme="minorHAnsi"/>
              </w:rPr>
              <w:t>The evaluation considered this was uncertain</w:t>
            </w:r>
          </w:p>
        </w:tc>
      </w:tr>
      <w:tr w:rsidR="00250B02" w:rsidRPr="00F7369B" w:rsidTr="00B776D2">
        <w:tc>
          <w:tcPr>
            <w:tcW w:w="1098" w:type="pct"/>
            <w:vAlign w:val="center"/>
          </w:tcPr>
          <w:p w:rsidR="00250B02" w:rsidRPr="00F7369B" w:rsidRDefault="00250B02" w:rsidP="00B776D2">
            <w:pPr>
              <w:pStyle w:val="TableText0"/>
              <w:rPr>
                <w:rFonts w:cstheme="minorHAnsi"/>
              </w:rPr>
            </w:pPr>
            <w:r w:rsidRPr="00F7369B">
              <w:rPr>
                <w:rFonts w:cstheme="minorHAnsi"/>
              </w:rPr>
              <w:t>Uptake rate school program (14-16 years)</w:t>
            </w:r>
          </w:p>
        </w:tc>
        <w:tc>
          <w:tcPr>
            <w:tcW w:w="2122" w:type="pct"/>
            <w:vMerge/>
            <w:vAlign w:val="center"/>
          </w:tcPr>
          <w:p w:rsidR="00250B02" w:rsidRPr="00F7369B" w:rsidRDefault="00250B02" w:rsidP="00B776D2">
            <w:pPr>
              <w:pStyle w:val="TableText0"/>
              <w:rPr>
                <w:rFonts w:cstheme="minorHAnsi"/>
              </w:rPr>
            </w:pPr>
          </w:p>
        </w:tc>
        <w:tc>
          <w:tcPr>
            <w:tcW w:w="1780" w:type="pct"/>
            <w:vMerge/>
            <w:vAlign w:val="center"/>
          </w:tcPr>
          <w:p w:rsidR="00250B02" w:rsidRPr="00F7369B" w:rsidRDefault="00250B02" w:rsidP="00B776D2">
            <w:pPr>
              <w:pStyle w:val="TableText0"/>
              <w:rPr>
                <w:rFonts w:cstheme="minorHAnsi"/>
              </w:rPr>
            </w:pPr>
          </w:p>
        </w:tc>
      </w:tr>
      <w:tr w:rsidR="00250B02" w:rsidRPr="00F7369B" w:rsidTr="00B776D2">
        <w:tc>
          <w:tcPr>
            <w:tcW w:w="1098" w:type="pct"/>
            <w:vAlign w:val="center"/>
          </w:tcPr>
          <w:p w:rsidR="00250B02" w:rsidRPr="00F7369B" w:rsidRDefault="00250B02" w:rsidP="00B776D2">
            <w:pPr>
              <w:pStyle w:val="TableText0"/>
              <w:rPr>
                <w:rFonts w:cstheme="minorHAnsi"/>
              </w:rPr>
            </w:pPr>
            <w:r w:rsidRPr="00F7369B">
              <w:rPr>
                <w:rFonts w:cstheme="minorHAnsi"/>
              </w:rPr>
              <w:t>Uptake rate school catch up (all ages before 19)</w:t>
            </w:r>
          </w:p>
        </w:tc>
        <w:tc>
          <w:tcPr>
            <w:tcW w:w="2122" w:type="pct"/>
            <w:vMerge/>
            <w:vAlign w:val="center"/>
          </w:tcPr>
          <w:p w:rsidR="00250B02" w:rsidRPr="00F7369B" w:rsidRDefault="00250B02" w:rsidP="00B776D2">
            <w:pPr>
              <w:pStyle w:val="TableText0"/>
              <w:rPr>
                <w:rFonts w:cstheme="minorHAnsi"/>
              </w:rPr>
            </w:pPr>
          </w:p>
        </w:tc>
        <w:tc>
          <w:tcPr>
            <w:tcW w:w="1780" w:type="pct"/>
            <w:vMerge/>
            <w:vAlign w:val="center"/>
          </w:tcPr>
          <w:p w:rsidR="00250B02" w:rsidRPr="00F7369B" w:rsidRDefault="00250B02" w:rsidP="00B776D2">
            <w:pPr>
              <w:pStyle w:val="TableText0"/>
              <w:rPr>
                <w:rFonts w:cstheme="minorHAnsi"/>
              </w:rPr>
            </w:pPr>
          </w:p>
        </w:tc>
      </w:tr>
      <w:tr w:rsidR="00250B02" w:rsidRPr="00F7369B" w:rsidTr="00B776D2">
        <w:tc>
          <w:tcPr>
            <w:tcW w:w="1098" w:type="pct"/>
            <w:vAlign w:val="center"/>
          </w:tcPr>
          <w:p w:rsidR="00250B02" w:rsidRPr="00F7369B" w:rsidRDefault="00250B02" w:rsidP="00B776D2">
            <w:pPr>
              <w:pStyle w:val="TableText0"/>
              <w:rPr>
                <w:rFonts w:cstheme="minorHAnsi"/>
              </w:rPr>
            </w:pPr>
            <w:r w:rsidRPr="00F7369B">
              <w:rPr>
                <w:rFonts w:cstheme="minorHAnsi"/>
              </w:rPr>
              <w:t>Medically at-risk (≥12 months)</w:t>
            </w:r>
          </w:p>
        </w:tc>
        <w:tc>
          <w:tcPr>
            <w:tcW w:w="2122" w:type="pct"/>
            <w:vAlign w:val="center"/>
          </w:tcPr>
          <w:p w:rsidR="00250B02" w:rsidRPr="00F7369B" w:rsidRDefault="008D7CB2" w:rsidP="00B776D2">
            <w:pPr>
              <w:pStyle w:val="TableText0"/>
              <w:rPr>
                <w:rFonts w:cstheme="minorHAnsi"/>
              </w:rPr>
            </w:pPr>
            <w:r w:rsidRPr="00F7369B">
              <w:rPr>
                <w:rFonts w:cstheme="minorHAnsi"/>
              </w:rPr>
              <w:t>Assumed to be 100%</w:t>
            </w:r>
            <w:r w:rsidR="004E18AE" w:rsidRPr="00F7369B">
              <w:rPr>
                <w:rFonts w:cstheme="minorHAnsi"/>
              </w:rPr>
              <w:t>. S</w:t>
            </w:r>
            <w:r w:rsidRPr="00F7369B">
              <w:rPr>
                <w:rFonts w:cstheme="minorHAnsi"/>
              </w:rPr>
              <w:t>ource of reference not given.</w:t>
            </w:r>
          </w:p>
        </w:tc>
        <w:tc>
          <w:tcPr>
            <w:tcW w:w="1780" w:type="pct"/>
            <w:vAlign w:val="center"/>
          </w:tcPr>
          <w:p w:rsidR="00250B02" w:rsidRPr="00F7369B" w:rsidRDefault="00F07301" w:rsidP="00B776D2">
            <w:pPr>
              <w:pStyle w:val="TableText0"/>
              <w:rPr>
                <w:rFonts w:cstheme="minorHAnsi"/>
              </w:rPr>
            </w:pPr>
            <w:r w:rsidRPr="00F7369B">
              <w:rPr>
                <w:rFonts w:cstheme="minorHAnsi"/>
              </w:rPr>
              <w:t xml:space="preserve"> The evaluation considered this was uncertain</w:t>
            </w:r>
          </w:p>
        </w:tc>
      </w:tr>
      <w:tr w:rsidR="008D7CB2" w:rsidRPr="00F7369B" w:rsidTr="00B776D2">
        <w:tc>
          <w:tcPr>
            <w:tcW w:w="1098" w:type="pct"/>
            <w:vAlign w:val="center"/>
          </w:tcPr>
          <w:p w:rsidR="008D7CB2" w:rsidRPr="00F7369B" w:rsidRDefault="008D7CB2" w:rsidP="00047C38">
            <w:pPr>
              <w:pStyle w:val="TableText0"/>
              <w:keepNext w:val="0"/>
              <w:rPr>
                <w:rFonts w:cstheme="minorHAnsi"/>
              </w:rPr>
            </w:pPr>
            <w:r w:rsidRPr="00F7369B">
              <w:rPr>
                <w:rFonts w:cstheme="minorHAnsi"/>
              </w:rPr>
              <w:t>Doses per subject (children 12 months)</w:t>
            </w:r>
          </w:p>
        </w:tc>
        <w:tc>
          <w:tcPr>
            <w:tcW w:w="2122" w:type="pct"/>
            <w:vAlign w:val="center"/>
          </w:tcPr>
          <w:p w:rsidR="008D7CB2" w:rsidRPr="00F7369B" w:rsidRDefault="008D7CB2" w:rsidP="008D7CB2">
            <w:pPr>
              <w:pStyle w:val="TableText0"/>
              <w:keepNext w:val="0"/>
              <w:rPr>
                <w:rFonts w:cstheme="minorHAnsi"/>
              </w:rPr>
            </w:pPr>
            <w:r w:rsidRPr="00F7369B">
              <w:rPr>
                <w:rFonts w:cstheme="minorHAnsi"/>
              </w:rPr>
              <w:t xml:space="preserve">1 dose for both MenQuadfi and Nimenrix per vaccination, based on MenQuadfi Draft PI and Nimenrix PI, respectively </w:t>
            </w:r>
          </w:p>
        </w:tc>
        <w:tc>
          <w:tcPr>
            <w:tcW w:w="1780" w:type="pct"/>
            <w:vAlign w:val="center"/>
          </w:tcPr>
          <w:p w:rsidR="008D7CB2" w:rsidRPr="00F7369B" w:rsidRDefault="00FD73EE" w:rsidP="00047C38">
            <w:pPr>
              <w:pStyle w:val="TableText0"/>
              <w:keepNext w:val="0"/>
              <w:rPr>
                <w:rFonts w:cstheme="minorHAnsi"/>
              </w:rPr>
            </w:pPr>
            <w:r w:rsidRPr="00F7369B">
              <w:rPr>
                <w:rFonts w:cstheme="minorHAnsi"/>
              </w:rPr>
              <w:t>-</w:t>
            </w:r>
          </w:p>
        </w:tc>
      </w:tr>
      <w:tr w:rsidR="008D7CB2" w:rsidRPr="00F7369B" w:rsidTr="00B776D2">
        <w:tc>
          <w:tcPr>
            <w:tcW w:w="1098" w:type="pct"/>
            <w:vAlign w:val="center"/>
          </w:tcPr>
          <w:p w:rsidR="008D7CB2" w:rsidRPr="00F7369B" w:rsidRDefault="008D7CB2" w:rsidP="00047C38">
            <w:pPr>
              <w:pStyle w:val="TableText0"/>
              <w:keepNext w:val="0"/>
              <w:rPr>
                <w:rFonts w:cstheme="minorHAnsi"/>
              </w:rPr>
            </w:pPr>
            <w:r w:rsidRPr="00F7369B">
              <w:rPr>
                <w:rFonts w:cstheme="minorHAnsi"/>
              </w:rPr>
              <w:t>Doses per subject (adolescent 14 -19 years)</w:t>
            </w:r>
          </w:p>
        </w:tc>
        <w:tc>
          <w:tcPr>
            <w:tcW w:w="2122" w:type="pct"/>
            <w:vAlign w:val="center"/>
          </w:tcPr>
          <w:p w:rsidR="008D7CB2" w:rsidRPr="00F7369B" w:rsidRDefault="008D7CB2" w:rsidP="00047C38">
            <w:pPr>
              <w:pStyle w:val="TableText0"/>
              <w:keepNext w:val="0"/>
              <w:rPr>
                <w:rFonts w:cstheme="minorHAnsi"/>
              </w:rPr>
            </w:pPr>
            <w:r w:rsidRPr="00F7369B">
              <w:rPr>
                <w:rFonts w:cstheme="minorHAnsi"/>
              </w:rPr>
              <w:t>1 dose for both MenQuadfi and Nimenrix per vaccination, based on MenQuadfi Draft PI and Nimenrix PI, respectively</w:t>
            </w:r>
          </w:p>
        </w:tc>
        <w:tc>
          <w:tcPr>
            <w:tcW w:w="1780" w:type="pct"/>
            <w:vAlign w:val="center"/>
          </w:tcPr>
          <w:p w:rsidR="008D7CB2" w:rsidRPr="00F7369B" w:rsidRDefault="00FD73EE" w:rsidP="00047C38">
            <w:pPr>
              <w:pStyle w:val="TableText0"/>
              <w:keepNext w:val="0"/>
              <w:rPr>
                <w:rFonts w:cstheme="minorHAnsi"/>
              </w:rPr>
            </w:pPr>
            <w:r w:rsidRPr="00F7369B">
              <w:rPr>
                <w:rFonts w:cstheme="minorHAnsi"/>
              </w:rPr>
              <w:t>-</w:t>
            </w:r>
          </w:p>
        </w:tc>
      </w:tr>
      <w:tr w:rsidR="008D7CB2" w:rsidRPr="00F7369B" w:rsidTr="00B776D2">
        <w:tc>
          <w:tcPr>
            <w:tcW w:w="1098" w:type="pct"/>
            <w:vAlign w:val="center"/>
          </w:tcPr>
          <w:p w:rsidR="008D7CB2" w:rsidRPr="00F7369B" w:rsidRDefault="008D7CB2" w:rsidP="00047C38">
            <w:pPr>
              <w:pStyle w:val="TableText0"/>
              <w:keepNext w:val="0"/>
              <w:rPr>
                <w:rFonts w:cstheme="minorHAnsi"/>
              </w:rPr>
            </w:pPr>
            <w:r w:rsidRPr="00F7369B">
              <w:rPr>
                <w:rFonts w:cstheme="minorHAnsi"/>
              </w:rPr>
              <w:t xml:space="preserve">Doses per subject (medically </w:t>
            </w:r>
            <w:r w:rsidR="004330E0" w:rsidRPr="00F7369B">
              <w:rPr>
                <w:rFonts w:cstheme="minorHAnsi"/>
              </w:rPr>
              <w:t>at-risk</w:t>
            </w:r>
            <w:r w:rsidRPr="00F7369B">
              <w:rPr>
                <w:rFonts w:cstheme="minorHAnsi"/>
              </w:rPr>
              <w:t xml:space="preserve"> age ≥12 months)</w:t>
            </w:r>
          </w:p>
        </w:tc>
        <w:tc>
          <w:tcPr>
            <w:tcW w:w="2122" w:type="pct"/>
            <w:vAlign w:val="center"/>
          </w:tcPr>
          <w:p w:rsidR="008D7CB2" w:rsidRPr="00F7369B" w:rsidRDefault="008D7CB2" w:rsidP="00047C38">
            <w:pPr>
              <w:pStyle w:val="TableText0"/>
              <w:keepNext w:val="0"/>
              <w:rPr>
                <w:rFonts w:cstheme="minorHAnsi"/>
              </w:rPr>
            </w:pPr>
            <w:r w:rsidRPr="00F7369B">
              <w:rPr>
                <w:rFonts w:cstheme="minorHAnsi"/>
              </w:rPr>
              <w:t>2</w:t>
            </w:r>
            <w:r w:rsidRPr="00F7369B">
              <w:rPr>
                <w:rFonts w:cstheme="minorHAnsi"/>
              </w:rPr>
              <w:noBreakHyphen/>
              <w:t xml:space="preserve">dose schedule with an interval of 8 weeks between doses, as per ATAGI advice </w:t>
            </w:r>
          </w:p>
        </w:tc>
        <w:tc>
          <w:tcPr>
            <w:tcW w:w="1780" w:type="pct"/>
            <w:vAlign w:val="center"/>
          </w:tcPr>
          <w:p w:rsidR="008D7CB2" w:rsidRPr="00F7369B" w:rsidRDefault="00FD73EE" w:rsidP="00047C38">
            <w:pPr>
              <w:pStyle w:val="TableText0"/>
              <w:keepNext w:val="0"/>
              <w:rPr>
                <w:rFonts w:cstheme="minorHAnsi"/>
              </w:rPr>
            </w:pPr>
            <w:r w:rsidRPr="00F7369B">
              <w:rPr>
                <w:rFonts w:cstheme="minorHAnsi"/>
              </w:rPr>
              <w:t>-</w:t>
            </w:r>
          </w:p>
        </w:tc>
      </w:tr>
      <w:tr w:rsidR="00250B02" w:rsidRPr="00F7369B" w:rsidTr="00B776D2">
        <w:tc>
          <w:tcPr>
            <w:tcW w:w="1098" w:type="pct"/>
            <w:vAlign w:val="center"/>
          </w:tcPr>
          <w:p w:rsidR="00250B02" w:rsidRPr="00F7369B" w:rsidRDefault="00250B02" w:rsidP="00047C38">
            <w:pPr>
              <w:pStyle w:val="TableText0"/>
              <w:keepNext w:val="0"/>
              <w:rPr>
                <w:rFonts w:cstheme="minorHAnsi"/>
              </w:rPr>
            </w:pPr>
            <w:r w:rsidRPr="00F7369B">
              <w:rPr>
                <w:rFonts w:cstheme="minorHAnsi"/>
              </w:rPr>
              <w:t>MenQuadfi</w:t>
            </w:r>
          </w:p>
        </w:tc>
        <w:tc>
          <w:tcPr>
            <w:tcW w:w="2122" w:type="pct"/>
            <w:vAlign w:val="center"/>
          </w:tcPr>
          <w:p w:rsidR="00250B02" w:rsidRPr="00F7369B" w:rsidRDefault="00250B02" w:rsidP="00047C38">
            <w:pPr>
              <w:pStyle w:val="TableText0"/>
              <w:keepNext w:val="0"/>
              <w:rPr>
                <w:rFonts w:cstheme="minorHAnsi"/>
              </w:rPr>
            </w:pPr>
            <w:r w:rsidRPr="00F7369B">
              <w:rPr>
                <w:rFonts w:cstheme="minorHAnsi"/>
              </w:rPr>
              <w:t>Proxy price, the submission stated that the spons</w:t>
            </w:r>
            <w:r w:rsidR="004C2CD9" w:rsidRPr="00F7369B">
              <w:rPr>
                <w:rFonts w:cstheme="minorHAnsi"/>
              </w:rPr>
              <w:t>or would ‘match the revealed [NNP]</w:t>
            </w:r>
            <w:r w:rsidRPr="00F7369B">
              <w:rPr>
                <w:rFonts w:cstheme="minorHAnsi"/>
              </w:rPr>
              <w:t xml:space="preserve"> list price of Nimenrix’ if both are listed on the NIP</w:t>
            </w:r>
          </w:p>
        </w:tc>
        <w:tc>
          <w:tcPr>
            <w:tcW w:w="1780" w:type="pct"/>
            <w:vAlign w:val="center"/>
          </w:tcPr>
          <w:p w:rsidR="00250B02" w:rsidRPr="00F7369B" w:rsidRDefault="00FD73EE" w:rsidP="00F07301">
            <w:pPr>
              <w:pStyle w:val="TableText0"/>
              <w:keepNext w:val="0"/>
              <w:rPr>
                <w:rFonts w:cstheme="minorHAnsi"/>
              </w:rPr>
            </w:pPr>
            <w:r w:rsidRPr="00F7369B">
              <w:rPr>
                <w:rFonts w:cstheme="minorHAnsi"/>
              </w:rPr>
              <w:t>-</w:t>
            </w:r>
          </w:p>
        </w:tc>
      </w:tr>
      <w:tr w:rsidR="00250B02" w:rsidRPr="00F7369B" w:rsidTr="00B776D2">
        <w:tc>
          <w:tcPr>
            <w:tcW w:w="1098" w:type="pct"/>
            <w:vAlign w:val="center"/>
          </w:tcPr>
          <w:p w:rsidR="00250B02" w:rsidRPr="00F7369B" w:rsidRDefault="00250B02" w:rsidP="00047C38">
            <w:pPr>
              <w:pStyle w:val="TableText0"/>
              <w:keepNext w:val="0"/>
              <w:rPr>
                <w:rFonts w:cstheme="minorHAnsi"/>
              </w:rPr>
            </w:pPr>
            <w:r w:rsidRPr="00F7369B">
              <w:rPr>
                <w:rFonts w:cstheme="minorHAnsi"/>
              </w:rPr>
              <w:t>Nimenrix</w:t>
            </w:r>
          </w:p>
        </w:tc>
        <w:tc>
          <w:tcPr>
            <w:tcW w:w="2122" w:type="pct"/>
            <w:vAlign w:val="center"/>
          </w:tcPr>
          <w:p w:rsidR="00250B02" w:rsidRPr="00F7369B" w:rsidRDefault="00250B02" w:rsidP="00047C38">
            <w:pPr>
              <w:pStyle w:val="TableText0"/>
              <w:keepNext w:val="0"/>
              <w:rPr>
                <w:rFonts w:cstheme="minorHAnsi"/>
              </w:rPr>
            </w:pPr>
            <w:r w:rsidRPr="00F7369B">
              <w:rPr>
                <w:rFonts w:cstheme="minorHAnsi"/>
              </w:rPr>
              <w:t>Proxy cost of $</w:t>
            </w:r>
            <w:r w:rsidR="0007305C">
              <w:rPr>
                <w:rFonts w:cstheme="minorHAnsi"/>
                <w:noProof/>
                <w:color w:val="000000"/>
                <w:highlight w:val="black"/>
              </w:rPr>
              <w:t>''''''''''''</w:t>
            </w:r>
            <w:r w:rsidRPr="00F7369B">
              <w:rPr>
                <w:rFonts w:cstheme="minorHAnsi"/>
              </w:rPr>
              <w:t xml:space="preserve"> based on a recently published Australian cost effectiveness analysis of MenACWY in Australia adolescents (Si, Zomer et al.2019)</w:t>
            </w:r>
          </w:p>
        </w:tc>
        <w:tc>
          <w:tcPr>
            <w:tcW w:w="1780" w:type="pct"/>
            <w:vAlign w:val="center"/>
          </w:tcPr>
          <w:p w:rsidR="00250B02" w:rsidRPr="00F7369B" w:rsidRDefault="00FD73EE" w:rsidP="00F07301">
            <w:pPr>
              <w:pStyle w:val="TableText0"/>
              <w:keepNext w:val="0"/>
              <w:rPr>
                <w:rFonts w:cstheme="minorHAnsi"/>
              </w:rPr>
            </w:pPr>
            <w:r w:rsidRPr="00F7369B">
              <w:rPr>
                <w:rFonts w:cstheme="minorHAnsi"/>
              </w:rPr>
              <w:t>-</w:t>
            </w:r>
          </w:p>
        </w:tc>
      </w:tr>
      <w:tr w:rsidR="00250B02" w:rsidRPr="00F7369B" w:rsidTr="00B776D2">
        <w:tc>
          <w:tcPr>
            <w:tcW w:w="1098" w:type="pct"/>
            <w:vAlign w:val="center"/>
          </w:tcPr>
          <w:p w:rsidR="00250B02" w:rsidRPr="00F7369B" w:rsidRDefault="00250B02" w:rsidP="00047C38">
            <w:pPr>
              <w:pStyle w:val="TableText0"/>
              <w:keepNext w:val="0"/>
              <w:rPr>
                <w:rFonts w:cstheme="minorHAnsi"/>
              </w:rPr>
            </w:pPr>
            <w:r w:rsidRPr="00F7369B">
              <w:rPr>
                <w:rFonts w:cstheme="minorHAnsi"/>
              </w:rPr>
              <w:t xml:space="preserve">Patient </w:t>
            </w:r>
            <w:r w:rsidR="008E4772" w:rsidRPr="00F7369B">
              <w:rPr>
                <w:rFonts w:cstheme="minorHAnsi"/>
              </w:rPr>
              <w:t>co-payment</w:t>
            </w:r>
          </w:p>
        </w:tc>
        <w:tc>
          <w:tcPr>
            <w:tcW w:w="2122" w:type="pct"/>
            <w:vAlign w:val="center"/>
          </w:tcPr>
          <w:p w:rsidR="00250B02" w:rsidRPr="00F7369B" w:rsidRDefault="00250B02" w:rsidP="00047C38">
            <w:pPr>
              <w:pStyle w:val="TableText0"/>
              <w:keepNext w:val="0"/>
              <w:rPr>
                <w:rFonts w:cstheme="minorHAnsi"/>
              </w:rPr>
            </w:pPr>
            <w:r w:rsidRPr="00F7369B">
              <w:rPr>
                <w:rFonts w:cstheme="minorHAnsi"/>
              </w:rPr>
              <w:t>No patient co-payment for vaccines</w:t>
            </w:r>
          </w:p>
        </w:tc>
        <w:tc>
          <w:tcPr>
            <w:tcW w:w="1780" w:type="pct"/>
            <w:vAlign w:val="center"/>
          </w:tcPr>
          <w:p w:rsidR="00250B02" w:rsidRPr="00F7369B" w:rsidRDefault="00FD73EE" w:rsidP="00F07301">
            <w:pPr>
              <w:pStyle w:val="TableText0"/>
              <w:keepNext w:val="0"/>
              <w:rPr>
                <w:rFonts w:cstheme="minorHAnsi"/>
              </w:rPr>
            </w:pPr>
            <w:r w:rsidRPr="00F7369B">
              <w:rPr>
                <w:rFonts w:cstheme="minorHAnsi"/>
              </w:rPr>
              <w:t>-</w:t>
            </w:r>
          </w:p>
        </w:tc>
      </w:tr>
    </w:tbl>
    <w:p w:rsidR="00250B02" w:rsidRDefault="00250B02" w:rsidP="008D7CB2">
      <w:pPr>
        <w:rPr>
          <w:rFonts w:ascii="Arial Narrow" w:hAnsi="Arial Narrow" w:cstheme="minorHAnsi"/>
          <w:sz w:val="18"/>
          <w:szCs w:val="18"/>
        </w:rPr>
      </w:pPr>
      <w:r w:rsidRPr="00F7369B">
        <w:rPr>
          <w:rFonts w:ascii="Arial Narrow" w:hAnsi="Arial Narrow" w:cstheme="minorHAnsi"/>
          <w:sz w:val="18"/>
          <w:szCs w:val="18"/>
        </w:rPr>
        <w:t xml:space="preserve">Source: Table 4.1 of the submission and section 4 budget impact Excel spreadsheet. </w:t>
      </w:r>
    </w:p>
    <w:p w:rsidR="00DC4028" w:rsidRDefault="00DC4028" w:rsidP="008D7CB2">
      <w:pPr>
        <w:rPr>
          <w:rFonts w:ascii="Arial Narrow" w:hAnsi="Arial Narrow" w:cstheme="minorHAnsi"/>
          <w:i/>
          <w:sz w:val="18"/>
          <w:szCs w:val="18"/>
        </w:rPr>
      </w:pPr>
      <w:r>
        <w:rPr>
          <w:rFonts w:ascii="Arial Narrow" w:hAnsi="Arial Narrow" w:cstheme="minorHAnsi"/>
          <w:i/>
          <w:sz w:val="18"/>
          <w:szCs w:val="18"/>
        </w:rPr>
        <w:t>The redacted values correspond to the following ranges</w:t>
      </w:r>
    </w:p>
    <w:p w:rsidR="00DC4028" w:rsidRDefault="00DC4028" w:rsidP="008D7CB2">
      <w:pPr>
        <w:rPr>
          <w:rFonts w:ascii="Arial Narrow" w:hAnsi="Arial Narrow" w:cstheme="minorHAnsi"/>
          <w:i/>
          <w:sz w:val="18"/>
          <w:szCs w:val="18"/>
        </w:rPr>
      </w:pPr>
      <w:r>
        <w:rPr>
          <w:rFonts w:ascii="Arial Narrow" w:hAnsi="Arial Narrow" w:cstheme="minorHAnsi"/>
          <w:i/>
          <w:sz w:val="18"/>
          <w:szCs w:val="18"/>
          <w:vertAlign w:val="superscript"/>
        </w:rPr>
        <w:t>1</w:t>
      </w:r>
      <w:r>
        <w:rPr>
          <w:rFonts w:ascii="Arial Narrow" w:hAnsi="Arial Narrow" w:cstheme="minorHAnsi"/>
          <w:i/>
          <w:sz w:val="18"/>
          <w:szCs w:val="18"/>
        </w:rPr>
        <w:t xml:space="preserve"> 300,000 to &lt; 400,000</w:t>
      </w:r>
    </w:p>
    <w:p w:rsidR="00513712" w:rsidRDefault="00513712" w:rsidP="008D7CB2">
      <w:pPr>
        <w:rPr>
          <w:rFonts w:ascii="Arial Narrow" w:hAnsi="Arial Narrow" w:cstheme="minorHAnsi"/>
          <w:i/>
          <w:sz w:val="18"/>
          <w:szCs w:val="18"/>
        </w:rPr>
      </w:pPr>
      <w:r>
        <w:rPr>
          <w:rFonts w:ascii="Arial Narrow" w:hAnsi="Arial Narrow" w:cstheme="minorHAnsi"/>
          <w:i/>
          <w:sz w:val="18"/>
          <w:szCs w:val="18"/>
          <w:vertAlign w:val="superscript"/>
        </w:rPr>
        <w:t>2</w:t>
      </w:r>
      <w:r>
        <w:rPr>
          <w:rFonts w:ascii="Arial Narrow" w:hAnsi="Arial Narrow" w:cstheme="minorHAnsi"/>
          <w:i/>
          <w:sz w:val="18"/>
          <w:szCs w:val="18"/>
        </w:rPr>
        <w:t xml:space="preserve"> 1,000,000 to &lt; 2,000,000</w:t>
      </w:r>
    </w:p>
    <w:p w:rsidR="00513712" w:rsidRDefault="00513712" w:rsidP="008D7CB2">
      <w:pPr>
        <w:rPr>
          <w:rFonts w:ascii="Arial Narrow" w:hAnsi="Arial Narrow" w:cstheme="minorHAnsi"/>
          <w:i/>
          <w:sz w:val="18"/>
          <w:szCs w:val="18"/>
        </w:rPr>
      </w:pPr>
      <w:r>
        <w:rPr>
          <w:rFonts w:ascii="Arial Narrow" w:hAnsi="Arial Narrow" w:cstheme="minorHAnsi"/>
          <w:i/>
          <w:sz w:val="18"/>
          <w:szCs w:val="18"/>
          <w:vertAlign w:val="superscript"/>
        </w:rPr>
        <w:t>3</w:t>
      </w:r>
      <w:r>
        <w:rPr>
          <w:rFonts w:ascii="Arial Narrow" w:hAnsi="Arial Narrow" w:cstheme="minorHAnsi"/>
          <w:i/>
          <w:sz w:val="18"/>
          <w:szCs w:val="18"/>
        </w:rPr>
        <w:t xml:space="preserve"> 800,000 to &lt; 900,000</w:t>
      </w:r>
    </w:p>
    <w:p w:rsidR="00513712" w:rsidRDefault="00513712" w:rsidP="008D7CB2">
      <w:pPr>
        <w:rPr>
          <w:rFonts w:ascii="Arial Narrow" w:hAnsi="Arial Narrow" w:cstheme="minorHAnsi"/>
          <w:i/>
          <w:sz w:val="18"/>
          <w:szCs w:val="18"/>
        </w:rPr>
      </w:pPr>
      <w:r>
        <w:rPr>
          <w:rFonts w:ascii="Arial Narrow" w:hAnsi="Arial Narrow" w:cstheme="minorHAnsi"/>
          <w:i/>
          <w:sz w:val="18"/>
          <w:szCs w:val="18"/>
          <w:vertAlign w:val="superscript"/>
        </w:rPr>
        <w:t>4</w:t>
      </w:r>
      <w:r>
        <w:rPr>
          <w:rFonts w:ascii="Arial Narrow" w:hAnsi="Arial Narrow" w:cstheme="minorHAnsi"/>
          <w:i/>
          <w:sz w:val="18"/>
          <w:szCs w:val="18"/>
        </w:rPr>
        <w:t xml:space="preserve"> 200,000 to &lt; 300,000</w:t>
      </w:r>
    </w:p>
    <w:p w:rsidR="00513712" w:rsidRPr="00513712" w:rsidRDefault="00513712" w:rsidP="008D7CB2">
      <w:pPr>
        <w:rPr>
          <w:rFonts w:ascii="Arial Narrow" w:hAnsi="Arial Narrow" w:cstheme="minorHAnsi"/>
          <w:i/>
          <w:sz w:val="18"/>
          <w:szCs w:val="18"/>
        </w:rPr>
      </w:pPr>
      <w:r>
        <w:rPr>
          <w:rFonts w:ascii="Arial Narrow" w:hAnsi="Arial Narrow" w:cstheme="minorHAnsi"/>
          <w:i/>
          <w:sz w:val="18"/>
          <w:szCs w:val="18"/>
          <w:vertAlign w:val="superscript"/>
        </w:rPr>
        <w:t>5</w:t>
      </w:r>
      <w:r>
        <w:rPr>
          <w:rFonts w:ascii="Arial Narrow" w:hAnsi="Arial Narrow" w:cstheme="minorHAnsi"/>
          <w:i/>
          <w:sz w:val="18"/>
          <w:szCs w:val="18"/>
        </w:rPr>
        <w:t xml:space="preserve"> 500 to &lt; 5,000</w:t>
      </w:r>
    </w:p>
    <w:p w:rsidR="00250B02" w:rsidRPr="00F7369B" w:rsidRDefault="00250B02" w:rsidP="00250B02">
      <w:pPr>
        <w:pStyle w:val="3-BodyText"/>
        <w:numPr>
          <w:ilvl w:val="0"/>
          <w:numId w:val="0"/>
        </w:numPr>
        <w:rPr>
          <w:rFonts w:cstheme="minorHAnsi"/>
          <w:i/>
          <w:iCs/>
        </w:rPr>
      </w:pPr>
    </w:p>
    <w:p w:rsidR="003C25DC" w:rsidRPr="00F7369B" w:rsidRDefault="0021728F" w:rsidP="00D07340">
      <w:pPr>
        <w:pStyle w:val="3-BodyText"/>
        <w:rPr>
          <w:rFonts w:cstheme="minorHAnsi"/>
        </w:rPr>
      </w:pPr>
      <w:r w:rsidRPr="00F7369B">
        <w:rPr>
          <w:rFonts w:cstheme="minorHAnsi"/>
        </w:rPr>
        <w:t>T</w:t>
      </w:r>
      <w:r w:rsidR="003C25DC" w:rsidRPr="00F7369B">
        <w:rPr>
          <w:rFonts w:cstheme="minorHAnsi"/>
        </w:rPr>
        <w:t xml:space="preserve">he estimated number of children (12 months old), adolescents (14-19 years old) and medically at-risk people (≥12 months old) receiving routine MenACWY vaccine </w:t>
      </w:r>
      <w:r w:rsidR="004405E5" w:rsidRPr="00F7369B">
        <w:rPr>
          <w:rFonts w:cstheme="minorHAnsi"/>
        </w:rPr>
        <w:t>(both MenQuadfi and Nimenrix)</w:t>
      </w:r>
      <w:r w:rsidRPr="00F7369B">
        <w:rPr>
          <w:rFonts w:cstheme="minorHAnsi"/>
        </w:rPr>
        <w:t xml:space="preserve"> is presented in Table 9.</w:t>
      </w:r>
    </w:p>
    <w:p w:rsidR="003C25DC" w:rsidRPr="00F7369B" w:rsidRDefault="003C25DC" w:rsidP="003C25DC">
      <w:pPr>
        <w:pStyle w:val="3-BodyText"/>
        <w:rPr>
          <w:rFonts w:cstheme="minorHAnsi"/>
        </w:rPr>
      </w:pPr>
      <w:r w:rsidRPr="00F7369B">
        <w:rPr>
          <w:rFonts w:cstheme="minorHAnsi"/>
        </w:rPr>
        <w:t xml:space="preserve">The submission estimated </w:t>
      </w:r>
      <w:r w:rsidR="00C30EDC" w:rsidRPr="00F7369B">
        <w:rPr>
          <w:rFonts w:cstheme="minorHAnsi"/>
        </w:rPr>
        <w:t>that</w:t>
      </w:r>
      <w:r w:rsidRPr="00F7369B">
        <w:rPr>
          <w:rFonts w:cstheme="minorHAnsi"/>
        </w:rPr>
        <w:t xml:space="preserve"> </w:t>
      </w:r>
      <w:r w:rsidR="00DC4028">
        <w:rPr>
          <w:rFonts w:cstheme="minorHAnsi"/>
        </w:rPr>
        <w:t>4,000,000 to &lt; 6,000,000</w:t>
      </w:r>
      <w:r w:rsidRPr="00F7369B">
        <w:rPr>
          <w:rFonts w:cstheme="minorHAnsi"/>
        </w:rPr>
        <w:t xml:space="preserve"> people would receive routine MenACWY vaccination (MenQuadfi or Nimenrix) over the next six years, split by subpopulation as follows: </w:t>
      </w:r>
    </w:p>
    <w:p w:rsidR="003C25DC" w:rsidRPr="00F7369B" w:rsidRDefault="00DC4028" w:rsidP="00B776D2">
      <w:pPr>
        <w:pStyle w:val="3-BodyText"/>
        <w:numPr>
          <w:ilvl w:val="0"/>
          <w:numId w:val="15"/>
        </w:numPr>
        <w:ind w:left="1077" w:hanging="357"/>
        <w:rPr>
          <w:rFonts w:cstheme="minorHAnsi"/>
        </w:rPr>
      </w:pPr>
      <w:r>
        <w:rPr>
          <w:rFonts w:cstheme="minorHAnsi"/>
        </w:rPr>
        <w:t>1,000,000 to &lt; 2,000,000</w:t>
      </w:r>
      <w:r w:rsidR="003C25DC" w:rsidRPr="00F7369B">
        <w:rPr>
          <w:rFonts w:cstheme="minorHAnsi"/>
        </w:rPr>
        <w:t xml:space="preserve"> </w:t>
      </w:r>
      <w:r w:rsidR="000F4BC1" w:rsidRPr="00F7369B">
        <w:rPr>
          <w:rFonts w:cstheme="minorHAnsi"/>
        </w:rPr>
        <w:t xml:space="preserve">children </w:t>
      </w:r>
      <w:r w:rsidR="003C25DC" w:rsidRPr="00F7369B">
        <w:rPr>
          <w:rFonts w:cstheme="minorHAnsi"/>
        </w:rPr>
        <w:t>aged 12 months.</w:t>
      </w:r>
    </w:p>
    <w:p w:rsidR="003C25DC" w:rsidRPr="00F7369B" w:rsidRDefault="00DC4028" w:rsidP="00B776D2">
      <w:pPr>
        <w:pStyle w:val="3-BodyText"/>
        <w:numPr>
          <w:ilvl w:val="0"/>
          <w:numId w:val="15"/>
        </w:numPr>
        <w:ind w:left="1077" w:hanging="357"/>
        <w:rPr>
          <w:rFonts w:cstheme="minorHAnsi"/>
        </w:rPr>
      </w:pPr>
      <w:r>
        <w:rPr>
          <w:rFonts w:cstheme="minorHAnsi"/>
        </w:rPr>
        <w:t>1,000,000 to &lt; 2,000,000</w:t>
      </w:r>
      <w:r w:rsidR="003C25DC" w:rsidRPr="00F7369B">
        <w:rPr>
          <w:rFonts w:cstheme="minorHAnsi"/>
        </w:rPr>
        <w:t xml:space="preserve"> adolescents through school program. </w:t>
      </w:r>
    </w:p>
    <w:p w:rsidR="003C25DC" w:rsidRPr="00F7369B" w:rsidRDefault="00DC4028" w:rsidP="00B776D2">
      <w:pPr>
        <w:pStyle w:val="3-BodyText"/>
        <w:numPr>
          <w:ilvl w:val="0"/>
          <w:numId w:val="15"/>
        </w:numPr>
        <w:ind w:left="1077" w:hanging="357"/>
        <w:rPr>
          <w:rFonts w:cstheme="minorHAnsi"/>
        </w:rPr>
      </w:pPr>
      <w:r>
        <w:rPr>
          <w:rFonts w:cstheme="minorHAnsi"/>
        </w:rPr>
        <w:t>500,000 to &lt; 600,000</w:t>
      </w:r>
      <w:r w:rsidR="003C25DC" w:rsidRPr="00F7369B">
        <w:rPr>
          <w:rFonts w:cstheme="minorHAnsi"/>
        </w:rPr>
        <w:t xml:space="preserve"> adolescents through the </w:t>
      </w:r>
      <w:r w:rsidR="009E0BED" w:rsidRPr="00F7369B">
        <w:rPr>
          <w:rFonts w:cstheme="minorHAnsi"/>
        </w:rPr>
        <w:t>catch-up</w:t>
      </w:r>
      <w:r w:rsidR="003C25DC" w:rsidRPr="00F7369B">
        <w:rPr>
          <w:rFonts w:cstheme="minorHAnsi"/>
        </w:rPr>
        <w:t xml:space="preserve"> program. </w:t>
      </w:r>
    </w:p>
    <w:p w:rsidR="003C25DC" w:rsidRPr="00F7369B" w:rsidRDefault="00DC4028" w:rsidP="00B776D2">
      <w:pPr>
        <w:pStyle w:val="3-BodyText"/>
        <w:numPr>
          <w:ilvl w:val="0"/>
          <w:numId w:val="15"/>
        </w:numPr>
        <w:ind w:left="1077" w:hanging="357"/>
        <w:rPr>
          <w:rFonts w:cstheme="minorHAnsi"/>
        </w:rPr>
      </w:pPr>
      <w:r>
        <w:rPr>
          <w:rFonts w:cstheme="minorHAnsi"/>
        </w:rPr>
        <w:t>5,000 to &lt; 10,000</w:t>
      </w:r>
      <w:r w:rsidR="003C25DC" w:rsidRPr="00F7369B">
        <w:rPr>
          <w:rFonts w:cstheme="minorHAnsi"/>
        </w:rPr>
        <w:t xml:space="preserve"> medically at-risk people (≥12 months).</w:t>
      </w:r>
    </w:p>
    <w:p w:rsidR="006515F5" w:rsidRPr="00F7369B" w:rsidRDefault="006515F5">
      <w:pPr>
        <w:jc w:val="left"/>
        <w:rPr>
          <w:rFonts w:ascii="Arial Narrow" w:hAnsi="Arial Narrow" w:cstheme="minorHAnsi"/>
          <w:b/>
          <w:bCs/>
          <w:snapToGrid w:val="0"/>
          <w:sz w:val="20"/>
          <w:szCs w:val="20"/>
        </w:rPr>
      </w:pPr>
      <w:r w:rsidRPr="00F7369B">
        <w:rPr>
          <w:rFonts w:ascii="Arial Narrow" w:hAnsi="Arial Narrow" w:cstheme="minorHAnsi"/>
          <w:b/>
          <w:bCs/>
          <w:sz w:val="20"/>
          <w:szCs w:val="20"/>
        </w:rPr>
        <w:br w:type="page"/>
      </w:r>
    </w:p>
    <w:p w:rsidR="004405E5" w:rsidRPr="00F7369B" w:rsidRDefault="004405E5" w:rsidP="004405E5">
      <w:pPr>
        <w:pStyle w:val="3-BodyText"/>
        <w:numPr>
          <w:ilvl w:val="0"/>
          <w:numId w:val="0"/>
        </w:numPr>
        <w:rPr>
          <w:rFonts w:ascii="Arial Narrow" w:hAnsi="Arial Narrow" w:cstheme="minorHAnsi"/>
          <w:b/>
          <w:bCs/>
          <w:sz w:val="20"/>
          <w:szCs w:val="20"/>
        </w:rPr>
      </w:pPr>
      <w:r w:rsidRPr="00F7369B">
        <w:rPr>
          <w:rFonts w:ascii="Arial Narrow" w:hAnsi="Arial Narrow" w:cstheme="minorHAnsi"/>
          <w:b/>
          <w:bCs/>
          <w:sz w:val="20"/>
          <w:szCs w:val="20"/>
        </w:rPr>
        <w:t xml:space="preserve">Table </w:t>
      </w:r>
      <w:r w:rsidR="00497D25" w:rsidRPr="00F7369B">
        <w:rPr>
          <w:rFonts w:ascii="Arial Narrow" w:hAnsi="Arial Narrow" w:cstheme="minorHAnsi"/>
          <w:b/>
          <w:bCs/>
          <w:sz w:val="20"/>
          <w:szCs w:val="20"/>
        </w:rPr>
        <w:t>9</w:t>
      </w:r>
      <w:r w:rsidRPr="00F7369B">
        <w:rPr>
          <w:rFonts w:ascii="Arial Narrow" w:hAnsi="Arial Narrow" w:cstheme="minorHAnsi"/>
          <w:b/>
          <w:bCs/>
          <w:sz w:val="20"/>
          <w:szCs w:val="20"/>
        </w:rPr>
        <w:t>: Estimated number of eligible patients (</w:t>
      </w:r>
      <w:r w:rsidR="000F4BC1" w:rsidRPr="00F7369B">
        <w:rPr>
          <w:rFonts w:ascii="Arial Narrow" w:hAnsi="Arial Narrow" w:cstheme="minorHAnsi"/>
          <w:b/>
          <w:bCs/>
          <w:sz w:val="20"/>
          <w:szCs w:val="20"/>
        </w:rPr>
        <w:t>children</w:t>
      </w:r>
      <w:r w:rsidRPr="00F7369B">
        <w:rPr>
          <w:rFonts w:ascii="Arial Narrow" w:hAnsi="Arial Narrow" w:cstheme="minorHAnsi"/>
          <w:b/>
          <w:bCs/>
          <w:sz w:val="20"/>
          <w:szCs w:val="20"/>
        </w:rPr>
        <w:t xml:space="preserve"> 12 months; adolescent aged 14-19 years; medically </w:t>
      </w:r>
      <w:r w:rsidR="004330E0" w:rsidRPr="00F7369B">
        <w:rPr>
          <w:rFonts w:ascii="Arial Narrow" w:hAnsi="Arial Narrow" w:cstheme="minorHAnsi"/>
          <w:b/>
          <w:bCs/>
          <w:sz w:val="20"/>
          <w:szCs w:val="20"/>
        </w:rPr>
        <w:t>at-risk</w:t>
      </w:r>
      <w:r w:rsidRPr="00F7369B">
        <w:rPr>
          <w:rFonts w:ascii="Arial Narrow" w:hAnsi="Arial Narrow" w:cstheme="minorHAnsi"/>
          <w:b/>
          <w:bCs/>
          <w:sz w:val="20"/>
          <w:szCs w:val="20"/>
        </w:rPr>
        <w:t xml:space="preserve"> ≥12 months) participating in the proposed vaccine program and the </w:t>
      </w:r>
      <w:r w:rsidRPr="00F7369B">
        <w:rPr>
          <w:rStyle w:val="CommentReference"/>
          <w:rFonts w:cstheme="minorHAnsi"/>
          <w:szCs w:val="20"/>
        </w:rPr>
        <w:t>cost of listing MenQuadfi and Nimenrix on the NIP</w:t>
      </w:r>
    </w:p>
    <w:tbl>
      <w:tblPr>
        <w:tblStyle w:val="TableGrid"/>
        <w:tblW w:w="5028" w:type="pct"/>
        <w:tblLayout w:type="fixed"/>
        <w:tblLook w:val="04A0" w:firstRow="1" w:lastRow="0" w:firstColumn="1" w:lastColumn="0" w:noHBand="0" w:noVBand="1"/>
        <w:tblCaption w:val="Estimated number of eligible patients (children 12 months; adolescent aged 14-19 years; medically at-risk ≥12 months) participating in the proposed vaccine program and the cost of listing MenQuadfi and Nimenrix on the NIP"/>
      </w:tblPr>
      <w:tblGrid>
        <w:gridCol w:w="2264"/>
        <w:gridCol w:w="1133"/>
        <w:gridCol w:w="1135"/>
        <w:gridCol w:w="1135"/>
        <w:gridCol w:w="1133"/>
        <w:gridCol w:w="1135"/>
        <w:gridCol w:w="1132"/>
      </w:tblGrid>
      <w:tr w:rsidR="00B776D2" w:rsidRPr="00F7369B" w:rsidTr="00B776D2">
        <w:trPr>
          <w:trHeight w:val="198"/>
          <w:tblHeader/>
        </w:trPr>
        <w:tc>
          <w:tcPr>
            <w:tcW w:w="1248" w:type="pct"/>
            <w:noWrap/>
            <w:tcMar>
              <w:left w:w="28" w:type="dxa"/>
              <w:right w:w="28" w:type="dxa"/>
            </w:tcMar>
          </w:tcPr>
          <w:p w:rsidR="00604A85" w:rsidRPr="00F7369B" w:rsidRDefault="00604A85" w:rsidP="003A155E">
            <w:pPr>
              <w:pStyle w:val="Table"/>
              <w:rPr>
                <w:rStyle w:val="Small"/>
                <w:rFonts w:ascii="Arial Narrow" w:hAnsi="Arial Narrow"/>
                <w:sz w:val="20"/>
                <w:szCs w:val="20"/>
              </w:rPr>
            </w:pPr>
          </w:p>
        </w:tc>
        <w:tc>
          <w:tcPr>
            <w:tcW w:w="625" w:type="pct"/>
            <w:noWrap/>
            <w:tcMar>
              <w:left w:w="28" w:type="dxa"/>
              <w:right w:w="28" w:type="dxa"/>
            </w:tcMar>
          </w:tcPr>
          <w:p w:rsidR="00604A85" w:rsidRPr="00F7369B" w:rsidRDefault="00604A85" w:rsidP="003A155E">
            <w:pPr>
              <w:pStyle w:val="TableCentre"/>
              <w:rPr>
                <w:rStyle w:val="Small"/>
                <w:rFonts w:ascii="Arial Narrow" w:hAnsi="Arial Narrow" w:cstheme="minorHAnsi"/>
                <w:sz w:val="20"/>
                <w:szCs w:val="20"/>
              </w:rPr>
            </w:pPr>
            <w:r w:rsidRPr="00F7369B">
              <w:rPr>
                <w:rStyle w:val="Small"/>
                <w:rFonts w:ascii="Arial Narrow" w:hAnsi="Arial Narrow" w:cstheme="minorHAnsi"/>
                <w:b/>
                <w:bCs/>
                <w:sz w:val="20"/>
                <w:szCs w:val="20"/>
              </w:rPr>
              <w:t>2021</w:t>
            </w:r>
          </w:p>
        </w:tc>
        <w:tc>
          <w:tcPr>
            <w:tcW w:w="626" w:type="pct"/>
            <w:noWrap/>
            <w:tcMar>
              <w:left w:w="28" w:type="dxa"/>
              <w:right w:w="28" w:type="dxa"/>
            </w:tcMar>
          </w:tcPr>
          <w:p w:rsidR="00604A85" w:rsidRPr="00F7369B" w:rsidRDefault="00604A85" w:rsidP="003A155E">
            <w:pPr>
              <w:pStyle w:val="TableCentre"/>
              <w:rPr>
                <w:rStyle w:val="Small"/>
                <w:rFonts w:ascii="Arial Narrow" w:hAnsi="Arial Narrow" w:cstheme="minorHAnsi"/>
                <w:sz w:val="20"/>
                <w:szCs w:val="20"/>
              </w:rPr>
            </w:pPr>
            <w:r w:rsidRPr="00F7369B">
              <w:rPr>
                <w:rStyle w:val="Small"/>
                <w:rFonts w:ascii="Arial Narrow" w:hAnsi="Arial Narrow" w:cstheme="minorHAnsi"/>
                <w:b/>
                <w:bCs/>
                <w:sz w:val="20"/>
                <w:szCs w:val="20"/>
              </w:rPr>
              <w:t>2022</w:t>
            </w:r>
          </w:p>
        </w:tc>
        <w:tc>
          <w:tcPr>
            <w:tcW w:w="626" w:type="pct"/>
            <w:noWrap/>
            <w:tcMar>
              <w:left w:w="28" w:type="dxa"/>
              <w:right w:w="28" w:type="dxa"/>
            </w:tcMar>
          </w:tcPr>
          <w:p w:rsidR="00604A85" w:rsidRPr="00F7369B" w:rsidRDefault="00604A85" w:rsidP="003A155E">
            <w:pPr>
              <w:pStyle w:val="TableCentre"/>
              <w:rPr>
                <w:rStyle w:val="Small"/>
                <w:rFonts w:ascii="Arial Narrow" w:hAnsi="Arial Narrow" w:cstheme="minorHAnsi"/>
                <w:sz w:val="20"/>
                <w:szCs w:val="20"/>
              </w:rPr>
            </w:pPr>
            <w:r w:rsidRPr="00F7369B">
              <w:rPr>
                <w:rStyle w:val="Small"/>
                <w:rFonts w:ascii="Arial Narrow" w:hAnsi="Arial Narrow" w:cstheme="minorHAnsi"/>
                <w:b/>
                <w:bCs/>
                <w:sz w:val="20"/>
                <w:szCs w:val="20"/>
              </w:rPr>
              <w:t>2023</w:t>
            </w:r>
          </w:p>
        </w:tc>
        <w:tc>
          <w:tcPr>
            <w:tcW w:w="625" w:type="pct"/>
            <w:noWrap/>
            <w:tcMar>
              <w:left w:w="28" w:type="dxa"/>
              <w:right w:w="28" w:type="dxa"/>
            </w:tcMar>
          </w:tcPr>
          <w:p w:rsidR="00604A85" w:rsidRPr="00F7369B" w:rsidRDefault="00604A85" w:rsidP="003A155E">
            <w:pPr>
              <w:pStyle w:val="TableCentre"/>
              <w:rPr>
                <w:rStyle w:val="Small"/>
                <w:rFonts w:ascii="Arial Narrow" w:hAnsi="Arial Narrow" w:cstheme="minorHAnsi"/>
                <w:sz w:val="20"/>
                <w:szCs w:val="20"/>
              </w:rPr>
            </w:pPr>
            <w:r w:rsidRPr="00F7369B">
              <w:rPr>
                <w:rStyle w:val="Small"/>
                <w:rFonts w:ascii="Arial Narrow" w:hAnsi="Arial Narrow" w:cstheme="minorHAnsi"/>
                <w:b/>
                <w:bCs/>
                <w:sz w:val="20"/>
                <w:szCs w:val="20"/>
              </w:rPr>
              <w:t>2024</w:t>
            </w:r>
          </w:p>
        </w:tc>
        <w:tc>
          <w:tcPr>
            <w:tcW w:w="626" w:type="pct"/>
            <w:noWrap/>
            <w:tcMar>
              <w:left w:w="28" w:type="dxa"/>
              <w:right w:w="28" w:type="dxa"/>
            </w:tcMar>
          </w:tcPr>
          <w:p w:rsidR="00604A85" w:rsidRPr="00F7369B" w:rsidRDefault="00604A85" w:rsidP="003A155E">
            <w:pPr>
              <w:pStyle w:val="TableCentre"/>
              <w:rPr>
                <w:rStyle w:val="Small"/>
                <w:rFonts w:ascii="Arial Narrow" w:hAnsi="Arial Narrow" w:cstheme="minorHAnsi"/>
                <w:sz w:val="20"/>
                <w:szCs w:val="20"/>
              </w:rPr>
            </w:pPr>
            <w:r w:rsidRPr="00F7369B">
              <w:rPr>
                <w:rStyle w:val="Small"/>
                <w:rFonts w:ascii="Arial Narrow" w:hAnsi="Arial Narrow" w:cstheme="minorHAnsi"/>
                <w:b/>
                <w:bCs/>
                <w:sz w:val="20"/>
                <w:szCs w:val="20"/>
              </w:rPr>
              <w:t>2025</w:t>
            </w:r>
          </w:p>
        </w:tc>
        <w:tc>
          <w:tcPr>
            <w:tcW w:w="624" w:type="pct"/>
            <w:noWrap/>
            <w:tcMar>
              <w:left w:w="28" w:type="dxa"/>
              <w:right w:w="28" w:type="dxa"/>
            </w:tcMar>
          </w:tcPr>
          <w:p w:rsidR="00604A85" w:rsidRPr="00F7369B" w:rsidRDefault="00604A85" w:rsidP="003A155E">
            <w:pPr>
              <w:pStyle w:val="TableCentre"/>
              <w:rPr>
                <w:rStyle w:val="Small"/>
                <w:rFonts w:ascii="Arial Narrow" w:hAnsi="Arial Narrow" w:cstheme="minorHAnsi"/>
                <w:sz w:val="20"/>
                <w:szCs w:val="20"/>
              </w:rPr>
            </w:pPr>
            <w:r w:rsidRPr="00F7369B">
              <w:rPr>
                <w:rStyle w:val="Small"/>
                <w:rFonts w:ascii="Arial Narrow" w:hAnsi="Arial Narrow" w:cstheme="minorHAnsi"/>
                <w:b/>
                <w:bCs/>
                <w:sz w:val="20"/>
                <w:szCs w:val="20"/>
              </w:rPr>
              <w:t>2026</w:t>
            </w:r>
          </w:p>
        </w:tc>
      </w:tr>
      <w:tr w:rsidR="004405E5" w:rsidRPr="00F7369B" w:rsidTr="00B776D2">
        <w:trPr>
          <w:trHeight w:val="198"/>
        </w:trPr>
        <w:tc>
          <w:tcPr>
            <w:tcW w:w="5000" w:type="pct"/>
            <w:gridSpan w:val="7"/>
            <w:noWrap/>
            <w:tcMar>
              <w:left w:w="28" w:type="dxa"/>
              <w:right w:w="28" w:type="dxa"/>
            </w:tcMar>
            <w:hideMark/>
          </w:tcPr>
          <w:p w:rsidR="004405E5" w:rsidRPr="00F7369B" w:rsidRDefault="004405E5" w:rsidP="00047C38">
            <w:pPr>
              <w:pStyle w:val="Table"/>
              <w:rPr>
                <w:rStyle w:val="Small"/>
                <w:rFonts w:ascii="Arial Narrow" w:hAnsi="Arial Narrow"/>
                <w:b/>
                <w:bCs/>
                <w:sz w:val="20"/>
                <w:szCs w:val="20"/>
              </w:rPr>
            </w:pPr>
            <w:r w:rsidRPr="00F7369B">
              <w:rPr>
                <w:rStyle w:val="Small"/>
                <w:rFonts w:ascii="Arial Narrow" w:hAnsi="Arial Narrow"/>
                <w:b/>
                <w:bCs/>
                <w:sz w:val="20"/>
                <w:szCs w:val="20"/>
              </w:rPr>
              <w:t>Total Australian population</w:t>
            </w:r>
            <w:r w:rsidRPr="00F7369B">
              <w:rPr>
                <w:rStyle w:val="Small"/>
                <w:rFonts w:ascii="Arial Narrow" w:hAnsi="Arial Narrow"/>
                <w:sz w:val="20"/>
                <w:szCs w:val="20"/>
              </w:rPr>
              <w:t> </w:t>
            </w:r>
          </w:p>
        </w:tc>
      </w:tr>
      <w:tr w:rsidR="00B776D2" w:rsidRPr="00F7369B" w:rsidTr="00B776D2">
        <w:trPr>
          <w:trHeight w:val="198"/>
        </w:trPr>
        <w:tc>
          <w:tcPr>
            <w:tcW w:w="1248" w:type="pct"/>
            <w:noWrap/>
            <w:tcMar>
              <w:left w:w="28" w:type="dxa"/>
              <w:right w:w="28" w:type="dxa"/>
            </w:tcMar>
          </w:tcPr>
          <w:p w:rsidR="004405E5" w:rsidRPr="00F7369B" w:rsidRDefault="00B04F69" w:rsidP="00047C38">
            <w:pPr>
              <w:pStyle w:val="Table"/>
              <w:rPr>
                <w:rStyle w:val="Small"/>
                <w:rFonts w:ascii="Arial Narrow" w:hAnsi="Arial Narrow"/>
                <w:sz w:val="20"/>
                <w:szCs w:val="20"/>
              </w:rPr>
            </w:pPr>
            <w:r w:rsidRPr="00F7369B">
              <w:rPr>
                <w:rStyle w:val="Small"/>
                <w:rFonts w:ascii="Arial Narrow" w:hAnsi="Arial Narrow"/>
                <w:sz w:val="20"/>
                <w:szCs w:val="20"/>
              </w:rPr>
              <w:t>Children 12 months old</w:t>
            </w:r>
          </w:p>
        </w:tc>
        <w:tc>
          <w:tcPr>
            <w:tcW w:w="625" w:type="pct"/>
            <w:noWrap/>
            <w:tcMar>
              <w:left w:w="28" w:type="dxa"/>
              <w:right w:w="28" w:type="dxa"/>
            </w:tcMar>
          </w:tcPr>
          <w:p w:rsidR="004405E5" w:rsidRPr="00F81BB5" w:rsidRDefault="0007305C" w:rsidP="00047C38">
            <w:pPr>
              <w:pStyle w:val="TableCentre"/>
              <w:rPr>
                <w:rStyle w:val="Small"/>
                <w:rFonts w:ascii="Arial Narrow" w:hAnsi="Arial Narrow" w:cstheme="minorHAnsi"/>
                <w:sz w:val="20"/>
                <w:szCs w:val="20"/>
                <w:vertAlign w:val="superscript"/>
              </w:rPr>
            </w:pPr>
            <w:r>
              <w:rPr>
                <w:rStyle w:val="Small"/>
                <w:rFonts w:ascii="Arial Narrow" w:hAnsi="Arial Narrow" w:cstheme="minorHAnsi"/>
                <w:noProof/>
                <w:color w:val="000000"/>
                <w:sz w:val="20"/>
                <w:szCs w:val="20"/>
                <w:highlight w:val="black"/>
              </w:rPr>
              <w:t>'''''''''''''''''''''</w:t>
            </w:r>
            <w:r w:rsidR="00F81BB5">
              <w:rPr>
                <w:rStyle w:val="Small"/>
                <w:rFonts w:ascii="Arial Narrow" w:hAnsi="Arial Narrow" w:cstheme="minorHAnsi"/>
                <w:sz w:val="20"/>
                <w:szCs w:val="20"/>
                <w:vertAlign w:val="superscript"/>
              </w:rPr>
              <w:t>1</w:t>
            </w:r>
          </w:p>
        </w:tc>
        <w:tc>
          <w:tcPr>
            <w:tcW w:w="626" w:type="pct"/>
            <w:noWrap/>
            <w:tcMar>
              <w:left w:w="28" w:type="dxa"/>
              <w:right w:w="28" w:type="dxa"/>
            </w:tcMar>
          </w:tcPr>
          <w:p w:rsidR="004405E5" w:rsidRPr="00F7369B" w:rsidRDefault="0007305C" w:rsidP="00047C38">
            <w:pPr>
              <w:pStyle w:val="TableCentre"/>
              <w:rPr>
                <w:rStyle w:val="Small"/>
                <w:rFonts w:ascii="Arial Narrow" w:hAnsi="Arial Narrow" w:cstheme="minorHAnsi"/>
                <w:sz w:val="20"/>
                <w:szCs w:val="20"/>
              </w:rPr>
            </w:pPr>
            <w:r>
              <w:rPr>
                <w:rStyle w:val="Small"/>
                <w:rFonts w:ascii="Arial Narrow" w:hAnsi="Arial Narrow" w:cstheme="minorHAnsi"/>
                <w:noProof/>
                <w:color w:val="000000"/>
                <w:sz w:val="20"/>
                <w:szCs w:val="20"/>
                <w:highlight w:val="black"/>
              </w:rPr>
              <w:t>'''''''''''''''''</w:t>
            </w:r>
            <w:r w:rsidR="00F81BB5">
              <w:rPr>
                <w:rStyle w:val="Small"/>
                <w:rFonts w:ascii="Arial Narrow" w:hAnsi="Arial Narrow" w:cstheme="minorHAnsi"/>
                <w:sz w:val="20"/>
                <w:szCs w:val="20"/>
                <w:vertAlign w:val="superscript"/>
              </w:rPr>
              <w:t>1</w:t>
            </w:r>
          </w:p>
        </w:tc>
        <w:tc>
          <w:tcPr>
            <w:tcW w:w="626" w:type="pct"/>
            <w:noWrap/>
            <w:tcMar>
              <w:left w:w="28" w:type="dxa"/>
              <w:right w:w="28" w:type="dxa"/>
            </w:tcMar>
          </w:tcPr>
          <w:p w:rsidR="004405E5" w:rsidRPr="00F7369B" w:rsidRDefault="0007305C" w:rsidP="00047C38">
            <w:pPr>
              <w:pStyle w:val="TableCentre"/>
              <w:rPr>
                <w:rStyle w:val="Small"/>
                <w:rFonts w:ascii="Arial Narrow" w:hAnsi="Arial Narrow" w:cstheme="minorHAnsi"/>
                <w:sz w:val="20"/>
                <w:szCs w:val="20"/>
              </w:rPr>
            </w:pPr>
            <w:r>
              <w:rPr>
                <w:rStyle w:val="Small"/>
                <w:rFonts w:ascii="Arial Narrow" w:hAnsi="Arial Narrow" w:cstheme="minorHAnsi"/>
                <w:noProof/>
                <w:color w:val="000000"/>
                <w:sz w:val="20"/>
                <w:szCs w:val="20"/>
                <w:highlight w:val="black"/>
              </w:rPr>
              <w:t>''''''''''''''''''</w:t>
            </w:r>
            <w:r w:rsidR="00F81BB5">
              <w:rPr>
                <w:rStyle w:val="Small"/>
                <w:rFonts w:ascii="Arial Narrow" w:hAnsi="Arial Narrow" w:cstheme="minorHAnsi"/>
                <w:sz w:val="20"/>
                <w:szCs w:val="20"/>
                <w:vertAlign w:val="superscript"/>
              </w:rPr>
              <w:t>1</w:t>
            </w:r>
          </w:p>
        </w:tc>
        <w:tc>
          <w:tcPr>
            <w:tcW w:w="625" w:type="pct"/>
            <w:noWrap/>
            <w:tcMar>
              <w:left w:w="28" w:type="dxa"/>
              <w:right w:w="28" w:type="dxa"/>
            </w:tcMar>
          </w:tcPr>
          <w:p w:rsidR="004405E5" w:rsidRPr="00F7369B" w:rsidRDefault="0007305C" w:rsidP="00047C38">
            <w:pPr>
              <w:pStyle w:val="TableCentre"/>
              <w:rPr>
                <w:rStyle w:val="Small"/>
                <w:rFonts w:ascii="Arial Narrow" w:hAnsi="Arial Narrow" w:cstheme="minorHAnsi"/>
                <w:sz w:val="20"/>
                <w:szCs w:val="20"/>
              </w:rPr>
            </w:pPr>
            <w:r>
              <w:rPr>
                <w:rStyle w:val="Small"/>
                <w:rFonts w:ascii="Arial Narrow" w:hAnsi="Arial Narrow" w:cstheme="minorHAnsi"/>
                <w:noProof/>
                <w:color w:val="000000"/>
                <w:sz w:val="20"/>
                <w:szCs w:val="20"/>
                <w:highlight w:val="black"/>
              </w:rPr>
              <w:t>'''''''''''''''''''</w:t>
            </w:r>
            <w:r w:rsidR="00F81BB5">
              <w:rPr>
                <w:rStyle w:val="Small"/>
                <w:rFonts w:ascii="Arial Narrow" w:hAnsi="Arial Narrow" w:cstheme="minorHAnsi"/>
                <w:sz w:val="20"/>
                <w:szCs w:val="20"/>
                <w:vertAlign w:val="superscript"/>
              </w:rPr>
              <w:t>1</w:t>
            </w:r>
          </w:p>
        </w:tc>
        <w:tc>
          <w:tcPr>
            <w:tcW w:w="626" w:type="pct"/>
            <w:noWrap/>
            <w:tcMar>
              <w:left w:w="28" w:type="dxa"/>
              <w:right w:w="28" w:type="dxa"/>
            </w:tcMar>
          </w:tcPr>
          <w:p w:rsidR="004405E5" w:rsidRPr="00F7369B" w:rsidRDefault="0007305C" w:rsidP="00047C38">
            <w:pPr>
              <w:pStyle w:val="TableCentre"/>
              <w:rPr>
                <w:rStyle w:val="Small"/>
                <w:rFonts w:ascii="Arial Narrow" w:hAnsi="Arial Narrow" w:cstheme="minorHAnsi"/>
                <w:sz w:val="20"/>
                <w:szCs w:val="20"/>
              </w:rPr>
            </w:pPr>
            <w:r>
              <w:rPr>
                <w:rStyle w:val="Small"/>
                <w:rFonts w:ascii="Arial Narrow" w:hAnsi="Arial Narrow" w:cstheme="minorHAnsi"/>
                <w:noProof/>
                <w:color w:val="000000"/>
                <w:sz w:val="20"/>
                <w:szCs w:val="20"/>
                <w:highlight w:val="black"/>
              </w:rPr>
              <w:t>'''''''''''''''''''</w:t>
            </w:r>
            <w:r w:rsidR="00F81BB5">
              <w:rPr>
                <w:rStyle w:val="Small"/>
                <w:rFonts w:ascii="Arial Narrow" w:hAnsi="Arial Narrow" w:cstheme="minorHAnsi"/>
                <w:sz w:val="20"/>
                <w:szCs w:val="20"/>
                <w:vertAlign w:val="superscript"/>
              </w:rPr>
              <w:t>1</w:t>
            </w:r>
          </w:p>
        </w:tc>
        <w:tc>
          <w:tcPr>
            <w:tcW w:w="624" w:type="pct"/>
            <w:noWrap/>
            <w:tcMar>
              <w:left w:w="28" w:type="dxa"/>
              <w:right w:w="28" w:type="dxa"/>
            </w:tcMar>
          </w:tcPr>
          <w:p w:rsidR="004405E5" w:rsidRPr="00F7369B" w:rsidRDefault="0007305C" w:rsidP="00047C38">
            <w:pPr>
              <w:pStyle w:val="TableCentre"/>
              <w:rPr>
                <w:rStyle w:val="Small"/>
                <w:rFonts w:ascii="Arial Narrow" w:hAnsi="Arial Narrow" w:cstheme="minorHAnsi"/>
                <w:sz w:val="20"/>
                <w:szCs w:val="20"/>
              </w:rPr>
            </w:pPr>
            <w:r>
              <w:rPr>
                <w:rStyle w:val="Small"/>
                <w:rFonts w:ascii="Arial Narrow" w:hAnsi="Arial Narrow" w:cstheme="minorHAnsi"/>
                <w:noProof/>
                <w:color w:val="000000"/>
                <w:sz w:val="20"/>
                <w:szCs w:val="20"/>
                <w:highlight w:val="black"/>
              </w:rPr>
              <w:t>''''''''''''''''''''</w:t>
            </w:r>
            <w:r w:rsidR="00F81BB5">
              <w:rPr>
                <w:rStyle w:val="Small"/>
                <w:rFonts w:ascii="Arial Narrow" w:hAnsi="Arial Narrow" w:cstheme="minorHAnsi"/>
                <w:sz w:val="20"/>
                <w:szCs w:val="20"/>
                <w:vertAlign w:val="superscript"/>
              </w:rPr>
              <w:t>1</w:t>
            </w:r>
          </w:p>
        </w:tc>
      </w:tr>
      <w:tr w:rsidR="00B776D2" w:rsidRPr="00F7369B" w:rsidTr="00B776D2">
        <w:trPr>
          <w:trHeight w:val="198"/>
        </w:trPr>
        <w:tc>
          <w:tcPr>
            <w:tcW w:w="1248" w:type="pct"/>
            <w:noWrap/>
            <w:tcMar>
              <w:left w:w="28" w:type="dxa"/>
              <w:right w:w="28" w:type="dxa"/>
            </w:tcMar>
            <w:hideMark/>
          </w:tcPr>
          <w:p w:rsidR="004405E5" w:rsidRPr="00F7369B" w:rsidRDefault="004405E5" w:rsidP="00047C38">
            <w:pPr>
              <w:pStyle w:val="Table"/>
              <w:rPr>
                <w:rStyle w:val="Small"/>
                <w:rFonts w:ascii="Arial Narrow" w:hAnsi="Arial Narrow"/>
                <w:sz w:val="20"/>
                <w:szCs w:val="20"/>
              </w:rPr>
            </w:pPr>
            <w:r w:rsidRPr="00F7369B">
              <w:rPr>
                <w:rStyle w:val="Small"/>
                <w:rFonts w:ascii="Arial Narrow" w:hAnsi="Arial Narrow"/>
                <w:sz w:val="20"/>
                <w:szCs w:val="20"/>
              </w:rPr>
              <w:t>Adolescents 14 years</w:t>
            </w:r>
          </w:p>
        </w:tc>
        <w:tc>
          <w:tcPr>
            <w:tcW w:w="625" w:type="pct"/>
            <w:noWrap/>
            <w:tcMar>
              <w:left w:w="28" w:type="dxa"/>
              <w:right w:w="28" w:type="dxa"/>
            </w:tcMar>
            <w:hideMark/>
          </w:tcPr>
          <w:p w:rsidR="004405E5" w:rsidRPr="00F7369B" w:rsidRDefault="0007305C" w:rsidP="00047C38">
            <w:pPr>
              <w:pStyle w:val="TableCentre"/>
              <w:rPr>
                <w:rStyle w:val="Small"/>
                <w:rFonts w:ascii="Arial Narrow" w:hAnsi="Arial Narrow" w:cstheme="minorHAnsi"/>
                <w:sz w:val="20"/>
                <w:szCs w:val="20"/>
              </w:rPr>
            </w:pPr>
            <w:r>
              <w:rPr>
                <w:rStyle w:val="Small"/>
                <w:rFonts w:ascii="Arial Narrow" w:hAnsi="Arial Narrow" w:cstheme="minorHAnsi"/>
                <w:noProof/>
                <w:color w:val="000000"/>
                <w:sz w:val="20"/>
                <w:szCs w:val="20"/>
                <w:highlight w:val="black"/>
              </w:rPr>
              <w:t>'''''''''''''''''''''</w:t>
            </w:r>
            <w:r w:rsidR="00F81BB5">
              <w:rPr>
                <w:rStyle w:val="Small"/>
                <w:rFonts w:ascii="Arial Narrow" w:hAnsi="Arial Narrow" w:cstheme="minorHAnsi"/>
                <w:sz w:val="20"/>
                <w:szCs w:val="20"/>
                <w:vertAlign w:val="superscript"/>
              </w:rPr>
              <w:t>1</w:t>
            </w:r>
          </w:p>
        </w:tc>
        <w:tc>
          <w:tcPr>
            <w:tcW w:w="626" w:type="pct"/>
            <w:noWrap/>
            <w:tcMar>
              <w:left w:w="28" w:type="dxa"/>
              <w:right w:w="28" w:type="dxa"/>
            </w:tcMar>
            <w:hideMark/>
          </w:tcPr>
          <w:p w:rsidR="004405E5" w:rsidRPr="00F7369B" w:rsidRDefault="0007305C" w:rsidP="00047C38">
            <w:pPr>
              <w:pStyle w:val="TableCentre"/>
              <w:rPr>
                <w:rStyle w:val="Small"/>
                <w:rFonts w:ascii="Arial Narrow" w:hAnsi="Arial Narrow" w:cstheme="minorHAnsi"/>
                <w:sz w:val="20"/>
                <w:szCs w:val="20"/>
              </w:rPr>
            </w:pPr>
            <w:r>
              <w:rPr>
                <w:rStyle w:val="Small"/>
                <w:rFonts w:ascii="Arial Narrow" w:hAnsi="Arial Narrow" w:cstheme="minorHAnsi"/>
                <w:noProof/>
                <w:color w:val="000000"/>
                <w:sz w:val="20"/>
                <w:szCs w:val="20"/>
                <w:highlight w:val="black"/>
              </w:rPr>
              <w:t>'''''''''''''''''</w:t>
            </w:r>
            <w:r w:rsidR="00F81BB5">
              <w:rPr>
                <w:rStyle w:val="Small"/>
                <w:rFonts w:ascii="Arial Narrow" w:hAnsi="Arial Narrow" w:cstheme="minorHAnsi"/>
                <w:sz w:val="20"/>
                <w:szCs w:val="20"/>
                <w:vertAlign w:val="superscript"/>
              </w:rPr>
              <w:t>1</w:t>
            </w:r>
          </w:p>
        </w:tc>
        <w:tc>
          <w:tcPr>
            <w:tcW w:w="626" w:type="pct"/>
            <w:noWrap/>
            <w:tcMar>
              <w:left w:w="28" w:type="dxa"/>
              <w:right w:w="28" w:type="dxa"/>
            </w:tcMar>
            <w:hideMark/>
          </w:tcPr>
          <w:p w:rsidR="004405E5" w:rsidRPr="00F7369B" w:rsidRDefault="0007305C" w:rsidP="00047C38">
            <w:pPr>
              <w:pStyle w:val="TableCentre"/>
              <w:rPr>
                <w:rStyle w:val="Small"/>
                <w:rFonts w:ascii="Arial Narrow" w:hAnsi="Arial Narrow" w:cstheme="minorHAnsi"/>
                <w:sz w:val="20"/>
                <w:szCs w:val="20"/>
              </w:rPr>
            </w:pPr>
            <w:r>
              <w:rPr>
                <w:rStyle w:val="Small"/>
                <w:rFonts w:ascii="Arial Narrow" w:hAnsi="Arial Narrow" w:cstheme="minorHAnsi"/>
                <w:noProof/>
                <w:color w:val="000000"/>
                <w:sz w:val="20"/>
                <w:szCs w:val="20"/>
                <w:highlight w:val="black"/>
              </w:rPr>
              <w:t>''''''''''''''''''</w:t>
            </w:r>
            <w:r w:rsidR="00F81BB5">
              <w:rPr>
                <w:rStyle w:val="Small"/>
                <w:rFonts w:ascii="Arial Narrow" w:hAnsi="Arial Narrow" w:cstheme="minorHAnsi"/>
                <w:sz w:val="20"/>
                <w:szCs w:val="20"/>
                <w:vertAlign w:val="superscript"/>
              </w:rPr>
              <w:t>1</w:t>
            </w:r>
          </w:p>
        </w:tc>
        <w:tc>
          <w:tcPr>
            <w:tcW w:w="625" w:type="pct"/>
            <w:noWrap/>
            <w:tcMar>
              <w:left w:w="28" w:type="dxa"/>
              <w:right w:w="28" w:type="dxa"/>
            </w:tcMar>
            <w:hideMark/>
          </w:tcPr>
          <w:p w:rsidR="004405E5" w:rsidRPr="00F7369B" w:rsidRDefault="0007305C" w:rsidP="00047C38">
            <w:pPr>
              <w:pStyle w:val="TableCentre"/>
              <w:rPr>
                <w:rStyle w:val="Small"/>
                <w:rFonts w:ascii="Arial Narrow" w:hAnsi="Arial Narrow" w:cstheme="minorHAnsi"/>
                <w:sz w:val="20"/>
                <w:szCs w:val="20"/>
              </w:rPr>
            </w:pPr>
            <w:r>
              <w:rPr>
                <w:rStyle w:val="Small"/>
                <w:rFonts w:ascii="Arial Narrow" w:hAnsi="Arial Narrow" w:cstheme="minorHAnsi"/>
                <w:noProof/>
                <w:color w:val="000000"/>
                <w:sz w:val="20"/>
                <w:szCs w:val="20"/>
                <w:highlight w:val="black"/>
              </w:rPr>
              <w:t>'''''''''''''''''''</w:t>
            </w:r>
            <w:r w:rsidR="00F81BB5">
              <w:rPr>
                <w:rStyle w:val="Small"/>
                <w:rFonts w:ascii="Arial Narrow" w:hAnsi="Arial Narrow" w:cstheme="minorHAnsi"/>
                <w:sz w:val="20"/>
                <w:szCs w:val="20"/>
                <w:vertAlign w:val="superscript"/>
              </w:rPr>
              <w:t>1</w:t>
            </w:r>
          </w:p>
        </w:tc>
        <w:tc>
          <w:tcPr>
            <w:tcW w:w="626" w:type="pct"/>
            <w:noWrap/>
            <w:tcMar>
              <w:left w:w="28" w:type="dxa"/>
              <w:right w:w="28" w:type="dxa"/>
            </w:tcMar>
            <w:hideMark/>
          </w:tcPr>
          <w:p w:rsidR="004405E5" w:rsidRPr="00F7369B" w:rsidRDefault="0007305C" w:rsidP="00047C38">
            <w:pPr>
              <w:pStyle w:val="TableCentre"/>
              <w:rPr>
                <w:rStyle w:val="Small"/>
                <w:rFonts w:ascii="Arial Narrow" w:hAnsi="Arial Narrow" w:cstheme="minorHAnsi"/>
                <w:sz w:val="20"/>
                <w:szCs w:val="20"/>
              </w:rPr>
            </w:pPr>
            <w:r>
              <w:rPr>
                <w:rStyle w:val="Small"/>
                <w:rFonts w:ascii="Arial Narrow" w:hAnsi="Arial Narrow" w:cstheme="minorHAnsi"/>
                <w:noProof/>
                <w:color w:val="000000"/>
                <w:sz w:val="20"/>
                <w:szCs w:val="20"/>
                <w:highlight w:val="black"/>
              </w:rPr>
              <w:t>'''''''''''''''''''</w:t>
            </w:r>
            <w:r w:rsidR="00F81BB5">
              <w:rPr>
                <w:rStyle w:val="Small"/>
                <w:rFonts w:ascii="Arial Narrow" w:hAnsi="Arial Narrow" w:cstheme="minorHAnsi"/>
                <w:sz w:val="20"/>
                <w:szCs w:val="20"/>
                <w:vertAlign w:val="superscript"/>
              </w:rPr>
              <w:t>1</w:t>
            </w:r>
          </w:p>
        </w:tc>
        <w:tc>
          <w:tcPr>
            <w:tcW w:w="624" w:type="pct"/>
            <w:noWrap/>
            <w:tcMar>
              <w:left w:w="28" w:type="dxa"/>
              <w:right w:w="28" w:type="dxa"/>
            </w:tcMar>
            <w:hideMark/>
          </w:tcPr>
          <w:p w:rsidR="004405E5" w:rsidRPr="00F7369B" w:rsidRDefault="0007305C" w:rsidP="00047C38">
            <w:pPr>
              <w:pStyle w:val="TableCentre"/>
              <w:rPr>
                <w:rStyle w:val="Small"/>
                <w:rFonts w:ascii="Arial Narrow" w:hAnsi="Arial Narrow" w:cstheme="minorHAnsi"/>
                <w:sz w:val="20"/>
                <w:szCs w:val="20"/>
              </w:rPr>
            </w:pPr>
            <w:r>
              <w:rPr>
                <w:rStyle w:val="Small"/>
                <w:rFonts w:ascii="Arial Narrow" w:hAnsi="Arial Narrow" w:cstheme="minorHAnsi"/>
                <w:noProof/>
                <w:color w:val="000000"/>
                <w:sz w:val="20"/>
                <w:szCs w:val="20"/>
                <w:highlight w:val="black"/>
              </w:rPr>
              <w:t>''''''''''''''''''''''</w:t>
            </w:r>
            <w:r w:rsidR="00F81BB5">
              <w:rPr>
                <w:rStyle w:val="Small"/>
                <w:rFonts w:ascii="Arial Narrow" w:hAnsi="Arial Narrow" w:cstheme="minorHAnsi"/>
                <w:sz w:val="20"/>
                <w:szCs w:val="20"/>
                <w:vertAlign w:val="superscript"/>
              </w:rPr>
              <w:t>1</w:t>
            </w:r>
          </w:p>
        </w:tc>
      </w:tr>
      <w:tr w:rsidR="00B776D2" w:rsidRPr="00F7369B" w:rsidTr="00B776D2">
        <w:trPr>
          <w:trHeight w:val="198"/>
        </w:trPr>
        <w:tc>
          <w:tcPr>
            <w:tcW w:w="1248" w:type="pct"/>
            <w:noWrap/>
            <w:tcMar>
              <w:left w:w="28" w:type="dxa"/>
              <w:right w:w="28" w:type="dxa"/>
            </w:tcMar>
            <w:hideMark/>
          </w:tcPr>
          <w:p w:rsidR="004405E5" w:rsidRPr="00F7369B" w:rsidRDefault="004405E5" w:rsidP="00047C38">
            <w:pPr>
              <w:pStyle w:val="Table"/>
              <w:rPr>
                <w:rStyle w:val="Small"/>
                <w:rFonts w:ascii="Arial Narrow" w:hAnsi="Arial Narrow"/>
                <w:sz w:val="20"/>
                <w:szCs w:val="20"/>
              </w:rPr>
            </w:pPr>
            <w:r w:rsidRPr="00F7369B">
              <w:rPr>
                <w:rStyle w:val="Small"/>
                <w:rFonts w:ascii="Arial Narrow" w:hAnsi="Arial Narrow"/>
                <w:sz w:val="20"/>
                <w:szCs w:val="20"/>
              </w:rPr>
              <w:t>Adolescents 15-19 total</w:t>
            </w:r>
          </w:p>
        </w:tc>
        <w:tc>
          <w:tcPr>
            <w:tcW w:w="625" w:type="pct"/>
            <w:noWrap/>
            <w:tcMar>
              <w:left w:w="28" w:type="dxa"/>
              <w:right w:w="28" w:type="dxa"/>
            </w:tcMar>
            <w:hideMark/>
          </w:tcPr>
          <w:p w:rsidR="004405E5" w:rsidRPr="00C42DCC" w:rsidRDefault="0007305C" w:rsidP="00047C38">
            <w:pPr>
              <w:pStyle w:val="TableCentre"/>
              <w:rPr>
                <w:rStyle w:val="Small"/>
                <w:rFonts w:ascii="Arial Narrow" w:hAnsi="Arial Narrow" w:cstheme="minorHAnsi"/>
                <w:sz w:val="20"/>
                <w:szCs w:val="20"/>
              </w:rPr>
            </w:pPr>
            <w:r>
              <w:rPr>
                <w:rStyle w:val="Small"/>
                <w:rFonts w:ascii="Arial Narrow" w:hAnsi="Arial Narrow" w:cstheme="minorHAnsi"/>
                <w:noProof/>
                <w:color w:val="000000"/>
                <w:sz w:val="20"/>
                <w:szCs w:val="20"/>
                <w:highlight w:val="black"/>
              </w:rPr>
              <w:t>'''''''''''''''''''''''''</w:t>
            </w:r>
            <w:r w:rsidR="00C42DCC">
              <w:rPr>
                <w:rStyle w:val="Small"/>
                <w:rFonts w:ascii="Arial Narrow" w:hAnsi="Arial Narrow" w:cstheme="minorHAnsi"/>
                <w:sz w:val="20"/>
                <w:szCs w:val="20"/>
                <w:vertAlign w:val="superscript"/>
              </w:rPr>
              <w:t>2</w:t>
            </w:r>
          </w:p>
        </w:tc>
        <w:tc>
          <w:tcPr>
            <w:tcW w:w="626" w:type="pct"/>
            <w:noWrap/>
            <w:tcMar>
              <w:left w:w="28" w:type="dxa"/>
              <w:right w:w="28" w:type="dxa"/>
            </w:tcMar>
            <w:hideMark/>
          </w:tcPr>
          <w:p w:rsidR="004405E5" w:rsidRPr="00F7369B" w:rsidRDefault="0007305C" w:rsidP="00047C38">
            <w:pPr>
              <w:pStyle w:val="TableCentre"/>
              <w:rPr>
                <w:rStyle w:val="Small"/>
                <w:rFonts w:ascii="Arial Narrow" w:hAnsi="Arial Narrow" w:cstheme="minorHAnsi"/>
                <w:sz w:val="20"/>
                <w:szCs w:val="20"/>
              </w:rPr>
            </w:pPr>
            <w:r>
              <w:rPr>
                <w:rStyle w:val="Small"/>
                <w:rFonts w:ascii="Arial Narrow" w:hAnsi="Arial Narrow" w:cstheme="minorHAnsi"/>
                <w:noProof/>
                <w:color w:val="000000"/>
                <w:sz w:val="20"/>
                <w:szCs w:val="20"/>
                <w:highlight w:val="black"/>
              </w:rPr>
              <w:t>'''''''''''''''''''''''</w:t>
            </w:r>
            <w:r w:rsidR="00C42DCC">
              <w:rPr>
                <w:rStyle w:val="Small"/>
                <w:rFonts w:ascii="Arial Narrow" w:hAnsi="Arial Narrow" w:cstheme="minorHAnsi"/>
                <w:sz w:val="20"/>
                <w:szCs w:val="20"/>
                <w:vertAlign w:val="superscript"/>
              </w:rPr>
              <w:t>2</w:t>
            </w:r>
          </w:p>
        </w:tc>
        <w:tc>
          <w:tcPr>
            <w:tcW w:w="626" w:type="pct"/>
            <w:noWrap/>
            <w:tcMar>
              <w:left w:w="28" w:type="dxa"/>
              <w:right w:w="28" w:type="dxa"/>
            </w:tcMar>
            <w:hideMark/>
          </w:tcPr>
          <w:p w:rsidR="004405E5" w:rsidRPr="00F7369B" w:rsidRDefault="0007305C" w:rsidP="00047C38">
            <w:pPr>
              <w:pStyle w:val="TableCentre"/>
              <w:rPr>
                <w:rStyle w:val="Small"/>
                <w:rFonts w:ascii="Arial Narrow" w:hAnsi="Arial Narrow" w:cstheme="minorHAnsi"/>
                <w:sz w:val="20"/>
                <w:szCs w:val="20"/>
              </w:rPr>
            </w:pPr>
            <w:r>
              <w:rPr>
                <w:rStyle w:val="Small"/>
                <w:rFonts w:ascii="Arial Narrow" w:hAnsi="Arial Narrow" w:cstheme="minorHAnsi"/>
                <w:noProof/>
                <w:color w:val="000000"/>
                <w:sz w:val="20"/>
                <w:szCs w:val="20"/>
                <w:highlight w:val="black"/>
              </w:rPr>
              <w:t>'''''''''''''''''''''''</w:t>
            </w:r>
            <w:r w:rsidR="00C42DCC">
              <w:rPr>
                <w:rStyle w:val="Small"/>
                <w:rFonts w:ascii="Arial Narrow" w:hAnsi="Arial Narrow" w:cstheme="minorHAnsi"/>
                <w:sz w:val="20"/>
                <w:szCs w:val="20"/>
                <w:vertAlign w:val="superscript"/>
              </w:rPr>
              <w:t>2</w:t>
            </w:r>
          </w:p>
        </w:tc>
        <w:tc>
          <w:tcPr>
            <w:tcW w:w="625" w:type="pct"/>
            <w:noWrap/>
            <w:tcMar>
              <w:left w:w="28" w:type="dxa"/>
              <w:right w:w="28" w:type="dxa"/>
            </w:tcMar>
            <w:hideMark/>
          </w:tcPr>
          <w:p w:rsidR="004405E5" w:rsidRPr="00F7369B" w:rsidRDefault="0007305C" w:rsidP="00047C38">
            <w:pPr>
              <w:pStyle w:val="TableCentre"/>
              <w:rPr>
                <w:rStyle w:val="Small"/>
                <w:rFonts w:ascii="Arial Narrow" w:hAnsi="Arial Narrow" w:cstheme="minorHAnsi"/>
                <w:sz w:val="20"/>
                <w:szCs w:val="20"/>
              </w:rPr>
            </w:pPr>
            <w:r>
              <w:rPr>
                <w:rStyle w:val="Small"/>
                <w:rFonts w:ascii="Arial Narrow" w:hAnsi="Arial Narrow" w:cstheme="minorHAnsi"/>
                <w:noProof/>
                <w:color w:val="000000"/>
                <w:sz w:val="20"/>
                <w:szCs w:val="20"/>
                <w:highlight w:val="black"/>
              </w:rPr>
              <w:t>''''''''''''''''''''''''</w:t>
            </w:r>
            <w:r w:rsidR="00C42DCC">
              <w:rPr>
                <w:rStyle w:val="Small"/>
                <w:rFonts w:ascii="Arial Narrow" w:hAnsi="Arial Narrow" w:cstheme="minorHAnsi"/>
                <w:sz w:val="20"/>
                <w:szCs w:val="20"/>
                <w:vertAlign w:val="superscript"/>
              </w:rPr>
              <w:t>2</w:t>
            </w:r>
          </w:p>
        </w:tc>
        <w:tc>
          <w:tcPr>
            <w:tcW w:w="626" w:type="pct"/>
            <w:noWrap/>
            <w:tcMar>
              <w:left w:w="28" w:type="dxa"/>
              <w:right w:w="28" w:type="dxa"/>
            </w:tcMar>
            <w:hideMark/>
          </w:tcPr>
          <w:p w:rsidR="004405E5" w:rsidRPr="00F7369B" w:rsidRDefault="0007305C" w:rsidP="00047C38">
            <w:pPr>
              <w:pStyle w:val="TableCentre"/>
              <w:rPr>
                <w:rStyle w:val="Small"/>
                <w:rFonts w:ascii="Arial Narrow" w:hAnsi="Arial Narrow" w:cstheme="minorHAnsi"/>
                <w:sz w:val="20"/>
                <w:szCs w:val="20"/>
              </w:rPr>
            </w:pPr>
            <w:r>
              <w:rPr>
                <w:rStyle w:val="Small"/>
                <w:rFonts w:ascii="Arial Narrow" w:hAnsi="Arial Narrow" w:cstheme="minorHAnsi"/>
                <w:noProof/>
                <w:color w:val="000000"/>
                <w:sz w:val="20"/>
                <w:szCs w:val="20"/>
                <w:highlight w:val="black"/>
              </w:rPr>
              <w:t>''''''''''''''''''''''</w:t>
            </w:r>
            <w:r w:rsidR="00C42DCC">
              <w:rPr>
                <w:rStyle w:val="Small"/>
                <w:rFonts w:ascii="Arial Narrow" w:hAnsi="Arial Narrow" w:cstheme="minorHAnsi"/>
                <w:sz w:val="20"/>
                <w:szCs w:val="20"/>
                <w:vertAlign w:val="superscript"/>
              </w:rPr>
              <w:t>2</w:t>
            </w:r>
          </w:p>
        </w:tc>
        <w:tc>
          <w:tcPr>
            <w:tcW w:w="624" w:type="pct"/>
            <w:noWrap/>
            <w:tcMar>
              <w:left w:w="28" w:type="dxa"/>
              <w:right w:w="28" w:type="dxa"/>
            </w:tcMar>
            <w:hideMark/>
          </w:tcPr>
          <w:p w:rsidR="004405E5" w:rsidRPr="00F7369B" w:rsidRDefault="0007305C" w:rsidP="00047C38">
            <w:pPr>
              <w:pStyle w:val="TableCentre"/>
              <w:rPr>
                <w:rStyle w:val="Small"/>
                <w:rFonts w:ascii="Arial Narrow" w:hAnsi="Arial Narrow" w:cstheme="minorHAnsi"/>
                <w:sz w:val="20"/>
                <w:szCs w:val="20"/>
              </w:rPr>
            </w:pPr>
            <w:r>
              <w:rPr>
                <w:rStyle w:val="Small"/>
                <w:rFonts w:ascii="Arial Narrow" w:hAnsi="Arial Narrow" w:cstheme="minorHAnsi"/>
                <w:noProof/>
                <w:color w:val="000000"/>
                <w:sz w:val="20"/>
                <w:szCs w:val="20"/>
                <w:highlight w:val="black"/>
              </w:rPr>
              <w:t>''''''''''''''''''''''</w:t>
            </w:r>
            <w:r w:rsidR="00C42DCC">
              <w:rPr>
                <w:rStyle w:val="Small"/>
                <w:rFonts w:ascii="Arial Narrow" w:hAnsi="Arial Narrow" w:cstheme="minorHAnsi"/>
                <w:sz w:val="20"/>
                <w:szCs w:val="20"/>
                <w:vertAlign w:val="superscript"/>
              </w:rPr>
              <w:t>2</w:t>
            </w:r>
          </w:p>
        </w:tc>
      </w:tr>
      <w:tr w:rsidR="00B776D2" w:rsidRPr="00F7369B" w:rsidTr="00B776D2">
        <w:trPr>
          <w:trHeight w:val="198"/>
        </w:trPr>
        <w:tc>
          <w:tcPr>
            <w:tcW w:w="1248" w:type="pct"/>
            <w:noWrap/>
            <w:tcMar>
              <w:left w:w="28" w:type="dxa"/>
              <w:right w:w="28" w:type="dxa"/>
            </w:tcMar>
            <w:hideMark/>
          </w:tcPr>
          <w:p w:rsidR="004405E5" w:rsidRPr="00F7369B" w:rsidRDefault="004405E5" w:rsidP="00047C38">
            <w:pPr>
              <w:pStyle w:val="Table"/>
              <w:rPr>
                <w:rStyle w:val="Small"/>
                <w:rFonts w:ascii="Arial Narrow" w:hAnsi="Arial Narrow"/>
                <w:sz w:val="20"/>
                <w:szCs w:val="20"/>
              </w:rPr>
            </w:pPr>
            <w:r w:rsidRPr="00F7369B">
              <w:rPr>
                <w:rStyle w:val="Small"/>
                <w:rFonts w:ascii="Arial Narrow" w:hAnsi="Arial Narrow"/>
                <w:sz w:val="20"/>
                <w:szCs w:val="20"/>
              </w:rPr>
              <w:t>Adolescents 15-19 eligible</w:t>
            </w:r>
          </w:p>
        </w:tc>
        <w:tc>
          <w:tcPr>
            <w:tcW w:w="625" w:type="pct"/>
            <w:noWrap/>
            <w:tcMar>
              <w:left w:w="28" w:type="dxa"/>
              <w:right w:w="28" w:type="dxa"/>
            </w:tcMar>
            <w:hideMark/>
          </w:tcPr>
          <w:p w:rsidR="004405E5" w:rsidRPr="00C42DCC" w:rsidRDefault="0007305C" w:rsidP="00047C38">
            <w:pPr>
              <w:pStyle w:val="TableCentre"/>
              <w:rPr>
                <w:rStyle w:val="Small"/>
                <w:rFonts w:ascii="Arial Narrow" w:hAnsi="Arial Narrow" w:cstheme="minorHAnsi"/>
                <w:sz w:val="20"/>
                <w:szCs w:val="20"/>
              </w:rPr>
            </w:pPr>
            <w:r>
              <w:rPr>
                <w:rStyle w:val="Small"/>
                <w:rFonts w:ascii="Arial Narrow" w:hAnsi="Arial Narrow" w:cstheme="minorHAnsi"/>
                <w:noProof/>
                <w:color w:val="000000"/>
                <w:sz w:val="20"/>
                <w:szCs w:val="20"/>
                <w:highlight w:val="black"/>
              </w:rPr>
              <w:t>'''''''''''''''''''</w:t>
            </w:r>
            <w:r w:rsidR="00C42DCC">
              <w:rPr>
                <w:rStyle w:val="Small"/>
                <w:rFonts w:ascii="Arial Narrow" w:hAnsi="Arial Narrow" w:cstheme="minorHAnsi"/>
                <w:sz w:val="20"/>
                <w:szCs w:val="20"/>
                <w:vertAlign w:val="superscript"/>
              </w:rPr>
              <w:t>3</w:t>
            </w:r>
          </w:p>
        </w:tc>
        <w:tc>
          <w:tcPr>
            <w:tcW w:w="626" w:type="pct"/>
            <w:noWrap/>
            <w:tcMar>
              <w:left w:w="28" w:type="dxa"/>
              <w:right w:w="28" w:type="dxa"/>
            </w:tcMar>
            <w:hideMark/>
          </w:tcPr>
          <w:p w:rsidR="004405E5" w:rsidRPr="00F7369B" w:rsidRDefault="0007305C" w:rsidP="00047C38">
            <w:pPr>
              <w:pStyle w:val="TableCentre"/>
              <w:rPr>
                <w:rStyle w:val="Small"/>
                <w:rFonts w:ascii="Arial Narrow" w:hAnsi="Arial Narrow" w:cstheme="minorHAnsi"/>
                <w:sz w:val="20"/>
                <w:szCs w:val="20"/>
              </w:rPr>
            </w:pPr>
            <w:r>
              <w:rPr>
                <w:rStyle w:val="Small"/>
                <w:rFonts w:ascii="Arial Narrow" w:hAnsi="Arial Narrow" w:cstheme="minorHAnsi"/>
                <w:noProof/>
                <w:color w:val="000000"/>
                <w:sz w:val="20"/>
                <w:szCs w:val="20"/>
                <w:highlight w:val="black"/>
              </w:rPr>
              <w:t>''''''''''''''''''''</w:t>
            </w:r>
            <w:r w:rsidR="00C42DCC">
              <w:rPr>
                <w:rStyle w:val="Small"/>
                <w:rFonts w:ascii="Arial Narrow" w:hAnsi="Arial Narrow" w:cstheme="minorHAnsi"/>
                <w:sz w:val="20"/>
                <w:szCs w:val="20"/>
                <w:vertAlign w:val="superscript"/>
              </w:rPr>
              <w:t>4</w:t>
            </w:r>
          </w:p>
        </w:tc>
        <w:tc>
          <w:tcPr>
            <w:tcW w:w="626" w:type="pct"/>
            <w:noWrap/>
            <w:tcMar>
              <w:left w:w="28" w:type="dxa"/>
              <w:right w:w="28" w:type="dxa"/>
            </w:tcMar>
            <w:hideMark/>
          </w:tcPr>
          <w:p w:rsidR="004405E5" w:rsidRPr="00F7369B" w:rsidRDefault="0007305C" w:rsidP="00047C38">
            <w:pPr>
              <w:pStyle w:val="TableCentre"/>
              <w:rPr>
                <w:rStyle w:val="Small"/>
                <w:rFonts w:ascii="Arial Narrow" w:hAnsi="Arial Narrow" w:cstheme="minorHAnsi"/>
                <w:sz w:val="20"/>
                <w:szCs w:val="20"/>
              </w:rPr>
            </w:pPr>
            <w:r>
              <w:rPr>
                <w:rStyle w:val="Small"/>
                <w:rFonts w:ascii="Arial Narrow" w:hAnsi="Arial Narrow" w:cstheme="minorHAnsi"/>
                <w:noProof/>
                <w:color w:val="000000"/>
                <w:sz w:val="20"/>
                <w:szCs w:val="20"/>
                <w:highlight w:val="black"/>
              </w:rPr>
              <w:t>'''''''''''''''''''''</w:t>
            </w:r>
            <w:r w:rsidR="00C42DCC">
              <w:rPr>
                <w:rStyle w:val="Small"/>
                <w:rFonts w:ascii="Arial Narrow" w:hAnsi="Arial Narrow" w:cstheme="minorHAnsi"/>
                <w:sz w:val="20"/>
                <w:szCs w:val="20"/>
                <w:vertAlign w:val="superscript"/>
              </w:rPr>
              <w:t>5</w:t>
            </w:r>
          </w:p>
        </w:tc>
        <w:tc>
          <w:tcPr>
            <w:tcW w:w="625" w:type="pct"/>
            <w:noWrap/>
            <w:tcMar>
              <w:left w:w="28" w:type="dxa"/>
              <w:right w:w="28" w:type="dxa"/>
            </w:tcMar>
            <w:hideMark/>
          </w:tcPr>
          <w:p w:rsidR="004405E5" w:rsidRPr="00F7369B" w:rsidRDefault="0007305C" w:rsidP="00047C38">
            <w:pPr>
              <w:pStyle w:val="TableCentre"/>
              <w:rPr>
                <w:rStyle w:val="Small"/>
                <w:rFonts w:ascii="Arial Narrow" w:hAnsi="Arial Narrow" w:cstheme="minorHAnsi"/>
                <w:sz w:val="20"/>
                <w:szCs w:val="20"/>
              </w:rPr>
            </w:pPr>
            <w:r>
              <w:rPr>
                <w:rStyle w:val="Small"/>
                <w:rFonts w:ascii="Arial Narrow" w:hAnsi="Arial Narrow" w:cstheme="minorHAnsi"/>
                <w:noProof/>
                <w:color w:val="000000"/>
                <w:sz w:val="20"/>
                <w:szCs w:val="20"/>
                <w:highlight w:val="black"/>
              </w:rPr>
              <w:t>'''''''''''''''''''''</w:t>
            </w:r>
            <w:r w:rsidR="00C42DCC">
              <w:rPr>
                <w:rStyle w:val="Small"/>
                <w:rFonts w:ascii="Arial Narrow" w:hAnsi="Arial Narrow" w:cstheme="minorHAnsi"/>
                <w:sz w:val="20"/>
                <w:szCs w:val="20"/>
                <w:vertAlign w:val="superscript"/>
              </w:rPr>
              <w:t>6</w:t>
            </w:r>
          </w:p>
        </w:tc>
        <w:tc>
          <w:tcPr>
            <w:tcW w:w="626" w:type="pct"/>
            <w:noWrap/>
            <w:tcMar>
              <w:left w:w="28" w:type="dxa"/>
              <w:right w:w="28" w:type="dxa"/>
            </w:tcMar>
            <w:hideMark/>
          </w:tcPr>
          <w:p w:rsidR="004405E5" w:rsidRPr="00F7369B" w:rsidRDefault="0007305C" w:rsidP="00047C38">
            <w:pPr>
              <w:pStyle w:val="TableCentre"/>
              <w:rPr>
                <w:rStyle w:val="Small"/>
                <w:rFonts w:ascii="Arial Narrow" w:hAnsi="Arial Narrow" w:cstheme="minorHAnsi"/>
                <w:sz w:val="20"/>
                <w:szCs w:val="20"/>
              </w:rPr>
            </w:pPr>
            <w:r>
              <w:rPr>
                <w:rStyle w:val="Small"/>
                <w:rFonts w:ascii="Arial Narrow" w:hAnsi="Arial Narrow" w:cstheme="minorHAnsi"/>
                <w:noProof/>
                <w:color w:val="000000"/>
                <w:sz w:val="20"/>
                <w:szCs w:val="20"/>
                <w:highlight w:val="black"/>
              </w:rPr>
              <w:t>'''''''''''''''''''</w:t>
            </w:r>
            <w:r w:rsidR="00C42DCC">
              <w:rPr>
                <w:rStyle w:val="Small"/>
                <w:rFonts w:ascii="Arial Narrow" w:hAnsi="Arial Narrow" w:cstheme="minorHAnsi"/>
                <w:sz w:val="20"/>
                <w:szCs w:val="20"/>
                <w:vertAlign w:val="superscript"/>
              </w:rPr>
              <w:t>6</w:t>
            </w:r>
          </w:p>
        </w:tc>
        <w:tc>
          <w:tcPr>
            <w:tcW w:w="624" w:type="pct"/>
            <w:noWrap/>
            <w:tcMar>
              <w:left w:w="28" w:type="dxa"/>
              <w:right w:w="28" w:type="dxa"/>
            </w:tcMar>
            <w:hideMark/>
          </w:tcPr>
          <w:p w:rsidR="004405E5" w:rsidRPr="00F7369B" w:rsidRDefault="0007305C" w:rsidP="00047C38">
            <w:pPr>
              <w:pStyle w:val="TableCentre"/>
              <w:rPr>
                <w:rStyle w:val="Small"/>
                <w:rFonts w:ascii="Arial Narrow" w:hAnsi="Arial Narrow" w:cstheme="minorHAnsi"/>
                <w:sz w:val="20"/>
                <w:szCs w:val="20"/>
              </w:rPr>
            </w:pPr>
            <w:r>
              <w:rPr>
                <w:rStyle w:val="Small"/>
                <w:rFonts w:ascii="Arial Narrow" w:hAnsi="Arial Narrow" w:cstheme="minorHAnsi"/>
                <w:noProof/>
                <w:color w:val="000000"/>
                <w:sz w:val="20"/>
                <w:szCs w:val="20"/>
                <w:highlight w:val="black"/>
              </w:rPr>
              <w:t>''''''''''''''''''''</w:t>
            </w:r>
            <w:r w:rsidR="00C42DCC">
              <w:rPr>
                <w:rStyle w:val="Small"/>
                <w:rFonts w:ascii="Arial Narrow" w:hAnsi="Arial Narrow" w:cstheme="minorHAnsi"/>
                <w:sz w:val="20"/>
                <w:szCs w:val="20"/>
                <w:vertAlign w:val="superscript"/>
              </w:rPr>
              <w:t>6</w:t>
            </w:r>
          </w:p>
        </w:tc>
      </w:tr>
      <w:tr w:rsidR="00B776D2" w:rsidRPr="00F7369B" w:rsidTr="00B776D2">
        <w:trPr>
          <w:trHeight w:val="198"/>
        </w:trPr>
        <w:tc>
          <w:tcPr>
            <w:tcW w:w="1248" w:type="pct"/>
            <w:noWrap/>
            <w:tcMar>
              <w:left w:w="28" w:type="dxa"/>
              <w:right w:w="28" w:type="dxa"/>
            </w:tcMar>
          </w:tcPr>
          <w:p w:rsidR="004405E5" w:rsidRPr="00F7369B" w:rsidRDefault="004405E5" w:rsidP="00047C38">
            <w:pPr>
              <w:pStyle w:val="Table"/>
              <w:rPr>
                <w:rStyle w:val="Small"/>
                <w:rFonts w:ascii="Arial Narrow" w:hAnsi="Arial Narrow"/>
                <w:sz w:val="20"/>
                <w:szCs w:val="20"/>
              </w:rPr>
            </w:pPr>
            <w:r w:rsidRPr="00F7369B">
              <w:rPr>
                <w:rStyle w:val="Small"/>
                <w:rFonts w:ascii="Arial Narrow" w:hAnsi="Arial Narrow"/>
                <w:sz w:val="20"/>
                <w:szCs w:val="20"/>
              </w:rPr>
              <w:t>At risk subjects ≥12 months</w:t>
            </w:r>
          </w:p>
        </w:tc>
        <w:tc>
          <w:tcPr>
            <w:tcW w:w="625" w:type="pct"/>
            <w:noWrap/>
            <w:tcMar>
              <w:left w:w="28" w:type="dxa"/>
              <w:right w:w="28" w:type="dxa"/>
            </w:tcMar>
          </w:tcPr>
          <w:p w:rsidR="004405E5" w:rsidRPr="00F50588" w:rsidRDefault="0007305C" w:rsidP="00047C38">
            <w:pPr>
              <w:pStyle w:val="TableCentre"/>
              <w:rPr>
                <w:rStyle w:val="Small"/>
                <w:rFonts w:ascii="Arial Narrow" w:hAnsi="Arial Narrow" w:cstheme="minorHAnsi"/>
                <w:sz w:val="20"/>
                <w:szCs w:val="20"/>
                <w:vertAlign w:val="superscript"/>
              </w:rPr>
            </w:pPr>
            <w:r>
              <w:rPr>
                <w:rFonts w:ascii="Arial Narrow" w:hAnsi="Arial Narrow" w:cstheme="minorHAnsi"/>
                <w:noProof/>
                <w:color w:val="000000"/>
                <w:sz w:val="20"/>
                <w:szCs w:val="20"/>
                <w:highlight w:val="black"/>
              </w:rPr>
              <w:t>''''''''''''''</w:t>
            </w:r>
            <w:r w:rsidR="00F50588">
              <w:rPr>
                <w:rFonts w:ascii="Arial Narrow" w:hAnsi="Arial Narrow" w:cstheme="minorHAnsi"/>
                <w:sz w:val="20"/>
                <w:szCs w:val="20"/>
                <w:vertAlign w:val="superscript"/>
              </w:rPr>
              <w:t>7</w:t>
            </w:r>
          </w:p>
        </w:tc>
        <w:tc>
          <w:tcPr>
            <w:tcW w:w="626" w:type="pct"/>
            <w:noWrap/>
            <w:tcMar>
              <w:left w:w="28" w:type="dxa"/>
              <w:right w:w="28" w:type="dxa"/>
            </w:tcMar>
          </w:tcPr>
          <w:p w:rsidR="004405E5" w:rsidRPr="00F7369B" w:rsidRDefault="0007305C" w:rsidP="00047C38">
            <w:pPr>
              <w:pStyle w:val="TableCentre"/>
              <w:rPr>
                <w:rStyle w:val="Small"/>
                <w:rFonts w:ascii="Arial Narrow" w:hAnsi="Arial Narrow" w:cstheme="minorHAnsi"/>
                <w:sz w:val="20"/>
                <w:szCs w:val="20"/>
              </w:rPr>
            </w:pPr>
            <w:r>
              <w:rPr>
                <w:rFonts w:ascii="Arial Narrow" w:hAnsi="Arial Narrow" w:cstheme="minorHAnsi"/>
                <w:noProof/>
                <w:color w:val="000000"/>
                <w:sz w:val="20"/>
                <w:szCs w:val="20"/>
                <w:highlight w:val="black"/>
              </w:rPr>
              <w:t>'''''''''''''</w:t>
            </w:r>
            <w:r w:rsidR="00F50588">
              <w:rPr>
                <w:rFonts w:ascii="Arial Narrow" w:hAnsi="Arial Narrow" w:cstheme="minorHAnsi"/>
                <w:sz w:val="20"/>
                <w:szCs w:val="20"/>
                <w:vertAlign w:val="superscript"/>
              </w:rPr>
              <w:t>7</w:t>
            </w:r>
          </w:p>
        </w:tc>
        <w:tc>
          <w:tcPr>
            <w:tcW w:w="626" w:type="pct"/>
            <w:noWrap/>
            <w:tcMar>
              <w:left w:w="28" w:type="dxa"/>
              <w:right w:w="28" w:type="dxa"/>
            </w:tcMar>
          </w:tcPr>
          <w:p w:rsidR="004405E5" w:rsidRPr="00F7369B" w:rsidRDefault="0007305C" w:rsidP="00047C38">
            <w:pPr>
              <w:pStyle w:val="TableCentre"/>
              <w:rPr>
                <w:rStyle w:val="Small"/>
                <w:rFonts w:ascii="Arial Narrow" w:hAnsi="Arial Narrow" w:cstheme="minorHAnsi"/>
                <w:sz w:val="20"/>
                <w:szCs w:val="20"/>
              </w:rPr>
            </w:pPr>
            <w:r>
              <w:rPr>
                <w:rFonts w:ascii="Arial Narrow" w:hAnsi="Arial Narrow" w:cstheme="minorHAnsi"/>
                <w:noProof/>
                <w:color w:val="000000"/>
                <w:sz w:val="20"/>
                <w:szCs w:val="20"/>
                <w:highlight w:val="black"/>
              </w:rPr>
              <w:t>''''''''''''''</w:t>
            </w:r>
            <w:r w:rsidR="00F50588">
              <w:rPr>
                <w:rFonts w:ascii="Arial Narrow" w:hAnsi="Arial Narrow" w:cstheme="minorHAnsi"/>
                <w:sz w:val="20"/>
                <w:szCs w:val="20"/>
                <w:vertAlign w:val="superscript"/>
              </w:rPr>
              <w:t>7</w:t>
            </w:r>
          </w:p>
        </w:tc>
        <w:tc>
          <w:tcPr>
            <w:tcW w:w="625" w:type="pct"/>
            <w:noWrap/>
            <w:tcMar>
              <w:left w:w="28" w:type="dxa"/>
              <w:right w:w="28" w:type="dxa"/>
            </w:tcMar>
          </w:tcPr>
          <w:p w:rsidR="004405E5" w:rsidRPr="00F7369B" w:rsidRDefault="0007305C" w:rsidP="00047C38">
            <w:pPr>
              <w:pStyle w:val="TableCentre"/>
              <w:rPr>
                <w:rStyle w:val="Small"/>
                <w:rFonts w:ascii="Arial Narrow" w:hAnsi="Arial Narrow" w:cstheme="minorHAnsi"/>
                <w:sz w:val="20"/>
                <w:szCs w:val="20"/>
              </w:rPr>
            </w:pPr>
            <w:r>
              <w:rPr>
                <w:rFonts w:ascii="Arial Narrow" w:hAnsi="Arial Narrow" w:cstheme="minorHAnsi"/>
                <w:noProof/>
                <w:color w:val="000000"/>
                <w:sz w:val="20"/>
                <w:szCs w:val="20"/>
                <w:highlight w:val="black"/>
              </w:rPr>
              <w:t>''''''''''''''</w:t>
            </w:r>
            <w:r w:rsidR="00F50588">
              <w:rPr>
                <w:rFonts w:ascii="Arial Narrow" w:hAnsi="Arial Narrow" w:cstheme="minorHAnsi"/>
                <w:sz w:val="20"/>
                <w:szCs w:val="20"/>
                <w:vertAlign w:val="superscript"/>
              </w:rPr>
              <w:t>7</w:t>
            </w:r>
          </w:p>
        </w:tc>
        <w:tc>
          <w:tcPr>
            <w:tcW w:w="626" w:type="pct"/>
            <w:noWrap/>
            <w:tcMar>
              <w:left w:w="28" w:type="dxa"/>
              <w:right w:w="28" w:type="dxa"/>
            </w:tcMar>
          </w:tcPr>
          <w:p w:rsidR="004405E5" w:rsidRPr="00F7369B" w:rsidRDefault="0007305C" w:rsidP="00047C38">
            <w:pPr>
              <w:pStyle w:val="TableCentre"/>
              <w:rPr>
                <w:rStyle w:val="Small"/>
                <w:rFonts w:ascii="Arial Narrow" w:hAnsi="Arial Narrow" w:cstheme="minorHAnsi"/>
                <w:sz w:val="20"/>
                <w:szCs w:val="20"/>
              </w:rPr>
            </w:pPr>
            <w:r>
              <w:rPr>
                <w:rFonts w:ascii="Arial Narrow" w:hAnsi="Arial Narrow" w:cstheme="minorHAnsi"/>
                <w:noProof/>
                <w:color w:val="000000"/>
                <w:sz w:val="20"/>
                <w:szCs w:val="20"/>
                <w:highlight w:val="black"/>
              </w:rPr>
              <w:t>'''''''''''''</w:t>
            </w:r>
            <w:r w:rsidR="00F50588">
              <w:rPr>
                <w:rFonts w:ascii="Arial Narrow" w:hAnsi="Arial Narrow" w:cstheme="minorHAnsi"/>
                <w:sz w:val="20"/>
                <w:szCs w:val="20"/>
                <w:vertAlign w:val="superscript"/>
              </w:rPr>
              <w:t>7</w:t>
            </w:r>
          </w:p>
        </w:tc>
        <w:tc>
          <w:tcPr>
            <w:tcW w:w="624" w:type="pct"/>
            <w:noWrap/>
            <w:tcMar>
              <w:left w:w="28" w:type="dxa"/>
              <w:right w:w="28" w:type="dxa"/>
            </w:tcMar>
          </w:tcPr>
          <w:p w:rsidR="004405E5" w:rsidRPr="00F7369B" w:rsidRDefault="0007305C" w:rsidP="00047C38">
            <w:pPr>
              <w:pStyle w:val="TableCentre"/>
              <w:rPr>
                <w:rStyle w:val="Small"/>
                <w:rFonts w:ascii="Arial Narrow" w:hAnsi="Arial Narrow" w:cstheme="minorHAnsi"/>
                <w:sz w:val="20"/>
                <w:szCs w:val="20"/>
              </w:rPr>
            </w:pPr>
            <w:r>
              <w:rPr>
                <w:rFonts w:ascii="Arial Narrow" w:hAnsi="Arial Narrow" w:cstheme="minorHAnsi"/>
                <w:noProof/>
                <w:color w:val="000000"/>
                <w:sz w:val="20"/>
                <w:szCs w:val="20"/>
                <w:highlight w:val="black"/>
              </w:rPr>
              <w:t>'''''''''''''</w:t>
            </w:r>
            <w:r w:rsidR="00F50588">
              <w:rPr>
                <w:rFonts w:ascii="Arial Narrow" w:hAnsi="Arial Narrow" w:cstheme="minorHAnsi"/>
                <w:sz w:val="20"/>
                <w:szCs w:val="20"/>
                <w:vertAlign w:val="superscript"/>
              </w:rPr>
              <w:t>7</w:t>
            </w:r>
          </w:p>
        </w:tc>
      </w:tr>
      <w:tr w:rsidR="004405E5" w:rsidRPr="00F7369B" w:rsidTr="00B776D2">
        <w:trPr>
          <w:trHeight w:val="198"/>
        </w:trPr>
        <w:tc>
          <w:tcPr>
            <w:tcW w:w="5000" w:type="pct"/>
            <w:gridSpan w:val="7"/>
            <w:noWrap/>
            <w:tcMar>
              <w:left w:w="28" w:type="dxa"/>
              <w:right w:w="28" w:type="dxa"/>
            </w:tcMar>
            <w:hideMark/>
          </w:tcPr>
          <w:p w:rsidR="004405E5" w:rsidRPr="00F7369B" w:rsidRDefault="004405E5" w:rsidP="00047C38">
            <w:pPr>
              <w:pStyle w:val="Table"/>
              <w:rPr>
                <w:rStyle w:val="Small"/>
                <w:rFonts w:ascii="Arial Narrow" w:hAnsi="Arial Narrow"/>
                <w:b/>
                <w:bCs/>
                <w:sz w:val="20"/>
                <w:szCs w:val="20"/>
              </w:rPr>
            </w:pPr>
            <w:r w:rsidRPr="00F7369B">
              <w:rPr>
                <w:rStyle w:val="Small"/>
                <w:rFonts w:ascii="Arial Narrow" w:hAnsi="Arial Narrow"/>
                <w:b/>
                <w:bCs/>
                <w:sz w:val="20"/>
                <w:szCs w:val="20"/>
              </w:rPr>
              <w:t>Uptake rate</w:t>
            </w:r>
          </w:p>
        </w:tc>
      </w:tr>
      <w:tr w:rsidR="00B776D2" w:rsidRPr="00F7369B" w:rsidTr="00B776D2">
        <w:trPr>
          <w:trHeight w:val="198"/>
        </w:trPr>
        <w:tc>
          <w:tcPr>
            <w:tcW w:w="1248" w:type="pct"/>
            <w:noWrap/>
            <w:tcMar>
              <w:left w:w="28" w:type="dxa"/>
              <w:right w:w="28" w:type="dxa"/>
            </w:tcMar>
          </w:tcPr>
          <w:p w:rsidR="004405E5" w:rsidRPr="00F7369B" w:rsidRDefault="00B04F69" w:rsidP="00047C38">
            <w:pPr>
              <w:pStyle w:val="Table"/>
              <w:rPr>
                <w:rStyle w:val="Small"/>
                <w:rFonts w:ascii="Arial Narrow" w:hAnsi="Arial Narrow"/>
                <w:sz w:val="20"/>
                <w:szCs w:val="20"/>
              </w:rPr>
            </w:pPr>
            <w:r w:rsidRPr="00F7369B">
              <w:rPr>
                <w:rStyle w:val="Small"/>
                <w:rFonts w:ascii="Arial Narrow" w:hAnsi="Arial Narrow"/>
                <w:sz w:val="20"/>
                <w:szCs w:val="20"/>
              </w:rPr>
              <w:t xml:space="preserve">Children </w:t>
            </w:r>
            <w:r w:rsidR="004405E5" w:rsidRPr="00F7369B">
              <w:rPr>
                <w:rStyle w:val="Small"/>
                <w:rFonts w:ascii="Arial Narrow" w:hAnsi="Arial Narrow"/>
                <w:sz w:val="20"/>
                <w:szCs w:val="20"/>
              </w:rPr>
              <w:t>program</w:t>
            </w:r>
          </w:p>
        </w:tc>
        <w:tc>
          <w:tcPr>
            <w:tcW w:w="625" w:type="pct"/>
            <w:noWrap/>
            <w:tcMar>
              <w:left w:w="28" w:type="dxa"/>
              <w:right w:w="28" w:type="dxa"/>
            </w:tcMar>
          </w:tcPr>
          <w:p w:rsidR="004405E5" w:rsidRPr="00F7369B" w:rsidRDefault="004405E5" w:rsidP="00047C38">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90.0%</w:t>
            </w:r>
          </w:p>
        </w:tc>
        <w:tc>
          <w:tcPr>
            <w:tcW w:w="626" w:type="pct"/>
            <w:noWrap/>
            <w:tcMar>
              <w:left w:w="28" w:type="dxa"/>
              <w:right w:w="28" w:type="dxa"/>
            </w:tcMar>
          </w:tcPr>
          <w:p w:rsidR="004405E5" w:rsidRPr="00F7369B" w:rsidRDefault="004405E5" w:rsidP="00047C38">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90.0%</w:t>
            </w:r>
          </w:p>
        </w:tc>
        <w:tc>
          <w:tcPr>
            <w:tcW w:w="626" w:type="pct"/>
            <w:noWrap/>
            <w:tcMar>
              <w:left w:w="28" w:type="dxa"/>
              <w:right w:w="28" w:type="dxa"/>
            </w:tcMar>
          </w:tcPr>
          <w:p w:rsidR="004405E5" w:rsidRPr="00F7369B" w:rsidRDefault="004405E5" w:rsidP="00047C38">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90.0%</w:t>
            </w:r>
          </w:p>
        </w:tc>
        <w:tc>
          <w:tcPr>
            <w:tcW w:w="625" w:type="pct"/>
            <w:noWrap/>
            <w:tcMar>
              <w:left w:w="28" w:type="dxa"/>
              <w:right w:w="28" w:type="dxa"/>
            </w:tcMar>
          </w:tcPr>
          <w:p w:rsidR="004405E5" w:rsidRPr="00F7369B" w:rsidRDefault="004405E5" w:rsidP="00047C38">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90.0%</w:t>
            </w:r>
          </w:p>
        </w:tc>
        <w:tc>
          <w:tcPr>
            <w:tcW w:w="626" w:type="pct"/>
            <w:noWrap/>
            <w:tcMar>
              <w:left w:w="28" w:type="dxa"/>
              <w:right w:w="28" w:type="dxa"/>
            </w:tcMar>
          </w:tcPr>
          <w:p w:rsidR="004405E5" w:rsidRPr="00F7369B" w:rsidRDefault="004405E5" w:rsidP="00047C38">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90.0%</w:t>
            </w:r>
          </w:p>
        </w:tc>
        <w:tc>
          <w:tcPr>
            <w:tcW w:w="624" w:type="pct"/>
            <w:noWrap/>
            <w:tcMar>
              <w:left w:w="28" w:type="dxa"/>
              <w:right w:w="28" w:type="dxa"/>
            </w:tcMar>
          </w:tcPr>
          <w:p w:rsidR="004405E5" w:rsidRPr="00F7369B" w:rsidRDefault="004405E5" w:rsidP="00047C38">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90.0%</w:t>
            </w:r>
          </w:p>
        </w:tc>
      </w:tr>
      <w:tr w:rsidR="00B776D2" w:rsidRPr="00F7369B" w:rsidTr="00B776D2">
        <w:trPr>
          <w:trHeight w:val="198"/>
        </w:trPr>
        <w:tc>
          <w:tcPr>
            <w:tcW w:w="1248" w:type="pct"/>
            <w:noWrap/>
            <w:tcMar>
              <w:left w:w="28" w:type="dxa"/>
              <w:right w:w="28" w:type="dxa"/>
            </w:tcMar>
            <w:hideMark/>
          </w:tcPr>
          <w:p w:rsidR="004405E5" w:rsidRPr="00F7369B" w:rsidRDefault="004405E5" w:rsidP="00047C38">
            <w:pPr>
              <w:pStyle w:val="Table"/>
              <w:rPr>
                <w:rStyle w:val="Small"/>
                <w:rFonts w:ascii="Arial Narrow" w:hAnsi="Arial Narrow"/>
                <w:sz w:val="20"/>
                <w:szCs w:val="20"/>
              </w:rPr>
            </w:pPr>
            <w:r w:rsidRPr="00F7369B">
              <w:rPr>
                <w:rStyle w:val="Small"/>
                <w:rFonts w:ascii="Arial Narrow" w:hAnsi="Arial Narrow"/>
                <w:sz w:val="20"/>
                <w:szCs w:val="20"/>
              </w:rPr>
              <w:t>School based program</w:t>
            </w:r>
          </w:p>
        </w:tc>
        <w:tc>
          <w:tcPr>
            <w:tcW w:w="625" w:type="pct"/>
            <w:noWrap/>
            <w:tcMar>
              <w:left w:w="28" w:type="dxa"/>
              <w:right w:w="28" w:type="dxa"/>
            </w:tcMar>
            <w:hideMark/>
          </w:tcPr>
          <w:p w:rsidR="004405E5" w:rsidRPr="00F7369B" w:rsidRDefault="004405E5" w:rsidP="00047C38">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85.0%</w:t>
            </w:r>
          </w:p>
        </w:tc>
        <w:tc>
          <w:tcPr>
            <w:tcW w:w="626" w:type="pct"/>
            <w:noWrap/>
            <w:tcMar>
              <w:left w:w="28" w:type="dxa"/>
              <w:right w:w="28" w:type="dxa"/>
            </w:tcMar>
            <w:hideMark/>
          </w:tcPr>
          <w:p w:rsidR="004405E5" w:rsidRPr="00F7369B" w:rsidRDefault="004405E5" w:rsidP="00047C38">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85.0%</w:t>
            </w:r>
          </w:p>
        </w:tc>
        <w:tc>
          <w:tcPr>
            <w:tcW w:w="626" w:type="pct"/>
            <w:noWrap/>
            <w:tcMar>
              <w:left w:w="28" w:type="dxa"/>
              <w:right w:w="28" w:type="dxa"/>
            </w:tcMar>
            <w:hideMark/>
          </w:tcPr>
          <w:p w:rsidR="004405E5" w:rsidRPr="00F7369B" w:rsidRDefault="004405E5" w:rsidP="00047C38">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85.0%</w:t>
            </w:r>
          </w:p>
        </w:tc>
        <w:tc>
          <w:tcPr>
            <w:tcW w:w="625" w:type="pct"/>
            <w:noWrap/>
            <w:tcMar>
              <w:left w:w="28" w:type="dxa"/>
              <w:right w:w="28" w:type="dxa"/>
            </w:tcMar>
            <w:hideMark/>
          </w:tcPr>
          <w:p w:rsidR="004405E5" w:rsidRPr="00F7369B" w:rsidRDefault="004405E5" w:rsidP="00047C38">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85.0%</w:t>
            </w:r>
          </w:p>
        </w:tc>
        <w:tc>
          <w:tcPr>
            <w:tcW w:w="626" w:type="pct"/>
            <w:noWrap/>
            <w:tcMar>
              <w:left w:w="28" w:type="dxa"/>
              <w:right w:w="28" w:type="dxa"/>
            </w:tcMar>
            <w:hideMark/>
          </w:tcPr>
          <w:p w:rsidR="004405E5" w:rsidRPr="00F7369B" w:rsidRDefault="004405E5" w:rsidP="00047C38">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85.0%</w:t>
            </w:r>
          </w:p>
        </w:tc>
        <w:tc>
          <w:tcPr>
            <w:tcW w:w="624" w:type="pct"/>
            <w:noWrap/>
            <w:tcMar>
              <w:left w:w="28" w:type="dxa"/>
              <w:right w:w="28" w:type="dxa"/>
            </w:tcMar>
            <w:hideMark/>
          </w:tcPr>
          <w:p w:rsidR="004405E5" w:rsidRPr="00F7369B" w:rsidRDefault="004405E5" w:rsidP="00047C38">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85.0%</w:t>
            </w:r>
          </w:p>
        </w:tc>
      </w:tr>
      <w:tr w:rsidR="00B776D2" w:rsidRPr="00F7369B" w:rsidTr="00B776D2">
        <w:trPr>
          <w:trHeight w:val="198"/>
        </w:trPr>
        <w:tc>
          <w:tcPr>
            <w:tcW w:w="1248" w:type="pct"/>
            <w:noWrap/>
            <w:tcMar>
              <w:left w:w="28" w:type="dxa"/>
              <w:right w:w="28" w:type="dxa"/>
            </w:tcMar>
            <w:hideMark/>
          </w:tcPr>
          <w:p w:rsidR="004405E5" w:rsidRPr="00F7369B" w:rsidRDefault="004405E5" w:rsidP="00047C38">
            <w:pPr>
              <w:pStyle w:val="Table"/>
              <w:rPr>
                <w:rStyle w:val="Small"/>
                <w:rFonts w:ascii="Arial Narrow" w:hAnsi="Arial Narrow"/>
                <w:sz w:val="20"/>
                <w:szCs w:val="20"/>
              </w:rPr>
            </w:pPr>
            <w:r w:rsidRPr="00F7369B">
              <w:rPr>
                <w:rStyle w:val="Small"/>
                <w:rFonts w:ascii="Arial Narrow" w:hAnsi="Arial Narrow"/>
                <w:sz w:val="20"/>
                <w:szCs w:val="20"/>
              </w:rPr>
              <w:t>Catch</w:t>
            </w:r>
            <w:r w:rsidR="00AD63B0" w:rsidRPr="00F7369B">
              <w:rPr>
                <w:rStyle w:val="Small"/>
                <w:rFonts w:ascii="Arial Narrow" w:hAnsi="Arial Narrow"/>
                <w:sz w:val="20"/>
                <w:szCs w:val="20"/>
              </w:rPr>
              <w:t xml:space="preserve"> </w:t>
            </w:r>
            <w:r w:rsidRPr="00F7369B">
              <w:rPr>
                <w:rStyle w:val="Small"/>
                <w:rFonts w:ascii="Arial Narrow" w:hAnsi="Arial Narrow"/>
                <w:sz w:val="20"/>
                <w:szCs w:val="20"/>
              </w:rPr>
              <w:t>up program</w:t>
            </w:r>
          </w:p>
        </w:tc>
        <w:tc>
          <w:tcPr>
            <w:tcW w:w="625" w:type="pct"/>
            <w:noWrap/>
            <w:tcMar>
              <w:left w:w="28" w:type="dxa"/>
              <w:right w:w="28" w:type="dxa"/>
            </w:tcMar>
            <w:hideMark/>
          </w:tcPr>
          <w:p w:rsidR="004405E5" w:rsidRPr="00F7369B" w:rsidRDefault="004405E5" w:rsidP="00047C38">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20.0%</w:t>
            </w:r>
          </w:p>
        </w:tc>
        <w:tc>
          <w:tcPr>
            <w:tcW w:w="626" w:type="pct"/>
            <w:noWrap/>
            <w:tcMar>
              <w:left w:w="28" w:type="dxa"/>
              <w:right w:w="28" w:type="dxa"/>
            </w:tcMar>
            <w:hideMark/>
          </w:tcPr>
          <w:p w:rsidR="004405E5" w:rsidRPr="00F7369B" w:rsidRDefault="004405E5" w:rsidP="00047C38">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20.0%</w:t>
            </w:r>
          </w:p>
        </w:tc>
        <w:tc>
          <w:tcPr>
            <w:tcW w:w="626" w:type="pct"/>
            <w:noWrap/>
            <w:tcMar>
              <w:left w:w="28" w:type="dxa"/>
              <w:right w:w="28" w:type="dxa"/>
            </w:tcMar>
            <w:hideMark/>
          </w:tcPr>
          <w:p w:rsidR="004405E5" w:rsidRPr="00F7369B" w:rsidRDefault="004405E5" w:rsidP="00047C38">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20.0%</w:t>
            </w:r>
          </w:p>
        </w:tc>
        <w:tc>
          <w:tcPr>
            <w:tcW w:w="625" w:type="pct"/>
            <w:noWrap/>
            <w:tcMar>
              <w:left w:w="28" w:type="dxa"/>
              <w:right w:w="28" w:type="dxa"/>
            </w:tcMar>
            <w:hideMark/>
          </w:tcPr>
          <w:p w:rsidR="004405E5" w:rsidRPr="00F7369B" w:rsidRDefault="004405E5" w:rsidP="00047C38">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20.0%</w:t>
            </w:r>
          </w:p>
        </w:tc>
        <w:tc>
          <w:tcPr>
            <w:tcW w:w="626" w:type="pct"/>
            <w:noWrap/>
            <w:tcMar>
              <w:left w:w="28" w:type="dxa"/>
              <w:right w:w="28" w:type="dxa"/>
            </w:tcMar>
            <w:hideMark/>
          </w:tcPr>
          <w:p w:rsidR="004405E5" w:rsidRPr="00F7369B" w:rsidRDefault="004405E5" w:rsidP="00047C38">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20.0%</w:t>
            </w:r>
          </w:p>
        </w:tc>
        <w:tc>
          <w:tcPr>
            <w:tcW w:w="624" w:type="pct"/>
            <w:noWrap/>
            <w:tcMar>
              <w:left w:w="28" w:type="dxa"/>
              <w:right w:w="28" w:type="dxa"/>
            </w:tcMar>
            <w:hideMark/>
          </w:tcPr>
          <w:p w:rsidR="004405E5" w:rsidRPr="00F7369B" w:rsidRDefault="004405E5" w:rsidP="00047C38">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20.0%</w:t>
            </w:r>
          </w:p>
        </w:tc>
      </w:tr>
      <w:tr w:rsidR="00B776D2" w:rsidRPr="00F7369B" w:rsidTr="00B776D2">
        <w:trPr>
          <w:trHeight w:val="198"/>
        </w:trPr>
        <w:tc>
          <w:tcPr>
            <w:tcW w:w="1248" w:type="pct"/>
            <w:noWrap/>
            <w:tcMar>
              <w:left w:w="28" w:type="dxa"/>
              <w:right w:w="28" w:type="dxa"/>
            </w:tcMar>
          </w:tcPr>
          <w:p w:rsidR="004405E5" w:rsidRPr="00F7369B" w:rsidRDefault="004405E5" w:rsidP="00047C38">
            <w:pPr>
              <w:pStyle w:val="Table"/>
              <w:rPr>
                <w:rStyle w:val="Small"/>
                <w:rFonts w:ascii="Arial Narrow" w:hAnsi="Arial Narrow"/>
                <w:sz w:val="20"/>
                <w:szCs w:val="20"/>
              </w:rPr>
            </w:pPr>
            <w:r w:rsidRPr="00F7369B">
              <w:rPr>
                <w:rStyle w:val="Small"/>
                <w:rFonts w:ascii="Arial Narrow" w:hAnsi="Arial Narrow"/>
                <w:sz w:val="20"/>
                <w:szCs w:val="20"/>
              </w:rPr>
              <w:t>At risk subjects ≥12 months</w:t>
            </w:r>
          </w:p>
        </w:tc>
        <w:tc>
          <w:tcPr>
            <w:tcW w:w="625" w:type="pct"/>
            <w:noWrap/>
            <w:tcMar>
              <w:left w:w="28" w:type="dxa"/>
              <w:right w:w="28" w:type="dxa"/>
            </w:tcMar>
          </w:tcPr>
          <w:p w:rsidR="004405E5" w:rsidRPr="00F7369B" w:rsidRDefault="004405E5" w:rsidP="00047C38">
            <w:pPr>
              <w:pStyle w:val="TableCentre"/>
              <w:rPr>
                <w:rStyle w:val="Small"/>
                <w:rFonts w:ascii="Arial Narrow" w:hAnsi="Arial Narrow" w:cstheme="minorHAnsi"/>
                <w:sz w:val="20"/>
                <w:szCs w:val="20"/>
              </w:rPr>
            </w:pPr>
            <w:r w:rsidRPr="00F7369B">
              <w:rPr>
                <w:rFonts w:ascii="Arial Narrow" w:hAnsi="Arial Narrow" w:cstheme="minorHAnsi"/>
                <w:sz w:val="20"/>
                <w:szCs w:val="20"/>
              </w:rPr>
              <w:t>100.0%</w:t>
            </w:r>
          </w:p>
        </w:tc>
        <w:tc>
          <w:tcPr>
            <w:tcW w:w="626" w:type="pct"/>
            <w:noWrap/>
            <w:tcMar>
              <w:left w:w="28" w:type="dxa"/>
              <w:right w:w="28" w:type="dxa"/>
            </w:tcMar>
          </w:tcPr>
          <w:p w:rsidR="004405E5" w:rsidRPr="00F7369B" w:rsidRDefault="004405E5" w:rsidP="00047C38">
            <w:pPr>
              <w:pStyle w:val="TableCentre"/>
              <w:rPr>
                <w:rStyle w:val="Small"/>
                <w:rFonts w:ascii="Arial Narrow" w:hAnsi="Arial Narrow" w:cstheme="minorHAnsi"/>
                <w:sz w:val="20"/>
                <w:szCs w:val="20"/>
              </w:rPr>
            </w:pPr>
            <w:r w:rsidRPr="00F7369B">
              <w:rPr>
                <w:rFonts w:ascii="Arial Narrow" w:hAnsi="Arial Narrow" w:cstheme="minorHAnsi"/>
                <w:sz w:val="20"/>
                <w:szCs w:val="20"/>
              </w:rPr>
              <w:t>100.0%</w:t>
            </w:r>
          </w:p>
        </w:tc>
        <w:tc>
          <w:tcPr>
            <w:tcW w:w="626" w:type="pct"/>
            <w:noWrap/>
            <w:tcMar>
              <w:left w:w="28" w:type="dxa"/>
              <w:right w:w="28" w:type="dxa"/>
            </w:tcMar>
          </w:tcPr>
          <w:p w:rsidR="004405E5" w:rsidRPr="00F7369B" w:rsidRDefault="004405E5" w:rsidP="00047C38">
            <w:pPr>
              <w:pStyle w:val="TableCentre"/>
              <w:rPr>
                <w:rStyle w:val="Small"/>
                <w:rFonts w:ascii="Arial Narrow" w:hAnsi="Arial Narrow" w:cstheme="minorHAnsi"/>
                <w:sz w:val="20"/>
                <w:szCs w:val="20"/>
              </w:rPr>
            </w:pPr>
            <w:r w:rsidRPr="00F7369B">
              <w:rPr>
                <w:rFonts w:ascii="Arial Narrow" w:hAnsi="Arial Narrow" w:cstheme="minorHAnsi"/>
                <w:sz w:val="20"/>
                <w:szCs w:val="20"/>
              </w:rPr>
              <w:t>100.0%</w:t>
            </w:r>
          </w:p>
        </w:tc>
        <w:tc>
          <w:tcPr>
            <w:tcW w:w="625" w:type="pct"/>
            <w:noWrap/>
            <w:tcMar>
              <w:left w:w="28" w:type="dxa"/>
              <w:right w:w="28" w:type="dxa"/>
            </w:tcMar>
          </w:tcPr>
          <w:p w:rsidR="004405E5" w:rsidRPr="00F7369B" w:rsidRDefault="004405E5" w:rsidP="00047C38">
            <w:pPr>
              <w:pStyle w:val="TableCentre"/>
              <w:rPr>
                <w:rStyle w:val="Small"/>
                <w:rFonts w:ascii="Arial Narrow" w:hAnsi="Arial Narrow" w:cstheme="minorHAnsi"/>
                <w:sz w:val="20"/>
                <w:szCs w:val="20"/>
              </w:rPr>
            </w:pPr>
            <w:r w:rsidRPr="00F7369B">
              <w:rPr>
                <w:rFonts w:ascii="Arial Narrow" w:hAnsi="Arial Narrow" w:cstheme="minorHAnsi"/>
                <w:sz w:val="20"/>
                <w:szCs w:val="20"/>
              </w:rPr>
              <w:t>100.0%</w:t>
            </w:r>
          </w:p>
        </w:tc>
        <w:tc>
          <w:tcPr>
            <w:tcW w:w="626" w:type="pct"/>
            <w:noWrap/>
            <w:tcMar>
              <w:left w:w="28" w:type="dxa"/>
              <w:right w:w="28" w:type="dxa"/>
            </w:tcMar>
          </w:tcPr>
          <w:p w:rsidR="004405E5" w:rsidRPr="00F7369B" w:rsidRDefault="004405E5" w:rsidP="00047C38">
            <w:pPr>
              <w:pStyle w:val="TableCentre"/>
              <w:rPr>
                <w:rStyle w:val="Small"/>
                <w:rFonts w:ascii="Arial Narrow" w:hAnsi="Arial Narrow" w:cstheme="minorHAnsi"/>
                <w:sz w:val="20"/>
                <w:szCs w:val="20"/>
              </w:rPr>
            </w:pPr>
            <w:r w:rsidRPr="00F7369B">
              <w:rPr>
                <w:rFonts w:ascii="Arial Narrow" w:hAnsi="Arial Narrow" w:cstheme="minorHAnsi"/>
                <w:sz w:val="20"/>
                <w:szCs w:val="20"/>
              </w:rPr>
              <w:t>100.0%</w:t>
            </w:r>
          </w:p>
        </w:tc>
        <w:tc>
          <w:tcPr>
            <w:tcW w:w="624" w:type="pct"/>
            <w:noWrap/>
            <w:tcMar>
              <w:left w:w="28" w:type="dxa"/>
              <w:right w:w="28" w:type="dxa"/>
            </w:tcMar>
          </w:tcPr>
          <w:p w:rsidR="004405E5" w:rsidRPr="00F7369B" w:rsidRDefault="004405E5" w:rsidP="00047C38">
            <w:pPr>
              <w:pStyle w:val="TableCentre"/>
              <w:rPr>
                <w:rStyle w:val="Small"/>
                <w:rFonts w:ascii="Arial Narrow" w:hAnsi="Arial Narrow" w:cstheme="minorHAnsi"/>
                <w:sz w:val="20"/>
                <w:szCs w:val="20"/>
              </w:rPr>
            </w:pPr>
            <w:r w:rsidRPr="00F7369B">
              <w:rPr>
                <w:rFonts w:ascii="Arial Narrow" w:hAnsi="Arial Narrow" w:cstheme="minorHAnsi"/>
                <w:sz w:val="20"/>
                <w:szCs w:val="20"/>
              </w:rPr>
              <w:t>100.0%</w:t>
            </w:r>
          </w:p>
        </w:tc>
      </w:tr>
      <w:tr w:rsidR="004405E5" w:rsidRPr="00F7369B" w:rsidTr="00B776D2">
        <w:trPr>
          <w:trHeight w:val="198"/>
        </w:trPr>
        <w:tc>
          <w:tcPr>
            <w:tcW w:w="5000" w:type="pct"/>
            <w:gridSpan w:val="7"/>
            <w:noWrap/>
            <w:tcMar>
              <w:left w:w="28" w:type="dxa"/>
              <w:right w:w="28" w:type="dxa"/>
            </w:tcMar>
          </w:tcPr>
          <w:p w:rsidR="004405E5" w:rsidRPr="00F7369B" w:rsidRDefault="004405E5" w:rsidP="00E97D0B">
            <w:pPr>
              <w:pStyle w:val="TableCentre"/>
              <w:jc w:val="left"/>
              <w:rPr>
                <w:rFonts w:ascii="Arial Narrow" w:hAnsi="Arial Narrow" w:cstheme="minorHAnsi"/>
                <w:sz w:val="20"/>
                <w:szCs w:val="20"/>
              </w:rPr>
            </w:pPr>
            <w:r w:rsidRPr="00F7369B">
              <w:rPr>
                <w:rStyle w:val="Small"/>
                <w:rFonts w:ascii="Arial Narrow" w:hAnsi="Arial Narrow" w:cstheme="minorHAnsi"/>
                <w:b/>
                <w:bCs/>
                <w:sz w:val="20"/>
                <w:szCs w:val="20"/>
              </w:rPr>
              <w:t>Estimated total number of people receiving MenACWY vaccine</w:t>
            </w:r>
            <w:r w:rsidR="00F63418" w:rsidRPr="00F7369B">
              <w:rPr>
                <w:rStyle w:val="Small"/>
                <w:rFonts w:ascii="Arial Narrow" w:hAnsi="Arial Narrow" w:cstheme="minorHAnsi"/>
                <w:b/>
                <w:bCs/>
                <w:sz w:val="20"/>
                <w:szCs w:val="20"/>
              </w:rPr>
              <w:t xml:space="preserve"> </w:t>
            </w:r>
          </w:p>
        </w:tc>
      </w:tr>
      <w:tr w:rsidR="00B776D2" w:rsidRPr="00F7369B" w:rsidTr="00B776D2">
        <w:trPr>
          <w:trHeight w:val="198"/>
        </w:trPr>
        <w:tc>
          <w:tcPr>
            <w:tcW w:w="1248" w:type="pct"/>
            <w:noWrap/>
            <w:tcMar>
              <w:left w:w="28" w:type="dxa"/>
              <w:right w:w="28" w:type="dxa"/>
            </w:tcMar>
          </w:tcPr>
          <w:p w:rsidR="004405E5" w:rsidRPr="00F7369B" w:rsidRDefault="00B04F69" w:rsidP="00047C38">
            <w:pPr>
              <w:pStyle w:val="Table"/>
              <w:rPr>
                <w:rStyle w:val="Small"/>
                <w:rFonts w:ascii="Arial Narrow" w:hAnsi="Arial Narrow"/>
                <w:sz w:val="20"/>
                <w:szCs w:val="20"/>
              </w:rPr>
            </w:pPr>
            <w:r w:rsidRPr="00F7369B">
              <w:rPr>
                <w:rStyle w:val="Small"/>
                <w:rFonts w:ascii="Arial Narrow" w:hAnsi="Arial Narrow"/>
                <w:sz w:val="20"/>
                <w:szCs w:val="20"/>
              </w:rPr>
              <w:t>Children</w:t>
            </w:r>
            <w:r w:rsidR="004405E5" w:rsidRPr="00F7369B">
              <w:rPr>
                <w:rStyle w:val="Small"/>
                <w:rFonts w:ascii="Arial Narrow" w:hAnsi="Arial Narrow"/>
                <w:sz w:val="20"/>
                <w:szCs w:val="20"/>
              </w:rPr>
              <w:t xml:space="preserve"> program</w:t>
            </w:r>
          </w:p>
        </w:tc>
        <w:tc>
          <w:tcPr>
            <w:tcW w:w="625" w:type="pct"/>
            <w:noWrap/>
            <w:tcMar>
              <w:left w:w="28" w:type="dxa"/>
              <w:right w:w="28" w:type="dxa"/>
            </w:tcMar>
          </w:tcPr>
          <w:p w:rsidR="004405E5" w:rsidRPr="00F7369B" w:rsidRDefault="0007305C" w:rsidP="00047C38">
            <w:pPr>
              <w:pStyle w:val="TableCentre"/>
              <w:rPr>
                <w:rFonts w:ascii="Arial Narrow" w:hAnsi="Arial Narrow" w:cstheme="minorHAnsi"/>
                <w:sz w:val="20"/>
                <w:szCs w:val="20"/>
              </w:rPr>
            </w:pPr>
            <w:r>
              <w:rPr>
                <w:rFonts w:ascii="Arial Narrow" w:hAnsi="Arial Narrow" w:cstheme="minorHAnsi"/>
                <w:noProof/>
                <w:color w:val="000000"/>
                <w:sz w:val="20"/>
                <w:szCs w:val="20"/>
                <w:highlight w:val="black"/>
              </w:rPr>
              <w:t>'''''''''''''''''''</w:t>
            </w:r>
            <w:r w:rsidR="00C42DCC">
              <w:rPr>
                <w:rStyle w:val="Small"/>
                <w:rFonts w:ascii="Arial Narrow" w:hAnsi="Arial Narrow" w:cstheme="minorHAnsi"/>
                <w:sz w:val="20"/>
                <w:szCs w:val="20"/>
                <w:vertAlign w:val="superscript"/>
              </w:rPr>
              <w:t>1</w:t>
            </w:r>
          </w:p>
        </w:tc>
        <w:tc>
          <w:tcPr>
            <w:tcW w:w="626" w:type="pct"/>
            <w:noWrap/>
            <w:tcMar>
              <w:left w:w="28" w:type="dxa"/>
              <w:right w:w="28" w:type="dxa"/>
            </w:tcMar>
          </w:tcPr>
          <w:p w:rsidR="004405E5" w:rsidRPr="00F7369B" w:rsidRDefault="0007305C" w:rsidP="00047C38">
            <w:pPr>
              <w:pStyle w:val="TableCentre"/>
              <w:rPr>
                <w:rFonts w:ascii="Arial Narrow" w:hAnsi="Arial Narrow" w:cstheme="minorHAnsi"/>
                <w:sz w:val="20"/>
                <w:szCs w:val="20"/>
              </w:rPr>
            </w:pPr>
            <w:r>
              <w:rPr>
                <w:rFonts w:ascii="Arial Narrow" w:hAnsi="Arial Narrow" w:cstheme="minorHAnsi"/>
                <w:noProof/>
                <w:color w:val="000000"/>
                <w:sz w:val="20"/>
                <w:szCs w:val="20"/>
                <w:highlight w:val="black"/>
              </w:rPr>
              <w:t>''''''''''''''''''''''</w:t>
            </w:r>
            <w:r w:rsidR="00C42DCC">
              <w:rPr>
                <w:rStyle w:val="Small"/>
                <w:rFonts w:ascii="Arial Narrow" w:hAnsi="Arial Narrow" w:cstheme="minorHAnsi"/>
                <w:sz w:val="20"/>
                <w:szCs w:val="20"/>
                <w:vertAlign w:val="superscript"/>
              </w:rPr>
              <w:t>1</w:t>
            </w:r>
          </w:p>
        </w:tc>
        <w:tc>
          <w:tcPr>
            <w:tcW w:w="626" w:type="pct"/>
            <w:noWrap/>
            <w:tcMar>
              <w:left w:w="28" w:type="dxa"/>
              <w:right w:w="28" w:type="dxa"/>
            </w:tcMar>
          </w:tcPr>
          <w:p w:rsidR="004405E5" w:rsidRPr="00F7369B" w:rsidRDefault="0007305C" w:rsidP="00047C38">
            <w:pPr>
              <w:pStyle w:val="TableCentre"/>
              <w:rPr>
                <w:rFonts w:ascii="Arial Narrow" w:hAnsi="Arial Narrow" w:cstheme="minorHAnsi"/>
                <w:sz w:val="20"/>
                <w:szCs w:val="20"/>
              </w:rPr>
            </w:pPr>
            <w:r>
              <w:rPr>
                <w:rFonts w:ascii="Arial Narrow" w:hAnsi="Arial Narrow" w:cstheme="minorHAnsi"/>
                <w:noProof/>
                <w:color w:val="000000"/>
                <w:sz w:val="20"/>
                <w:szCs w:val="20"/>
                <w:highlight w:val="black"/>
              </w:rPr>
              <w:t>'''''''''''''''''''</w:t>
            </w:r>
            <w:r w:rsidR="00C42DCC">
              <w:rPr>
                <w:rStyle w:val="Small"/>
                <w:rFonts w:ascii="Arial Narrow" w:hAnsi="Arial Narrow" w:cstheme="minorHAnsi"/>
                <w:sz w:val="20"/>
                <w:szCs w:val="20"/>
                <w:vertAlign w:val="superscript"/>
              </w:rPr>
              <w:t>1</w:t>
            </w:r>
          </w:p>
        </w:tc>
        <w:tc>
          <w:tcPr>
            <w:tcW w:w="625" w:type="pct"/>
            <w:noWrap/>
            <w:tcMar>
              <w:left w:w="28" w:type="dxa"/>
              <w:right w:w="28" w:type="dxa"/>
            </w:tcMar>
          </w:tcPr>
          <w:p w:rsidR="004405E5" w:rsidRPr="00F7369B" w:rsidRDefault="0007305C" w:rsidP="00047C38">
            <w:pPr>
              <w:pStyle w:val="TableCentre"/>
              <w:rPr>
                <w:rFonts w:ascii="Arial Narrow" w:hAnsi="Arial Narrow" w:cstheme="minorHAnsi"/>
                <w:sz w:val="20"/>
                <w:szCs w:val="20"/>
              </w:rPr>
            </w:pPr>
            <w:r>
              <w:rPr>
                <w:rFonts w:ascii="Arial Narrow" w:hAnsi="Arial Narrow" w:cstheme="minorHAnsi"/>
                <w:noProof/>
                <w:color w:val="000000"/>
                <w:sz w:val="20"/>
                <w:szCs w:val="20"/>
                <w:highlight w:val="black"/>
              </w:rPr>
              <w:t>''''''''''''''''''''''</w:t>
            </w:r>
            <w:r w:rsidR="00C42DCC">
              <w:rPr>
                <w:rStyle w:val="Small"/>
                <w:rFonts w:ascii="Arial Narrow" w:hAnsi="Arial Narrow" w:cstheme="minorHAnsi"/>
                <w:sz w:val="20"/>
                <w:szCs w:val="20"/>
                <w:vertAlign w:val="superscript"/>
              </w:rPr>
              <w:t>1</w:t>
            </w:r>
          </w:p>
        </w:tc>
        <w:tc>
          <w:tcPr>
            <w:tcW w:w="626" w:type="pct"/>
            <w:noWrap/>
            <w:tcMar>
              <w:left w:w="28" w:type="dxa"/>
              <w:right w:w="28" w:type="dxa"/>
            </w:tcMar>
          </w:tcPr>
          <w:p w:rsidR="004405E5" w:rsidRPr="00F7369B" w:rsidRDefault="0007305C" w:rsidP="00047C38">
            <w:pPr>
              <w:pStyle w:val="TableCentre"/>
              <w:rPr>
                <w:rFonts w:ascii="Arial Narrow" w:hAnsi="Arial Narrow" w:cstheme="minorHAnsi"/>
                <w:sz w:val="20"/>
                <w:szCs w:val="20"/>
              </w:rPr>
            </w:pPr>
            <w:r>
              <w:rPr>
                <w:rFonts w:ascii="Arial Narrow" w:hAnsi="Arial Narrow" w:cstheme="minorHAnsi"/>
                <w:noProof/>
                <w:color w:val="000000"/>
                <w:sz w:val="20"/>
                <w:szCs w:val="20"/>
                <w:highlight w:val="black"/>
              </w:rPr>
              <w:t>''''''''''''''''''''''</w:t>
            </w:r>
            <w:r w:rsidR="00C42DCC">
              <w:rPr>
                <w:rStyle w:val="Small"/>
                <w:rFonts w:ascii="Arial Narrow" w:hAnsi="Arial Narrow" w:cstheme="minorHAnsi"/>
                <w:sz w:val="20"/>
                <w:szCs w:val="20"/>
                <w:vertAlign w:val="superscript"/>
              </w:rPr>
              <w:t>1</w:t>
            </w:r>
          </w:p>
        </w:tc>
        <w:tc>
          <w:tcPr>
            <w:tcW w:w="624" w:type="pct"/>
            <w:noWrap/>
            <w:tcMar>
              <w:left w:w="28" w:type="dxa"/>
              <w:right w:w="28" w:type="dxa"/>
            </w:tcMar>
          </w:tcPr>
          <w:p w:rsidR="004405E5" w:rsidRPr="00F7369B" w:rsidRDefault="0007305C" w:rsidP="00047C38">
            <w:pPr>
              <w:pStyle w:val="TableCentre"/>
              <w:rPr>
                <w:rFonts w:ascii="Arial Narrow" w:hAnsi="Arial Narrow" w:cstheme="minorHAnsi"/>
                <w:sz w:val="20"/>
                <w:szCs w:val="20"/>
              </w:rPr>
            </w:pPr>
            <w:r>
              <w:rPr>
                <w:rFonts w:ascii="Arial Narrow" w:hAnsi="Arial Narrow" w:cstheme="minorHAnsi"/>
                <w:noProof/>
                <w:color w:val="000000"/>
                <w:sz w:val="20"/>
                <w:szCs w:val="20"/>
                <w:highlight w:val="black"/>
              </w:rPr>
              <w:t>'''''''''''''''''''</w:t>
            </w:r>
            <w:r w:rsidR="00C42DCC">
              <w:rPr>
                <w:rStyle w:val="Small"/>
                <w:rFonts w:ascii="Arial Narrow" w:hAnsi="Arial Narrow" w:cstheme="minorHAnsi"/>
                <w:sz w:val="20"/>
                <w:szCs w:val="20"/>
                <w:vertAlign w:val="superscript"/>
              </w:rPr>
              <w:t>1</w:t>
            </w:r>
          </w:p>
        </w:tc>
      </w:tr>
      <w:tr w:rsidR="00B776D2" w:rsidRPr="00F7369B" w:rsidTr="00B776D2">
        <w:trPr>
          <w:trHeight w:val="198"/>
        </w:trPr>
        <w:tc>
          <w:tcPr>
            <w:tcW w:w="1248" w:type="pct"/>
            <w:noWrap/>
            <w:tcMar>
              <w:left w:w="28" w:type="dxa"/>
              <w:right w:w="28" w:type="dxa"/>
            </w:tcMar>
          </w:tcPr>
          <w:p w:rsidR="004405E5" w:rsidRPr="00F7369B" w:rsidRDefault="004405E5" w:rsidP="00047C38">
            <w:pPr>
              <w:pStyle w:val="Table"/>
              <w:rPr>
                <w:rStyle w:val="Small"/>
                <w:rFonts w:ascii="Arial Narrow" w:hAnsi="Arial Narrow"/>
                <w:sz w:val="20"/>
                <w:szCs w:val="20"/>
              </w:rPr>
            </w:pPr>
            <w:r w:rsidRPr="00F7369B">
              <w:rPr>
                <w:rStyle w:val="Small"/>
                <w:rFonts w:ascii="Arial Narrow" w:hAnsi="Arial Narrow"/>
                <w:sz w:val="20"/>
                <w:szCs w:val="20"/>
              </w:rPr>
              <w:t>School based program</w:t>
            </w:r>
          </w:p>
        </w:tc>
        <w:tc>
          <w:tcPr>
            <w:tcW w:w="625" w:type="pct"/>
            <w:noWrap/>
            <w:tcMar>
              <w:left w:w="28" w:type="dxa"/>
              <w:right w:w="28" w:type="dxa"/>
            </w:tcMar>
          </w:tcPr>
          <w:p w:rsidR="004405E5" w:rsidRPr="00F7369B" w:rsidRDefault="0007305C" w:rsidP="00047C38">
            <w:pPr>
              <w:pStyle w:val="TableCentre"/>
              <w:rPr>
                <w:rFonts w:ascii="Arial Narrow" w:hAnsi="Arial Narrow" w:cstheme="minorHAnsi"/>
                <w:sz w:val="20"/>
                <w:szCs w:val="20"/>
              </w:rPr>
            </w:pPr>
            <w:r>
              <w:rPr>
                <w:rFonts w:ascii="Arial Narrow" w:hAnsi="Arial Narrow" w:cstheme="minorHAnsi"/>
                <w:noProof/>
                <w:color w:val="000000"/>
                <w:sz w:val="20"/>
                <w:szCs w:val="20"/>
                <w:highlight w:val="black"/>
              </w:rPr>
              <w:t>''''''''''''''''''''</w:t>
            </w:r>
            <w:r w:rsidR="00C42DCC">
              <w:rPr>
                <w:rStyle w:val="Small"/>
                <w:rFonts w:ascii="Arial Narrow" w:hAnsi="Arial Narrow" w:cstheme="minorHAnsi"/>
                <w:sz w:val="20"/>
                <w:szCs w:val="20"/>
                <w:vertAlign w:val="superscript"/>
              </w:rPr>
              <w:t>6</w:t>
            </w:r>
          </w:p>
        </w:tc>
        <w:tc>
          <w:tcPr>
            <w:tcW w:w="626" w:type="pct"/>
            <w:noWrap/>
            <w:tcMar>
              <w:left w:w="28" w:type="dxa"/>
              <w:right w:w="28" w:type="dxa"/>
            </w:tcMar>
          </w:tcPr>
          <w:p w:rsidR="004405E5" w:rsidRPr="00F7369B" w:rsidRDefault="0007305C" w:rsidP="00047C38">
            <w:pPr>
              <w:pStyle w:val="TableCentre"/>
              <w:rPr>
                <w:rFonts w:ascii="Arial Narrow" w:hAnsi="Arial Narrow" w:cstheme="minorHAnsi"/>
                <w:sz w:val="20"/>
                <w:szCs w:val="20"/>
              </w:rPr>
            </w:pPr>
            <w:r>
              <w:rPr>
                <w:rFonts w:ascii="Arial Narrow" w:hAnsi="Arial Narrow" w:cstheme="minorHAnsi"/>
                <w:noProof/>
                <w:color w:val="000000"/>
                <w:sz w:val="20"/>
                <w:szCs w:val="20"/>
                <w:highlight w:val="black"/>
              </w:rPr>
              <w:t>''''''''''''''''''</w:t>
            </w:r>
            <w:r w:rsidR="00C42DCC">
              <w:rPr>
                <w:rStyle w:val="Small"/>
                <w:rFonts w:ascii="Arial Narrow" w:hAnsi="Arial Narrow" w:cstheme="minorHAnsi"/>
                <w:sz w:val="20"/>
                <w:szCs w:val="20"/>
                <w:vertAlign w:val="superscript"/>
              </w:rPr>
              <w:t>6</w:t>
            </w:r>
          </w:p>
        </w:tc>
        <w:tc>
          <w:tcPr>
            <w:tcW w:w="626" w:type="pct"/>
            <w:noWrap/>
            <w:tcMar>
              <w:left w:w="28" w:type="dxa"/>
              <w:right w:w="28" w:type="dxa"/>
            </w:tcMar>
          </w:tcPr>
          <w:p w:rsidR="004405E5" w:rsidRPr="00F7369B" w:rsidRDefault="0007305C" w:rsidP="00047C38">
            <w:pPr>
              <w:pStyle w:val="TableCentre"/>
              <w:rPr>
                <w:rFonts w:ascii="Arial Narrow" w:hAnsi="Arial Narrow" w:cstheme="minorHAnsi"/>
                <w:sz w:val="20"/>
                <w:szCs w:val="20"/>
              </w:rPr>
            </w:pPr>
            <w:r>
              <w:rPr>
                <w:rFonts w:ascii="Arial Narrow" w:hAnsi="Arial Narrow" w:cstheme="minorHAnsi"/>
                <w:noProof/>
                <w:color w:val="000000"/>
                <w:sz w:val="20"/>
                <w:szCs w:val="20"/>
                <w:highlight w:val="black"/>
              </w:rPr>
              <w:t>''''''''''''''''''''</w:t>
            </w:r>
            <w:r w:rsidR="00C42DCC">
              <w:rPr>
                <w:rStyle w:val="Small"/>
                <w:rFonts w:ascii="Arial Narrow" w:hAnsi="Arial Narrow" w:cstheme="minorHAnsi"/>
                <w:sz w:val="20"/>
                <w:szCs w:val="20"/>
                <w:vertAlign w:val="superscript"/>
              </w:rPr>
              <w:t>6</w:t>
            </w:r>
          </w:p>
        </w:tc>
        <w:tc>
          <w:tcPr>
            <w:tcW w:w="625" w:type="pct"/>
            <w:noWrap/>
            <w:tcMar>
              <w:left w:w="28" w:type="dxa"/>
              <w:right w:w="28" w:type="dxa"/>
            </w:tcMar>
          </w:tcPr>
          <w:p w:rsidR="004405E5" w:rsidRPr="00F7369B" w:rsidRDefault="0007305C" w:rsidP="00047C38">
            <w:pPr>
              <w:pStyle w:val="TableCentre"/>
              <w:rPr>
                <w:rFonts w:ascii="Arial Narrow" w:hAnsi="Arial Narrow" w:cstheme="minorHAnsi"/>
                <w:sz w:val="20"/>
                <w:szCs w:val="20"/>
              </w:rPr>
            </w:pPr>
            <w:r>
              <w:rPr>
                <w:rFonts w:ascii="Arial Narrow" w:hAnsi="Arial Narrow" w:cstheme="minorHAnsi"/>
                <w:noProof/>
                <w:color w:val="000000"/>
                <w:sz w:val="20"/>
                <w:szCs w:val="20"/>
                <w:highlight w:val="black"/>
              </w:rPr>
              <w:t>''''''''''''''''''''''</w:t>
            </w:r>
            <w:r w:rsidR="00F50588">
              <w:rPr>
                <w:rStyle w:val="Small"/>
                <w:rFonts w:ascii="Arial Narrow" w:hAnsi="Arial Narrow" w:cstheme="minorHAnsi"/>
                <w:sz w:val="20"/>
                <w:szCs w:val="20"/>
                <w:vertAlign w:val="superscript"/>
              </w:rPr>
              <w:t>6</w:t>
            </w:r>
          </w:p>
        </w:tc>
        <w:tc>
          <w:tcPr>
            <w:tcW w:w="626" w:type="pct"/>
            <w:noWrap/>
            <w:tcMar>
              <w:left w:w="28" w:type="dxa"/>
              <w:right w:w="28" w:type="dxa"/>
            </w:tcMar>
          </w:tcPr>
          <w:p w:rsidR="004405E5" w:rsidRPr="00F7369B" w:rsidRDefault="0007305C" w:rsidP="00047C38">
            <w:pPr>
              <w:pStyle w:val="TableCentre"/>
              <w:rPr>
                <w:rFonts w:ascii="Arial Narrow" w:hAnsi="Arial Narrow" w:cstheme="minorHAnsi"/>
                <w:sz w:val="20"/>
                <w:szCs w:val="20"/>
              </w:rPr>
            </w:pPr>
            <w:r>
              <w:rPr>
                <w:rFonts w:ascii="Arial Narrow" w:hAnsi="Arial Narrow" w:cstheme="minorHAnsi"/>
                <w:noProof/>
                <w:color w:val="000000"/>
                <w:sz w:val="20"/>
                <w:szCs w:val="20"/>
                <w:highlight w:val="black"/>
              </w:rPr>
              <w:t>'''''''''''''''''''</w:t>
            </w:r>
            <w:r w:rsidR="00F50588">
              <w:rPr>
                <w:rStyle w:val="Small"/>
                <w:rFonts w:ascii="Arial Narrow" w:hAnsi="Arial Narrow" w:cstheme="minorHAnsi"/>
                <w:sz w:val="20"/>
                <w:szCs w:val="20"/>
                <w:vertAlign w:val="superscript"/>
              </w:rPr>
              <w:t>6</w:t>
            </w:r>
          </w:p>
        </w:tc>
        <w:tc>
          <w:tcPr>
            <w:tcW w:w="624" w:type="pct"/>
            <w:noWrap/>
            <w:tcMar>
              <w:left w:w="28" w:type="dxa"/>
              <w:right w:w="28" w:type="dxa"/>
            </w:tcMar>
          </w:tcPr>
          <w:p w:rsidR="004405E5" w:rsidRPr="00F7369B" w:rsidRDefault="0007305C" w:rsidP="00047C38">
            <w:pPr>
              <w:pStyle w:val="TableCentre"/>
              <w:rPr>
                <w:rFonts w:ascii="Arial Narrow" w:hAnsi="Arial Narrow" w:cstheme="minorHAnsi"/>
                <w:sz w:val="20"/>
                <w:szCs w:val="20"/>
              </w:rPr>
            </w:pPr>
            <w:r>
              <w:rPr>
                <w:rFonts w:ascii="Arial Narrow" w:hAnsi="Arial Narrow" w:cstheme="minorHAnsi"/>
                <w:noProof/>
                <w:color w:val="000000"/>
                <w:sz w:val="20"/>
                <w:szCs w:val="20"/>
                <w:highlight w:val="black"/>
              </w:rPr>
              <w:t>'''''''''''''''''''''</w:t>
            </w:r>
            <w:r w:rsidR="00F50588">
              <w:rPr>
                <w:rStyle w:val="Small"/>
                <w:rFonts w:ascii="Arial Narrow" w:hAnsi="Arial Narrow" w:cstheme="minorHAnsi"/>
                <w:sz w:val="20"/>
                <w:szCs w:val="20"/>
                <w:vertAlign w:val="superscript"/>
              </w:rPr>
              <w:t>6</w:t>
            </w:r>
          </w:p>
        </w:tc>
      </w:tr>
      <w:tr w:rsidR="00B776D2" w:rsidRPr="00F7369B" w:rsidTr="00B776D2">
        <w:trPr>
          <w:trHeight w:val="198"/>
        </w:trPr>
        <w:tc>
          <w:tcPr>
            <w:tcW w:w="1248" w:type="pct"/>
            <w:noWrap/>
            <w:tcMar>
              <w:left w:w="28" w:type="dxa"/>
              <w:right w:w="28" w:type="dxa"/>
            </w:tcMar>
          </w:tcPr>
          <w:p w:rsidR="004405E5" w:rsidRPr="00F7369B" w:rsidRDefault="004405E5" w:rsidP="00047C38">
            <w:pPr>
              <w:pStyle w:val="Table"/>
              <w:rPr>
                <w:rStyle w:val="Small"/>
                <w:rFonts w:ascii="Arial Narrow" w:hAnsi="Arial Narrow"/>
                <w:sz w:val="20"/>
                <w:szCs w:val="20"/>
              </w:rPr>
            </w:pPr>
            <w:r w:rsidRPr="00F7369B">
              <w:rPr>
                <w:rStyle w:val="Small"/>
                <w:rFonts w:ascii="Arial Narrow" w:hAnsi="Arial Narrow"/>
                <w:sz w:val="20"/>
                <w:szCs w:val="20"/>
              </w:rPr>
              <w:t>Catch</w:t>
            </w:r>
            <w:r w:rsidR="00AD63B0" w:rsidRPr="00F7369B">
              <w:rPr>
                <w:rStyle w:val="Small"/>
                <w:rFonts w:ascii="Arial Narrow" w:hAnsi="Arial Narrow"/>
                <w:sz w:val="20"/>
                <w:szCs w:val="20"/>
              </w:rPr>
              <w:t xml:space="preserve"> </w:t>
            </w:r>
            <w:r w:rsidRPr="00F7369B">
              <w:rPr>
                <w:rStyle w:val="Small"/>
                <w:rFonts w:ascii="Arial Narrow" w:hAnsi="Arial Narrow"/>
                <w:sz w:val="20"/>
                <w:szCs w:val="20"/>
              </w:rPr>
              <w:t>up program</w:t>
            </w:r>
          </w:p>
        </w:tc>
        <w:tc>
          <w:tcPr>
            <w:tcW w:w="625" w:type="pct"/>
            <w:noWrap/>
            <w:tcMar>
              <w:left w:w="28" w:type="dxa"/>
              <w:right w:w="28" w:type="dxa"/>
            </w:tcMar>
          </w:tcPr>
          <w:p w:rsidR="004405E5" w:rsidRPr="00F50588" w:rsidRDefault="0007305C" w:rsidP="00047C38">
            <w:pPr>
              <w:pStyle w:val="TableCentre"/>
              <w:rPr>
                <w:rFonts w:ascii="Arial Narrow" w:hAnsi="Arial Narrow" w:cstheme="minorHAnsi"/>
                <w:sz w:val="20"/>
                <w:szCs w:val="20"/>
              </w:rPr>
            </w:pPr>
            <w:r>
              <w:rPr>
                <w:rFonts w:ascii="Arial Narrow" w:hAnsi="Arial Narrow" w:cstheme="minorHAnsi"/>
                <w:noProof/>
                <w:color w:val="000000"/>
                <w:sz w:val="20"/>
                <w:szCs w:val="20"/>
                <w:highlight w:val="black"/>
              </w:rPr>
              <w:t>'''''''''''''''''''''</w:t>
            </w:r>
            <w:r w:rsidR="00F50588">
              <w:rPr>
                <w:rFonts w:ascii="Arial Narrow" w:hAnsi="Arial Narrow" w:cstheme="minorHAnsi"/>
                <w:color w:val="000000"/>
                <w:sz w:val="20"/>
                <w:szCs w:val="20"/>
                <w:vertAlign w:val="superscript"/>
              </w:rPr>
              <w:t>8</w:t>
            </w:r>
          </w:p>
        </w:tc>
        <w:tc>
          <w:tcPr>
            <w:tcW w:w="626" w:type="pct"/>
            <w:noWrap/>
            <w:tcMar>
              <w:left w:w="28" w:type="dxa"/>
              <w:right w:w="28" w:type="dxa"/>
            </w:tcMar>
          </w:tcPr>
          <w:p w:rsidR="004405E5" w:rsidRPr="00F7369B" w:rsidRDefault="0007305C" w:rsidP="00047C38">
            <w:pPr>
              <w:pStyle w:val="TableCentre"/>
              <w:rPr>
                <w:rFonts w:ascii="Arial Narrow" w:hAnsi="Arial Narrow" w:cstheme="minorHAnsi"/>
                <w:sz w:val="20"/>
                <w:szCs w:val="20"/>
              </w:rPr>
            </w:pPr>
            <w:r>
              <w:rPr>
                <w:rFonts w:ascii="Arial Narrow" w:hAnsi="Arial Narrow" w:cstheme="minorHAnsi"/>
                <w:noProof/>
                <w:color w:val="000000"/>
                <w:sz w:val="20"/>
                <w:szCs w:val="20"/>
                <w:highlight w:val="black"/>
              </w:rPr>
              <w:t>'''''''''''''''''''''</w:t>
            </w:r>
            <w:r w:rsidR="00F50588">
              <w:rPr>
                <w:rFonts w:ascii="Arial Narrow" w:hAnsi="Arial Narrow" w:cstheme="minorHAnsi"/>
                <w:color w:val="000000"/>
                <w:sz w:val="20"/>
                <w:szCs w:val="20"/>
                <w:vertAlign w:val="superscript"/>
              </w:rPr>
              <w:t>8</w:t>
            </w:r>
          </w:p>
        </w:tc>
        <w:tc>
          <w:tcPr>
            <w:tcW w:w="626" w:type="pct"/>
            <w:noWrap/>
            <w:tcMar>
              <w:left w:w="28" w:type="dxa"/>
              <w:right w:w="28" w:type="dxa"/>
            </w:tcMar>
          </w:tcPr>
          <w:p w:rsidR="004405E5" w:rsidRPr="00F50588" w:rsidRDefault="0007305C" w:rsidP="00047C38">
            <w:pPr>
              <w:pStyle w:val="TableCentre"/>
              <w:rPr>
                <w:rFonts w:ascii="Arial Narrow" w:hAnsi="Arial Narrow" w:cstheme="minorHAnsi"/>
                <w:sz w:val="20"/>
                <w:szCs w:val="20"/>
              </w:rPr>
            </w:pPr>
            <w:r>
              <w:rPr>
                <w:rFonts w:ascii="Arial Narrow" w:hAnsi="Arial Narrow" w:cstheme="minorHAnsi"/>
                <w:noProof/>
                <w:color w:val="000000"/>
                <w:sz w:val="20"/>
                <w:szCs w:val="20"/>
                <w:highlight w:val="black"/>
              </w:rPr>
              <w:t>''''''''''''''''</w:t>
            </w:r>
            <w:r w:rsidR="00F50588">
              <w:rPr>
                <w:rFonts w:ascii="Arial Narrow" w:hAnsi="Arial Narrow" w:cstheme="minorHAnsi"/>
                <w:color w:val="000000"/>
                <w:sz w:val="20"/>
                <w:szCs w:val="20"/>
                <w:vertAlign w:val="superscript"/>
              </w:rPr>
              <w:t>9</w:t>
            </w:r>
          </w:p>
        </w:tc>
        <w:tc>
          <w:tcPr>
            <w:tcW w:w="625" w:type="pct"/>
            <w:noWrap/>
            <w:tcMar>
              <w:left w:w="28" w:type="dxa"/>
              <w:right w:w="28" w:type="dxa"/>
            </w:tcMar>
          </w:tcPr>
          <w:p w:rsidR="004405E5" w:rsidRPr="00F50588" w:rsidRDefault="0007305C" w:rsidP="00047C38">
            <w:pPr>
              <w:pStyle w:val="TableCentre"/>
              <w:rPr>
                <w:rFonts w:ascii="Arial Narrow" w:hAnsi="Arial Narrow" w:cstheme="minorHAnsi"/>
                <w:sz w:val="20"/>
                <w:szCs w:val="20"/>
                <w:vertAlign w:val="superscript"/>
              </w:rPr>
            </w:pPr>
            <w:r>
              <w:rPr>
                <w:rFonts w:ascii="Arial Narrow" w:hAnsi="Arial Narrow" w:cstheme="minorHAnsi"/>
                <w:noProof/>
                <w:color w:val="000000"/>
                <w:sz w:val="20"/>
                <w:szCs w:val="20"/>
                <w:highlight w:val="black"/>
              </w:rPr>
              <w:t>''''''''''''''''</w:t>
            </w:r>
            <w:r w:rsidR="00F50588">
              <w:rPr>
                <w:rFonts w:ascii="Arial Narrow" w:hAnsi="Arial Narrow" w:cstheme="minorHAnsi"/>
                <w:color w:val="000000"/>
                <w:sz w:val="20"/>
                <w:szCs w:val="20"/>
                <w:vertAlign w:val="superscript"/>
              </w:rPr>
              <w:t>10</w:t>
            </w:r>
          </w:p>
        </w:tc>
        <w:tc>
          <w:tcPr>
            <w:tcW w:w="626" w:type="pct"/>
            <w:noWrap/>
            <w:tcMar>
              <w:left w:w="28" w:type="dxa"/>
              <w:right w:w="28" w:type="dxa"/>
            </w:tcMar>
          </w:tcPr>
          <w:p w:rsidR="004405E5" w:rsidRPr="00F50588" w:rsidRDefault="0007305C" w:rsidP="00047C38">
            <w:pPr>
              <w:pStyle w:val="TableCentre"/>
              <w:rPr>
                <w:rFonts w:ascii="Arial Narrow" w:hAnsi="Arial Narrow" w:cstheme="minorHAnsi"/>
                <w:sz w:val="20"/>
                <w:szCs w:val="20"/>
              </w:rPr>
            </w:pPr>
            <w:r>
              <w:rPr>
                <w:rFonts w:ascii="Arial Narrow" w:hAnsi="Arial Narrow" w:cstheme="minorHAnsi"/>
                <w:noProof/>
                <w:color w:val="000000"/>
                <w:sz w:val="20"/>
                <w:szCs w:val="20"/>
                <w:highlight w:val="black"/>
              </w:rPr>
              <w:t>'''''''''''''''</w:t>
            </w:r>
            <w:r w:rsidR="00F50588">
              <w:rPr>
                <w:rFonts w:ascii="Arial Narrow" w:hAnsi="Arial Narrow" w:cstheme="minorHAnsi"/>
                <w:color w:val="000000"/>
                <w:sz w:val="20"/>
                <w:szCs w:val="20"/>
                <w:vertAlign w:val="superscript"/>
              </w:rPr>
              <w:t>11</w:t>
            </w:r>
          </w:p>
        </w:tc>
        <w:tc>
          <w:tcPr>
            <w:tcW w:w="624" w:type="pct"/>
            <w:noWrap/>
            <w:tcMar>
              <w:left w:w="28" w:type="dxa"/>
              <w:right w:w="28" w:type="dxa"/>
            </w:tcMar>
          </w:tcPr>
          <w:p w:rsidR="004405E5" w:rsidRPr="00F7369B" w:rsidRDefault="0007305C" w:rsidP="00047C38">
            <w:pPr>
              <w:pStyle w:val="TableCentre"/>
              <w:rPr>
                <w:rFonts w:ascii="Arial Narrow" w:hAnsi="Arial Narrow" w:cstheme="minorHAnsi"/>
                <w:sz w:val="20"/>
                <w:szCs w:val="20"/>
              </w:rPr>
            </w:pPr>
            <w:r>
              <w:rPr>
                <w:rFonts w:ascii="Arial Narrow" w:hAnsi="Arial Narrow" w:cstheme="minorHAnsi"/>
                <w:noProof/>
                <w:color w:val="000000"/>
                <w:sz w:val="20"/>
                <w:szCs w:val="20"/>
                <w:highlight w:val="black"/>
              </w:rPr>
              <w:t>''''''''''''''''</w:t>
            </w:r>
            <w:r w:rsidR="00F50588">
              <w:rPr>
                <w:rFonts w:ascii="Arial Narrow" w:hAnsi="Arial Narrow" w:cstheme="minorHAnsi"/>
                <w:color w:val="000000"/>
                <w:sz w:val="20"/>
                <w:szCs w:val="20"/>
                <w:vertAlign w:val="superscript"/>
              </w:rPr>
              <w:t>11</w:t>
            </w:r>
          </w:p>
        </w:tc>
      </w:tr>
      <w:tr w:rsidR="00B776D2" w:rsidRPr="00F7369B" w:rsidTr="00B776D2">
        <w:trPr>
          <w:trHeight w:val="198"/>
        </w:trPr>
        <w:tc>
          <w:tcPr>
            <w:tcW w:w="1248" w:type="pct"/>
            <w:noWrap/>
            <w:tcMar>
              <w:left w:w="28" w:type="dxa"/>
              <w:right w:w="28" w:type="dxa"/>
            </w:tcMar>
          </w:tcPr>
          <w:p w:rsidR="004405E5" w:rsidRPr="00F7369B" w:rsidRDefault="004405E5" w:rsidP="00047C38">
            <w:pPr>
              <w:pStyle w:val="Table"/>
              <w:rPr>
                <w:rStyle w:val="Small"/>
                <w:rFonts w:ascii="Arial Narrow" w:hAnsi="Arial Narrow"/>
                <w:sz w:val="20"/>
                <w:szCs w:val="20"/>
              </w:rPr>
            </w:pPr>
            <w:r w:rsidRPr="00F7369B">
              <w:rPr>
                <w:rStyle w:val="Small"/>
                <w:rFonts w:ascii="Arial Narrow" w:hAnsi="Arial Narrow"/>
                <w:sz w:val="20"/>
                <w:szCs w:val="20"/>
              </w:rPr>
              <w:t>At risk subjects ≥12 months</w:t>
            </w:r>
          </w:p>
        </w:tc>
        <w:tc>
          <w:tcPr>
            <w:tcW w:w="625" w:type="pct"/>
            <w:noWrap/>
            <w:tcMar>
              <w:left w:w="28" w:type="dxa"/>
              <w:right w:w="28" w:type="dxa"/>
            </w:tcMar>
          </w:tcPr>
          <w:p w:rsidR="004405E5" w:rsidRPr="00F7369B" w:rsidRDefault="0007305C" w:rsidP="00047C38">
            <w:pPr>
              <w:pStyle w:val="TableCentre"/>
              <w:rPr>
                <w:rFonts w:ascii="Arial Narrow" w:hAnsi="Arial Narrow" w:cstheme="minorHAnsi"/>
                <w:sz w:val="20"/>
                <w:szCs w:val="20"/>
              </w:rPr>
            </w:pPr>
            <w:r>
              <w:rPr>
                <w:rFonts w:ascii="Arial Narrow" w:hAnsi="Arial Narrow" w:cstheme="minorHAnsi"/>
                <w:noProof/>
                <w:color w:val="000000"/>
                <w:sz w:val="20"/>
                <w:szCs w:val="20"/>
                <w:highlight w:val="black"/>
              </w:rPr>
              <w:t>'''''''''''''''</w:t>
            </w:r>
            <w:r w:rsidR="00F50588">
              <w:rPr>
                <w:rFonts w:ascii="Arial Narrow" w:hAnsi="Arial Narrow" w:cstheme="minorHAnsi"/>
                <w:sz w:val="20"/>
                <w:szCs w:val="20"/>
                <w:vertAlign w:val="superscript"/>
              </w:rPr>
              <w:t>7</w:t>
            </w:r>
          </w:p>
        </w:tc>
        <w:tc>
          <w:tcPr>
            <w:tcW w:w="626" w:type="pct"/>
            <w:noWrap/>
            <w:tcMar>
              <w:left w:w="28" w:type="dxa"/>
              <w:right w:w="28" w:type="dxa"/>
            </w:tcMar>
          </w:tcPr>
          <w:p w:rsidR="004405E5" w:rsidRPr="00F7369B" w:rsidRDefault="0007305C" w:rsidP="00047C38">
            <w:pPr>
              <w:pStyle w:val="TableCentre"/>
              <w:rPr>
                <w:rFonts w:ascii="Arial Narrow" w:hAnsi="Arial Narrow" w:cstheme="minorHAnsi"/>
                <w:sz w:val="20"/>
                <w:szCs w:val="20"/>
              </w:rPr>
            </w:pPr>
            <w:r>
              <w:rPr>
                <w:rFonts w:ascii="Arial Narrow" w:hAnsi="Arial Narrow" w:cstheme="minorHAnsi"/>
                <w:noProof/>
                <w:color w:val="000000"/>
                <w:sz w:val="20"/>
                <w:szCs w:val="20"/>
                <w:highlight w:val="black"/>
              </w:rPr>
              <w:t>'''''''''''''</w:t>
            </w:r>
            <w:r w:rsidR="00F50588">
              <w:rPr>
                <w:rFonts w:ascii="Arial Narrow" w:hAnsi="Arial Narrow" w:cstheme="minorHAnsi"/>
                <w:sz w:val="20"/>
                <w:szCs w:val="20"/>
                <w:vertAlign w:val="superscript"/>
              </w:rPr>
              <w:t>7</w:t>
            </w:r>
          </w:p>
        </w:tc>
        <w:tc>
          <w:tcPr>
            <w:tcW w:w="626" w:type="pct"/>
            <w:noWrap/>
            <w:tcMar>
              <w:left w:w="28" w:type="dxa"/>
              <w:right w:w="28" w:type="dxa"/>
            </w:tcMar>
          </w:tcPr>
          <w:p w:rsidR="004405E5" w:rsidRPr="00F7369B" w:rsidRDefault="0007305C" w:rsidP="00047C38">
            <w:pPr>
              <w:pStyle w:val="TableCentre"/>
              <w:rPr>
                <w:rFonts w:ascii="Arial Narrow" w:hAnsi="Arial Narrow" w:cstheme="minorHAnsi"/>
                <w:sz w:val="20"/>
                <w:szCs w:val="20"/>
              </w:rPr>
            </w:pPr>
            <w:r>
              <w:rPr>
                <w:rFonts w:ascii="Arial Narrow" w:hAnsi="Arial Narrow" w:cstheme="minorHAnsi"/>
                <w:noProof/>
                <w:color w:val="000000"/>
                <w:sz w:val="20"/>
                <w:szCs w:val="20"/>
                <w:highlight w:val="black"/>
              </w:rPr>
              <w:t>''''''''''''</w:t>
            </w:r>
            <w:r w:rsidR="00F50588">
              <w:rPr>
                <w:rFonts w:ascii="Arial Narrow" w:hAnsi="Arial Narrow" w:cstheme="minorHAnsi"/>
                <w:sz w:val="20"/>
                <w:szCs w:val="20"/>
                <w:vertAlign w:val="superscript"/>
              </w:rPr>
              <w:t>7</w:t>
            </w:r>
          </w:p>
        </w:tc>
        <w:tc>
          <w:tcPr>
            <w:tcW w:w="625" w:type="pct"/>
            <w:noWrap/>
            <w:tcMar>
              <w:left w:w="28" w:type="dxa"/>
              <w:right w:w="28" w:type="dxa"/>
            </w:tcMar>
          </w:tcPr>
          <w:p w:rsidR="004405E5" w:rsidRPr="00F7369B" w:rsidRDefault="0007305C" w:rsidP="00047C38">
            <w:pPr>
              <w:pStyle w:val="TableCentre"/>
              <w:rPr>
                <w:rFonts w:ascii="Arial Narrow" w:hAnsi="Arial Narrow" w:cstheme="minorHAnsi"/>
                <w:sz w:val="20"/>
                <w:szCs w:val="20"/>
              </w:rPr>
            </w:pPr>
            <w:r>
              <w:rPr>
                <w:rFonts w:ascii="Arial Narrow" w:hAnsi="Arial Narrow" w:cstheme="minorHAnsi"/>
                <w:noProof/>
                <w:color w:val="000000"/>
                <w:sz w:val="20"/>
                <w:szCs w:val="20"/>
                <w:highlight w:val="black"/>
              </w:rPr>
              <w:t>''''''''''''</w:t>
            </w:r>
            <w:r w:rsidR="00F50588">
              <w:rPr>
                <w:rFonts w:ascii="Arial Narrow" w:hAnsi="Arial Narrow" w:cstheme="minorHAnsi"/>
                <w:sz w:val="20"/>
                <w:szCs w:val="20"/>
                <w:vertAlign w:val="superscript"/>
              </w:rPr>
              <w:t>7</w:t>
            </w:r>
          </w:p>
        </w:tc>
        <w:tc>
          <w:tcPr>
            <w:tcW w:w="626" w:type="pct"/>
            <w:noWrap/>
            <w:tcMar>
              <w:left w:w="28" w:type="dxa"/>
              <w:right w:w="28" w:type="dxa"/>
            </w:tcMar>
          </w:tcPr>
          <w:p w:rsidR="004405E5" w:rsidRPr="00F7369B" w:rsidRDefault="0007305C" w:rsidP="00047C38">
            <w:pPr>
              <w:pStyle w:val="TableCentre"/>
              <w:rPr>
                <w:rFonts w:ascii="Arial Narrow" w:hAnsi="Arial Narrow" w:cstheme="minorHAnsi"/>
                <w:sz w:val="20"/>
                <w:szCs w:val="20"/>
              </w:rPr>
            </w:pPr>
            <w:r>
              <w:rPr>
                <w:rFonts w:ascii="Arial Narrow" w:hAnsi="Arial Narrow" w:cstheme="minorHAnsi"/>
                <w:noProof/>
                <w:color w:val="000000"/>
                <w:sz w:val="20"/>
                <w:szCs w:val="20"/>
                <w:highlight w:val="black"/>
              </w:rPr>
              <w:t>''''''''''''</w:t>
            </w:r>
            <w:r w:rsidR="00F50588">
              <w:rPr>
                <w:rFonts w:ascii="Arial Narrow" w:hAnsi="Arial Narrow" w:cstheme="minorHAnsi"/>
                <w:sz w:val="20"/>
                <w:szCs w:val="20"/>
                <w:vertAlign w:val="superscript"/>
              </w:rPr>
              <w:t>7</w:t>
            </w:r>
          </w:p>
        </w:tc>
        <w:tc>
          <w:tcPr>
            <w:tcW w:w="624" w:type="pct"/>
            <w:noWrap/>
            <w:tcMar>
              <w:left w:w="28" w:type="dxa"/>
              <w:right w:w="28" w:type="dxa"/>
            </w:tcMar>
          </w:tcPr>
          <w:p w:rsidR="004405E5" w:rsidRPr="00F7369B" w:rsidRDefault="0007305C" w:rsidP="00047C38">
            <w:pPr>
              <w:pStyle w:val="TableCentre"/>
              <w:rPr>
                <w:rFonts w:ascii="Arial Narrow" w:hAnsi="Arial Narrow" w:cstheme="minorHAnsi"/>
                <w:sz w:val="20"/>
                <w:szCs w:val="20"/>
              </w:rPr>
            </w:pPr>
            <w:r>
              <w:rPr>
                <w:rFonts w:ascii="Arial Narrow" w:hAnsi="Arial Narrow" w:cstheme="minorHAnsi"/>
                <w:noProof/>
                <w:color w:val="000000"/>
                <w:sz w:val="20"/>
                <w:szCs w:val="20"/>
                <w:highlight w:val="black"/>
              </w:rPr>
              <w:t>'''''''''''''</w:t>
            </w:r>
            <w:r w:rsidR="00F50588">
              <w:rPr>
                <w:rFonts w:ascii="Arial Narrow" w:hAnsi="Arial Narrow" w:cstheme="minorHAnsi"/>
                <w:sz w:val="20"/>
                <w:szCs w:val="20"/>
                <w:vertAlign w:val="superscript"/>
              </w:rPr>
              <w:t>7</w:t>
            </w:r>
          </w:p>
        </w:tc>
      </w:tr>
      <w:tr w:rsidR="004405E5" w:rsidRPr="00F7369B" w:rsidTr="00B776D2">
        <w:trPr>
          <w:trHeight w:val="198"/>
        </w:trPr>
        <w:tc>
          <w:tcPr>
            <w:tcW w:w="5000" w:type="pct"/>
            <w:gridSpan w:val="7"/>
            <w:noWrap/>
            <w:tcMar>
              <w:left w:w="28" w:type="dxa"/>
              <w:right w:w="28" w:type="dxa"/>
            </w:tcMar>
            <w:hideMark/>
          </w:tcPr>
          <w:p w:rsidR="004405E5" w:rsidRPr="00F7369B" w:rsidRDefault="004405E5" w:rsidP="00E97D0B">
            <w:pPr>
              <w:pStyle w:val="Table"/>
              <w:rPr>
                <w:rStyle w:val="Small"/>
                <w:rFonts w:ascii="Arial Narrow" w:hAnsi="Arial Narrow"/>
                <w:b/>
                <w:bCs/>
                <w:sz w:val="20"/>
                <w:szCs w:val="20"/>
              </w:rPr>
            </w:pPr>
            <w:r w:rsidRPr="00F7369B">
              <w:rPr>
                <w:rStyle w:val="Small"/>
                <w:rFonts w:ascii="Arial Narrow" w:hAnsi="Arial Narrow"/>
                <w:b/>
                <w:bCs/>
                <w:sz w:val="20"/>
                <w:szCs w:val="20"/>
              </w:rPr>
              <w:t xml:space="preserve">Doses </w:t>
            </w:r>
            <w:r w:rsidR="00E97D0B" w:rsidRPr="00F7369B">
              <w:rPr>
                <w:rStyle w:val="Small"/>
                <w:rFonts w:ascii="Arial Narrow" w:hAnsi="Arial Narrow"/>
                <w:b/>
                <w:bCs/>
                <w:sz w:val="20"/>
                <w:szCs w:val="20"/>
              </w:rPr>
              <w:t xml:space="preserve">MenACWY </w:t>
            </w:r>
            <w:r w:rsidRPr="00F7369B">
              <w:rPr>
                <w:rStyle w:val="Small"/>
                <w:rFonts w:ascii="Arial Narrow" w:hAnsi="Arial Narrow"/>
                <w:b/>
                <w:bCs/>
                <w:sz w:val="20"/>
                <w:szCs w:val="20"/>
              </w:rPr>
              <w:t xml:space="preserve">per subject </w:t>
            </w:r>
          </w:p>
        </w:tc>
      </w:tr>
      <w:tr w:rsidR="00B776D2" w:rsidRPr="00F7369B" w:rsidTr="00B776D2">
        <w:trPr>
          <w:trHeight w:val="198"/>
        </w:trPr>
        <w:tc>
          <w:tcPr>
            <w:tcW w:w="1248" w:type="pct"/>
            <w:noWrap/>
            <w:tcMar>
              <w:left w:w="28" w:type="dxa"/>
              <w:right w:w="28" w:type="dxa"/>
            </w:tcMar>
            <w:hideMark/>
          </w:tcPr>
          <w:p w:rsidR="004405E5" w:rsidRPr="00F7369B" w:rsidRDefault="00B04F69" w:rsidP="00047C38">
            <w:pPr>
              <w:pStyle w:val="Table"/>
              <w:rPr>
                <w:rStyle w:val="Small"/>
                <w:rFonts w:ascii="Arial Narrow" w:hAnsi="Arial Narrow"/>
                <w:sz w:val="20"/>
                <w:szCs w:val="20"/>
              </w:rPr>
            </w:pPr>
            <w:r w:rsidRPr="00F7369B">
              <w:rPr>
                <w:rStyle w:val="Small"/>
                <w:rFonts w:ascii="Arial Narrow" w:hAnsi="Arial Narrow"/>
                <w:sz w:val="20"/>
                <w:szCs w:val="20"/>
              </w:rPr>
              <w:t>Children</w:t>
            </w:r>
            <w:r w:rsidR="004405E5" w:rsidRPr="00F7369B">
              <w:rPr>
                <w:rStyle w:val="Small"/>
                <w:rFonts w:ascii="Arial Narrow" w:hAnsi="Arial Narrow"/>
                <w:sz w:val="20"/>
                <w:szCs w:val="20"/>
              </w:rPr>
              <w:t xml:space="preserve"> and adolescents</w:t>
            </w:r>
          </w:p>
        </w:tc>
        <w:tc>
          <w:tcPr>
            <w:tcW w:w="625" w:type="pct"/>
            <w:noWrap/>
            <w:tcMar>
              <w:left w:w="28" w:type="dxa"/>
              <w:right w:w="28" w:type="dxa"/>
            </w:tcMar>
            <w:hideMark/>
          </w:tcPr>
          <w:p w:rsidR="004405E5" w:rsidRPr="00F7369B" w:rsidRDefault="004405E5" w:rsidP="00047C38">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1</w:t>
            </w:r>
          </w:p>
        </w:tc>
        <w:tc>
          <w:tcPr>
            <w:tcW w:w="626" w:type="pct"/>
            <w:noWrap/>
            <w:tcMar>
              <w:left w:w="28" w:type="dxa"/>
              <w:right w:w="28" w:type="dxa"/>
            </w:tcMar>
            <w:hideMark/>
          </w:tcPr>
          <w:p w:rsidR="004405E5" w:rsidRPr="00F7369B" w:rsidRDefault="004405E5" w:rsidP="00047C38">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1</w:t>
            </w:r>
          </w:p>
        </w:tc>
        <w:tc>
          <w:tcPr>
            <w:tcW w:w="626" w:type="pct"/>
            <w:noWrap/>
            <w:tcMar>
              <w:left w:w="28" w:type="dxa"/>
              <w:right w:w="28" w:type="dxa"/>
            </w:tcMar>
            <w:hideMark/>
          </w:tcPr>
          <w:p w:rsidR="004405E5" w:rsidRPr="00F7369B" w:rsidRDefault="004405E5" w:rsidP="00047C38">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1</w:t>
            </w:r>
          </w:p>
        </w:tc>
        <w:tc>
          <w:tcPr>
            <w:tcW w:w="625" w:type="pct"/>
            <w:noWrap/>
            <w:tcMar>
              <w:left w:w="28" w:type="dxa"/>
              <w:right w:w="28" w:type="dxa"/>
            </w:tcMar>
            <w:hideMark/>
          </w:tcPr>
          <w:p w:rsidR="004405E5" w:rsidRPr="00F7369B" w:rsidRDefault="004405E5" w:rsidP="00047C38">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1</w:t>
            </w:r>
          </w:p>
        </w:tc>
        <w:tc>
          <w:tcPr>
            <w:tcW w:w="626" w:type="pct"/>
            <w:noWrap/>
            <w:tcMar>
              <w:left w:w="28" w:type="dxa"/>
              <w:right w:w="28" w:type="dxa"/>
            </w:tcMar>
            <w:hideMark/>
          </w:tcPr>
          <w:p w:rsidR="004405E5" w:rsidRPr="00F7369B" w:rsidRDefault="004405E5" w:rsidP="00047C38">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1</w:t>
            </w:r>
          </w:p>
        </w:tc>
        <w:tc>
          <w:tcPr>
            <w:tcW w:w="624" w:type="pct"/>
            <w:noWrap/>
            <w:tcMar>
              <w:left w:w="28" w:type="dxa"/>
              <w:right w:w="28" w:type="dxa"/>
            </w:tcMar>
            <w:hideMark/>
          </w:tcPr>
          <w:p w:rsidR="004405E5" w:rsidRPr="00F7369B" w:rsidRDefault="004405E5" w:rsidP="00047C38">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1</w:t>
            </w:r>
          </w:p>
        </w:tc>
      </w:tr>
      <w:tr w:rsidR="00B776D2" w:rsidRPr="00F7369B" w:rsidTr="00B776D2">
        <w:trPr>
          <w:trHeight w:val="198"/>
        </w:trPr>
        <w:tc>
          <w:tcPr>
            <w:tcW w:w="1248" w:type="pct"/>
            <w:noWrap/>
            <w:tcMar>
              <w:left w:w="28" w:type="dxa"/>
              <w:right w:w="28" w:type="dxa"/>
            </w:tcMar>
            <w:hideMark/>
          </w:tcPr>
          <w:p w:rsidR="004405E5" w:rsidRPr="00F7369B" w:rsidRDefault="004405E5" w:rsidP="00047C38">
            <w:pPr>
              <w:pStyle w:val="Table"/>
              <w:rPr>
                <w:rStyle w:val="Small"/>
                <w:rFonts w:ascii="Arial Narrow" w:hAnsi="Arial Narrow"/>
                <w:sz w:val="20"/>
                <w:szCs w:val="20"/>
              </w:rPr>
            </w:pPr>
            <w:r w:rsidRPr="00F7369B">
              <w:rPr>
                <w:rStyle w:val="Small"/>
                <w:rFonts w:ascii="Arial Narrow" w:hAnsi="Arial Narrow"/>
                <w:sz w:val="20"/>
                <w:szCs w:val="20"/>
              </w:rPr>
              <w:t>At risk subjects ≥12 months</w:t>
            </w:r>
          </w:p>
        </w:tc>
        <w:tc>
          <w:tcPr>
            <w:tcW w:w="625" w:type="pct"/>
            <w:noWrap/>
            <w:tcMar>
              <w:left w:w="28" w:type="dxa"/>
              <w:right w:w="28" w:type="dxa"/>
            </w:tcMar>
            <w:hideMark/>
          </w:tcPr>
          <w:p w:rsidR="004405E5" w:rsidRPr="00F7369B" w:rsidRDefault="004405E5" w:rsidP="00047C38">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2</w:t>
            </w:r>
          </w:p>
        </w:tc>
        <w:tc>
          <w:tcPr>
            <w:tcW w:w="626" w:type="pct"/>
            <w:noWrap/>
            <w:tcMar>
              <w:left w:w="28" w:type="dxa"/>
              <w:right w:w="28" w:type="dxa"/>
            </w:tcMar>
            <w:hideMark/>
          </w:tcPr>
          <w:p w:rsidR="004405E5" w:rsidRPr="00F7369B" w:rsidRDefault="004405E5" w:rsidP="00047C38">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2</w:t>
            </w:r>
          </w:p>
        </w:tc>
        <w:tc>
          <w:tcPr>
            <w:tcW w:w="626" w:type="pct"/>
            <w:noWrap/>
            <w:tcMar>
              <w:left w:w="28" w:type="dxa"/>
              <w:right w:w="28" w:type="dxa"/>
            </w:tcMar>
            <w:hideMark/>
          </w:tcPr>
          <w:p w:rsidR="004405E5" w:rsidRPr="00F7369B" w:rsidRDefault="004405E5" w:rsidP="00047C38">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2</w:t>
            </w:r>
          </w:p>
        </w:tc>
        <w:tc>
          <w:tcPr>
            <w:tcW w:w="625" w:type="pct"/>
            <w:noWrap/>
            <w:tcMar>
              <w:left w:w="28" w:type="dxa"/>
              <w:right w:w="28" w:type="dxa"/>
            </w:tcMar>
            <w:hideMark/>
          </w:tcPr>
          <w:p w:rsidR="004405E5" w:rsidRPr="00F7369B" w:rsidRDefault="004405E5" w:rsidP="00047C38">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2</w:t>
            </w:r>
          </w:p>
        </w:tc>
        <w:tc>
          <w:tcPr>
            <w:tcW w:w="626" w:type="pct"/>
            <w:noWrap/>
            <w:tcMar>
              <w:left w:w="28" w:type="dxa"/>
              <w:right w:w="28" w:type="dxa"/>
            </w:tcMar>
            <w:hideMark/>
          </w:tcPr>
          <w:p w:rsidR="004405E5" w:rsidRPr="00F7369B" w:rsidRDefault="004405E5" w:rsidP="00047C38">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2</w:t>
            </w:r>
          </w:p>
        </w:tc>
        <w:tc>
          <w:tcPr>
            <w:tcW w:w="624" w:type="pct"/>
            <w:noWrap/>
            <w:tcMar>
              <w:left w:w="28" w:type="dxa"/>
              <w:right w:w="28" w:type="dxa"/>
            </w:tcMar>
            <w:hideMark/>
          </w:tcPr>
          <w:p w:rsidR="004405E5" w:rsidRPr="00F7369B" w:rsidRDefault="004405E5" w:rsidP="00047C38">
            <w:pPr>
              <w:pStyle w:val="TableCentre"/>
              <w:rPr>
                <w:rStyle w:val="Small"/>
                <w:rFonts w:ascii="Arial Narrow" w:hAnsi="Arial Narrow" w:cstheme="minorHAnsi"/>
                <w:sz w:val="20"/>
                <w:szCs w:val="20"/>
              </w:rPr>
            </w:pPr>
            <w:r w:rsidRPr="00F7369B">
              <w:rPr>
                <w:rStyle w:val="Small"/>
                <w:rFonts w:ascii="Arial Narrow" w:hAnsi="Arial Narrow" w:cstheme="minorHAnsi"/>
                <w:sz w:val="20"/>
                <w:szCs w:val="20"/>
              </w:rPr>
              <w:t>2</w:t>
            </w:r>
          </w:p>
        </w:tc>
      </w:tr>
      <w:tr w:rsidR="004405E5" w:rsidRPr="00F7369B" w:rsidTr="00B776D2">
        <w:trPr>
          <w:trHeight w:val="198"/>
        </w:trPr>
        <w:tc>
          <w:tcPr>
            <w:tcW w:w="5000" w:type="pct"/>
            <w:gridSpan w:val="7"/>
            <w:noWrap/>
            <w:tcMar>
              <w:left w:w="28" w:type="dxa"/>
              <w:right w:w="28" w:type="dxa"/>
            </w:tcMar>
          </w:tcPr>
          <w:p w:rsidR="004405E5" w:rsidRPr="00F7369B" w:rsidRDefault="004405E5" w:rsidP="00047C38">
            <w:pPr>
              <w:pStyle w:val="TableCentre"/>
              <w:jc w:val="left"/>
              <w:rPr>
                <w:rStyle w:val="Small"/>
                <w:rFonts w:ascii="Arial Narrow" w:hAnsi="Arial Narrow" w:cstheme="minorHAnsi"/>
                <w:sz w:val="20"/>
                <w:szCs w:val="20"/>
              </w:rPr>
            </w:pPr>
            <w:r w:rsidRPr="00F7369B">
              <w:rPr>
                <w:rStyle w:val="Small"/>
                <w:rFonts w:ascii="Arial Narrow" w:hAnsi="Arial Narrow" w:cstheme="minorHAnsi"/>
                <w:b/>
                <w:bCs/>
                <w:sz w:val="20"/>
                <w:szCs w:val="20"/>
              </w:rPr>
              <w:t xml:space="preserve">Estimated total number of </w:t>
            </w:r>
            <w:r w:rsidR="00E97D0B" w:rsidRPr="00F7369B">
              <w:rPr>
                <w:rStyle w:val="Small"/>
                <w:rFonts w:ascii="Arial Narrow" w:hAnsi="Arial Narrow" w:cstheme="minorHAnsi"/>
                <w:b/>
                <w:bCs/>
                <w:sz w:val="20"/>
                <w:szCs w:val="20"/>
              </w:rPr>
              <w:t xml:space="preserve">MenACWY </w:t>
            </w:r>
            <w:r w:rsidRPr="00F7369B">
              <w:rPr>
                <w:rStyle w:val="Small"/>
                <w:rFonts w:ascii="Arial Narrow" w:hAnsi="Arial Narrow" w:cstheme="minorHAnsi"/>
                <w:b/>
                <w:bCs/>
                <w:sz w:val="20"/>
                <w:szCs w:val="20"/>
              </w:rPr>
              <w:t>doses required</w:t>
            </w:r>
          </w:p>
        </w:tc>
      </w:tr>
      <w:tr w:rsidR="00B776D2" w:rsidRPr="00F7369B" w:rsidTr="00B776D2">
        <w:trPr>
          <w:trHeight w:val="198"/>
        </w:trPr>
        <w:tc>
          <w:tcPr>
            <w:tcW w:w="1248" w:type="pct"/>
            <w:noWrap/>
            <w:tcMar>
              <w:left w:w="28" w:type="dxa"/>
              <w:right w:w="28" w:type="dxa"/>
            </w:tcMar>
          </w:tcPr>
          <w:p w:rsidR="004405E5" w:rsidRPr="00F7369B" w:rsidRDefault="00B04F69" w:rsidP="00047C38">
            <w:pPr>
              <w:pStyle w:val="Table"/>
              <w:rPr>
                <w:rStyle w:val="Small"/>
                <w:rFonts w:ascii="Arial Narrow" w:hAnsi="Arial Narrow"/>
                <w:sz w:val="20"/>
                <w:szCs w:val="20"/>
              </w:rPr>
            </w:pPr>
            <w:r w:rsidRPr="00F7369B">
              <w:rPr>
                <w:rStyle w:val="Small"/>
                <w:rFonts w:ascii="Arial Narrow" w:hAnsi="Arial Narrow"/>
                <w:sz w:val="20"/>
                <w:szCs w:val="20"/>
              </w:rPr>
              <w:t xml:space="preserve">Children </w:t>
            </w:r>
            <w:r w:rsidR="004405E5" w:rsidRPr="00F7369B">
              <w:rPr>
                <w:rStyle w:val="Small"/>
                <w:rFonts w:ascii="Arial Narrow" w:hAnsi="Arial Narrow"/>
                <w:sz w:val="20"/>
                <w:szCs w:val="20"/>
              </w:rPr>
              <w:t>program</w:t>
            </w:r>
          </w:p>
        </w:tc>
        <w:tc>
          <w:tcPr>
            <w:tcW w:w="625" w:type="pct"/>
            <w:noWrap/>
            <w:tcMar>
              <w:left w:w="28" w:type="dxa"/>
              <w:right w:w="28" w:type="dxa"/>
            </w:tcMar>
          </w:tcPr>
          <w:p w:rsidR="004405E5" w:rsidRPr="00F7369B" w:rsidRDefault="0007305C" w:rsidP="00047C38">
            <w:pPr>
              <w:pStyle w:val="TableCentre"/>
              <w:rPr>
                <w:rStyle w:val="Small"/>
                <w:rFonts w:ascii="Arial Narrow" w:hAnsi="Arial Narrow" w:cstheme="minorHAnsi"/>
                <w:sz w:val="20"/>
                <w:szCs w:val="20"/>
              </w:rPr>
            </w:pPr>
            <w:r>
              <w:rPr>
                <w:rFonts w:ascii="Arial Narrow" w:hAnsi="Arial Narrow" w:cstheme="minorHAnsi"/>
                <w:noProof/>
                <w:color w:val="000000"/>
                <w:sz w:val="20"/>
                <w:szCs w:val="20"/>
                <w:highlight w:val="black"/>
              </w:rPr>
              <w:t>'''''''''''''''''''''</w:t>
            </w:r>
            <w:r w:rsidR="00C42DCC">
              <w:rPr>
                <w:rStyle w:val="Small"/>
                <w:rFonts w:ascii="Arial Narrow" w:hAnsi="Arial Narrow" w:cstheme="minorHAnsi"/>
                <w:sz w:val="20"/>
                <w:szCs w:val="20"/>
                <w:vertAlign w:val="superscript"/>
              </w:rPr>
              <w:t>1</w:t>
            </w:r>
          </w:p>
        </w:tc>
        <w:tc>
          <w:tcPr>
            <w:tcW w:w="626" w:type="pct"/>
            <w:noWrap/>
            <w:tcMar>
              <w:left w:w="28" w:type="dxa"/>
              <w:right w:w="28" w:type="dxa"/>
            </w:tcMar>
          </w:tcPr>
          <w:p w:rsidR="004405E5" w:rsidRPr="00F7369B" w:rsidRDefault="0007305C" w:rsidP="00047C38">
            <w:pPr>
              <w:pStyle w:val="TableCentre"/>
              <w:rPr>
                <w:rStyle w:val="Small"/>
                <w:rFonts w:ascii="Arial Narrow" w:hAnsi="Arial Narrow" w:cstheme="minorHAnsi"/>
                <w:sz w:val="20"/>
                <w:szCs w:val="20"/>
              </w:rPr>
            </w:pPr>
            <w:r>
              <w:rPr>
                <w:rFonts w:ascii="Arial Narrow" w:hAnsi="Arial Narrow" w:cstheme="minorHAnsi"/>
                <w:noProof/>
                <w:color w:val="000000"/>
                <w:sz w:val="20"/>
                <w:szCs w:val="20"/>
                <w:highlight w:val="black"/>
              </w:rPr>
              <w:t>''''''''''''''''''</w:t>
            </w:r>
            <w:r w:rsidR="00C42DCC">
              <w:rPr>
                <w:rStyle w:val="Small"/>
                <w:rFonts w:ascii="Arial Narrow" w:hAnsi="Arial Narrow" w:cstheme="minorHAnsi"/>
                <w:sz w:val="20"/>
                <w:szCs w:val="20"/>
                <w:vertAlign w:val="superscript"/>
              </w:rPr>
              <w:t>1</w:t>
            </w:r>
          </w:p>
        </w:tc>
        <w:tc>
          <w:tcPr>
            <w:tcW w:w="626" w:type="pct"/>
            <w:noWrap/>
            <w:tcMar>
              <w:left w:w="28" w:type="dxa"/>
              <w:right w:w="28" w:type="dxa"/>
            </w:tcMar>
          </w:tcPr>
          <w:p w:rsidR="004405E5" w:rsidRPr="00F7369B" w:rsidRDefault="0007305C" w:rsidP="00047C38">
            <w:pPr>
              <w:pStyle w:val="TableCentre"/>
              <w:rPr>
                <w:rStyle w:val="Small"/>
                <w:rFonts w:ascii="Arial Narrow" w:hAnsi="Arial Narrow" w:cstheme="minorHAnsi"/>
                <w:sz w:val="20"/>
                <w:szCs w:val="20"/>
              </w:rPr>
            </w:pPr>
            <w:r>
              <w:rPr>
                <w:rFonts w:ascii="Arial Narrow" w:hAnsi="Arial Narrow" w:cstheme="minorHAnsi"/>
                <w:noProof/>
                <w:color w:val="000000"/>
                <w:sz w:val="20"/>
                <w:szCs w:val="20"/>
                <w:highlight w:val="black"/>
              </w:rPr>
              <w:t>'''''''''''''''''</w:t>
            </w:r>
            <w:r w:rsidR="00C42DCC">
              <w:rPr>
                <w:rStyle w:val="Small"/>
                <w:rFonts w:ascii="Arial Narrow" w:hAnsi="Arial Narrow" w:cstheme="minorHAnsi"/>
                <w:sz w:val="20"/>
                <w:szCs w:val="20"/>
                <w:vertAlign w:val="superscript"/>
              </w:rPr>
              <w:t>1</w:t>
            </w:r>
          </w:p>
        </w:tc>
        <w:tc>
          <w:tcPr>
            <w:tcW w:w="625" w:type="pct"/>
            <w:noWrap/>
            <w:tcMar>
              <w:left w:w="28" w:type="dxa"/>
              <w:right w:w="28" w:type="dxa"/>
            </w:tcMar>
          </w:tcPr>
          <w:p w:rsidR="004405E5" w:rsidRPr="00F7369B" w:rsidRDefault="0007305C" w:rsidP="00047C38">
            <w:pPr>
              <w:pStyle w:val="TableCentre"/>
              <w:rPr>
                <w:rStyle w:val="Small"/>
                <w:rFonts w:ascii="Arial Narrow" w:hAnsi="Arial Narrow" w:cstheme="minorHAnsi"/>
                <w:sz w:val="20"/>
                <w:szCs w:val="20"/>
              </w:rPr>
            </w:pPr>
            <w:r>
              <w:rPr>
                <w:rFonts w:ascii="Arial Narrow" w:hAnsi="Arial Narrow" w:cstheme="minorHAnsi"/>
                <w:noProof/>
                <w:color w:val="000000"/>
                <w:sz w:val="20"/>
                <w:szCs w:val="20"/>
                <w:highlight w:val="black"/>
              </w:rPr>
              <w:t>'''''''''''''''''''</w:t>
            </w:r>
            <w:r w:rsidR="00C42DCC">
              <w:rPr>
                <w:rStyle w:val="Small"/>
                <w:rFonts w:ascii="Arial Narrow" w:hAnsi="Arial Narrow" w:cstheme="minorHAnsi"/>
                <w:sz w:val="20"/>
                <w:szCs w:val="20"/>
                <w:vertAlign w:val="superscript"/>
              </w:rPr>
              <w:t>1</w:t>
            </w:r>
          </w:p>
        </w:tc>
        <w:tc>
          <w:tcPr>
            <w:tcW w:w="626" w:type="pct"/>
            <w:noWrap/>
            <w:tcMar>
              <w:left w:w="28" w:type="dxa"/>
              <w:right w:w="28" w:type="dxa"/>
            </w:tcMar>
          </w:tcPr>
          <w:p w:rsidR="004405E5" w:rsidRPr="00F7369B" w:rsidRDefault="0007305C" w:rsidP="00047C38">
            <w:pPr>
              <w:pStyle w:val="TableCentre"/>
              <w:rPr>
                <w:rStyle w:val="Small"/>
                <w:rFonts w:ascii="Arial Narrow" w:hAnsi="Arial Narrow" w:cstheme="minorHAnsi"/>
                <w:sz w:val="20"/>
                <w:szCs w:val="20"/>
              </w:rPr>
            </w:pPr>
            <w:r>
              <w:rPr>
                <w:rFonts w:ascii="Arial Narrow" w:hAnsi="Arial Narrow" w:cstheme="minorHAnsi"/>
                <w:noProof/>
                <w:color w:val="000000"/>
                <w:sz w:val="20"/>
                <w:szCs w:val="20"/>
                <w:highlight w:val="black"/>
              </w:rPr>
              <w:t>''''''''''''''''''''</w:t>
            </w:r>
            <w:r w:rsidR="00C42DCC">
              <w:rPr>
                <w:rStyle w:val="Small"/>
                <w:rFonts w:ascii="Arial Narrow" w:hAnsi="Arial Narrow" w:cstheme="minorHAnsi"/>
                <w:sz w:val="20"/>
                <w:szCs w:val="20"/>
                <w:vertAlign w:val="superscript"/>
              </w:rPr>
              <w:t>1</w:t>
            </w:r>
          </w:p>
        </w:tc>
        <w:tc>
          <w:tcPr>
            <w:tcW w:w="624" w:type="pct"/>
            <w:noWrap/>
            <w:tcMar>
              <w:left w:w="28" w:type="dxa"/>
              <w:right w:w="28" w:type="dxa"/>
            </w:tcMar>
          </w:tcPr>
          <w:p w:rsidR="004405E5" w:rsidRPr="00F7369B" w:rsidRDefault="0007305C" w:rsidP="00047C38">
            <w:pPr>
              <w:pStyle w:val="TableCentre"/>
              <w:rPr>
                <w:rStyle w:val="Small"/>
                <w:rFonts w:ascii="Arial Narrow" w:hAnsi="Arial Narrow" w:cstheme="minorHAnsi"/>
                <w:sz w:val="20"/>
                <w:szCs w:val="20"/>
              </w:rPr>
            </w:pPr>
            <w:r>
              <w:rPr>
                <w:rFonts w:ascii="Arial Narrow" w:hAnsi="Arial Narrow" w:cstheme="minorHAnsi"/>
                <w:noProof/>
                <w:color w:val="000000"/>
                <w:sz w:val="20"/>
                <w:szCs w:val="20"/>
                <w:highlight w:val="black"/>
              </w:rPr>
              <w:t>'''''''''''''''''''</w:t>
            </w:r>
            <w:r w:rsidR="00C42DCC">
              <w:rPr>
                <w:rStyle w:val="Small"/>
                <w:rFonts w:ascii="Arial Narrow" w:hAnsi="Arial Narrow" w:cstheme="minorHAnsi"/>
                <w:sz w:val="20"/>
                <w:szCs w:val="20"/>
                <w:vertAlign w:val="superscript"/>
              </w:rPr>
              <w:t>1</w:t>
            </w:r>
          </w:p>
        </w:tc>
      </w:tr>
      <w:tr w:rsidR="00B776D2" w:rsidRPr="00F7369B" w:rsidTr="00B776D2">
        <w:trPr>
          <w:trHeight w:val="198"/>
        </w:trPr>
        <w:tc>
          <w:tcPr>
            <w:tcW w:w="1248" w:type="pct"/>
            <w:noWrap/>
            <w:tcMar>
              <w:left w:w="28" w:type="dxa"/>
              <w:right w:w="28" w:type="dxa"/>
            </w:tcMar>
          </w:tcPr>
          <w:p w:rsidR="004405E5" w:rsidRPr="00F7369B" w:rsidRDefault="004405E5" w:rsidP="00047C38">
            <w:pPr>
              <w:pStyle w:val="Table"/>
              <w:rPr>
                <w:rStyle w:val="Small"/>
                <w:rFonts w:ascii="Arial Narrow" w:hAnsi="Arial Narrow"/>
                <w:sz w:val="20"/>
                <w:szCs w:val="20"/>
              </w:rPr>
            </w:pPr>
            <w:r w:rsidRPr="00F7369B">
              <w:rPr>
                <w:rStyle w:val="Small"/>
                <w:rFonts w:ascii="Arial Narrow" w:hAnsi="Arial Narrow"/>
                <w:sz w:val="20"/>
                <w:szCs w:val="20"/>
              </w:rPr>
              <w:t>School based program</w:t>
            </w:r>
          </w:p>
        </w:tc>
        <w:tc>
          <w:tcPr>
            <w:tcW w:w="625" w:type="pct"/>
            <w:noWrap/>
            <w:tcMar>
              <w:left w:w="28" w:type="dxa"/>
              <w:right w:w="28" w:type="dxa"/>
            </w:tcMar>
          </w:tcPr>
          <w:p w:rsidR="004405E5" w:rsidRPr="00F7369B" w:rsidRDefault="0007305C" w:rsidP="00047C38">
            <w:pPr>
              <w:pStyle w:val="TableCentre"/>
              <w:rPr>
                <w:rStyle w:val="Small"/>
                <w:rFonts w:ascii="Arial Narrow" w:hAnsi="Arial Narrow" w:cstheme="minorHAnsi"/>
                <w:sz w:val="20"/>
                <w:szCs w:val="20"/>
              </w:rPr>
            </w:pPr>
            <w:r>
              <w:rPr>
                <w:rFonts w:ascii="Arial Narrow" w:hAnsi="Arial Narrow" w:cstheme="minorHAnsi"/>
                <w:noProof/>
                <w:color w:val="000000"/>
                <w:sz w:val="20"/>
                <w:szCs w:val="20"/>
                <w:highlight w:val="black"/>
              </w:rPr>
              <w:t>'''''''''''''''''''''</w:t>
            </w:r>
            <w:r w:rsidR="00F50588">
              <w:rPr>
                <w:rStyle w:val="Small"/>
                <w:rFonts w:ascii="Arial Narrow" w:hAnsi="Arial Narrow" w:cstheme="minorHAnsi"/>
                <w:sz w:val="20"/>
                <w:szCs w:val="20"/>
                <w:vertAlign w:val="superscript"/>
              </w:rPr>
              <w:t>6</w:t>
            </w:r>
            <w:r w:rsidR="004405E5" w:rsidRPr="00F7369B">
              <w:rPr>
                <w:rFonts w:ascii="Arial Narrow" w:hAnsi="Arial Narrow" w:cstheme="minorHAnsi"/>
                <w:color w:val="000000"/>
                <w:sz w:val="20"/>
                <w:szCs w:val="20"/>
              </w:rPr>
              <w:t xml:space="preserve"> </w:t>
            </w:r>
          </w:p>
        </w:tc>
        <w:tc>
          <w:tcPr>
            <w:tcW w:w="626" w:type="pct"/>
            <w:noWrap/>
            <w:tcMar>
              <w:left w:w="28" w:type="dxa"/>
              <w:right w:w="28" w:type="dxa"/>
            </w:tcMar>
          </w:tcPr>
          <w:p w:rsidR="004405E5" w:rsidRPr="00F7369B" w:rsidRDefault="0007305C" w:rsidP="00047C38">
            <w:pPr>
              <w:pStyle w:val="TableCentre"/>
              <w:rPr>
                <w:rStyle w:val="Small"/>
                <w:rFonts w:ascii="Arial Narrow" w:hAnsi="Arial Narrow" w:cstheme="minorHAnsi"/>
                <w:sz w:val="20"/>
                <w:szCs w:val="20"/>
              </w:rPr>
            </w:pPr>
            <w:r>
              <w:rPr>
                <w:rFonts w:ascii="Arial Narrow" w:hAnsi="Arial Narrow" w:cstheme="minorHAnsi"/>
                <w:noProof/>
                <w:color w:val="000000"/>
                <w:sz w:val="20"/>
                <w:szCs w:val="20"/>
                <w:highlight w:val="black"/>
              </w:rPr>
              <w:t>''''''''''''''''''</w:t>
            </w:r>
            <w:r w:rsidR="00F50588">
              <w:rPr>
                <w:rStyle w:val="Small"/>
                <w:rFonts w:ascii="Arial Narrow" w:hAnsi="Arial Narrow" w:cstheme="minorHAnsi"/>
                <w:sz w:val="20"/>
                <w:szCs w:val="20"/>
                <w:vertAlign w:val="superscript"/>
              </w:rPr>
              <w:t>6</w:t>
            </w:r>
            <w:r w:rsidR="004405E5" w:rsidRPr="00F7369B">
              <w:rPr>
                <w:rFonts w:ascii="Arial Narrow" w:hAnsi="Arial Narrow" w:cstheme="minorHAnsi"/>
                <w:color w:val="000000"/>
                <w:sz w:val="20"/>
                <w:szCs w:val="20"/>
              </w:rPr>
              <w:t xml:space="preserve"> </w:t>
            </w:r>
          </w:p>
        </w:tc>
        <w:tc>
          <w:tcPr>
            <w:tcW w:w="626" w:type="pct"/>
            <w:noWrap/>
            <w:tcMar>
              <w:left w:w="28" w:type="dxa"/>
              <w:right w:w="28" w:type="dxa"/>
            </w:tcMar>
          </w:tcPr>
          <w:p w:rsidR="004405E5" w:rsidRPr="00F7369B" w:rsidRDefault="0007305C" w:rsidP="00047C38">
            <w:pPr>
              <w:pStyle w:val="TableCentre"/>
              <w:rPr>
                <w:rStyle w:val="Small"/>
                <w:rFonts w:ascii="Arial Narrow" w:hAnsi="Arial Narrow" w:cstheme="minorHAnsi"/>
                <w:sz w:val="20"/>
                <w:szCs w:val="20"/>
              </w:rPr>
            </w:pPr>
            <w:r>
              <w:rPr>
                <w:rFonts w:ascii="Arial Narrow" w:hAnsi="Arial Narrow" w:cstheme="minorHAnsi"/>
                <w:noProof/>
                <w:color w:val="000000"/>
                <w:sz w:val="20"/>
                <w:szCs w:val="20"/>
                <w:highlight w:val="black"/>
              </w:rPr>
              <w:t>''''''''''''''''''''''</w:t>
            </w:r>
            <w:r w:rsidR="00F50588">
              <w:rPr>
                <w:rStyle w:val="Small"/>
                <w:rFonts w:ascii="Arial Narrow" w:hAnsi="Arial Narrow" w:cstheme="minorHAnsi"/>
                <w:sz w:val="20"/>
                <w:szCs w:val="20"/>
                <w:vertAlign w:val="superscript"/>
              </w:rPr>
              <w:t>6</w:t>
            </w:r>
            <w:r w:rsidR="004405E5" w:rsidRPr="00F7369B">
              <w:rPr>
                <w:rFonts w:ascii="Arial Narrow" w:hAnsi="Arial Narrow" w:cstheme="minorHAnsi"/>
                <w:color w:val="000000"/>
                <w:sz w:val="20"/>
                <w:szCs w:val="20"/>
              </w:rPr>
              <w:t xml:space="preserve"> </w:t>
            </w:r>
          </w:p>
        </w:tc>
        <w:tc>
          <w:tcPr>
            <w:tcW w:w="625" w:type="pct"/>
            <w:noWrap/>
            <w:tcMar>
              <w:left w:w="28" w:type="dxa"/>
              <w:right w:w="28" w:type="dxa"/>
            </w:tcMar>
          </w:tcPr>
          <w:p w:rsidR="004405E5" w:rsidRPr="00F7369B" w:rsidRDefault="0007305C" w:rsidP="00047C38">
            <w:pPr>
              <w:pStyle w:val="TableCentre"/>
              <w:rPr>
                <w:rStyle w:val="Small"/>
                <w:rFonts w:ascii="Arial Narrow" w:hAnsi="Arial Narrow" w:cstheme="minorHAnsi"/>
                <w:sz w:val="20"/>
                <w:szCs w:val="20"/>
              </w:rPr>
            </w:pPr>
            <w:r>
              <w:rPr>
                <w:rFonts w:ascii="Arial Narrow" w:hAnsi="Arial Narrow" w:cstheme="minorHAnsi"/>
                <w:noProof/>
                <w:color w:val="000000"/>
                <w:sz w:val="20"/>
                <w:szCs w:val="20"/>
                <w:highlight w:val="black"/>
              </w:rPr>
              <w:t>'''''''''''''''''''''</w:t>
            </w:r>
            <w:r w:rsidR="00F50588">
              <w:rPr>
                <w:rStyle w:val="Small"/>
                <w:rFonts w:ascii="Arial Narrow" w:hAnsi="Arial Narrow" w:cstheme="minorHAnsi"/>
                <w:sz w:val="20"/>
                <w:szCs w:val="20"/>
                <w:vertAlign w:val="superscript"/>
              </w:rPr>
              <w:t>6</w:t>
            </w:r>
            <w:r w:rsidR="004405E5" w:rsidRPr="00F7369B">
              <w:rPr>
                <w:rFonts w:ascii="Arial Narrow" w:hAnsi="Arial Narrow" w:cstheme="minorHAnsi"/>
                <w:color w:val="000000"/>
                <w:sz w:val="20"/>
                <w:szCs w:val="20"/>
              </w:rPr>
              <w:t xml:space="preserve"> </w:t>
            </w:r>
          </w:p>
        </w:tc>
        <w:tc>
          <w:tcPr>
            <w:tcW w:w="626" w:type="pct"/>
            <w:noWrap/>
            <w:tcMar>
              <w:left w:w="28" w:type="dxa"/>
              <w:right w:w="28" w:type="dxa"/>
            </w:tcMar>
          </w:tcPr>
          <w:p w:rsidR="004405E5" w:rsidRPr="00F7369B" w:rsidRDefault="0007305C" w:rsidP="00047C38">
            <w:pPr>
              <w:pStyle w:val="TableCentre"/>
              <w:rPr>
                <w:rStyle w:val="Small"/>
                <w:rFonts w:ascii="Arial Narrow" w:hAnsi="Arial Narrow" w:cstheme="minorHAnsi"/>
                <w:sz w:val="20"/>
                <w:szCs w:val="20"/>
              </w:rPr>
            </w:pPr>
            <w:r>
              <w:rPr>
                <w:rFonts w:ascii="Arial Narrow" w:hAnsi="Arial Narrow" w:cstheme="minorHAnsi"/>
                <w:noProof/>
                <w:color w:val="000000"/>
                <w:sz w:val="20"/>
                <w:szCs w:val="20"/>
                <w:highlight w:val="black"/>
              </w:rPr>
              <w:t>'''''''''''''''''''</w:t>
            </w:r>
            <w:r w:rsidR="00F50588">
              <w:rPr>
                <w:rStyle w:val="Small"/>
                <w:rFonts w:ascii="Arial Narrow" w:hAnsi="Arial Narrow" w:cstheme="minorHAnsi"/>
                <w:sz w:val="20"/>
                <w:szCs w:val="20"/>
                <w:vertAlign w:val="superscript"/>
              </w:rPr>
              <w:t>6</w:t>
            </w:r>
            <w:r w:rsidR="004405E5" w:rsidRPr="00F7369B">
              <w:rPr>
                <w:rFonts w:ascii="Arial Narrow" w:hAnsi="Arial Narrow" w:cstheme="minorHAnsi"/>
                <w:color w:val="000000"/>
                <w:sz w:val="20"/>
                <w:szCs w:val="20"/>
              </w:rPr>
              <w:t xml:space="preserve"> </w:t>
            </w:r>
          </w:p>
        </w:tc>
        <w:tc>
          <w:tcPr>
            <w:tcW w:w="624" w:type="pct"/>
            <w:noWrap/>
            <w:tcMar>
              <w:left w:w="28" w:type="dxa"/>
              <w:right w:w="28" w:type="dxa"/>
            </w:tcMar>
          </w:tcPr>
          <w:p w:rsidR="004405E5" w:rsidRPr="00F7369B" w:rsidRDefault="0007305C" w:rsidP="00047C38">
            <w:pPr>
              <w:pStyle w:val="TableCentre"/>
              <w:rPr>
                <w:rStyle w:val="Small"/>
                <w:rFonts w:ascii="Arial Narrow" w:hAnsi="Arial Narrow" w:cstheme="minorHAnsi"/>
                <w:sz w:val="20"/>
                <w:szCs w:val="20"/>
              </w:rPr>
            </w:pPr>
            <w:r>
              <w:rPr>
                <w:rFonts w:ascii="Arial Narrow" w:hAnsi="Arial Narrow" w:cstheme="minorHAnsi"/>
                <w:noProof/>
                <w:color w:val="000000"/>
                <w:sz w:val="20"/>
                <w:szCs w:val="20"/>
                <w:highlight w:val="black"/>
              </w:rPr>
              <w:t>'''''''''''''''''''''</w:t>
            </w:r>
            <w:r w:rsidR="00F50588">
              <w:rPr>
                <w:rStyle w:val="Small"/>
                <w:rFonts w:ascii="Arial Narrow" w:hAnsi="Arial Narrow" w:cstheme="minorHAnsi"/>
                <w:sz w:val="20"/>
                <w:szCs w:val="20"/>
                <w:vertAlign w:val="superscript"/>
              </w:rPr>
              <w:t>6</w:t>
            </w:r>
            <w:r w:rsidR="004405E5" w:rsidRPr="00F7369B">
              <w:rPr>
                <w:rFonts w:ascii="Arial Narrow" w:hAnsi="Arial Narrow" w:cstheme="minorHAnsi"/>
                <w:color w:val="000000"/>
                <w:sz w:val="20"/>
                <w:szCs w:val="20"/>
              </w:rPr>
              <w:t xml:space="preserve"> </w:t>
            </w:r>
          </w:p>
        </w:tc>
      </w:tr>
      <w:tr w:rsidR="00B776D2" w:rsidRPr="00F7369B" w:rsidTr="00B776D2">
        <w:trPr>
          <w:trHeight w:val="198"/>
        </w:trPr>
        <w:tc>
          <w:tcPr>
            <w:tcW w:w="1248" w:type="pct"/>
            <w:noWrap/>
            <w:tcMar>
              <w:left w:w="28" w:type="dxa"/>
              <w:right w:w="28" w:type="dxa"/>
            </w:tcMar>
          </w:tcPr>
          <w:p w:rsidR="004405E5" w:rsidRPr="00F7369B" w:rsidRDefault="004405E5" w:rsidP="00047C38">
            <w:pPr>
              <w:pStyle w:val="Table"/>
              <w:rPr>
                <w:rStyle w:val="Small"/>
                <w:rFonts w:ascii="Arial Narrow" w:hAnsi="Arial Narrow"/>
                <w:sz w:val="20"/>
                <w:szCs w:val="20"/>
              </w:rPr>
            </w:pPr>
            <w:r w:rsidRPr="00F7369B">
              <w:rPr>
                <w:rStyle w:val="Small"/>
                <w:rFonts w:ascii="Arial Narrow" w:hAnsi="Arial Narrow"/>
                <w:sz w:val="20"/>
                <w:szCs w:val="20"/>
              </w:rPr>
              <w:t>Catch</w:t>
            </w:r>
            <w:r w:rsidR="00AD63B0" w:rsidRPr="00F7369B">
              <w:rPr>
                <w:rStyle w:val="Small"/>
                <w:rFonts w:ascii="Arial Narrow" w:hAnsi="Arial Narrow"/>
                <w:sz w:val="20"/>
                <w:szCs w:val="20"/>
              </w:rPr>
              <w:t xml:space="preserve"> </w:t>
            </w:r>
            <w:r w:rsidRPr="00F7369B">
              <w:rPr>
                <w:rStyle w:val="Small"/>
                <w:rFonts w:ascii="Arial Narrow" w:hAnsi="Arial Narrow"/>
                <w:sz w:val="20"/>
                <w:szCs w:val="20"/>
              </w:rPr>
              <w:t>up program</w:t>
            </w:r>
          </w:p>
        </w:tc>
        <w:tc>
          <w:tcPr>
            <w:tcW w:w="625" w:type="pct"/>
            <w:noWrap/>
            <w:tcMar>
              <w:left w:w="28" w:type="dxa"/>
              <w:right w:w="28" w:type="dxa"/>
            </w:tcMar>
          </w:tcPr>
          <w:p w:rsidR="004405E5" w:rsidRPr="00F7369B" w:rsidRDefault="0007305C" w:rsidP="00047C38">
            <w:pPr>
              <w:pStyle w:val="TableCentre"/>
              <w:rPr>
                <w:rStyle w:val="Small"/>
                <w:rFonts w:ascii="Arial Narrow" w:hAnsi="Arial Narrow" w:cstheme="minorHAnsi"/>
                <w:sz w:val="20"/>
                <w:szCs w:val="20"/>
              </w:rPr>
            </w:pPr>
            <w:r>
              <w:rPr>
                <w:rFonts w:ascii="Arial Narrow" w:hAnsi="Arial Narrow" w:cstheme="minorHAnsi"/>
                <w:noProof/>
                <w:color w:val="000000"/>
                <w:sz w:val="20"/>
                <w:szCs w:val="20"/>
                <w:highlight w:val="black"/>
              </w:rPr>
              <w:t>''''''''''''''''''''</w:t>
            </w:r>
            <w:r w:rsidR="00F50588">
              <w:rPr>
                <w:rFonts w:ascii="Arial Narrow" w:hAnsi="Arial Narrow" w:cstheme="minorHAnsi"/>
                <w:color w:val="000000"/>
                <w:sz w:val="20"/>
                <w:szCs w:val="20"/>
                <w:vertAlign w:val="superscript"/>
              </w:rPr>
              <w:t>8</w:t>
            </w:r>
            <w:r w:rsidR="004405E5" w:rsidRPr="00F7369B">
              <w:rPr>
                <w:rFonts w:ascii="Arial Narrow" w:hAnsi="Arial Narrow" w:cstheme="minorHAnsi"/>
                <w:color w:val="000000"/>
                <w:sz w:val="20"/>
                <w:szCs w:val="20"/>
              </w:rPr>
              <w:t xml:space="preserve"> </w:t>
            </w:r>
          </w:p>
        </w:tc>
        <w:tc>
          <w:tcPr>
            <w:tcW w:w="626" w:type="pct"/>
            <w:noWrap/>
            <w:tcMar>
              <w:left w:w="28" w:type="dxa"/>
              <w:right w:w="28" w:type="dxa"/>
            </w:tcMar>
          </w:tcPr>
          <w:p w:rsidR="004405E5" w:rsidRPr="00F7369B" w:rsidRDefault="0007305C" w:rsidP="00047C38">
            <w:pPr>
              <w:pStyle w:val="TableCentre"/>
              <w:rPr>
                <w:rStyle w:val="Small"/>
                <w:rFonts w:ascii="Arial Narrow" w:hAnsi="Arial Narrow" w:cstheme="minorHAnsi"/>
                <w:sz w:val="20"/>
                <w:szCs w:val="20"/>
              </w:rPr>
            </w:pPr>
            <w:r>
              <w:rPr>
                <w:rFonts w:ascii="Arial Narrow" w:hAnsi="Arial Narrow" w:cstheme="minorHAnsi"/>
                <w:noProof/>
                <w:color w:val="000000"/>
                <w:sz w:val="20"/>
                <w:szCs w:val="20"/>
                <w:highlight w:val="black"/>
              </w:rPr>
              <w:t>'''''''''''''''''''</w:t>
            </w:r>
            <w:r w:rsidR="00F50588">
              <w:rPr>
                <w:rFonts w:ascii="Arial Narrow" w:hAnsi="Arial Narrow" w:cstheme="minorHAnsi"/>
                <w:color w:val="000000"/>
                <w:sz w:val="20"/>
                <w:szCs w:val="20"/>
                <w:vertAlign w:val="superscript"/>
              </w:rPr>
              <w:t>8</w:t>
            </w:r>
            <w:r w:rsidR="004405E5" w:rsidRPr="00F7369B">
              <w:rPr>
                <w:rFonts w:ascii="Arial Narrow" w:hAnsi="Arial Narrow" w:cstheme="minorHAnsi"/>
                <w:color w:val="000000"/>
                <w:sz w:val="20"/>
                <w:szCs w:val="20"/>
              </w:rPr>
              <w:t xml:space="preserve"> </w:t>
            </w:r>
          </w:p>
        </w:tc>
        <w:tc>
          <w:tcPr>
            <w:tcW w:w="626" w:type="pct"/>
            <w:noWrap/>
            <w:tcMar>
              <w:left w:w="28" w:type="dxa"/>
              <w:right w:w="28" w:type="dxa"/>
            </w:tcMar>
          </w:tcPr>
          <w:p w:rsidR="004405E5" w:rsidRPr="00F7369B" w:rsidRDefault="0007305C" w:rsidP="00047C38">
            <w:pPr>
              <w:pStyle w:val="TableCentre"/>
              <w:rPr>
                <w:rStyle w:val="Small"/>
                <w:rFonts w:ascii="Arial Narrow" w:hAnsi="Arial Narrow" w:cstheme="minorHAnsi"/>
                <w:sz w:val="20"/>
                <w:szCs w:val="20"/>
              </w:rPr>
            </w:pPr>
            <w:r>
              <w:rPr>
                <w:rFonts w:ascii="Arial Narrow" w:hAnsi="Arial Narrow" w:cstheme="minorHAnsi"/>
                <w:noProof/>
                <w:color w:val="000000"/>
                <w:sz w:val="20"/>
                <w:szCs w:val="20"/>
                <w:highlight w:val="black"/>
              </w:rPr>
              <w:t>'''''''''''''''''</w:t>
            </w:r>
            <w:r w:rsidR="00F50588">
              <w:rPr>
                <w:rFonts w:ascii="Arial Narrow" w:hAnsi="Arial Narrow" w:cstheme="minorHAnsi"/>
                <w:color w:val="000000"/>
                <w:sz w:val="20"/>
                <w:szCs w:val="20"/>
                <w:vertAlign w:val="superscript"/>
              </w:rPr>
              <w:t>9</w:t>
            </w:r>
            <w:r w:rsidR="004405E5" w:rsidRPr="00F7369B">
              <w:rPr>
                <w:rFonts w:ascii="Arial Narrow" w:hAnsi="Arial Narrow" w:cstheme="minorHAnsi"/>
                <w:color w:val="000000"/>
                <w:sz w:val="20"/>
                <w:szCs w:val="20"/>
              </w:rPr>
              <w:t xml:space="preserve"> </w:t>
            </w:r>
          </w:p>
        </w:tc>
        <w:tc>
          <w:tcPr>
            <w:tcW w:w="625" w:type="pct"/>
            <w:noWrap/>
            <w:tcMar>
              <w:left w:w="28" w:type="dxa"/>
              <w:right w:w="28" w:type="dxa"/>
            </w:tcMar>
          </w:tcPr>
          <w:p w:rsidR="004405E5" w:rsidRPr="00F7369B" w:rsidRDefault="0007305C" w:rsidP="00047C38">
            <w:pPr>
              <w:pStyle w:val="TableCentre"/>
              <w:rPr>
                <w:rStyle w:val="Small"/>
                <w:rFonts w:ascii="Arial Narrow" w:hAnsi="Arial Narrow" w:cstheme="minorHAnsi"/>
                <w:sz w:val="20"/>
                <w:szCs w:val="20"/>
              </w:rPr>
            </w:pPr>
            <w:r>
              <w:rPr>
                <w:rFonts w:ascii="Arial Narrow" w:hAnsi="Arial Narrow" w:cstheme="minorHAnsi"/>
                <w:noProof/>
                <w:color w:val="000000"/>
                <w:sz w:val="20"/>
                <w:szCs w:val="20"/>
                <w:highlight w:val="black"/>
              </w:rPr>
              <w:t>''''''''''''''''</w:t>
            </w:r>
            <w:r w:rsidR="00F50588">
              <w:rPr>
                <w:rFonts w:ascii="Arial Narrow" w:hAnsi="Arial Narrow" w:cstheme="minorHAnsi"/>
                <w:color w:val="000000"/>
                <w:sz w:val="20"/>
                <w:szCs w:val="20"/>
                <w:vertAlign w:val="superscript"/>
              </w:rPr>
              <w:t>10</w:t>
            </w:r>
            <w:r w:rsidR="004405E5" w:rsidRPr="00F7369B">
              <w:rPr>
                <w:rFonts w:ascii="Arial Narrow" w:hAnsi="Arial Narrow" w:cstheme="minorHAnsi"/>
                <w:color w:val="000000"/>
                <w:sz w:val="20"/>
                <w:szCs w:val="20"/>
              </w:rPr>
              <w:t xml:space="preserve"> </w:t>
            </w:r>
          </w:p>
        </w:tc>
        <w:tc>
          <w:tcPr>
            <w:tcW w:w="626" w:type="pct"/>
            <w:noWrap/>
            <w:tcMar>
              <w:left w:w="28" w:type="dxa"/>
              <w:right w:w="28" w:type="dxa"/>
            </w:tcMar>
          </w:tcPr>
          <w:p w:rsidR="004405E5" w:rsidRPr="00F7369B" w:rsidRDefault="0007305C" w:rsidP="00047C38">
            <w:pPr>
              <w:pStyle w:val="TableCentre"/>
              <w:rPr>
                <w:rStyle w:val="Small"/>
                <w:rFonts w:ascii="Arial Narrow" w:hAnsi="Arial Narrow" w:cstheme="minorHAnsi"/>
                <w:sz w:val="20"/>
                <w:szCs w:val="20"/>
              </w:rPr>
            </w:pPr>
            <w:r>
              <w:rPr>
                <w:rFonts w:ascii="Arial Narrow" w:hAnsi="Arial Narrow" w:cstheme="minorHAnsi"/>
                <w:noProof/>
                <w:color w:val="000000"/>
                <w:sz w:val="20"/>
                <w:szCs w:val="20"/>
                <w:highlight w:val="black"/>
              </w:rPr>
              <w:t>'''''''''''''''''</w:t>
            </w:r>
            <w:r w:rsidR="00F50588">
              <w:rPr>
                <w:rFonts w:ascii="Arial Narrow" w:hAnsi="Arial Narrow" w:cstheme="minorHAnsi"/>
                <w:color w:val="000000"/>
                <w:sz w:val="20"/>
                <w:szCs w:val="20"/>
                <w:vertAlign w:val="superscript"/>
              </w:rPr>
              <w:t>11</w:t>
            </w:r>
            <w:r w:rsidR="004405E5" w:rsidRPr="00F7369B">
              <w:rPr>
                <w:rFonts w:ascii="Arial Narrow" w:hAnsi="Arial Narrow" w:cstheme="minorHAnsi"/>
                <w:color w:val="000000"/>
                <w:sz w:val="20"/>
                <w:szCs w:val="20"/>
              </w:rPr>
              <w:t xml:space="preserve"> </w:t>
            </w:r>
          </w:p>
        </w:tc>
        <w:tc>
          <w:tcPr>
            <w:tcW w:w="624" w:type="pct"/>
            <w:noWrap/>
            <w:tcMar>
              <w:left w:w="28" w:type="dxa"/>
              <w:right w:w="28" w:type="dxa"/>
            </w:tcMar>
          </w:tcPr>
          <w:p w:rsidR="004405E5" w:rsidRPr="00F7369B" w:rsidRDefault="0007305C" w:rsidP="00047C38">
            <w:pPr>
              <w:pStyle w:val="TableCentre"/>
              <w:rPr>
                <w:rStyle w:val="Small"/>
                <w:rFonts w:ascii="Arial Narrow" w:hAnsi="Arial Narrow" w:cstheme="minorHAnsi"/>
                <w:sz w:val="20"/>
                <w:szCs w:val="20"/>
              </w:rPr>
            </w:pPr>
            <w:r>
              <w:rPr>
                <w:rFonts w:ascii="Arial Narrow" w:hAnsi="Arial Narrow" w:cstheme="minorHAnsi"/>
                <w:noProof/>
                <w:color w:val="000000"/>
                <w:sz w:val="20"/>
                <w:szCs w:val="20"/>
                <w:highlight w:val="black"/>
              </w:rPr>
              <w:t>'''''''''''''''''</w:t>
            </w:r>
            <w:r w:rsidR="00F50588">
              <w:rPr>
                <w:rFonts w:ascii="Arial Narrow" w:hAnsi="Arial Narrow" w:cstheme="minorHAnsi"/>
                <w:color w:val="000000"/>
                <w:sz w:val="20"/>
                <w:szCs w:val="20"/>
                <w:vertAlign w:val="superscript"/>
              </w:rPr>
              <w:t>11</w:t>
            </w:r>
            <w:r w:rsidR="004405E5" w:rsidRPr="00F7369B">
              <w:rPr>
                <w:rFonts w:ascii="Arial Narrow" w:hAnsi="Arial Narrow" w:cstheme="minorHAnsi"/>
                <w:color w:val="000000"/>
                <w:sz w:val="20"/>
                <w:szCs w:val="20"/>
              </w:rPr>
              <w:t xml:space="preserve"> </w:t>
            </w:r>
          </w:p>
        </w:tc>
      </w:tr>
      <w:tr w:rsidR="00B776D2" w:rsidRPr="00F7369B" w:rsidTr="00B776D2">
        <w:trPr>
          <w:trHeight w:val="198"/>
        </w:trPr>
        <w:tc>
          <w:tcPr>
            <w:tcW w:w="1248" w:type="pct"/>
            <w:noWrap/>
            <w:tcMar>
              <w:left w:w="28" w:type="dxa"/>
              <w:right w:w="28" w:type="dxa"/>
            </w:tcMar>
          </w:tcPr>
          <w:p w:rsidR="004405E5" w:rsidRPr="00F7369B" w:rsidRDefault="004405E5" w:rsidP="00047C38">
            <w:pPr>
              <w:pStyle w:val="Table"/>
              <w:rPr>
                <w:rStyle w:val="Small"/>
                <w:rFonts w:ascii="Arial Narrow" w:hAnsi="Arial Narrow"/>
                <w:sz w:val="20"/>
                <w:szCs w:val="20"/>
              </w:rPr>
            </w:pPr>
            <w:r w:rsidRPr="00F7369B">
              <w:rPr>
                <w:rStyle w:val="Small"/>
                <w:rFonts w:ascii="Arial Narrow" w:hAnsi="Arial Narrow"/>
                <w:sz w:val="20"/>
                <w:szCs w:val="20"/>
              </w:rPr>
              <w:t>At risk subjects ≥12 months</w:t>
            </w:r>
          </w:p>
        </w:tc>
        <w:tc>
          <w:tcPr>
            <w:tcW w:w="625" w:type="pct"/>
            <w:noWrap/>
            <w:tcMar>
              <w:left w:w="28" w:type="dxa"/>
              <w:right w:w="28" w:type="dxa"/>
            </w:tcMar>
          </w:tcPr>
          <w:p w:rsidR="004405E5" w:rsidRPr="00F7369B" w:rsidRDefault="0007305C" w:rsidP="00047C38">
            <w:pPr>
              <w:pStyle w:val="TableCentre"/>
              <w:rPr>
                <w:rStyle w:val="Small"/>
                <w:rFonts w:ascii="Arial Narrow" w:hAnsi="Arial Narrow" w:cstheme="minorHAnsi"/>
                <w:sz w:val="20"/>
                <w:szCs w:val="20"/>
              </w:rPr>
            </w:pPr>
            <w:r>
              <w:rPr>
                <w:rStyle w:val="Small"/>
                <w:rFonts w:ascii="Arial Narrow" w:hAnsi="Arial Narrow" w:cstheme="minorHAnsi"/>
                <w:noProof/>
                <w:color w:val="000000"/>
                <w:sz w:val="20"/>
                <w:szCs w:val="20"/>
                <w:highlight w:val="black"/>
              </w:rPr>
              <w:t>''''''''''''''</w:t>
            </w:r>
            <w:r w:rsidR="00F50588">
              <w:rPr>
                <w:rFonts w:ascii="Arial Narrow" w:hAnsi="Arial Narrow" w:cstheme="minorHAnsi"/>
                <w:sz w:val="20"/>
                <w:szCs w:val="20"/>
                <w:vertAlign w:val="superscript"/>
              </w:rPr>
              <w:t>7</w:t>
            </w:r>
          </w:p>
        </w:tc>
        <w:tc>
          <w:tcPr>
            <w:tcW w:w="626" w:type="pct"/>
            <w:noWrap/>
            <w:tcMar>
              <w:left w:w="28" w:type="dxa"/>
              <w:right w:w="28" w:type="dxa"/>
            </w:tcMar>
          </w:tcPr>
          <w:p w:rsidR="004405E5" w:rsidRPr="00F7369B" w:rsidRDefault="0007305C" w:rsidP="00047C38">
            <w:pPr>
              <w:pStyle w:val="TableCentre"/>
              <w:rPr>
                <w:rStyle w:val="Small"/>
                <w:rFonts w:ascii="Arial Narrow" w:hAnsi="Arial Narrow" w:cstheme="minorHAnsi"/>
                <w:sz w:val="20"/>
                <w:szCs w:val="20"/>
              </w:rPr>
            </w:pPr>
            <w:r>
              <w:rPr>
                <w:rStyle w:val="Small"/>
                <w:rFonts w:ascii="Arial Narrow" w:hAnsi="Arial Narrow" w:cstheme="minorHAnsi"/>
                <w:noProof/>
                <w:color w:val="000000"/>
                <w:sz w:val="20"/>
                <w:szCs w:val="20"/>
                <w:highlight w:val="black"/>
              </w:rPr>
              <w:t>'''''''''''''</w:t>
            </w:r>
            <w:r w:rsidR="00F50588">
              <w:rPr>
                <w:rFonts w:ascii="Arial Narrow" w:hAnsi="Arial Narrow" w:cstheme="minorHAnsi"/>
                <w:sz w:val="20"/>
                <w:szCs w:val="20"/>
                <w:vertAlign w:val="superscript"/>
              </w:rPr>
              <w:t>7</w:t>
            </w:r>
          </w:p>
        </w:tc>
        <w:tc>
          <w:tcPr>
            <w:tcW w:w="626" w:type="pct"/>
            <w:noWrap/>
            <w:tcMar>
              <w:left w:w="28" w:type="dxa"/>
              <w:right w:w="28" w:type="dxa"/>
            </w:tcMar>
          </w:tcPr>
          <w:p w:rsidR="004405E5" w:rsidRPr="00F7369B" w:rsidRDefault="0007305C" w:rsidP="00047C38">
            <w:pPr>
              <w:pStyle w:val="TableCentre"/>
              <w:rPr>
                <w:rStyle w:val="Small"/>
                <w:rFonts w:ascii="Arial Narrow" w:hAnsi="Arial Narrow" w:cstheme="minorHAnsi"/>
                <w:sz w:val="20"/>
                <w:szCs w:val="20"/>
              </w:rPr>
            </w:pPr>
            <w:r>
              <w:rPr>
                <w:rStyle w:val="Small"/>
                <w:rFonts w:ascii="Arial Narrow" w:hAnsi="Arial Narrow" w:cstheme="minorHAnsi"/>
                <w:noProof/>
                <w:color w:val="000000"/>
                <w:sz w:val="20"/>
                <w:szCs w:val="20"/>
                <w:highlight w:val="black"/>
              </w:rPr>
              <w:t>''''''''''''''</w:t>
            </w:r>
            <w:r w:rsidR="00F50588">
              <w:rPr>
                <w:rFonts w:ascii="Arial Narrow" w:hAnsi="Arial Narrow" w:cstheme="minorHAnsi"/>
                <w:sz w:val="20"/>
                <w:szCs w:val="20"/>
                <w:vertAlign w:val="superscript"/>
              </w:rPr>
              <w:t>7</w:t>
            </w:r>
          </w:p>
        </w:tc>
        <w:tc>
          <w:tcPr>
            <w:tcW w:w="625" w:type="pct"/>
            <w:noWrap/>
            <w:tcMar>
              <w:left w:w="28" w:type="dxa"/>
              <w:right w:w="28" w:type="dxa"/>
            </w:tcMar>
          </w:tcPr>
          <w:p w:rsidR="004405E5" w:rsidRPr="00F7369B" w:rsidRDefault="0007305C" w:rsidP="00047C38">
            <w:pPr>
              <w:pStyle w:val="TableCentre"/>
              <w:rPr>
                <w:rStyle w:val="Small"/>
                <w:rFonts w:ascii="Arial Narrow" w:hAnsi="Arial Narrow" w:cstheme="minorHAnsi"/>
                <w:sz w:val="20"/>
                <w:szCs w:val="20"/>
              </w:rPr>
            </w:pPr>
            <w:r>
              <w:rPr>
                <w:rStyle w:val="Small"/>
                <w:rFonts w:ascii="Arial Narrow" w:hAnsi="Arial Narrow" w:cstheme="minorHAnsi"/>
                <w:noProof/>
                <w:color w:val="000000"/>
                <w:sz w:val="20"/>
                <w:szCs w:val="20"/>
                <w:highlight w:val="black"/>
              </w:rPr>
              <w:t>''''''''''''''</w:t>
            </w:r>
            <w:r w:rsidR="00F50588">
              <w:rPr>
                <w:rFonts w:ascii="Arial Narrow" w:hAnsi="Arial Narrow" w:cstheme="minorHAnsi"/>
                <w:sz w:val="20"/>
                <w:szCs w:val="20"/>
                <w:vertAlign w:val="superscript"/>
              </w:rPr>
              <w:t>7</w:t>
            </w:r>
          </w:p>
        </w:tc>
        <w:tc>
          <w:tcPr>
            <w:tcW w:w="626" w:type="pct"/>
            <w:noWrap/>
            <w:tcMar>
              <w:left w:w="28" w:type="dxa"/>
              <w:right w:w="28" w:type="dxa"/>
            </w:tcMar>
          </w:tcPr>
          <w:p w:rsidR="004405E5" w:rsidRPr="00F7369B" w:rsidRDefault="0007305C" w:rsidP="00047C38">
            <w:pPr>
              <w:pStyle w:val="TableCentre"/>
              <w:rPr>
                <w:rStyle w:val="Small"/>
                <w:rFonts w:ascii="Arial Narrow" w:hAnsi="Arial Narrow" w:cstheme="minorHAnsi"/>
                <w:sz w:val="20"/>
                <w:szCs w:val="20"/>
              </w:rPr>
            </w:pPr>
            <w:r>
              <w:rPr>
                <w:rStyle w:val="Small"/>
                <w:rFonts w:ascii="Arial Narrow" w:hAnsi="Arial Narrow" w:cstheme="minorHAnsi"/>
                <w:noProof/>
                <w:color w:val="000000"/>
                <w:sz w:val="20"/>
                <w:szCs w:val="20"/>
                <w:highlight w:val="black"/>
              </w:rPr>
              <w:t>''''''''''''''</w:t>
            </w:r>
            <w:r w:rsidR="00F50588">
              <w:rPr>
                <w:rFonts w:ascii="Arial Narrow" w:hAnsi="Arial Narrow" w:cstheme="minorHAnsi"/>
                <w:sz w:val="20"/>
                <w:szCs w:val="20"/>
                <w:vertAlign w:val="superscript"/>
              </w:rPr>
              <w:t>7</w:t>
            </w:r>
          </w:p>
        </w:tc>
        <w:tc>
          <w:tcPr>
            <w:tcW w:w="624" w:type="pct"/>
            <w:noWrap/>
            <w:tcMar>
              <w:left w:w="28" w:type="dxa"/>
              <w:right w:w="28" w:type="dxa"/>
            </w:tcMar>
          </w:tcPr>
          <w:p w:rsidR="004405E5" w:rsidRPr="00F7369B" w:rsidRDefault="0007305C" w:rsidP="00047C38">
            <w:pPr>
              <w:pStyle w:val="TableCentre"/>
              <w:rPr>
                <w:rStyle w:val="Small"/>
                <w:rFonts w:ascii="Arial Narrow" w:hAnsi="Arial Narrow" w:cstheme="minorHAnsi"/>
                <w:sz w:val="20"/>
                <w:szCs w:val="20"/>
              </w:rPr>
            </w:pPr>
            <w:r>
              <w:rPr>
                <w:rStyle w:val="Small"/>
                <w:rFonts w:ascii="Arial Narrow" w:hAnsi="Arial Narrow" w:cstheme="minorHAnsi"/>
                <w:noProof/>
                <w:color w:val="000000"/>
                <w:sz w:val="20"/>
                <w:szCs w:val="20"/>
                <w:highlight w:val="black"/>
              </w:rPr>
              <w:t>'''''''''''''</w:t>
            </w:r>
            <w:r w:rsidR="00F50588">
              <w:rPr>
                <w:rFonts w:ascii="Arial Narrow" w:hAnsi="Arial Narrow" w:cstheme="minorHAnsi"/>
                <w:sz w:val="20"/>
                <w:szCs w:val="20"/>
                <w:vertAlign w:val="superscript"/>
              </w:rPr>
              <w:t>7</w:t>
            </w:r>
          </w:p>
        </w:tc>
      </w:tr>
      <w:tr w:rsidR="00B776D2" w:rsidRPr="00F7369B" w:rsidTr="00B776D2">
        <w:trPr>
          <w:trHeight w:val="198"/>
        </w:trPr>
        <w:tc>
          <w:tcPr>
            <w:tcW w:w="1248" w:type="pct"/>
            <w:noWrap/>
            <w:tcMar>
              <w:left w:w="28" w:type="dxa"/>
              <w:right w:w="28" w:type="dxa"/>
            </w:tcMar>
          </w:tcPr>
          <w:p w:rsidR="000914B9" w:rsidRPr="00F7369B" w:rsidRDefault="000914B9" w:rsidP="000914B9">
            <w:pPr>
              <w:pStyle w:val="Table"/>
              <w:rPr>
                <w:rStyle w:val="Small"/>
                <w:rFonts w:ascii="Arial Narrow" w:hAnsi="Arial Narrow"/>
                <w:b/>
                <w:bCs/>
                <w:sz w:val="20"/>
                <w:szCs w:val="20"/>
              </w:rPr>
            </w:pPr>
            <w:r w:rsidRPr="00F7369B">
              <w:rPr>
                <w:rStyle w:val="Small"/>
                <w:rFonts w:ascii="Arial Narrow" w:hAnsi="Arial Narrow"/>
                <w:b/>
                <w:bCs/>
                <w:sz w:val="20"/>
                <w:szCs w:val="20"/>
              </w:rPr>
              <w:t>Cost of MenQuadfi (assuming 50% market share)</w:t>
            </w:r>
          </w:p>
        </w:tc>
        <w:tc>
          <w:tcPr>
            <w:tcW w:w="625" w:type="pct"/>
            <w:noWrap/>
            <w:tcMar>
              <w:left w:w="28" w:type="dxa"/>
              <w:right w:w="28" w:type="dxa"/>
            </w:tcMar>
          </w:tcPr>
          <w:p w:rsidR="000914B9" w:rsidRPr="00F50588" w:rsidRDefault="000914B9" w:rsidP="000914B9">
            <w:pPr>
              <w:pStyle w:val="TableCentre"/>
              <w:rPr>
                <w:rFonts w:ascii="Arial Narrow" w:hAnsi="Arial Narrow" w:cstheme="minorHAnsi"/>
                <w:color w:val="000000"/>
                <w:sz w:val="20"/>
                <w:szCs w:val="20"/>
                <w:vertAlign w:val="superscript"/>
              </w:rPr>
            </w:pPr>
            <w:r w:rsidRPr="00F7369B">
              <w:rPr>
                <w:rFonts w:ascii="Arial Narrow" w:hAnsi="Arial Narrow" w:cstheme="minorHAnsi"/>
                <w:color w:val="000000"/>
                <w:sz w:val="20"/>
                <w:szCs w:val="20"/>
              </w:rPr>
              <w:t>$</w:t>
            </w:r>
            <w:r w:rsidR="0007305C">
              <w:rPr>
                <w:rFonts w:ascii="Arial Narrow" w:hAnsi="Arial Narrow" w:cstheme="minorHAnsi"/>
                <w:noProof/>
                <w:color w:val="000000"/>
                <w:sz w:val="20"/>
                <w:szCs w:val="20"/>
                <w:highlight w:val="black"/>
              </w:rPr>
              <w:t>''''''''''''''''''''''''''</w:t>
            </w:r>
            <w:r w:rsidR="00F50588">
              <w:rPr>
                <w:rFonts w:ascii="Arial Narrow" w:hAnsi="Arial Narrow" w:cstheme="minorHAnsi"/>
                <w:color w:val="000000"/>
                <w:sz w:val="20"/>
                <w:szCs w:val="20"/>
                <w:vertAlign w:val="superscript"/>
              </w:rPr>
              <w:t>12</w:t>
            </w:r>
          </w:p>
        </w:tc>
        <w:tc>
          <w:tcPr>
            <w:tcW w:w="626" w:type="pct"/>
            <w:noWrap/>
            <w:tcMar>
              <w:left w:w="28" w:type="dxa"/>
              <w:right w:w="28" w:type="dxa"/>
            </w:tcMar>
          </w:tcPr>
          <w:p w:rsidR="000914B9" w:rsidRPr="00F7369B" w:rsidRDefault="000914B9" w:rsidP="000914B9">
            <w:pPr>
              <w:pStyle w:val="TableCentre"/>
              <w:rPr>
                <w:rFonts w:ascii="Arial Narrow" w:hAnsi="Arial Narrow" w:cstheme="minorHAnsi"/>
                <w:color w:val="000000"/>
                <w:sz w:val="20"/>
                <w:szCs w:val="20"/>
              </w:rPr>
            </w:pPr>
            <w:r w:rsidRPr="00F7369B">
              <w:rPr>
                <w:rFonts w:ascii="Arial Narrow" w:hAnsi="Arial Narrow" w:cstheme="minorHAnsi"/>
                <w:color w:val="000000"/>
                <w:sz w:val="20"/>
                <w:szCs w:val="20"/>
              </w:rPr>
              <w:t>$</w:t>
            </w:r>
            <w:r w:rsidR="0007305C">
              <w:rPr>
                <w:rFonts w:ascii="Arial Narrow" w:hAnsi="Arial Narrow" w:cstheme="minorHAnsi"/>
                <w:noProof/>
                <w:color w:val="000000"/>
                <w:sz w:val="20"/>
                <w:szCs w:val="20"/>
                <w:highlight w:val="black"/>
              </w:rPr>
              <w:t>'''''''''''''''''''''''''</w:t>
            </w:r>
            <w:r w:rsidR="00F50588">
              <w:rPr>
                <w:rFonts w:ascii="Arial Narrow" w:hAnsi="Arial Narrow" w:cstheme="minorHAnsi"/>
                <w:color w:val="000000"/>
                <w:sz w:val="20"/>
                <w:szCs w:val="20"/>
                <w:vertAlign w:val="superscript"/>
              </w:rPr>
              <w:t>12</w:t>
            </w:r>
          </w:p>
        </w:tc>
        <w:tc>
          <w:tcPr>
            <w:tcW w:w="626" w:type="pct"/>
            <w:noWrap/>
            <w:tcMar>
              <w:left w:w="28" w:type="dxa"/>
              <w:right w:w="28" w:type="dxa"/>
            </w:tcMar>
          </w:tcPr>
          <w:p w:rsidR="000914B9" w:rsidRPr="00F7369B" w:rsidRDefault="000914B9" w:rsidP="000914B9">
            <w:pPr>
              <w:pStyle w:val="TableCentre"/>
              <w:rPr>
                <w:rFonts w:ascii="Arial Narrow" w:hAnsi="Arial Narrow" w:cstheme="minorHAnsi"/>
                <w:color w:val="000000"/>
                <w:sz w:val="20"/>
                <w:szCs w:val="20"/>
              </w:rPr>
            </w:pPr>
            <w:r w:rsidRPr="00F7369B">
              <w:rPr>
                <w:rFonts w:ascii="Arial Narrow" w:hAnsi="Arial Narrow" w:cstheme="minorHAnsi"/>
                <w:color w:val="000000"/>
                <w:sz w:val="20"/>
                <w:szCs w:val="20"/>
              </w:rPr>
              <w:t>$</w:t>
            </w:r>
            <w:r w:rsidR="00B278E5">
              <w:rPr>
                <w:rFonts w:ascii="Arial Narrow" w:hAnsi="Arial Narrow" w:cstheme="minorHAnsi"/>
                <w:noProof/>
                <w:color w:val="000000"/>
                <w:sz w:val="20"/>
                <w:szCs w:val="20"/>
                <w:highlight w:val="black"/>
              </w:rPr>
              <w:t>''''''''''''''''''''''</w:t>
            </w:r>
            <w:r w:rsidR="0007305C">
              <w:rPr>
                <w:rFonts w:ascii="Arial Narrow" w:hAnsi="Arial Narrow" w:cstheme="minorHAnsi"/>
                <w:noProof/>
                <w:color w:val="000000"/>
                <w:sz w:val="20"/>
                <w:szCs w:val="20"/>
                <w:highlight w:val="black"/>
              </w:rPr>
              <w:t>'''''</w:t>
            </w:r>
            <w:r w:rsidR="00F50588">
              <w:rPr>
                <w:rFonts w:ascii="Arial Narrow" w:hAnsi="Arial Narrow" w:cstheme="minorHAnsi"/>
                <w:color w:val="000000"/>
                <w:sz w:val="20"/>
                <w:szCs w:val="20"/>
                <w:vertAlign w:val="superscript"/>
              </w:rPr>
              <w:t>12</w:t>
            </w:r>
          </w:p>
        </w:tc>
        <w:tc>
          <w:tcPr>
            <w:tcW w:w="625" w:type="pct"/>
            <w:noWrap/>
            <w:tcMar>
              <w:left w:w="28" w:type="dxa"/>
              <w:right w:w="28" w:type="dxa"/>
            </w:tcMar>
          </w:tcPr>
          <w:p w:rsidR="000914B9" w:rsidRPr="00F7369B" w:rsidRDefault="000914B9" w:rsidP="000914B9">
            <w:pPr>
              <w:pStyle w:val="TableCentre"/>
              <w:rPr>
                <w:rFonts w:ascii="Arial Narrow" w:hAnsi="Arial Narrow" w:cstheme="minorHAnsi"/>
                <w:color w:val="000000"/>
                <w:sz w:val="20"/>
                <w:szCs w:val="20"/>
              </w:rPr>
            </w:pPr>
            <w:r w:rsidRPr="00F7369B">
              <w:rPr>
                <w:rFonts w:ascii="Arial Narrow" w:hAnsi="Arial Narrow" w:cstheme="minorHAnsi"/>
                <w:color w:val="000000"/>
                <w:sz w:val="20"/>
                <w:szCs w:val="20"/>
              </w:rPr>
              <w:t>$</w:t>
            </w:r>
            <w:r w:rsidR="0007305C">
              <w:rPr>
                <w:rFonts w:ascii="Arial Narrow" w:hAnsi="Arial Narrow" w:cstheme="minorHAnsi"/>
                <w:noProof/>
                <w:color w:val="000000"/>
                <w:sz w:val="20"/>
                <w:szCs w:val="20"/>
                <w:highlight w:val="black"/>
              </w:rPr>
              <w:t>''''''''''''''''''''''''''</w:t>
            </w:r>
            <w:r w:rsidR="00F50588">
              <w:rPr>
                <w:rFonts w:ascii="Arial Narrow" w:hAnsi="Arial Narrow" w:cstheme="minorHAnsi"/>
                <w:color w:val="000000"/>
                <w:sz w:val="20"/>
                <w:szCs w:val="20"/>
                <w:vertAlign w:val="superscript"/>
              </w:rPr>
              <w:t>12</w:t>
            </w:r>
          </w:p>
        </w:tc>
        <w:tc>
          <w:tcPr>
            <w:tcW w:w="626" w:type="pct"/>
            <w:noWrap/>
            <w:tcMar>
              <w:left w:w="28" w:type="dxa"/>
              <w:right w:w="28" w:type="dxa"/>
            </w:tcMar>
          </w:tcPr>
          <w:p w:rsidR="000914B9" w:rsidRPr="00F7369B" w:rsidRDefault="000914B9" w:rsidP="000914B9">
            <w:pPr>
              <w:pStyle w:val="TableCentre"/>
              <w:rPr>
                <w:rFonts w:ascii="Arial Narrow" w:hAnsi="Arial Narrow" w:cstheme="minorHAnsi"/>
                <w:color w:val="000000"/>
                <w:sz w:val="20"/>
                <w:szCs w:val="20"/>
              </w:rPr>
            </w:pPr>
            <w:r w:rsidRPr="00F7369B">
              <w:rPr>
                <w:rFonts w:ascii="Arial Narrow" w:hAnsi="Arial Narrow" w:cstheme="minorHAnsi"/>
                <w:color w:val="000000"/>
                <w:sz w:val="20"/>
                <w:szCs w:val="20"/>
              </w:rPr>
              <w:t>$</w:t>
            </w:r>
            <w:r w:rsidR="00B278E5">
              <w:rPr>
                <w:rFonts w:ascii="Arial Narrow" w:hAnsi="Arial Narrow" w:cstheme="minorHAnsi"/>
                <w:noProof/>
                <w:color w:val="000000"/>
                <w:sz w:val="20"/>
                <w:szCs w:val="20"/>
                <w:highlight w:val="black"/>
              </w:rPr>
              <w:t>''''''''''''''''''''''''</w:t>
            </w:r>
            <w:r w:rsidR="0007305C">
              <w:rPr>
                <w:rFonts w:ascii="Arial Narrow" w:hAnsi="Arial Narrow" w:cstheme="minorHAnsi"/>
                <w:noProof/>
                <w:color w:val="000000"/>
                <w:sz w:val="20"/>
                <w:szCs w:val="20"/>
                <w:highlight w:val="black"/>
              </w:rPr>
              <w:t>'''</w:t>
            </w:r>
            <w:r w:rsidR="00F50588">
              <w:rPr>
                <w:rFonts w:ascii="Arial Narrow" w:hAnsi="Arial Narrow" w:cstheme="minorHAnsi"/>
                <w:color w:val="000000"/>
                <w:sz w:val="20"/>
                <w:szCs w:val="20"/>
                <w:vertAlign w:val="superscript"/>
              </w:rPr>
              <w:t>12</w:t>
            </w:r>
          </w:p>
        </w:tc>
        <w:tc>
          <w:tcPr>
            <w:tcW w:w="624" w:type="pct"/>
            <w:noWrap/>
            <w:tcMar>
              <w:left w:w="28" w:type="dxa"/>
              <w:right w:w="28" w:type="dxa"/>
            </w:tcMar>
          </w:tcPr>
          <w:p w:rsidR="000914B9" w:rsidRPr="00F7369B" w:rsidRDefault="000914B9" w:rsidP="000914B9">
            <w:pPr>
              <w:pStyle w:val="TableCentre"/>
              <w:rPr>
                <w:rFonts w:ascii="Arial Narrow" w:hAnsi="Arial Narrow" w:cstheme="minorHAnsi"/>
                <w:color w:val="000000"/>
                <w:sz w:val="20"/>
                <w:szCs w:val="20"/>
              </w:rPr>
            </w:pPr>
            <w:r w:rsidRPr="00F7369B">
              <w:rPr>
                <w:rFonts w:ascii="Arial Narrow" w:hAnsi="Arial Narrow" w:cstheme="minorHAnsi"/>
                <w:color w:val="000000"/>
                <w:sz w:val="20"/>
                <w:szCs w:val="20"/>
              </w:rPr>
              <w:t>$</w:t>
            </w:r>
            <w:r w:rsidR="0007305C">
              <w:rPr>
                <w:rFonts w:ascii="Arial Narrow" w:hAnsi="Arial Narrow" w:cstheme="minorHAnsi"/>
                <w:noProof/>
                <w:color w:val="000000"/>
                <w:sz w:val="20"/>
                <w:szCs w:val="20"/>
                <w:highlight w:val="black"/>
              </w:rPr>
              <w:t>'''''''''''''''''''''''''</w:t>
            </w:r>
            <w:r w:rsidR="00F50588">
              <w:rPr>
                <w:rFonts w:ascii="Arial Narrow" w:hAnsi="Arial Narrow" w:cstheme="minorHAnsi"/>
                <w:color w:val="000000"/>
                <w:sz w:val="20"/>
                <w:szCs w:val="20"/>
                <w:vertAlign w:val="superscript"/>
              </w:rPr>
              <w:t>12</w:t>
            </w:r>
          </w:p>
        </w:tc>
      </w:tr>
      <w:tr w:rsidR="00B776D2" w:rsidRPr="00F7369B" w:rsidTr="00B776D2">
        <w:trPr>
          <w:trHeight w:val="198"/>
        </w:trPr>
        <w:tc>
          <w:tcPr>
            <w:tcW w:w="1248" w:type="pct"/>
            <w:noWrap/>
            <w:tcMar>
              <w:left w:w="28" w:type="dxa"/>
              <w:right w:w="28" w:type="dxa"/>
            </w:tcMar>
          </w:tcPr>
          <w:p w:rsidR="000914B9" w:rsidRPr="00F7369B" w:rsidRDefault="000914B9" w:rsidP="000914B9">
            <w:pPr>
              <w:pStyle w:val="Table"/>
              <w:rPr>
                <w:rStyle w:val="Small"/>
                <w:rFonts w:ascii="Arial Narrow" w:hAnsi="Arial Narrow"/>
                <w:b/>
                <w:bCs/>
                <w:sz w:val="20"/>
                <w:szCs w:val="20"/>
              </w:rPr>
            </w:pPr>
            <w:r w:rsidRPr="00F7369B">
              <w:rPr>
                <w:rStyle w:val="Small"/>
                <w:rFonts w:ascii="Arial Narrow" w:hAnsi="Arial Narrow"/>
                <w:b/>
                <w:bCs/>
                <w:sz w:val="20"/>
                <w:szCs w:val="20"/>
              </w:rPr>
              <w:t>Reduction in cost of Nimenrix</w:t>
            </w:r>
          </w:p>
        </w:tc>
        <w:tc>
          <w:tcPr>
            <w:tcW w:w="625" w:type="pct"/>
            <w:noWrap/>
            <w:tcMar>
              <w:left w:w="28" w:type="dxa"/>
              <w:right w:w="28" w:type="dxa"/>
            </w:tcMar>
          </w:tcPr>
          <w:p w:rsidR="000914B9" w:rsidRPr="00F7369B" w:rsidRDefault="000914B9" w:rsidP="000914B9">
            <w:pPr>
              <w:pStyle w:val="TableCentre"/>
              <w:rPr>
                <w:rFonts w:ascii="Arial Narrow" w:hAnsi="Arial Narrow" w:cstheme="minorHAnsi"/>
                <w:color w:val="000000"/>
                <w:sz w:val="20"/>
                <w:szCs w:val="20"/>
              </w:rPr>
            </w:pPr>
            <w:r w:rsidRPr="00F7369B">
              <w:rPr>
                <w:rFonts w:ascii="Arial Narrow" w:hAnsi="Arial Narrow" w:cstheme="minorHAnsi"/>
                <w:color w:val="000000"/>
                <w:sz w:val="20"/>
                <w:szCs w:val="20"/>
              </w:rPr>
              <w:t>-$</w:t>
            </w:r>
            <w:r w:rsidR="00B278E5">
              <w:rPr>
                <w:rFonts w:ascii="Arial Narrow" w:hAnsi="Arial Narrow" w:cstheme="minorHAnsi"/>
                <w:noProof/>
                <w:color w:val="000000"/>
                <w:sz w:val="20"/>
                <w:szCs w:val="20"/>
                <w:highlight w:val="black"/>
              </w:rPr>
              <w:t>''''''''''''''''''''''''</w:t>
            </w:r>
            <w:r w:rsidR="0007305C">
              <w:rPr>
                <w:rFonts w:ascii="Arial Narrow" w:hAnsi="Arial Narrow" w:cstheme="minorHAnsi"/>
                <w:noProof/>
                <w:color w:val="000000"/>
                <w:sz w:val="20"/>
                <w:szCs w:val="20"/>
                <w:highlight w:val="black"/>
              </w:rPr>
              <w:t>'</w:t>
            </w:r>
            <w:r w:rsidR="00F50588">
              <w:rPr>
                <w:rFonts w:ascii="Arial Narrow" w:hAnsi="Arial Narrow" w:cstheme="minorHAnsi"/>
                <w:color w:val="000000"/>
                <w:sz w:val="20"/>
                <w:szCs w:val="20"/>
                <w:vertAlign w:val="superscript"/>
              </w:rPr>
              <w:t>12</w:t>
            </w:r>
          </w:p>
        </w:tc>
        <w:tc>
          <w:tcPr>
            <w:tcW w:w="626" w:type="pct"/>
            <w:noWrap/>
            <w:tcMar>
              <w:left w:w="28" w:type="dxa"/>
              <w:right w:w="28" w:type="dxa"/>
            </w:tcMar>
          </w:tcPr>
          <w:p w:rsidR="000914B9" w:rsidRPr="00F7369B" w:rsidRDefault="000914B9" w:rsidP="000914B9">
            <w:pPr>
              <w:pStyle w:val="TableCentre"/>
              <w:rPr>
                <w:rFonts w:ascii="Arial Narrow" w:hAnsi="Arial Narrow" w:cstheme="minorHAnsi"/>
                <w:color w:val="000000"/>
                <w:sz w:val="20"/>
                <w:szCs w:val="20"/>
              </w:rPr>
            </w:pPr>
            <w:r w:rsidRPr="00F7369B">
              <w:rPr>
                <w:rFonts w:ascii="Arial Narrow" w:hAnsi="Arial Narrow" w:cstheme="minorHAnsi"/>
                <w:color w:val="000000"/>
                <w:sz w:val="20"/>
                <w:szCs w:val="20"/>
              </w:rPr>
              <w:t>-$</w:t>
            </w:r>
            <w:r w:rsidR="0007305C">
              <w:rPr>
                <w:rFonts w:ascii="Arial Narrow" w:hAnsi="Arial Narrow" w:cstheme="minorHAnsi"/>
                <w:noProof/>
                <w:color w:val="000000"/>
                <w:sz w:val="20"/>
                <w:szCs w:val="20"/>
                <w:highlight w:val="black"/>
              </w:rPr>
              <w:t>'''''''''''''''''''''''''</w:t>
            </w:r>
            <w:r w:rsidR="00F50588">
              <w:rPr>
                <w:rFonts w:ascii="Arial Narrow" w:hAnsi="Arial Narrow" w:cstheme="minorHAnsi"/>
                <w:color w:val="000000"/>
                <w:sz w:val="20"/>
                <w:szCs w:val="20"/>
                <w:vertAlign w:val="superscript"/>
              </w:rPr>
              <w:t>12</w:t>
            </w:r>
          </w:p>
        </w:tc>
        <w:tc>
          <w:tcPr>
            <w:tcW w:w="626" w:type="pct"/>
            <w:noWrap/>
            <w:tcMar>
              <w:left w:w="28" w:type="dxa"/>
              <w:right w:w="28" w:type="dxa"/>
            </w:tcMar>
          </w:tcPr>
          <w:p w:rsidR="000914B9" w:rsidRPr="00F7369B" w:rsidRDefault="000914B9" w:rsidP="000914B9">
            <w:pPr>
              <w:pStyle w:val="TableCentre"/>
              <w:rPr>
                <w:rFonts w:ascii="Arial Narrow" w:hAnsi="Arial Narrow" w:cstheme="minorHAnsi"/>
                <w:color w:val="000000"/>
                <w:sz w:val="20"/>
                <w:szCs w:val="20"/>
              </w:rPr>
            </w:pPr>
            <w:r w:rsidRPr="00F7369B">
              <w:rPr>
                <w:rFonts w:ascii="Arial Narrow" w:hAnsi="Arial Narrow" w:cstheme="minorHAnsi"/>
                <w:color w:val="000000"/>
                <w:sz w:val="20"/>
                <w:szCs w:val="20"/>
              </w:rPr>
              <w:t>-$</w:t>
            </w:r>
            <w:r w:rsidR="00B278E5">
              <w:rPr>
                <w:rFonts w:ascii="Arial Narrow" w:hAnsi="Arial Narrow" w:cstheme="minorHAnsi"/>
                <w:noProof/>
                <w:color w:val="000000"/>
                <w:sz w:val="20"/>
                <w:szCs w:val="20"/>
                <w:highlight w:val="black"/>
              </w:rPr>
              <w:t>''''''''''''''''''''''''</w:t>
            </w:r>
            <w:r w:rsidR="0007305C">
              <w:rPr>
                <w:rFonts w:ascii="Arial Narrow" w:hAnsi="Arial Narrow" w:cstheme="minorHAnsi"/>
                <w:noProof/>
                <w:color w:val="000000"/>
                <w:sz w:val="20"/>
                <w:szCs w:val="20"/>
                <w:highlight w:val="black"/>
              </w:rPr>
              <w:t>'</w:t>
            </w:r>
            <w:r w:rsidR="00F50588">
              <w:rPr>
                <w:rFonts w:ascii="Arial Narrow" w:hAnsi="Arial Narrow" w:cstheme="minorHAnsi"/>
                <w:color w:val="000000"/>
                <w:sz w:val="20"/>
                <w:szCs w:val="20"/>
                <w:vertAlign w:val="superscript"/>
              </w:rPr>
              <w:t>12</w:t>
            </w:r>
          </w:p>
        </w:tc>
        <w:tc>
          <w:tcPr>
            <w:tcW w:w="625" w:type="pct"/>
            <w:noWrap/>
            <w:tcMar>
              <w:left w:w="28" w:type="dxa"/>
              <w:right w:w="28" w:type="dxa"/>
            </w:tcMar>
          </w:tcPr>
          <w:p w:rsidR="000914B9" w:rsidRPr="00F7369B" w:rsidRDefault="000914B9" w:rsidP="000914B9">
            <w:pPr>
              <w:pStyle w:val="TableCentre"/>
              <w:rPr>
                <w:rFonts w:ascii="Arial Narrow" w:hAnsi="Arial Narrow" w:cstheme="minorHAnsi"/>
                <w:color w:val="000000"/>
                <w:sz w:val="20"/>
                <w:szCs w:val="20"/>
              </w:rPr>
            </w:pPr>
            <w:r w:rsidRPr="00F7369B">
              <w:rPr>
                <w:rFonts w:ascii="Arial Narrow" w:hAnsi="Arial Narrow" w:cstheme="minorHAnsi"/>
                <w:color w:val="000000"/>
                <w:sz w:val="20"/>
                <w:szCs w:val="20"/>
              </w:rPr>
              <w:t>-$</w:t>
            </w:r>
            <w:r w:rsidR="00B278E5">
              <w:rPr>
                <w:rFonts w:ascii="Arial Narrow" w:hAnsi="Arial Narrow" w:cstheme="minorHAnsi"/>
                <w:noProof/>
                <w:color w:val="000000"/>
                <w:sz w:val="20"/>
                <w:szCs w:val="20"/>
                <w:highlight w:val="black"/>
              </w:rPr>
              <w:t>''''''''''''''''''''''''</w:t>
            </w:r>
            <w:r w:rsidR="0007305C">
              <w:rPr>
                <w:rFonts w:ascii="Arial Narrow" w:hAnsi="Arial Narrow" w:cstheme="minorHAnsi"/>
                <w:noProof/>
                <w:color w:val="000000"/>
                <w:sz w:val="20"/>
                <w:szCs w:val="20"/>
                <w:highlight w:val="black"/>
              </w:rPr>
              <w:t>'</w:t>
            </w:r>
            <w:r w:rsidR="00F50588">
              <w:rPr>
                <w:rFonts w:ascii="Arial Narrow" w:hAnsi="Arial Narrow" w:cstheme="minorHAnsi"/>
                <w:color w:val="000000"/>
                <w:sz w:val="20"/>
                <w:szCs w:val="20"/>
                <w:vertAlign w:val="superscript"/>
              </w:rPr>
              <w:t>12</w:t>
            </w:r>
          </w:p>
        </w:tc>
        <w:tc>
          <w:tcPr>
            <w:tcW w:w="626" w:type="pct"/>
            <w:noWrap/>
            <w:tcMar>
              <w:left w:w="28" w:type="dxa"/>
              <w:right w:w="28" w:type="dxa"/>
            </w:tcMar>
          </w:tcPr>
          <w:p w:rsidR="000914B9" w:rsidRPr="00F7369B" w:rsidRDefault="000914B9" w:rsidP="000914B9">
            <w:pPr>
              <w:pStyle w:val="TableCentre"/>
              <w:rPr>
                <w:rFonts w:ascii="Arial Narrow" w:hAnsi="Arial Narrow" w:cstheme="minorHAnsi"/>
                <w:color w:val="000000"/>
                <w:sz w:val="20"/>
                <w:szCs w:val="20"/>
              </w:rPr>
            </w:pPr>
            <w:r w:rsidRPr="00F7369B">
              <w:rPr>
                <w:rFonts w:ascii="Arial Narrow" w:hAnsi="Arial Narrow" w:cstheme="minorHAnsi"/>
                <w:color w:val="000000"/>
                <w:sz w:val="20"/>
                <w:szCs w:val="20"/>
              </w:rPr>
              <w:t>-$</w:t>
            </w:r>
            <w:r w:rsidR="00B278E5">
              <w:rPr>
                <w:rFonts w:ascii="Arial Narrow" w:hAnsi="Arial Narrow" w:cstheme="minorHAnsi"/>
                <w:noProof/>
                <w:color w:val="000000"/>
                <w:sz w:val="20"/>
                <w:szCs w:val="20"/>
                <w:highlight w:val="black"/>
              </w:rPr>
              <w:t>'''''''''''''''''''''</w:t>
            </w:r>
            <w:r w:rsidR="0007305C">
              <w:rPr>
                <w:rFonts w:ascii="Arial Narrow" w:hAnsi="Arial Narrow" w:cstheme="minorHAnsi"/>
                <w:noProof/>
                <w:color w:val="000000"/>
                <w:sz w:val="20"/>
                <w:szCs w:val="20"/>
                <w:highlight w:val="black"/>
              </w:rPr>
              <w:t>''''</w:t>
            </w:r>
            <w:r w:rsidR="00F50588">
              <w:rPr>
                <w:rFonts w:ascii="Arial Narrow" w:hAnsi="Arial Narrow" w:cstheme="minorHAnsi"/>
                <w:color w:val="000000"/>
                <w:sz w:val="20"/>
                <w:szCs w:val="20"/>
                <w:vertAlign w:val="superscript"/>
              </w:rPr>
              <w:t>12</w:t>
            </w:r>
          </w:p>
        </w:tc>
        <w:tc>
          <w:tcPr>
            <w:tcW w:w="624" w:type="pct"/>
            <w:noWrap/>
            <w:tcMar>
              <w:left w:w="28" w:type="dxa"/>
              <w:right w:w="28" w:type="dxa"/>
            </w:tcMar>
          </w:tcPr>
          <w:p w:rsidR="000914B9" w:rsidRPr="00F7369B" w:rsidRDefault="000914B9" w:rsidP="000914B9">
            <w:pPr>
              <w:pStyle w:val="TableCentre"/>
              <w:rPr>
                <w:rFonts w:ascii="Arial Narrow" w:hAnsi="Arial Narrow" w:cstheme="minorHAnsi"/>
                <w:color w:val="000000"/>
                <w:sz w:val="20"/>
                <w:szCs w:val="20"/>
              </w:rPr>
            </w:pPr>
            <w:r w:rsidRPr="00F7369B">
              <w:rPr>
                <w:rFonts w:ascii="Arial Narrow" w:hAnsi="Arial Narrow" w:cstheme="minorHAnsi"/>
                <w:color w:val="000000"/>
                <w:sz w:val="20"/>
                <w:szCs w:val="20"/>
              </w:rPr>
              <w:t>-$</w:t>
            </w:r>
            <w:r w:rsidR="0007305C">
              <w:rPr>
                <w:rFonts w:ascii="Arial Narrow" w:hAnsi="Arial Narrow" w:cstheme="minorHAnsi"/>
                <w:noProof/>
                <w:color w:val="000000"/>
                <w:sz w:val="20"/>
                <w:szCs w:val="20"/>
                <w:highlight w:val="black"/>
              </w:rPr>
              <w:t>'''''''''''''''''''''''''</w:t>
            </w:r>
            <w:r w:rsidR="00F50588">
              <w:rPr>
                <w:rFonts w:ascii="Arial Narrow" w:hAnsi="Arial Narrow" w:cstheme="minorHAnsi"/>
                <w:color w:val="000000"/>
                <w:sz w:val="20"/>
                <w:szCs w:val="20"/>
                <w:vertAlign w:val="superscript"/>
              </w:rPr>
              <w:t>12</w:t>
            </w:r>
          </w:p>
        </w:tc>
      </w:tr>
      <w:tr w:rsidR="00B776D2" w:rsidRPr="00F7369B" w:rsidTr="00B776D2">
        <w:trPr>
          <w:trHeight w:val="198"/>
        </w:trPr>
        <w:tc>
          <w:tcPr>
            <w:tcW w:w="1248" w:type="pct"/>
            <w:noWrap/>
            <w:tcMar>
              <w:left w:w="28" w:type="dxa"/>
              <w:right w:w="28" w:type="dxa"/>
            </w:tcMar>
          </w:tcPr>
          <w:p w:rsidR="000914B9" w:rsidRPr="00F7369B" w:rsidRDefault="000914B9" w:rsidP="000914B9">
            <w:pPr>
              <w:pStyle w:val="Table"/>
              <w:rPr>
                <w:rStyle w:val="Small"/>
                <w:rFonts w:ascii="Arial Narrow" w:hAnsi="Arial Narrow"/>
                <w:b/>
                <w:bCs/>
                <w:sz w:val="20"/>
                <w:szCs w:val="20"/>
              </w:rPr>
            </w:pPr>
            <w:r w:rsidRPr="00F7369B">
              <w:rPr>
                <w:rStyle w:val="Small"/>
                <w:rFonts w:ascii="Arial Narrow" w:hAnsi="Arial Narrow"/>
                <w:b/>
                <w:bCs/>
                <w:sz w:val="20"/>
                <w:szCs w:val="20"/>
              </w:rPr>
              <w:t>NET cost to NIP</w:t>
            </w:r>
          </w:p>
        </w:tc>
        <w:tc>
          <w:tcPr>
            <w:tcW w:w="625" w:type="pct"/>
            <w:noWrap/>
            <w:tcMar>
              <w:left w:w="28" w:type="dxa"/>
              <w:right w:w="28" w:type="dxa"/>
            </w:tcMar>
          </w:tcPr>
          <w:p w:rsidR="000914B9" w:rsidRPr="00F50588" w:rsidRDefault="000914B9" w:rsidP="000914B9">
            <w:pPr>
              <w:pStyle w:val="TableCentre"/>
              <w:rPr>
                <w:rFonts w:ascii="Arial Narrow" w:hAnsi="Arial Narrow" w:cstheme="minorHAnsi"/>
                <w:sz w:val="20"/>
                <w:szCs w:val="20"/>
                <w:vertAlign w:val="superscript"/>
              </w:rPr>
            </w:pPr>
            <w:r w:rsidRPr="00F7369B">
              <w:rPr>
                <w:rFonts w:ascii="Arial Narrow" w:hAnsi="Arial Narrow" w:cstheme="minorHAnsi"/>
                <w:sz w:val="20"/>
                <w:szCs w:val="20"/>
              </w:rPr>
              <w:t>$</w:t>
            </w:r>
            <w:r w:rsidR="0007305C">
              <w:rPr>
                <w:rFonts w:ascii="Arial Narrow" w:hAnsi="Arial Narrow" w:cstheme="minorHAnsi"/>
                <w:noProof/>
                <w:color w:val="000000"/>
                <w:sz w:val="20"/>
                <w:szCs w:val="20"/>
                <w:highlight w:val="black"/>
              </w:rPr>
              <w:t>''''</w:t>
            </w:r>
            <w:r w:rsidR="00F50588">
              <w:rPr>
                <w:rFonts w:ascii="Arial Narrow" w:hAnsi="Arial Narrow" w:cstheme="minorHAnsi"/>
                <w:sz w:val="20"/>
                <w:szCs w:val="20"/>
                <w:vertAlign w:val="superscript"/>
              </w:rPr>
              <w:t>13</w:t>
            </w:r>
          </w:p>
        </w:tc>
        <w:tc>
          <w:tcPr>
            <w:tcW w:w="626" w:type="pct"/>
            <w:noWrap/>
            <w:tcMar>
              <w:left w:w="28" w:type="dxa"/>
              <w:right w:w="28" w:type="dxa"/>
            </w:tcMar>
          </w:tcPr>
          <w:p w:rsidR="000914B9" w:rsidRPr="00F7369B" w:rsidRDefault="000914B9" w:rsidP="000914B9">
            <w:pPr>
              <w:pStyle w:val="TableCentre"/>
              <w:rPr>
                <w:rFonts w:ascii="Arial Narrow" w:hAnsi="Arial Narrow" w:cstheme="minorHAnsi"/>
                <w:sz w:val="20"/>
                <w:szCs w:val="20"/>
              </w:rPr>
            </w:pPr>
            <w:r w:rsidRPr="00F7369B">
              <w:rPr>
                <w:rFonts w:ascii="Arial Narrow" w:hAnsi="Arial Narrow" w:cstheme="minorHAnsi"/>
                <w:sz w:val="20"/>
                <w:szCs w:val="20"/>
              </w:rPr>
              <w:t>$</w:t>
            </w:r>
            <w:r w:rsidR="0007305C">
              <w:rPr>
                <w:rFonts w:ascii="Arial Narrow" w:hAnsi="Arial Narrow" w:cstheme="minorHAnsi"/>
                <w:noProof/>
                <w:color w:val="000000"/>
                <w:sz w:val="20"/>
                <w:szCs w:val="20"/>
                <w:highlight w:val="black"/>
              </w:rPr>
              <w:t>'''</w:t>
            </w:r>
            <w:r w:rsidR="00F50588">
              <w:rPr>
                <w:rFonts w:ascii="Arial Narrow" w:hAnsi="Arial Narrow" w:cstheme="minorHAnsi"/>
                <w:sz w:val="20"/>
                <w:szCs w:val="20"/>
                <w:vertAlign w:val="superscript"/>
              </w:rPr>
              <w:t>13</w:t>
            </w:r>
          </w:p>
        </w:tc>
        <w:tc>
          <w:tcPr>
            <w:tcW w:w="626" w:type="pct"/>
            <w:noWrap/>
            <w:tcMar>
              <w:left w:w="28" w:type="dxa"/>
              <w:right w:w="28" w:type="dxa"/>
            </w:tcMar>
          </w:tcPr>
          <w:p w:rsidR="000914B9" w:rsidRPr="00F7369B" w:rsidRDefault="000914B9" w:rsidP="000914B9">
            <w:pPr>
              <w:pStyle w:val="TableCentre"/>
              <w:rPr>
                <w:rFonts w:ascii="Arial Narrow" w:hAnsi="Arial Narrow" w:cstheme="minorHAnsi"/>
                <w:sz w:val="20"/>
                <w:szCs w:val="20"/>
              </w:rPr>
            </w:pPr>
            <w:r w:rsidRPr="00F7369B">
              <w:rPr>
                <w:rFonts w:ascii="Arial Narrow" w:hAnsi="Arial Narrow" w:cstheme="minorHAnsi"/>
                <w:sz w:val="20"/>
                <w:szCs w:val="20"/>
              </w:rPr>
              <w:t>$</w:t>
            </w:r>
            <w:r w:rsidR="0007305C">
              <w:rPr>
                <w:rFonts w:ascii="Arial Narrow" w:hAnsi="Arial Narrow" w:cstheme="minorHAnsi"/>
                <w:noProof/>
                <w:color w:val="000000"/>
                <w:sz w:val="20"/>
                <w:szCs w:val="20"/>
                <w:highlight w:val="black"/>
              </w:rPr>
              <w:t>''''</w:t>
            </w:r>
            <w:r w:rsidR="00F50588">
              <w:rPr>
                <w:rFonts w:ascii="Arial Narrow" w:hAnsi="Arial Narrow" w:cstheme="minorHAnsi"/>
                <w:sz w:val="20"/>
                <w:szCs w:val="20"/>
                <w:vertAlign w:val="superscript"/>
              </w:rPr>
              <w:t>13</w:t>
            </w:r>
          </w:p>
        </w:tc>
        <w:tc>
          <w:tcPr>
            <w:tcW w:w="625" w:type="pct"/>
            <w:noWrap/>
            <w:tcMar>
              <w:left w:w="28" w:type="dxa"/>
              <w:right w:w="28" w:type="dxa"/>
            </w:tcMar>
          </w:tcPr>
          <w:p w:rsidR="000914B9" w:rsidRPr="00F7369B" w:rsidRDefault="000914B9" w:rsidP="000914B9">
            <w:pPr>
              <w:pStyle w:val="TableCentre"/>
              <w:rPr>
                <w:rFonts w:ascii="Arial Narrow" w:hAnsi="Arial Narrow" w:cstheme="minorHAnsi"/>
                <w:sz w:val="20"/>
                <w:szCs w:val="20"/>
              </w:rPr>
            </w:pPr>
            <w:r w:rsidRPr="00F7369B">
              <w:rPr>
                <w:rFonts w:ascii="Arial Narrow" w:hAnsi="Arial Narrow" w:cstheme="minorHAnsi"/>
                <w:sz w:val="20"/>
                <w:szCs w:val="20"/>
              </w:rPr>
              <w:t>$</w:t>
            </w:r>
            <w:r w:rsidR="0007305C">
              <w:rPr>
                <w:rFonts w:ascii="Arial Narrow" w:hAnsi="Arial Narrow" w:cstheme="minorHAnsi"/>
                <w:noProof/>
                <w:color w:val="000000"/>
                <w:sz w:val="20"/>
                <w:szCs w:val="20"/>
                <w:highlight w:val="black"/>
              </w:rPr>
              <w:t>'''</w:t>
            </w:r>
            <w:r w:rsidR="00F50588">
              <w:rPr>
                <w:rFonts w:ascii="Arial Narrow" w:hAnsi="Arial Narrow" w:cstheme="minorHAnsi"/>
                <w:sz w:val="20"/>
                <w:szCs w:val="20"/>
                <w:vertAlign w:val="superscript"/>
              </w:rPr>
              <w:t>13</w:t>
            </w:r>
          </w:p>
        </w:tc>
        <w:tc>
          <w:tcPr>
            <w:tcW w:w="626" w:type="pct"/>
            <w:noWrap/>
            <w:tcMar>
              <w:left w:w="28" w:type="dxa"/>
              <w:right w:w="28" w:type="dxa"/>
            </w:tcMar>
          </w:tcPr>
          <w:p w:rsidR="000914B9" w:rsidRPr="00F7369B" w:rsidRDefault="000914B9" w:rsidP="000914B9">
            <w:pPr>
              <w:pStyle w:val="TableCentre"/>
              <w:rPr>
                <w:rFonts w:ascii="Arial Narrow" w:hAnsi="Arial Narrow" w:cstheme="minorHAnsi"/>
                <w:sz w:val="20"/>
                <w:szCs w:val="20"/>
              </w:rPr>
            </w:pPr>
            <w:r w:rsidRPr="00F7369B">
              <w:rPr>
                <w:rFonts w:ascii="Arial Narrow" w:hAnsi="Arial Narrow" w:cstheme="minorHAnsi"/>
                <w:sz w:val="20"/>
                <w:szCs w:val="20"/>
              </w:rPr>
              <w:t>$</w:t>
            </w:r>
            <w:r w:rsidR="0007305C">
              <w:rPr>
                <w:rFonts w:ascii="Arial Narrow" w:hAnsi="Arial Narrow" w:cstheme="minorHAnsi"/>
                <w:noProof/>
                <w:color w:val="000000"/>
                <w:sz w:val="20"/>
                <w:szCs w:val="20"/>
                <w:highlight w:val="black"/>
              </w:rPr>
              <w:t>'''</w:t>
            </w:r>
            <w:r w:rsidR="00F50588">
              <w:rPr>
                <w:rFonts w:ascii="Arial Narrow" w:hAnsi="Arial Narrow" w:cstheme="minorHAnsi"/>
                <w:sz w:val="20"/>
                <w:szCs w:val="20"/>
                <w:vertAlign w:val="superscript"/>
              </w:rPr>
              <w:t>13</w:t>
            </w:r>
          </w:p>
        </w:tc>
        <w:tc>
          <w:tcPr>
            <w:tcW w:w="624" w:type="pct"/>
            <w:noWrap/>
            <w:tcMar>
              <w:left w:w="28" w:type="dxa"/>
              <w:right w:w="28" w:type="dxa"/>
            </w:tcMar>
          </w:tcPr>
          <w:p w:rsidR="000914B9" w:rsidRPr="00F7369B" w:rsidRDefault="000914B9" w:rsidP="000914B9">
            <w:pPr>
              <w:pStyle w:val="TableCentre"/>
              <w:rPr>
                <w:rFonts w:ascii="Arial Narrow" w:hAnsi="Arial Narrow" w:cstheme="minorHAnsi"/>
                <w:sz w:val="20"/>
                <w:szCs w:val="20"/>
              </w:rPr>
            </w:pPr>
            <w:r w:rsidRPr="00F7369B">
              <w:rPr>
                <w:rFonts w:ascii="Arial Narrow" w:hAnsi="Arial Narrow" w:cstheme="minorHAnsi"/>
                <w:sz w:val="20"/>
                <w:szCs w:val="20"/>
              </w:rPr>
              <w:t>$</w:t>
            </w:r>
            <w:r w:rsidR="0007305C">
              <w:rPr>
                <w:rFonts w:ascii="Arial Narrow" w:hAnsi="Arial Narrow" w:cstheme="minorHAnsi"/>
                <w:noProof/>
                <w:color w:val="000000"/>
                <w:sz w:val="20"/>
                <w:szCs w:val="20"/>
                <w:highlight w:val="black"/>
              </w:rPr>
              <w:t>''''</w:t>
            </w:r>
            <w:r w:rsidR="00F50588">
              <w:rPr>
                <w:rFonts w:ascii="Arial Narrow" w:hAnsi="Arial Narrow" w:cstheme="minorHAnsi"/>
                <w:sz w:val="20"/>
                <w:szCs w:val="20"/>
                <w:vertAlign w:val="superscript"/>
              </w:rPr>
              <w:t>13</w:t>
            </w:r>
          </w:p>
        </w:tc>
      </w:tr>
    </w:tbl>
    <w:p w:rsidR="004405E5" w:rsidRDefault="004405E5" w:rsidP="00D953E0">
      <w:pPr>
        <w:pStyle w:val="3-BodyText"/>
        <w:numPr>
          <w:ilvl w:val="0"/>
          <w:numId w:val="0"/>
        </w:numPr>
        <w:spacing w:after="0"/>
        <w:rPr>
          <w:rFonts w:ascii="Arial Narrow" w:hAnsi="Arial Narrow" w:cstheme="minorHAnsi"/>
          <w:sz w:val="18"/>
          <w:szCs w:val="18"/>
        </w:rPr>
      </w:pPr>
      <w:r w:rsidRPr="00F7369B">
        <w:rPr>
          <w:rFonts w:ascii="Arial Narrow" w:hAnsi="Arial Narrow" w:cstheme="minorHAnsi"/>
          <w:sz w:val="18"/>
          <w:szCs w:val="18"/>
        </w:rPr>
        <w:t>Source: Table 4.2 of the submission and section 4 budget impact Excel spreadsheet.</w:t>
      </w:r>
    </w:p>
    <w:p w:rsidR="00F50588" w:rsidRDefault="00F50588" w:rsidP="00D953E0">
      <w:pPr>
        <w:pStyle w:val="3-BodyText"/>
        <w:numPr>
          <w:ilvl w:val="0"/>
          <w:numId w:val="0"/>
        </w:numPr>
        <w:spacing w:after="0"/>
        <w:rPr>
          <w:rFonts w:ascii="Arial Narrow" w:hAnsi="Arial Narrow" w:cstheme="minorHAnsi"/>
          <w:i/>
          <w:sz w:val="18"/>
          <w:szCs w:val="18"/>
        </w:rPr>
      </w:pPr>
      <w:r>
        <w:rPr>
          <w:rFonts w:ascii="Arial Narrow" w:hAnsi="Arial Narrow" w:cstheme="minorHAnsi"/>
          <w:i/>
          <w:sz w:val="18"/>
          <w:szCs w:val="18"/>
        </w:rPr>
        <w:t>The redacted values correspond to the following ranges:</w:t>
      </w:r>
    </w:p>
    <w:p w:rsidR="00F50588" w:rsidRPr="00A441BA" w:rsidRDefault="00F50588" w:rsidP="00D953E0">
      <w:pPr>
        <w:pStyle w:val="3-BodyText"/>
        <w:numPr>
          <w:ilvl w:val="0"/>
          <w:numId w:val="0"/>
        </w:numPr>
        <w:spacing w:after="0"/>
        <w:rPr>
          <w:rFonts w:ascii="Arial Narrow" w:hAnsi="Arial Narrow" w:cstheme="minorHAnsi"/>
          <w:sz w:val="18"/>
          <w:szCs w:val="18"/>
        </w:rPr>
      </w:pPr>
      <w:r>
        <w:rPr>
          <w:rFonts w:ascii="Arial Narrow" w:hAnsi="Arial Narrow" w:cstheme="minorHAnsi"/>
          <w:i/>
          <w:sz w:val="18"/>
          <w:szCs w:val="18"/>
          <w:vertAlign w:val="superscript"/>
        </w:rPr>
        <w:t>1</w:t>
      </w:r>
      <w:r w:rsidR="00A441BA">
        <w:rPr>
          <w:rFonts w:ascii="Arial Narrow" w:hAnsi="Arial Narrow" w:cstheme="minorHAnsi"/>
          <w:i/>
          <w:sz w:val="18"/>
          <w:szCs w:val="18"/>
        </w:rPr>
        <w:t xml:space="preserve"> 300,000 to &lt; 400,000</w:t>
      </w:r>
    </w:p>
    <w:p w:rsidR="00F50588" w:rsidRPr="00A441BA" w:rsidRDefault="00F50588" w:rsidP="00F50588">
      <w:pPr>
        <w:pStyle w:val="3-BodyText"/>
        <w:numPr>
          <w:ilvl w:val="0"/>
          <w:numId w:val="0"/>
        </w:numPr>
        <w:spacing w:after="0"/>
        <w:rPr>
          <w:rFonts w:ascii="Arial Narrow" w:hAnsi="Arial Narrow" w:cstheme="minorHAnsi"/>
          <w:i/>
          <w:sz w:val="18"/>
          <w:szCs w:val="18"/>
        </w:rPr>
      </w:pPr>
      <w:r>
        <w:rPr>
          <w:rFonts w:ascii="Arial Narrow" w:hAnsi="Arial Narrow" w:cstheme="minorHAnsi"/>
          <w:i/>
          <w:sz w:val="18"/>
          <w:szCs w:val="18"/>
          <w:vertAlign w:val="superscript"/>
        </w:rPr>
        <w:t>2</w:t>
      </w:r>
      <w:r w:rsidR="00A441BA">
        <w:rPr>
          <w:rFonts w:ascii="Arial Narrow" w:hAnsi="Arial Narrow" w:cstheme="minorHAnsi"/>
          <w:i/>
          <w:sz w:val="18"/>
          <w:szCs w:val="18"/>
        </w:rPr>
        <w:t xml:space="preserve"> 1,000,000 to &lt; 2,000,000</w:t>
      </w:r>
    </w:p>
    <w:p w:rsidR="00F50588" w:rsidRPr="002B6AA6" w:rsidRDefault="00F50588" w:rsidP="00F50588">
      <w:pPr>
        <w:pStyle w:val="3-BodyText"/>
        <w:numPr>
          <w:ilvl w:val="0"/>
          <w:numId w:val="0"/>
        </w:numPr>
        <w:spacing w:after="0"/>
        <w:rPr>
          <w:rFonts w:ascii="Arial Narrow" w:hAnsi="Arial Narrow" w:cstheme="minorHAnsi"/>
          <w:i/>
          <w:sz w:val="18"/>
          <w:szCs w:val="18"/>
        </w:rPr>
      </w:pPr>
      <w:r>
        <w:rPr>
          <w:rFonts w:ascii="Arial Narrow" w:hAnsi="Arial Narrow" w:cstheme="minorHAnsi"/>
          <w:i/>
          <w:sz w:val="18"/>
          <w:szCs w:val="18"/>
          <w:vertAlign w:val="superscript"/>
        </w:rPr>
        <w:t>3</w:t>
      </w:r>
      <w:r w:rsidR="002B6AA6">
        <w:rPr>
          <w:rFonts w:ascii="Arial Narrow" w:hAnsi="Arial Narrow" w:cstheme="minorHAnsi"/>
          <w:i/>
          <w:sz w:val="18"/>
          <w:szCs w:val="18"/>
        </w:rPr>
        <w:t xml:space="preserve"> 800,000 to &lt; 900,000</w:t>
      </w:r>
    </w:p>
    <w:p w:rsidR="00F50588" w:rsidRPr="002B6AA6" w:rsidRDefault="00F50588" w:rsidP="00F50588">
      <w:pPr>
        <w:pStyle w:val="3-BodyText"/>
        <w:numPr>
          <w:ilvl w:val="0"/>
          <w:numId w:val="0"/>
        </w:numPr>
        <w:spacing w:after="0"/>
        <w:rPr>
          <w:rFonts w:ascii="Arial Narrow" w:hAnsi="Arial Narrow" w:cstheme="minorHAnsi"/>
          <w:i/>
          <w:sz w:val="18"/>
          <w:szCs w:val="18"/>
        </w:rPr>
      </w:pPr>
      <w:r>
        <w:rPr>
          <w:rFonts w:ascii="Arial Narrow" w:hAnsi="Arial Narrow" w:cstheme="minorHAnsi"/>
          <w:i/>
          <w:sz w:val="18"/>
          <w:szCs w:val="18"/>
          <w:vertAlign w:val="superscript"/>
        </w:rPr>
        <w:t>4</w:t>
      </w:r>
      <w:r w:rsidR="002B6AA6">
        <w:rPr>
          <w:rFonts w:ascii="Arial Narrow" w:hAnsi="Arial Narrow" w:cstheme="minorHAnsi"/>
          <w:i/>
          <w:sz w:val="18"/>
          <w:szCs w:val="18"/>
        </w:rPr>
        <w:t xml:space="preserve"> 600,000 to &lt; 700,000</w:t>
      </w:r>
    </w:p>
    <w:p w:rsidR="00F50588" w:rsidRPr="002B6AA6" w:rsidRDefault="00F50588" w:rsidP="00F50588">
      <w:pPr>
        <w:pStyle w:val="3-BodyText"/>
        <w:numPr>
          <w:ilvl w:val="0"/>
          <w:numId w:val="0"/>
        </w:numPr>
        <w:spacing w:after="0"/>
        <w:rPr>
          <w:rFonts w:ascii="Arial Narrow" w:hAnsi="Arial Narrow" w:cstheme="minorHAnsi"/>
          <w:i/>
          <w:sz w:val="18"/>
          <w:szCs w:val="18"/>
        </w:rPr>
      </w:pPr>
      <w:r>
        <w:rPr>
          <w:rFonts w:ascii="Arial Narrow" w:hAnsi="Arial Narrow" w:cstheme="minorHAnsi"/>
          <w:i/>
          <w:sz w:val="18"/>
          <w:szCs w:val="18"/>
          <w:vertAlign w:val="superscript"/>
        </w:rPr>
        <w:t>5</w:t>
      </w:r>
      <w:r w:rsidR="002B6AA6">
        <w:rPr>
          <w:rFonts w:ascii="Arial Narrow" w:hAnsi="Arial Narrow" w:cstheme="minorHAnsi"/>
          <w:i/>
          <w:sz w:val="18"/>
          <w:szCs w:val="18"/>
        </w:rPr>
        <w:t xml:space="preserve"> 400,000 to &lt; 500,000 </w:t>
      </w:r>
    </w:p>
    <w:p w:rsidR="00F50588" w:rsidRPr="002B6AA6" w:rsidRDefault="00F50588" w:rsidP="00F50588">
      <w:pPr>
        <w:pStyle w:val="3-BodyText"/>
        <w:numPr>
          <w:ilvl w:val="0"/>
          <w:numId w:val="0"/>
        </w:numPr>
        <w:spacing w:after="0"/>
        <w:rPr>
          <w:rFonts w:ascii="Arial Narrow" w:hAnsi="Arial Narrow" w:cstheme="minorHAnsi"/>
          <w:i/>
          <w:sz w:val="18"/>
          <w:szCs w:val="18"/>
        </w:rPr>
      </w:pPr>
      <w:r>
        <w:rPr>
          <w:rFonts w:ascii="Arial Narrow" w:hAnsi="Arial Narrow" w:cstheme="minorHAnsi"/>
          <w:i/>
          <w:sz w:val="18"/>
          <w:szCs w:val="18"/>
          <w:vertAlign w:val="superscript"/>
        </w:rPr>
        <w:t>6</w:t>
      </w:r>
      <w:r w:rsidR="002B6AA6">
        <w:rPr>
          <w:rFonts w:ascii="Arial Narrow" w:hAnsi="Arial Narrow" w:cstheme="minorHAnsi"/>
          <w:i/>
          <w:sz w:val="18"/>
          <w:szCs w:val="18"/>
        </w:rPr>
        <w:t xml:space="preserve"> 200,000 to &lt; 300,000</w:t>
      </w:r>
    </w:p>
    <w:p w:rsidR="00F50588" w:rsidRPr="00A441BA" w:rsidRDefault="00F50588" w:rsidP="00F50588">
      <w:pPr>
        <w:pStyle w:val="3-BodyText"/>
        <w:numPr>
          <w:ilvl w:val="0"/>
          <w:numId w:val="0"/>
        </w:numPr>
        <w:spacing w:after="0"/>
        <w:rPr>
          <w:rFonts w:ascii="Arial Narrow" w:hAnsi="Arial Narrow" w:cstheme="minorHAnsi"/>
          <w:i/>
          <w:sz w:val="18"/>
          <w:szCs w:val="18"/>
        </w:rPr>
      </w:pPr>
      <w:r>
        <w:rPr>
          <w:rFonts w:ascii="Arial Narrow" w:hAnsi="Arial Narrow" w:cstheme="minorHAnsi"/>
          <w:i/>
          <w:sz w:val="18"/>
          <w:szCs w:val="18"/>
          <w:vertAlign w:val="superscript"/>
        </w:rPr>
        <w:t>7</w:t>
      </w:r>
      <w:r w:rsidR="00A441BA">
        <w:rPr>
          <w:rFonts w:ascii="Arial Narrow" w:hAnsi="Arial Narrow" w:cstheme="minorHAnsi"/>
          <w:i/>
          <w:sz w:val="18"/>
          <w:szCs w:val="18"/>
        </w:rPr>
        <w:t xml:space="preserve"> 500 to &lt;5,000</w:t>
      </w:r>
    </w:p>
    <w:p w:rsidR="00F50588" w:rsidRPr="002B6AA6" w:rsidRDefault="00A441BA" w:rsidP="00F50588">
      <w:pPr>
        <w:pStyle w:val="3-BodyText"/>
        <w:numPr>
          <w:ilvl w:val="0"/>
          <w:numId w:val="0"/>
        </w:numPr>
        <w:spacing w:after="0"/>
        <w:rPr>
          <w:rFonts w:ascii="Arial Narrow" w:hAnsi="Arial Narrow" w:cstheme="minorHAnsi"/>
          <w:i/>
          <w:sz w:val="18"/>
          <w:szCs w:val="18"/>
        </w:rPr>
      </w:pPr>
      <w:r>
        <w:rPr>
          <w:rFonts w:ascii="Arial Narrow" w:hAnsi="Arial Narrow" w:cstheme="minorHAnsi"/>
          <w:i/>
          <w:sz w:val="18"/>
          <w:szCs w:val="18"/>
          <w:vertAlign w:val="superscript"/>
        </w:rPr>
        <w:t>8</w:t>
      </w:r>
      <w:r w:rsidR="002B6AA6">
        <w:rPr>
          <w:rFonts w:ascii="Arial Narrow" w:hAnsi="Arial Narrow" w:cstheme="minorHAnsi"/>
          <w:i/>
          <w:sz w:val="18"/>
          <w:szCs w:val="18"/>
        </w:rPr>
        <w:t xml:space="preserve"> 100,000 to &lt;200,000</w:t>
      </w:r>
    </w:p>
    <w:p w:rsidR="00A441BA" w:rsidRPr="002B6AA6" w:rsidRDefault="00A441BA" w:rsidP="00A441BA">
      <w:pPr>
        <w:pStyle w:val="3-BodyText"/>
        <w:numPr>
          <w:ilvl w:val="0"/>
          <w:numId w:val="0"/>
        </w:numPr>
        <w:spacing w:after="0"/>
        <w:rPr>
          <w:rFonts w:ascii="Arial Narrow" w:hAnsi="Arial Narrow" w:cstheme="minorHAnsi"/>
          <w:i/>
          <w:sz w:val="18"/>
          <w:szCs w:val="18"/>
        </w:rPr>
      </w:pPr>
      <w:r>
        <w:rPr>
          <w:rFonts w:ascii="Arial Narrow" w:hAnsi="Arial Narrow" w:cstheme="minorHAnsi"/>
          <w:i/>
          <w:sz w:val="18"/>
          <w:szCs w:val="18"/>
          <w:vertAlign w:val="superscript"/>
        </w:rPr>
        <w:t>9</w:t>
      </w:r>
      <w:r w:rsidR="002B6AA6">
        <w:rPr>
          <w:rFonts w:ascii="Arial Narrow" w:hAnsi="Arial Narrow" w:cstheme="minorHAnsi"/>
          <w:i/>
          <w:sz w:val="18"/>
          <w:szCs w:val="18"/>
        </w:rPr>
        <w:t xml:space="preserve"> 80,000 </w:t>
      </w:r>
      <w:r w:rsidR="00F33EDC">
        <w:rPr>
          <w:rFonts w:ascii="Arial Narrow" w:hAnsi="Arial Narrow" w:cstheme="minorHAnsi"/>
          <w:i/>
          <w:sz w:val="18"/>
          <w:szCs w:val="18"/>
        </w:rPr>
        <w:t>to &lt; 90,000</w:t>
      </w:r>
    </w:p>
    <w:p w:rsidR="00A441BA" w:rsidRPr="00F33EDC" w:rsidRDefault="00A441BA" w:rsidP="00A441BA">
      <w:pPr>
        <w:pStyle w:val="3-BodyText"/>
        <w:numPr>
          <w:ilvl w:val="0"/>
          <w:numId w:val="0"/>
        </w:numPr>
        <w:spacing w:after="0"/>
        <w:rPr>
          <w:rFonts w:ascii="Arial Narrow" w:hAnsi="Arial Narrow" w:cstheme="minorHAnsi"/>
          <w:i/>
          <w:sz w:val="18"/>
          <w:szCs w:val="18"/>
        </w:rPr>
      </w:pPr>
      <w:r>
        <w:rPr>
          <w:rFonts w:ascii="Arial Narrow" w:hAnsi="Arial Narrow" w:cstheme="minorHAnsi"/>
          <w:i/>
          <w:sz w:val="18"/>
          <w:szCs w:val="18"/>
          <w:vertAlign w:val="superscript"/>
        </w:rPr>
        <w:t>10</w:t>
      </w:r>
      <w:r w:rsidR="00F33EDC">
        <w:rPr>
          <w:rFonts w:ascii="Arial Narrow" w:hAnsi="Arial Narrow" w:cstheme="minorHAnsi"/>
          <w:i/>
          <w:sz w:val="18"/>
          <w:szCs w:val="18"/>
        </w:rPr>
        <w:t xml:space="preserve"> 40,000 to &lt; 50,000</w:t>
      </w:r>
    </w:p>
    <w:p w:rsidR="00A441BA" w:rsidRPr="00F33EDC" w:rsidRDefault="00A441BA" w:rsidP="00A441BA">
      <w:pPr>
        <w:pStyle w:val="3-BodyText"/>
        <w:numPr>
          <w:ilvl w:val="0"/>
          <w:numId w:val="0"/>
        </w:numPr>
        <w:spacing w:after="0"/>
        <w:rPr>
          <w:rFonts w:ascii="Arial Narrow" w:hAnsi="Arial Narrow" w:cstheme="minorHAnsi"/>
          <w:i/>
          <w:sz w:val="18"/>
          <w:szCs w:val="18"/>
        </w:rPr>
      </w:pPr>
      <w:r>
        <w:rPr>
          <w:rFonts w:ascii="Arial Narrow" w:hAnsi="Arial Narrow" w:cstheme="minorHAnsi"/>
          <w:i/>
          <w:sz w:val="18"/>
          <w:szCs w:val="18"/>
          <w:vertAlign w:val="superscript"/>
        </w:rPr>
        <w:t>11</w:t>
      </w:r>
      <w:r w:rsidR="00F33EDC">
        <w:rPr>
          <w:rFonts w:ascii="Arial Narrow" w:hAnsi="Arial Narrow" w:cstheme="minorHAnsi"/>
          <w:i/>
          <w:sz w:val="18"/>
          <w:szCs w:val="18"/>
        </w:rPr>
        <w:t xml:space="preserve"> 50,000 to &lt;60,000</w:t>
      </w:r>
    </w:p>
    <w:p w:rsidR="00A441BA" w:rsidRPr="00A441BA" w:rsidRDefault="00A441BA" w:rsidP="00A441BA">
      <w:pPr>
        <w:pStyle w:val="3-BodyText"/>
        <w:numPr>
          <w:ilvl w:val="0"/>
          <w:numId w:val="0"/>
        </w:numPr>
        <w:spacing w:after="0"/>
        <w:rPr>
          <w:rFonts w:ascii="Arial Narrow" w:hAnsi="Arial Narrow" w:cstheme="minorHAnsi"/>
          <w:i/>
          <w:sz w:val="18"/>
          <w:szCs w:val="18"/>
        </w:rPr>
      </w:pPr>
      <w:r>
        <w:rPr>
          <w:rFonts w:ascii="Arial Narrow" w:hAnsi="Arial Narrow" w:cstheme="minorHAnsi"/>
          <w:i/>
          <w:sz w:val="18"/>
          <w:szCs w:val="18"/>
          <w:vertAlign w:val="superscript"/>
        </w:rPr>
        <w:t>12</w:t>
      </w:r>
      <w:r>
        <w:rPr>
          <w:rFonts w:ascii="Arial Narrow" w:hAnsi="Arial Narrow" w:cstheme="minorHAnsi"/>
          <w:i/>
          <w:sz w:val="18"/>
          <w:szCs w:val="18"/>
        </w:rPr>
        <w:t xml:space="preserve"> $10 million to &lt; $20 million</w:t>
      </w:r>
    </w:p>
    <w:p w:rsidR="00A441BA" w:rsidRPr="00A441BA" w:rsidRDefault="00A441BA" w:rsidP="00A441BA">
      <w:pPr>
        <w:pStyle w:val="3-BodyText"/>
        <w:numPr>
          <w:ilvl w:val="0"/>
          <w:numId w:val="0"/>
        </w:numPr>
        <w:spacing w:after="0"/>
        <w:rPr>
          <w:rFonts w:ascii="Arial Narrow" w:hAnsi="Arial Narrow" w:cstheme="minorHAnsi"/>
          <w:i/>
          <w:sz w:val="18"/>
          <w:szCs w:val="18"/>
        </w:rPr>
      </w:pPr>
      <w:r>
        <w:rPr>
          <w:rFonts w:ascii="Arial Narrow" w:hAnsi="Arial Narrow" w:cstheme="minorHAnsi"/>
          <w:i/>
          <w:sz w:val="18"/>
          <w:szCs w:val="18"/>
          <w:vertAlign w:val="superscript"/>
        </w:rPr>
        <w:t>13</w:t>
      </w:r>
      <w:r>
        <w:rPr>
          <w:rFonts w:ascii="Arial Narrow" w:hAnsi="Arial Narrow" w:cstheme="minorHAnsi"/>
          <w:i/>
          <w:sz w:val="18"/>
          <w:szCs w:val="18"/>
        </w:rPr>
        <w:t xml:space="preserve"> $0 to &lt; $10 million</w:t>
      </w:r>
    </w:p>
    <w:p w:rsidR="002A7AA4" w:rsidRPr="00F7369B" w:rsidRDefault="002A7AA4" w:rsidP="00D953E0">
      <w:pPr>
        <w:pStyle w:val="3-BodyText"/>
        <w:numPr>
          <w:ilvl w:val="0"/>
          <w:numId w:val="0"/>
        </w:numPr>
        <w:spacing w:after="0"/>
        <w:rPr>
          <w:rFonts w:cstheme="minorHAnsi"/>
          <w:sz w:val="20"/>
          <w:szCs w:val="20"/>
        </w:rPr>
      </w:pPr>
    </w:p>
    <w:p w:rsidR="00E8476C" w:rsidRPr="00F7369B" w:rsidRDefault="003C25DC" w:rsidP="00C372D6">
      <w:pPr>
        <w:pStyle w:val="3-BodyText"/>
        <w:rPr>
          <w:rFonts w:cstheme="minorHAnsi"/>
        </w:rPr>
      </w:pPr>
      <w:r w:rsidRPr="00F7369B">
        <w:rPr>
          <w:rFonts w:cstheme="minorHAnsi"/>
        </w:rPr>
        <w:t>The submission assumed that if MenQuadfi is listed on the NIP, the</w:t>
      </w:r>
      <w:r w:rsidR="00C2243C" w:rsidRPr="00F7369B">
        <w:rPr>
          <w:rFonts w:cstheme="minorHAnsi"/>
        </w:rPr>
        <w:t xml:space="preserve"> overall market size would not </w:t>
      </w:r>
      <w:r w:rsidR="009E0BED" w:rsidRPr="00F7369B">
        <w:rPr>
          <w:rFonts w:cstheme="minorHAnsi"/>
        </w:rPr>
        <w:t>change,</w:t>
      </w:r>
      <w:r w:rsidR="00C2243C" w:rsidRPr="00F7369B">
        <w:rPr>
          <w:rFonts w:cstheme="minorHAnsi"/>
        </w:rPr>
        <w:t xml:space="preserve"> and the</w:t>
      </w:r>
      <w:r w:rsidRPr="00F7369B">
        <w:rPr>
          <w:rFonts w:cstheme="minorHAnsi"/>
        </w:rPr>
        <w:t xml:space="preserve"> market share would be equally distributed between MenQuadfi and Nimenrix.</w:t>
      </w:r>
      <w:r w:rsidR="006124B9" w:rsidRPr="00F7369B">
        <w:rPr>
          <w:rFonts w:cstheme="minorHAnsi"/>
        </w:rPr>
        <w:t xml:space="preserve"> </w:t>
      </w:r>
      <w:r w:rsidR="00791508" w:rsidRPr="00F7369B">
        <w:rPr>
          <w:rFonts w:cstheme="minorHAnsi"/>
        </w:rPr>
        <w:t>T</w:t>
      </w:r>
      <w:r w:rsidRPr="00F7369B">
        <w:rPr>
          <w:rFonts w:cstheme="minorHAnsi"/>
          <w:bCs/>
        </w:rPr>
        <w:t>he submission predict</w:t>
      </w:r>
      <w:r w:rsidR="00C30EDC" w:rsidRPr="00F7369B">
        <w:rPr>
          <w:rFonts w:cstheme="minorHAnsi"/>
          <w:bCs/>
        </w:rPr>
        <w:t>ed</w:t>
      </w:r>
      <w:r w:rsidRPr="00F7369B">
        <w:rPr>
          <w:rFonts w:cstheme="minorHAnsi"/>
          <w:bCs/>
        </w:rPr>
        <w:t xml:space="preserve"> that </w:t>
      </w:r>
      <w:r w:rsidR="00791508" w:rsidRPr="00F7369B">
        <w:rPr>
          <w:rFonts w:cstheme="minorHAnsi"/>
          <w:bCs/>
        </w:rPr>
        <w:t xml:space="preserve">the incremental cost of </w:t>
      </w:r>
      <w:r w:rsidRPr="00F7369B">
        <w:rPr>
          <w:rFonts w:cstheme="minorHAnsi"/>
          <w:bCs/>
        </w:rPr>
        <w:t>listing MenQuadfi on the NIP as an alternative MenACWY vaccine to Nimenrix w</w:t>
      </w:r>
      <w:r w:rsidR="00156B94" w:rsidRPr="00F7369B">
        <w:rPr>
          <w:rFonts w:cstheme="minorHAnsi"/>
          <w:bCs/>
        </w:rPr>
        <w:t>ould</w:t>
      </w:r>
      <w:r w:rsidRPr="00F7369B">
        <w:rPr>
          <w:rFonts w:cstheme="minorHAnsi"/>
          <w:bCs/>
        </w:rPr>
        <w:t xml:space="preserve"> </w:t>
      </w:r>
      <w:r w:rsidR="00791508" w:rsidRPr="00F7369B">
        <w:rPr>
          <w:rFonts w:cstheme="minorHAnsi"/>
          <w:bCs/>
        </w:rPr>
        <w:t>be zero</w:t>
      </w:r>
      <w:r w:rsidRPr="00F7369B">
        <w:rPr>
          <w:rFonts w:cstheme="minorHAnsi"/>
        </w:rPr>
        <w:t xml:space="preserve">. </w:t>
      </w:r>
    </w:p>
    <w:p w:rsidR="004E18AE" w:rsidRPr="00F7369B" w:rsidRDefault="002109A5" w:rsidP="005B046C">
      <w:pPr>
        <w:pStyle w:val="3-BodyText"/>
        <w:rPr>
          <w:rFonts w:cstheme="minorHAnsi"/>
        </w:rPr>
      </w:pPr>
      <w:r w:rsidRPr="00F7369B">
        <w:rPr>
          <w:rFonts w:cstheme="minorHAnsi"/>
        </w:rPr>
        <w:t>The ESC n</w:t>
      </w:r>
      <w:r w:rsidR="00E8476C" w:rsidRPr="00F7369B">
        <w:rPr>
          <w:rFonts w:cstheme="minorHAnsi"/>
        </w:rPr>
        <w:t>oted the uncertainty</w:t>
      </w:r>
      <w:r w:rsidRPr="00F7369B">
        <w:rPr>
          <w:rFonts w:cstheme="minorHAnsi"/>
        </w:rPr>
        <w:t xml:space="preserve"> regarding the number of medically at-risk </w:t>
      </w:r>
      <w:r w:rsidR="00E8476C" w:rsidRPr="00F7369B">
        <w:rPr>
          <w:rFonts w:cstheme="minorHAnsi"/>
        </w:rPr>
        <w:t xml:space="preserve">individuals, vaccine </w:t>
      </w:r>
      <w:r w:rsidRPr="00F7369B">
        <w:rPr>
          <w:rFonts w:cstheme="minorHAnsi"/>
        </w:rPr>
        <w:t xml:space="preserve">uptake </w:t>
      </w:r>
      <w:r w:rsidR="00E8476C" w:rsidRPr="00F7369B">
        <w:rPr>
          <w:rFonts w:cstheme="minorHAnsi"/>
        </w:rPr>
        <w:t xml:space="preserve">and MenQuadfi market share but considered there would not be an incremental cost to the NIP if MenQuadfi was included as an alternative to Nimenrix and Menveo for MenACWY. </w:t>
      </w:r>
    </w:p>
    <w:p w:rsidR="000413AD" w:rsidRPr="00F7369B" w:rsidRDefault="000413AD" w:rsidP="000413AD">
      <w:pPr>
        <w:pStyle w:val="3-BodyText"/>
        <w:rPr>
          <w:rFonts w:cstheme="minorHAnsi"/>
          <w:iCs/>
        </w:rPr>
      </w:pPr>
      <w:r w:rsidRPr="00F7369B">
        <w:rPr>
          <w:rFonts w:cstheme="minorHAnsi"/>
          <w:iCs/>
        </w:rPr>
        <w:t xml:space="preserve">The ESC noted that </w:t>
      </w:r>
      <w:r w:rsidR="00E8476C" w:rsidRPr="00F7369B">
        <w:rPr>
          <w:rFonts w:cstheme="minorHAnsi"/>
          <w:iCs/>
        </w:rPr>
        <w:t xml:space="preserve">MenQuadfi would be the third MenACWY vaccine on the NIP and considered </w:t>
      </w:r>
      <w:r w:rsidRPr="00F7369B">
        <w:rPr>
          <w:rFonts w:cstheme="minorHAnsi"/>
          <w:iCs/>
        </w:rPr>
        <w:t xml:space="preserve">introducing an additional vaccine may provide greater security and continuity of supply in an essential vaccine program. </w:t>
      </w:r>
    </w:p>
    <w:p w:rsidR="00D07340" w:rsidRPr="00F7369B" w:rsidRDefault="00D07340" w:rsidP="00D07340">
      <w:pPr>
        <w:pStyle w:val="4-SubsectionHeading"/>
        <w:rPr>
          <w:rFonts w:cstheme="minorHAnsi"/>
        </w:rPr>
      </w:pPr>
      <w:bookmarkStart w:id="26" w:name="_Toc22897648"/>
      <w:bookmarkStart w:id="27" w:name="_Toc51066743"/>
      <w:r w:rsidRPr="00F7369B">
        <w:rPr>
          <w:rFonts w:cstheme="minorHAnsi"/>
        </w:rPr>
        <w:t>Quality Use of Medicines</w:t>
      </w:r>
      <w:bookmarkEnd w:id="26"/>
      <w:bookmarkEnd w:id="27"/>
    </w:p>
    <w:p w:rsidR="00557986" w:rsidRPr="00F7369B" w:rsidRDefault="00BB50D1" w:rsidP="00034941">
      <w:pPr>
        <w:pStyle w:val="3-BodyText"/>
        <w:rPr>
          <w:rFonts w:cstheme="minorHAnsi"/>
        </w:rPr>
      </w:pPr>
      <w:bookmarkStart w:id="28" w:name="_Toc22897649"/>
      <w:r w:rsidRPr="00F7369B">
        <w:rPr>
          <w:rFonts w:cstheme="minorHAnsi"/>
        </w:rPr>
        <w:t xml:space="preserve">ATAGI </w:t>
      </w:r>
      <w:r w:rsidR="00156B94" w:rsidRPr="00F7369B">
        <w:rPr>
          <w:rFonts w:cstheme="minorHAnsi"/>
        </w:rPr>
        <w:t xml:space="preserve">did </w:t>
      </w:r>
      <w:r w:rsidRPr="00F7369B">
        <w:rPr>
          <w:rFonts w:cstheme="minorHAnsi"/>
        </w:rPr>
        <w:t>not foresee any major issues with implementation of MenQuadfi on</w:t>
      </w:r>
      <w:r w:rsidR="006115A7" w:rsidRPr="00F7369B">
        <w:rPr>
          <w:rFonts w:cstheme="minorHAnsi"/>
        </w:rPr>
        <w:t xml:space="preserve"> </w:t>
      </w:r>
      <w:r w:rsidRPr="00F7369B">
        <w:rPr>
          <w:rFonts w:cstheme="minorHAnsi"/>
        </w:rPr>
        <w:t xml:space="preserve">to the NIP as an alternative vaccine to the currently funded Nimenrix. Providers may require information on the availability of MenQuadfi as an alternative MenACWY vaccine. </w:t>
      </w:r>
    </w:p>
    <w:p w:rsidR="00557986" w:rsidRPr="00F7369B" w:rsidRDefault="00812070" w:rsidP="00557986">
      <w:pPr>
        <w:pStyle w:val="3-BodyText"/>
        <w:rPr>
          <w:rFonts w:cstheme="minorHAnsi"/>
        </w:rPr>
      </w:pPr>
      <w:r w:rsidRPr="00F7369B">
        <w:rPr>
          <w:rFonts w:cstheme="minorHAnsi"/>
        </w:rPr>
        <w:t xml:space="preserve">The ESC noted the </w:t>
      </w:r>
      <w:r w:rsidR="00BB50D1" w:rsidRPr="00F7369B">
        <w:rPr>
          <w:rFonts w:cstheme="minorHAnsi"/>
        </w:rPr>
        <w:t>ATAGI recommend</w:t>
      </w:r>
      <w:r w:rsidR="008411C3" w:rsidRPr="00F7369B">
        <w:rPr>
          <w:rFonts w:cstheme="minorHAnsi"/>
        </w:rPr>
        <w:t>ed</w:t>
      </w:r>
      <w:r w:rsidR="00BB50D1" w:rsidRPr="00F7369B">
        <w:rPr>
          <w:rFonts w:cstheme="minorHAnsi"/>
        </w:rPr>
        <w:t xml:space="preserve"> adequate vaccination provider education regarding the lower age limit for MenQuadfi, so it </w:t>
      </w:r>
      <w:r w:rsidR="008411C3" w:rsidRPr="00F7369B">
        <w:rPr>
          <w:rFonts w:cstheme="minorHAnsi"/>
        </w:rPr>
        <w:t>wa</w:t>
      </w:r>
      <w:r w:rsidR="00BB50D1" w:rsidRPr="00F7369B">
        <w:rPr>
          <w:rFonts w:cstheme="minorHAnsi"/>
        </w:rPr>
        <w:t>s not used when considering MenACWY vaccination in children aged 6 weeks to &lt;12 months</w:t>
      </w:r>
      <w:r w:rsidR="00F7369B">
        <w:rPr>
          <w:rFonts w:cstheme="minorHAnsi"/>
        </w:rPr>
        <w:t xml:space="preserve">. </w:t>
      </w:r>
    </w:p>
    <w:p w:rsidR="00BB50D1" w:rsidRPr="00F7369B" w:rsidRDefault="00BB50D1" w:rsidP="00557986">
      <w:pPr>
        <w:pStyle w:val="3-BodyText"/>
        <w:rPr>
          <w:rFonts w:cstheme="minorHAnsi"/>
        </w:rPr>
      </w:pPr>
      <w:r w:rsidRPr="00F7369B">
        <w:rPr>
          <w:rFonts w:cstheme="minorHAnsi"/>
        </w:rPr>
        <w:t>ATAGI note</w:t>
      </w:r>
      <w:r w:rsidR="008411C3" w:rsidRPr="00F7369B">
        <w:rPr>
          <w:rFonts w:cstheme="minorHAnsi"/>
        </w:rPr>
        <w:t>d</w:t>
      </w:r>
      <w:r w:rsidRPr="00F7369B">
        <w:rPr>
          <w:rFonts w:cstheme="minorHAnsi"/>
        </w:rPr>
        <w:t xml:space="preserve"> that as MenQuadfi is a fully liquid </w:t>
      </w:r>
      <w:r w:rsidR="008E4772" w:rsidRPr="00F7369B">
        <w:rPr>
          <w:rFonts w:cstheme="minorHAnsi"/>
        </w:rPr>
        <w:t>preparati</w:t>
      </w:r>
      <w:r w:rsidR="008E4772">
        <w:rPr>
          <w:rFonts w:cstheme="minorHAnsi"/>
        </w:rPr>
        <w:t>o</w:t>
      </w:r>
      <w:r w:rsidR="008E4772" w:rsidRPr="00F7369B">
        <w:rPr>
          <w:rFonts w:cstheme="minorHAnsi"/>
        </w:rPr>
        <w:t>n</w:t>
      </w:r>
      <w:r w:rsidRPr="00F7369B">
        <w:rPr>
          <w:rFonts w:cstheme="minorHAnsi"/>
        </w:rPr>
        <w:t xml:space="preserve">, its preparation may be simpler for providers as there is no requirement to mix a powdered vaccine and diluent, as is the case for Nimenrix. This </w:t>
      </w:r>
      <w:r w:rsidR="008411C3" w:rsidRPr="00F7369B">
        <w:rPr>
          <w:rFonts w:cstheme="minorHAnsi"/>
        </w:rPr>
        <w:t>wa</w:t>
      </w:r>
      <w:r w:rsidRPr="00F7369B">
        <w:rPr>
          <w:rFonts w:cstheme="minorHAnsi"/>
        </w:rPr>
        <w:t>s particularly relevant outside of primary health care facilities, such as in schools or within a meningococcal outbreak vaccination program.</w:t>
      </w:r>
    </w:p>
    <w:bookmarkEnd w:id="28"/>
    <w:p w:rsidR="00BF72E0" w:rsidRPr="00F7369B" w:rsidRDefault="00155AFF" w:rsidP="00665877">
      <w:pPr>
        <w:ind w:firstLine="720"/>
        <w:jc w:val="left"/>
        <w:rPr>
          <w:rFonts w:asciiTheme="minorHAnsi" w:hAnsiTheme="minorHAnsi" w:cstheme="minorHAnsi"/>
          <w:i/>
          <w:iCs/>
          <w:szCs w:val="22"/>
        </w:rPr>
      </w:pPr>
      <w:r w:rsidRPr="00F7369B">
        <w:rPr>
          <w:rFonts w:asciiTheme="minorHAnsi" w:hAnsiTheme="minorHAnsi" w:cstheme="minorHAnsi"/>
          <w:i/>
          <w:iCs/>
          <w:szCs w:val="22"/>
        </w:rPr>
        <w:t>For more detail on PBAC’s view, see section 7 PBAC outcome.</w:t>
      </w:r>
    </w:p>
    <w:p w:rsidR="00BF72E0" w:rsidRPr="00F7369B" w:rsidRDefault="00BF72E0" w:rsidP="00BF72E0">
      <w:pPr>
        <w:pStyle w:val="2-SectionHeading"/>
        <w:rPr>
          <w:rFonts w:cstheme="minorHAnsi"/>
        </w:rPr>
      </w:pPr>
      <w:r w:rsidRPr="00F7369B">
        <w:rPr>
          <w:rFonts w:cstheme="minorHAnsi"/>
        </w:rPr>
        <w:t>PBAC Outcome</w:t>
      </w:r>
    </w:p>
    <w:p w:rsidR="00BB3238" w:rsidRPr="00F7369B" w:rsidRDefault="00C359D4" w:rsidP="00A92F58">
      <w:pPr>
        <w:pStyle w:val="3-BodyText"/>
        <w:rPr>
          <w:lang w:eastAsia="en-US"/>
        </w:rPr>
      </w:pPr>
      <w:r w:rsidRPr="00F7369B">
        <w:rPr>
          <w:lang w:eastAsia="en-US"/>
        </w:rPr>
        <w:t xml:space="preserve">The PBAC recommended </w:t>
      </w:r>
      <w:r w:rsidR="00EA670F" w:rsidRPr="00F7369B">
        <w:rPr>
          <w:lang w:eastAsia="en-US"/>
        </w:rPr>
        <w:t>that</w:t>
      </w:r>
      <w:r w:rsidRPr="00F7369B">
        <w:rPr>
          <w:lang w:eastAsia="en-US"/>
        </w:rPr>
        <w:t xml:space="preserve"> </w:t>
      </w:r>
      <w:r w:rsidRPr="00F7369B">
        <w:rPr>
          <w:rFonts w:cstheme="minorHAnsi"/>
        </w:rPr>
        <w:t>meningococcal serogroup A, C, W-135 and Y Polysaccharide Tetanus Toxoid Conjugate (MenACWY-TT</w:t>
      </w:r>
      <w:r w:rsidR="00A92F58" w:rsidRPr="00F7369B">
        <w:rPr>
          <w:rFonts w:cstheme="minorHAnsi"/>
        </w:rPr>
        <w:t>, MenQuadfi</w:t>
      </w:r>
      <w:r w:rsidRPr="00F7369B">
        <w:rPr>
          <w:rFonts w:cstheme="minorHAnsi"/>
        </w:rPr>
        <w:t>) vaccine</w:t>
      </w:r>
      <w:r w:rsidR="005814A1" w:rsidRPr="00F7369B">
        <w:rPr>
          <w:rFonts w:cstheme="minorHAnsi"/>
        </w:rPr>
        <w:t xml:space="preserve"> </w:t>
      </w:r>
      <w:r w:rsidR="00EA670F" w:rsidRPr="00F7369B">
        <w:rPr>
          <w:lang w:eastAsia="en-US"/>
        </w:rPr>
        <w:t xml:space="preserve">be a designated vaccine for the purposes of the </w:t>
      </w:r>
      <w:r w:rsidR="00EA670F" w:rsidRPr="00F7369B">
        <w:rPr>
          <w:i/>
          <w:lang w:eastAsia="en-US"/>
        </w:rPr>
        <w:t>National Health Act</w:t>
      </w:r>
      <w:r w:rsidR="00487DAF" w:rsidRPr="00F7369B">
        <w:rPr>
          <w:i/>
          <w:lang w:eastAsia="en-US"/>
        </w:rPr>
        <w:t xml:space="preserve"> 1953</w:t>
      </w:r>
      <w:r w:rsidRPr="00F7369B">
        <w:rPr>
          <w:i/>
          <w:lang w:eastAsia="en-US"/>
        </w:rPr>
        <w:t>,</w:t>
      </w:r>
      <w:r w:rsidRPr="00F7369B">
        <w:rPr>
          <w:lang w:eastAsia="en-US"/>
        </w:rPr>
        <w:t xml:space="preserve"> for the prevention of IMD caused by </w:t>
      </w:r>
      <w:r w:rsidRPr="00F7369B">
        <w:rPr>
          <w:i/>
          <w:lang w:eastAsia="en-US"/>
        </w:rPr>
        <w:t>Neisseria meningitidis</w:t>
      </w:r>
      <w:r w:rsidRPr="00F7369B">
        <w:rPr>
          <w:lang w:eastAsia="en-US"/>
        </w:rPr>
        <w:t xml:space="preserve"> serogroups A, C, W135, and Y, </w:t>
      </w:r>
      <w:r w:rsidR="00F43D7B" w:rsidRPr="00F7369B">
        <w:rPr>
          <w:lang w:eastAsia="en-US"/>
        </w:rPr>
        <w:t>for</w:t>
      </w:r>
      <w:r w:rsidRPr="00F7369B">
        <w:rPr>
          <w:lang w:eastAsia="en-US"/>
        </w:rPr>
        <w:t xml:space="preserve"> children</w:t>
      </w:r>
      <w:r w:rsidR="00AC6766">
        <w:rPr>
          <w:lang w:eastAsia="en-US"/>
        </w:rPr>
        <w:t xml:space="preserve"> aged 12 months</w:t>
      </w:r>
      <w:r w:rsidR="006A1216" w:rsidRPr="00F7369B">
        <w:rPr>
          <w:lang w:eastAsia="en-US"/>
        </w:rPr>
        <w:t>, adolescents</w:t>
      </w:r>
      <w:r w:rsidRPr="00F7369B">
        <w:rPr>
          <w:lang w:eastAsia="en-US"/>
        </w:rPr>
        <w:t xml:space="preserve"> </w:t>
      </w:r>
      <w:r w:rsidR="00AC6766">
        <w:rPr>
          <w:lang w:eastAsia="en-US"/>
        </w:rPr>
        <w:t xml:space="preserve">aged 14 to 19 years </w:t>
      </w:r>
      <w:r w:rsidR="00CA6EC8" w:rsidRPr="00F7369B">
        <w:rPr>
          <w:lang w:eastAsia="en-US"/>
        </w:rPr>
        <w:t xml:space="preserve">and </w:t>
      </w:r>
      <w:r w:rsidRPr="00F7369B">
        <w:rPr>
          <w:lang w:eastAsia="en-US"/>
        </w:rPr>
        <w:t>at-risk</w:t>
      </w:r>
      <w:r w:rsidR="0021728F" w:rsidRPr="00F7369B">
        <w:rPr>
          <w:lang w:eastAsia="en-US"/>
        </w:rPr>
        <w:t xml:space="preserve"> individuals</w:t>
      </w:r>
      <w:r w:rsidRPr="00F7369B">
        <w:rPr>
          <w:lang w:eastAsia="en-US"/>
        </w:rPr>
        <w:t xml:space="preserve"> who are</w:t>
      </w:r>
      <w:r w:rsidR="00A92F58" w:rsidRPr="00F7369B">
        <w:rPr>
          <w:lang w:eastAsia="en-US"/>
        </w:rPr>
        <w:t xml:space="preserve"> 12 months </w:t>
      </w:r>
      <w:r w:rsidR="007143F6" w:rsidRPr="00F7369B">
        <w:rPr>
          <w:lang w:eastAsia="en-US"/>
        </w:rPr>
        <w:t xml:space="preserve">of age </w:t>
      </w:r>
      <w:r w:rsidR="00A92F58" w:rsidRPr="00F7369B">
        <w:rPr>
          <w:lang w:eastAsia="en-US"/>
        </w:rPr>
        <w:t>and older and are</w:t>
      </w:r>
      <w:r w:rsidRPr="00F7369B">
        <w:rPr>
          <w:lang w:eastAsia="en-US"/>
        </w:rPr>
        <w:t xml:space="preserve"> currently eligible for </w:t>
      </w:r>
      <w:r w:rsidR="00A92F58" w:rsidRPr="00F7369B">
        <w:rPr>
          <w:lang w:eastAsia="en-US"/>
        </w:rPr>
        <w:t>Nimenrix</w:t>
      </w:r>
      <w:r w:rsidRPr="00F7369B">
        <w:rPr>
          <w:lang w:eastAsia="en-US"/>
        </w:rPr>
        <w:t xml:space="preserve"> vaccination through the NIP, under the same provisions</w:t>
      </w:r>
      <w:r w:rsidR="00A92F58" w:rsidRPr="00F7369B">
        <w:rPr>
          <w:lang w:eastAsia="en-US"/>
        </w:rPr>
        <w:t xml:space="preserve"> </w:t>
      </w:r>
      <w:r w:rsidRPr="00F7369B">
        <w:rPr>
          <w:lang w:eastAsia="en-US"/>
        </w:rPr>
        <w:t>(see section 8).</w:t>
      </w:r>
      <w:r w:rsidR="0021728F" w:rsidRPr="00F7369B">
        <w:rPr>
          <w:lang w:eastAsia="en-US"/>
        </w:rPr>
        <w:t xml:space="preserve"> The PBAC’s recommendation for listing was based on, among other matters, its assessment that the cost-effectiveness of MenQuadfi would be acceptable if it were cost-minimised against the nominated comparator, Nimenrix</w:t>
      </w:r>
      <w:r w:rsidR="00F7369B">
        <w:rPr>
          <w:lang w:eastAsia="en-US"/>
        </w:rPr>
        <w:t xml:space="preserve">. </w:t>
      </w:r>
    </w:p>
    <w:p w:rsidR="00BB3238" w:rsidRPr="00F7369B" w:rsidRDefault="00BB3238" w:rsidP="00BB3238">
      <w:pPr>
        <w:pStyle w:val="3-BodyText"/>
        <w:rPr>
          <w:bCs/>
          <w:lang w:eastAsia="en-US"/>
        </w:rPr>
      </w:pPr>
      <w:r w:rsidRPr="00F7369B">
        <w:rPr>
          <w:lang w:eastAsia="en-US"/>
        </w:rPr>
        <w:t xml:space="preserve">The PBAC </w:t>
      </w:r>
      <w:r w:rsidR="0037730E" w:rsidRPr="00F7369B">
        <w:rPr>
          <w:lang w:eastAsia="en-US"/>
        </w:rPr>
        <w:t xml:space="preserve">considered </w:t>
      </w:r>
      <w:r w:rsidR="001F5E88" w:rsidRPr="00F7369B">
        <w:rPr>
          <w:lang w:eastAsia="en-US"/>
        </w:rPr>
        <w:t xml:space="preserve">the nomination of </w:t>
      </w:r>
      <w:r w:rsidR="0037730E" w:rsidRPr="00F7369B">
        <w:rPr>
          <w:lang w:eastAsia="en-US"/>
        </w:rPr>
        <w:t xml:space="preserve">Nimenrix </w:t>
      </w:r>
      <w:r w:rsidR="001F5E88" w:rsidRPr="00F7369B">
        <w:rPr>
          <w:lang w:eastAsia="en-US"/>
        </w:rPr>
        <w:t xml:space="preserve">as the </w:t>
      </w:r>
      <w:r w:rsidR="006F6A93" w:rsidRPr="00F7369B">
        <w:rPr>
          <w:lang w:eastAsia="en-US"/>
        </w:rPr>
        <w:t>main comparator</w:t>
      </w:r>
      <w:r w:rsidR="001F5E88" w:rsidRPr="00F7369B">
        <w:rPr>
          <w:lang w:eastAsia="en-US"/>
        </w:rPr>
        <w:t xml:space="preserve"> for the three populations </w:t>
      </w:r>
      <w:r w:rsidR="00061145" w:rsidRPr="00F7369B">
        <w:rPr>
          <w:lang w:eastAsia="en-US"/>
        </w:rPr>
        <w:t>(</w:t>
      </w:r>
      <w:r w:rsidR="00244B0A" w:rsidRPr="00F7369B">
        <w:rPr>
          <w:lang w:eastAsia="en-US"/>
        </w:rPr>
        <w:t xml:space="preserve">children </w:t>
      </w:r>
      <w:r w:rsidR="00061145" w:rsidRPr="00F7369B">
        <w:rPr>
          <w:lang w:eastAsia="en-US"/>
        </w:rPr>
        <w:t xml:space="preserve">12 months of age, adolescents </w:t>
      </w:r>
      <w:r w:rsidR="00244B0A" w:rsidRPr="00F7369B">
        <w:rPr>
          <w:lang w:eastAsia="en-US"/>
        </w:rPr>
        <w:t xml:space="preserve">aged 14 to 19 years of age </w:t>
      </w:r>
      <w:r w:rsidR="00061145" w:rsidRPr="00F7369B">
        <w:rPr>
          <w:lang w:eastAsia="en-US"/>
        </w:rPr>
        <w:t xml:space="preserve">and medically at risk individuals over 12 months of age) </w:t>
      </w:r>
      <w:r w:rsidR="0037730E" w:rsidRPr="00F7369B">
        <w:rPr>
          <w:lang w:eastAsia="en-US"/>
        </w:rPr>
        <w:t xml:space="preserve">and Menveo </w:t>
      </w:r>
      <w:r w:rsidR="006F6A93" w:rsidRPr="00F7369B">
        <w:rPr>
          <w:lang w:eastAsia="en-US"/>
        </w:rPr>
        <w:t xml:space="preserve">as a </w:t>
      </w:r>
      <w:r w:rsidR="001F5E88" w:rsidRPr="00F7369B">
        <w:rPr>
          <w:lang w:eastAsia="en-US"/>
        </w:rPr>
        <w:t>‘</w:t>
      </w:r>
      <w:r w:rsidR="006F6A93" w:rsidRPr="00F7369B">
        <w:rPr>
          <w:lang w:eastAsia="en-US"/>
        </w:rPr>
        <w:t>near market</w:t>
      </w:r>
      <w:r w:rsidR="001F5E88" w:rsidRPr="00F7369B">
        <w:rPr>
          <w:lang w:eastAsia="en-US"/>
        </w:rPr>
        <w:t>’</w:t>
      </w:r>
      <w:r w:rsidR="006F6A93" w:rsidRPr="00F7369B">
        <w:rPr>
          <w:lang w:eastAsia="en-US"/>
        </w:rPr>
        <w:t xml:space="preserve"> comparator for the adolescent population was </w:t>
      </w:r>
      <w:r w:rsidR="0037730E" w:rsidRPr="00F7369B">
        <w:rPr>
          <w:lang w:eastAsia="en-US"/>
        </w:rPr>
        <w:t>appropriate</w:t>
      </w:r>
      <w:r w:rsidR="006F6A93" w:rsidRPr="00F7369B">
        <w:rPr>
          <w:lang w:eastAsia="en-US"/>
        </w:rPr>
        <w:t>. The PBAC noted Menveo was listed on the NIP for the adolescent population during evaluation of th</w:t>
      </w:r>
      <w:r w:rsidR="001F5E88" w:rsidRPr="00F7369B">
        <w:rPr>
          <w:lang w:eastAsia="en-US"/>
        </w:rPr>
        <w:t>e</w:t>
      </w:r>
      <w:r w:rsidR="006F6A93" w:rsidRPr="00F7369B">
        <w:rPr>
          <w:lang w:eastAsia="en-US"/>
        </w:rPr>
        <w:t xml:space="preserve"> submission. </w:t>
      </w:r>
    </w:p>
    <w:p w:rsidR="009A3C35" w:rsidRPr="00F7369B" w:rsidRDefault="004B25F7" w:rsidP="001F5E88">
      <w:pPr>
        <w:pStyle w:val="3-BodyText"/>
        <w:rPr>
          <w:lang w:eastAsia="en-US"/>
        </w:rPr>
      </w:pPr>
      <w:r w:rsidRPr="00F7369B">
        <w:rPr>
          <w:lang w:eastAsia="en-US"/>
        </w:rPr>
        <w:t>The PBAC advised the</w:t>
      </w:r>
      <w:r w:rsidR="00A92F58" w:rsidRPr="00F7369B">
        <w:rPr>
          <w:bCs/>
          <w:lang w:eastAsia="en-US"/>
        </w:rPr>
        <w:t xml:space="preserve"> equi-effective</w:t>
      </w:r>
      <w:r w:rsidRPr="00F7369B">
        <w:rPr>
          <w:bCs/>
          <w:lang w:eastAsia="en-US"/>
        </w:rPr>
        <w:t xml:space="preserve"> </w:t>
      </w:r>
      <w:r w:rsidR="002F64CA" w:rsidRPr="00F7369B">
        <w:rPr>
          <w:bCs/>
          <w:lang w:eastAsia="en-US"/>
        </w:rPr>
        <w:t xml:space="preserve">doses were </w:t>
      </w:r>
      <w:r w:rsidR="0029702D" w:rsidRPr="00F7369B">
        <w:rPr>
          <w:bCs/>
          <w:lang w:eastAsia="en-US"/>
        </w:rPr>
        <w:t>1</w:t>
      </w:r>
      <w:r w:rsidR="00E236E0" w:rsidRPr="00F7369B">
        <w:rPr>
          <w:bCs/>
          <w:lang w:eastAsia="en-US"/>
        </w:rPr>
        <w:t> </w:t>
      </w:r>
      <w:r w:rsidR="0029702D" w:rsidRPr="00F7369B">
        <w:rPr>
          <w:bCs/>
          <w:lang w:eastAsia="en-US"/>
        </w:rPr>
        <w:t>x</w:t>
      </w:r>
      <w:r w:rsidR="00E236E0" w:rsidRPr="00F7369B">
        <w:rPr>
          <w:bCs/>
          <w:lang w:eastAsia="en-US"/>
        </w:rPr>
        <w:t> </w:t>
      </w:r>
      <w:r w:rsidR="00A92F58" w:rsidRPr="00F7369B">
        <w:rPr>
          <w:bCs/>
          <w:lang w:eastAsia="en-US"/>
        </w:rPr>
        <w:t>0.5 mL</w:t>
      </w:r>
      <w:r w:rsidR="009A3C35" w:rsidRPr="00F7369B">
        <w:rPr>
          <w:bCs/>
          <w:lang w:eastAsia="en-US"/>
        </w:rPr>
        <w:t xml:space="preserve"> MenQuadfi</w:t>
      </w:r>
      <w:r w:rsidR="00DA3686" w:rsidRPr="00F7369B">
        <w:rPr>
          <w:bCs/>
          <w:lang w:eastAsia="en-US"/>
        </w:rPr>
        <w:t xml:space="preserve"> and </w:t>
      </w:r>
      <w:r w:rsidR="0029702D" w:rsidRPr="00F7369B">
        <w:rPr>
          <w:bCs/>
          <w:lang w:eastAsia="en-US"/>
        </w:rPr>
        <w:t xml:space="preserve">1 x </w:t>
      </w:r>
      <w:r w:rsidR="00A92F58" w:rsidRPr="00F7369B">
        <w:rPr>
          <w:bCs/>
          <w:lang w:eastAsia="en-US"/>
        </w:rPr>
        <w:t xml:space="preserve">0.5mL </w:t>
      </w:r>
      <w:r w:rsidR="009A3C35" w:rsidRPr="00F7369B">
        <w:rPr>
          <w:bCs/>
          <w:lang w:eastAsia="en-US"/>
        </w:rPr>
        <w:t>Nimenri</w:t>
      </w:r>
      <w:r w:rsidR="00DA3686" w:rsidRPr="00F7369B">
        <w:rPr>
          <w:bCs/>
          <w:lang w:eastAsia="en-US"/>
        </w:rPr>
        <w:t>x</w:t>
      </w:r>
      <w:r w:rsidR="0029702D" w:rsidRPr="00F7369B">
        <w:rPr>
          <w:bCs/>
          <w:lang w:eastAsia="en-US"/>
        </w:rPr>
        <w:t xml:space="preserve"> for </w:t>
      </w:r>
      <w:r w:rsidR="00561699" w:rsidRPr="00F7369B">
        <w:rPr>
          <w:bCs/>
          <w:lang w:eastAsia="en-US"/>
        </w:rPr>
        <w:t>health</w:t>
      </w:r>
      <w:r w:rsidR="005913D7" w:rsidRPr="00F7369B">
        <w:rPr>
          <w:bCs/>
          <w:lang w:eastAsia="en-US"/>
        </w:rPr>
        <w:t>y</w:t>
      </w:r>
      <w:r w:rsidR="00561699" w:rsidRPr="00F7369B">
        <w:rPr>
          <w:bCs/>
          <w:lang w:eastAsia="en-US"/>
        </w:rPr>
        <w:t xml:space="preserve"> </w:t>
      </w:r>
      <w:r w:rsidR="0029702D" w:rsidRPr="00F7369B">
        <w:rPr>
          <w:bCs/>
          <w:lang w:eastAsia="en-US"/>
        </w:rPr>
        <w:t xml:space="preserve">children 12 months of </w:t>
      </w:r>
      <w:r w:rsidR="00244B0A" w:rsidRPr="00F7369B">
        <w:rPr>
          <w:bCs/>
          <w:lang w:eastAsia="en-US"/>
        </w:rPr>
        <w:t xml:space="preserve">age and adolescents 14 to 19 years of age </w:t>
      </w:r>
      <w:r w:rsidR="0029702D" w:rsidRPr="00F7369B">
        <w:rPr>
          <w:bCs/>
          <w:lang w:eastAsia="en-US"/>
        </w:rPr>
        <w:t>and 2 x</w:t>
      </w:r>
      <w:r w:rsidR="005B2686" w:rsidRPr="00F7369B">
        <w:rPr>
          <w:bCs/>
          <w:lang w:eastAsia="en-US"/>
        </w:rPr>
        <w:t xml:space="preserve"> 0.5 mL MenQuadfi and 2 x 0.5mL </w:t>
      </w:r>
      <w:r w:rsidR="0029702D" w:rsidRPr="00F7369B">
        <w:rPr>
          <w:bCs/>
          <w:lang w:eastAsia="en-US"/>
        </w:rPr>
        <w:t xml:space="preserve">Nimenrix for medically at-risk individuals </w:t>
      </w:r>
      <w:r w:rsidR="0029702D" w:rsidRPr="00F7369B">
        <w:rPr>
          <w:rFonts w:cstheme="minorHAnsi"/>
          <w:bCs/>
          <w:lang w:eastAsia="en-US"/>
        </w:rPr>
        <w:t>12</w:t>
      </w:r>
      <w:r w:rsidR="00E8740E" w:rsidRPr="00F7369B">
        <w:rPr>
          <w:rFonts w:cstheme="minorHAnsi"/>
          <w:bCs/>
          <w:lang w:eastAsia="en-US"/>
        </w:rPr>
        <w:t> </w:t>
      </w:r>
      <w:r w:rsidR="0029702D" w:rsidRPr="00F7369B">
        <w:rPr>
          <w:rFonts w:cstheme="minorHAnsi"/>
          <w:bCs/>
          <w:lang w:eastAsia="en-US"/>
        </w:rPr>
        <w:t>months of age or older</w:t>
      </w:r>
      <w:r w:rsidR="0029702D" w:rsidRPr="00F7369B">
        <w:rPr>
          <w:bCs/>
          <w:lang w:eastAsia="en-US"/>
        </w:rPr>
        <w:t xml:space="preserve">. The PBAC noted </w:t>
      </w:r>
      <w:r w:rsidR="00345E69" w:rsidRPr="00F7369B">
        <w:rPr>
          <w:bCs/>
          <w:lang w:eastAsia="en-US"/>
        </w:rPr>
        <w:t>the cost minimisation analysis should be based on the effective NNP of Nimenrix</w:t>
      </w:r>
      <w:r w:rsidR="00A92F58" w:rsidRPr="00F7369B">
        <w:rPr>
          <w:bCs/>
          <w:lang w:eastAsia="en-US"/>
        </w:rPr>
        <w:t xml:space="preserve">. </w:t>
      </w:r>
    </w:p>
    <w:p w:rsidR="00D85803" w:rsidRPr="00F7369B" w:rsidDel="00561699" w:rsidRDefault="002B42EF" w:rsidP="003725B7">
      <w:pPr>
        <w:pStyle w:val="3-BodyText"/>
        <w:rPr>
          <w:lang w:eastAsia="en-US"/>
        </w:rPr>
      </w:pPr>
      <w:r w:rsidRPr="00F7369B" w:rsidDel="00561699">
        <w:rPr>
          <w:lang w:eastAsia="en-US"/>
        </w:rPr>
        <w:t xml:space="preserve">The PBAC noted </w:t>
      </w:r>
      <w:r w:rsidR="007C0F46" w:rsidRPr="00F7369B" w:rsidDel="00561699">
        <w:rPr>
          <w:lang w:eastAsia="en-US"/>
        </w:rPr>
        <w:t xml:space="preserve">the listing of </w:t>
      </w:r>
      <w:r w:rsidRPr="00F7369B" w:rsidDel="00561699">
        <w:rPr>
          <w:lang w:eastAsia="en-US"/>
        </w:rPr>
        <w:t xml:space="preserve">MenQuadfi </w:t>
      </w:r>
      <w:r w:rsidR="007C0F46" w:rsidRPr="00F7369B" w:rsidDel="00561699">
        <w:rPr>
          <w:lang w:eastAsia="en-US"/>
        </w:rPr>
        <w:t xml:space="preserve">on the Determination would </w:t>
      </w:r>
      <w:r w:rsidR="003725B7" w:rsidRPr="00F7369B">
        <w:rPr>
          <w:bCs/>
          <w:lang w:eastAsia="en-US"/>
        </w:rPr>
        <w:t xml:space="preserve">not result in any change to the </w:t>
      </w:r>
      <w:r w:rsidR="005913D7" w:rsidRPr="00F7369B">
        <w:rPr>
          <w:bCs/>
          <w:lang w:eastAsia="en-US"/>
        </w:rPr>
        <w:t xml:space="preserve">population eligible for vaccination but would </w:t>
      </w:r>
      <w:r w:rsidR="00651C52">
        <w:rPr>
          <w:bCs/>
          <w:lang w:eastAsia="en-US"/>
        </w:rPr>
        <w:t>provide</w:t>
      </w:r>
      <w:r w:rsidR="005913D7" w:rsidRPr="00F7369B">
        <w:rPr>
          <w:lang w:eastAsia="en-US"/>
        </w:rPr>
        <w:t xml:space="preserve"> </w:t>
      </w:r>
      <w:r w:rsidR="007C0F46" w:rsidRPr="00F7369B" w:rsidDel="00561699">
        <w:rPr>
          <w:lang w:eastAsia="en-US"/>
        </w:rPr>
        <w:t xml:space="preserve">an additional quadrivalent meningococcal </w:t>
      </w:r>
      <w:r w:rsidR="00CB50C0" w:rsidRPr="00F7369B" w:rsidDel="00561699">
        <w:rPr>
          <w:lang w:eastAsia="en-US"/>
        </w:rPr>
        <w:t>vaccine</w:t>
      </w:r>
      <w:r w:rsidR="008C4796" w:rsidRPr="00F7369B">
        <w:rPr>
          <w:lang w:eastAsia="en-US"/>
        </w:rPr>
        <w:t xml:space="preserve"> to be considered for NIP listing</w:t>
      </w:r>
      <w:r w:rsidR="00CB50C0" w:rsidRPr="00F7369B" w:rsidDel="00561699">
        <w:rPr>
          <w:lang w:eastAsia="en-US"/>
        </w:rPr>
        <w:t xml:space="preserve">. </w:t>
      </w:r>
    </w:p>
    <w:p w:rsidR="0051241F" w:rsidRPr="00F7369B" w:rsidRDefault="007C0F46" w:rsidP="007C0F46">
      <w:pPr>
        <w:pStyle w:val="3-BodyText"/>
        <w:rPr>
          <w:bCs/>
          <w:lang w:eastAsia="en-US"/>
        </w:rPr>
      </w:pPr>
      <w:r w:rsidRPr="00F7369B">
        <w:rPr>
          <w:bCs/>
          <w:lang w:eastAsia="en-US"/>
        </w:rPr>
        <w:t xml:space="preserve">The PBAC noted the clinical claims in the submission were based on two randomised controlled trials comparing MenQuadfi to Nimenrix in children aged 12-23 months (MET51, N=918; MET54, N=188), and one randomised controlled trial comparing MenQuadfi to Menveo in children and adolescents aged 10-17 years (MET50, N=1,715). The PBAC </w:t>
      </w:r>
      <w:r w:rsidR="0051241F" w:rsidRPr="00F7369B">
        <w:rPr>
          <w:bCs/>
          <w:lang w:eastAsia="en-US"/>
        </w:rPr>
        <w:t xml:space="preserve">noted </w:t>
      </w:r>
      <w:r w:rsidRPr="00F7369B">
        <w:rPr>
          <w:bCs/>
          <w:lang w:eastAsia="en-US"/>
        </w:rPr>
        <w:t>the outcomes of the trials were based on immunogenicity data only</w:t>
      </w:r>
      <w:r w:rsidR="0051241F" w:rsidRPr="00F7369B">
        <w:rPr>
          <w:bCs/>
          <w:lang w:eastAsia="en-US"/>
        </w:rPr>
        <w:t>,</w:t>
      </w:r>
      <w:r w:rsidRPr="00F7369B">
        <w:rPr>
          <w:bCs/>
          <w:lang w:eastAsia="en-US"/>
        </w:rPr>
        <w:t xml:space="preserve"> rather than avoided cases of</w:t>
      </w:r>
      <w:r w:rsidR="00F24181" w:rsidRPr="00F7369B">
        <w:rPr>
          <w:bCs/>
          <w:lang w:eastAsia="en-US"/>
        </w:rPr>
        <w:t xml:space="preserve"> IMD</w:t>
      </w:r>
      <w:r w:rsidRPr="00F7369B">
        <w:rPr>
          <w:bCs/>
          <w:lang w:eastAsia="en-US"/>
        </w:rPr>
        <w:t xml:space="preserve">. </w:t>
      </w:r>
      <w:r w:rsidR="006F6A93" w:rsidRPr="00F7369B">
        <w:rPr>
          <w:bCs/>
          <w:lang w:eastAsia="en-US"/>
        </w:rPr>
        <w:t>T</w:t>
      </w:r>
      <w:r w:rsidRPr="00F7369B">
        <w:rPr>
          <w:bCs/>
          <w:lang w:eastAsia="en-US"/>
        </w:rPr>
        <w:t xml:space="preserve">he PBAC recalled that Nimenrix and Menveo were recommended on the basis of immunogenicity data </w:t>
      </w:r>
      <w:r w:rsidR="0051241F" w:rsidRPr="00F7369B">
        <w:rPr>
          <w:bCs/>
          <w:lang w:eastAsia="en-US"/>
        </w:rPr>
        <w:t>and</w:t>
      </w:r>
      <w:r w:rsidR="006F6A93" w:rsidRPr="00F7369B">
        <w:rPr>
          <w:bCs/>
          <w:lang w:eastAsia="en-US"/>
        </w:rPr>
        <w:t xml:space="preserve"> considered the use of immunogenicity outcomes to support the claims for </w:t>
      </w:r>
      <w:r w:rsidR="00AC6766" w:rsidRPr="00F7369B">
        <w:rPr>
          <w:bCs/>
          <w:lang w:eastAsia="en-US"/>
        </w:rPr>
        <w:t>MenQuadfi</w:t>
      </w:r>
      <w:r w:rsidR="006F6A93" w:rsidRPr="00F7369B">
        <w:rPr>
          <w:bCs/>
          <w:lang w:eastAsia="en-US"/>
        </w:rPr>
        <w:t xml:space="preserve"> w</w:t>
      </w:r>
      <w:r w:rsidR="00061145" w:rsidRPr="00F7369B">
        <w:rPr>
          <w:bCs/>
          <w:lang w:eastAsia="en-US"/>
        </w:rPr>
        <w:t xml:space="preserve">as </w:t>
      </w:r>
      <w:r w:rsidR="006F6A93" w:rsidRPr="00F7369B">
        <w:rPr>
          <w:bCs/>
          <w:lang w:eastAsia="en-US"/>
        </w:rPr>
        <w:t>reasonable</w:t>
      </w:r>
      <w:r w:rsidR="00F7369B">
        <w:rPr>
          <w:bCs/>
          <w:lang w:eastAsia="en-US"/>
        </w:rPr>
        <w:t xml:space="preserve">. </w:t>
      </w:r>
      <w:r w:rsidR="0051241F" w:rsidRPr="00F7369B">
        <w:rPr>
          <w:bCs/>
          <w:lang w:eastAsia="en-US"/>
        </w:rPr>
        <w:t xml:space="preserve"> </w:t>
      </w:r>
    </w:p>
    <w:p w:rsidR="00061145" w:rsidRPr="00F7369B" w:rsidRDefault="00F24181" w:rsidP="007C0F46">
      <w:pPr>
        <w:pStyle w:val="3-BodyText"/>
        <w:rPr>
          <w:bCs/>
          <w:lang w:eastAsia="en-US"/>
        </w:rPr>
      </w:pPr>
      <w:r w:rsidRPr="00F7369B">
        <w:rPr>
          <w:bCs/>
          <w:lang w:eastAsia="en-US"/>
        </w:rPr>
        <w:t>The PBAC considered the clinical data provided in the submission supported the claim that MenQuadfi was non-inferior in terms of</w:t>
      </w:r>
      <w:r w:rsidR="00B06BBF" w:rsidRPr="00F7369B">
        <w:rPr>
          <w:bCs/>
          <w:lang w:eastAsia="en-US"/>
        </w:rPr>
        <w:t xml:space="preserve"> immunogenicity </w:t>
      </w:r>
      <w:r w:rsidR="00244B0A" w:rsidRPr="00F7369B">
        <w:rPr>
          <w:bCs/>
          <w:lang w:eastAsia="en-US"/>
        </w:rPr>
        <w:t>outcomes and</w:t>
      </w:r>
      <w:r w:rsidRPr="00F7369B">
        <w:rPr>
          <w:bCs/>
          <w:lang w:eastAsia="en-US"/>
        </w:rPr>
        <w:t xml:space="preserve"> safety to Nimenrix for children </w:t>
      </w:r>
      <w:r w:rsidR="00561699" w:rsidRPr="00F7369B">
        <w:rPr>
          <w:bCs/>
          <w:lang w:eastAsia="en-US"/>
        </w:rPr>
        <w:t xml:space="preserve">(aged 12 to 23 months) </w:t>
      </w:r>
      <w:r w:rsidRPr="00F7369B">
        <w:rPr>
          <w:bCs/>
          <w:lang w:eastAsia="en-US"/>
        </w:rPr>
        <w:t>and to Menveo for adolescents</w:t>
      </w:r>
      <w:r w:rsidR="00561699" w:rsidRPr="00F7369B">
        <w:rPr>
          <w:bCs/>
          <w:lang w:eastAsia="en-US"/>
        </w:rPr>
        <w:t xml:space="preserve"> (aged</w:t>
      </w:r>
      <w:r w:rsidR="00C60C54" w:rsidRPr="00F7369B">
        <w:rPr>
          <w:bCs/>
          <w:lang w:eastAsia="en-US"/>
        </w:rPr>
        <w:t> </w:t>
      </w:r>
      <w:r w:rsidR="00561699" w:rsidRPr="00F7369B">
        <w:rPr>
          <w:bCs/>
          <w:lang w:eastAsia="en-US"/>
        </w:rPr>
        <w:t>10</w:t>
      </w:r>
      <w:r w:rsidR="00C60C54" w:rsidRPr="00F7369B">
        <w:rPr>
          <w:bCs/>
          <w:lang w:eastAsia="en-US"/>
        </w:rPr>
        <w:t> </w:t>
      </w:r>
      <w:r w:rsidR="00561699" w:rsidRPr="00F7369B">
        <w:rPr>
          <w:bCs/>
          <w:lang w:eastAsia="en-US"/>
        </w:rPr>
        <w:t>to 17 years)</w:t>
      </w:r>
      <w:r w:rsidR="006A1216" w:rsidRPr="00F7369B">
        <w:rPr>
          <w:bCs/>
          <w:lang w:eastAsia="en-US"/>
        </w:rPr>
        <w:t>.</w:t>
      </w:r>
    </w:p>
    <w:p w:rsidR="00061145" w:rsidRPr="00F7369B" w:rsidRDefault="00061145" w:rsidP="00061145">
      <w:pPr>
        <w:pStyle w:val="3-BodyText"/>
        <w:rPr>
          <w:bCs/>
          <w:lang w:eastAsia="en-US"/>
        </w:rPr>
      </w:pPr>
      <w:r w:rsidRPr="00F7369B">
        <w:rPr>
          <w:bCs/>
          <w:lang w:eastAsia="en-US"/>
        </w:rPr>
        <w:t>The PBAC noted that there is a lack of direct comparative trials</w:t>
      </w:r>
      <w:r w:rsidR="005913D7" w:rsidRPr="00F7369B">
        <w:rPr>
          <w:bCs/>
          <w:lang w:eastAsia="en-US"/>
        </w:rPr>
        <w:t xml:space="preserve"> of</w:t>
      </w:r>
      <w:r w:rsidRPr="00F7369B">
        <w:rPr>
          <w:bCs/>
          <w:lang w:eastAsia="en-US"/>
        </w:rPr>
        <w:t xml:space="preserve"> MenQuadfi and </w:t>
      </w:r>
      <w:r w:rsidR="00F24181" w:rsidRPr="00F7369B">
        <w:rPr>
          <w:bCs/>
          <w:lang w:eastAsia="en-US"/>
        </w:rPr>
        <w:t xml:space="preserve">the main comparator, </w:t>
      </w:r>
      <w:r w:rsidRPr="00F7369B">
        <w:rPr>
          <w:bCs/>
          <w:lang w:eastAsia="en-US"/>
        </w:rPr>
        <w:t>Nimenrix</w:t>
      </w:r>
      <w:r w:rsidR="00F24181" w:rsidRPr="00F7369B">
        <w:rPr>
          <w:bCs/>
          <w:lang w:eastAsia="en-US"/>
        </w:rPr>
        <w:t xml:space="preserve">, </w:t>
      </w:r>
      <w:r w:rsidR="003918BB" w:rsidRPr="00F7369B">
        <w:rPr>
          <w:bCs/>
          <w:lang w:eastAsia="en-US"/>
        </w:rPr>
        <w:t xml:space="preserve">in the adolescent population. The PBAC agreed with ATAGI that it was </w:t>
      </w:r>
      <w:r w:rsidR="00B06BBF" w:rsidRPr="00F7369B">
        <w:rPr>
          <w:bCs/>
          <w:lang w:eastAsia="en-US"/>
        </w:rPr>
        <w:t>reasonable to extrapolate the findings that MenQuadfi is non-inferior in terms of immunogenicity outcomes to Nimenrix in children to the adolescent population (paragraph 6.1</w:t>
      </w:r>
      <w:r w:rsidR="006B79EC" w:rsidRPr="00F7369B">
        <w:rPr>
          <w:bCs/>
          <w:lang w:eastAsia="en-US"/>
        </w:rPr>
        <w:t>9</w:t>
      </w:r>
      <w:r w:rsidR="00B06BBF" w:rsidRPr="00F7369B">
        <w:rPr>
          <w:bCs/>
          <w:lang w:eastAsia="en-US"/>
        </w:rPr>
        <w:t>)</w:t>
      </w:r>
      <w:r w:rsidR="00F7369B">
        <w:rPr>
          <w:bCs/>
          <w:lang w:eastAsia="en-US"/>
        </w:rPr>
        <w:t xml:space="preserve">. </w:t>
      </w:r>
      <w:r w:rsidR="00B06BBF" w:rsidRPr="00F7369B">
        <w:rPr>
          <w:bCs/>
          <w:lang w:eastAsia="en-US"/>
        </w:rPr>
        <w:t xml:space="preserve">The PBAC considered that, overall, the claim that MenQuadfi is non-inferior in terms of immunogenicity outcomes and safety to Nimenrix in the adolescent population was reasonable. </w:t>
      </w:r>
    </w:p>
    <w:p w:rsidR="00061145" w:rsidRPr="00F7369B" w:rsidRDefault="00B06BBF" w:rsidP="00B06BBF">
      <w:pPr>
        <w:pStyle w:val="3-BodyText"/>
        <w:rPr>
          <w:lang w:eastAsia="en-US"/>
        </w:rPr>
      </w:pPr>
      <w:r w:rsidRPr="00F7369B">
        <w:rPr>
          <w:lang w:eastAsia="en-US"/>
        </w:rPr>
        <w:t xml:space="preserve">The PBAC noted there were no trial data available for </w:t>
      </w:r>
      <w:r w:rsidRPr="00F7369B">
        <w:rPr>
          <w:bCs/>
          <w:lang w:eastAsia="en-US"/>
        </w:rPr>
        <w:t>people with asplenia and hyposplenia, complement deficiency or undergoing eculizumab treatment</w:t>
      </w:r>
      <w:r w:rsidR="00F7369B">
        <w:rPr>
          <w:bCs/>
          <w:lang w:eastAsia="en-US"/>
        </w:rPr>
        <w:t xml:space="preserve">. </w:t>
      </w:r>
      <w:r w:rsidRPr="00F7369B">
        <w:rPr>
          <w:lang w:eastAsia="en-US"/>
        </w:rPr>
        <w:t>However, the PBAC noted the ATAGI advice that MenQuadfi should be similarly immunogenic to Nimenrix in this population</w:t>
      </w:r>
      <w:r w:rsidR="005913D7" w:rsidRPr="00F7369B">
        <w:rPr>
          <w:lang w:eastAsia="en-US"/>
        </w:rPr>
        <w:t xml:space="preserve"> (paragraph </w:t>
      </w:r>
      <w:r w:rsidR="00F77AA7" w:rsidRPr="00F7369B">
        <w:rPr>
          <w:lang w:eastAsia="en-US"/>
        </w:rPr>
        <w:t>6.20</w:t>
      </w:r>
      <w:r w:rsidR="005913D7" w:rsidRPr="00F7369B">
        <w:rPr>
          <w:lang w:eastAsia="en-US"/>
        </w:rPr>
        <w:t>)</w:t>
      </w:r>
      <w:r w:rsidRPr="00F7369B">
        <w:rPr>
          <w:lang w:eastAsia="en-US"/>
        </w:rPr>
        <w:t xml:space="preserve">. </w:t>
      </w:r>
      <w:r w:rsidRPr="00F7369B">
        <w:rPr>
          <w:bCs/>
          <w:lang w:eastAsia="en-US"/>
        </w:rPr>
        <w:t xml:space="preserve">The PBAC considered that, overall, the claim that MenQuadfi is non-inferior in terms of immunogenicity outcomes and safety to Nimenrix in the medically at-risk population was reasonable. </w:t>
      </w:r>
    </w:p>
    <w:p w:rsidR="00CB50C0" w:rsidRPr="00F7369B" w:rsidRDefault="00F07301" w:rsidP="00F07301">
      <w:pPr>
        <w:pStyle w:val="3-BodyText"/>
        <w:rPr>
          <w:lang w:eastAsia="en-US"/>
        </w:rPr>
      </w:pPr>
      <w:r w:rsidRPr="00F7369B">
        <w:rPr>
          <w:lang w:eastAsia="en-US"/>
        </w:rPr>
        <w:t>The PBAC noted a number of assumptions included in the financial estimates were uncertain (paragraph 6.3</w:t>
      </w:r>
      <w:r w:rsidR="00F77AA7" w:rsidRPr="00F7369B">
        <w:rPr>
          <w:lang w:eastAsia="en-US"/>
        </w:rPr>
        <w:t>4)</w:t>
      </w:r>
      <w:r w:rsidRPr="00F7369B">
        <w:rPr>
          <w:lang w:eastAsia="en-US"/>
        </w:rPr>
        <w:t xml:space="preserve"> but agreed with the ESC that including MenQuadfi on th</w:t>
      </w:r>
      <w:r w:rsidR="006A1216" w:rsidRPr="00F7369B">
        <w:rPr>
          <w:lang w:eastAsia="en-US"/>
        </w:rPr>
        <w:t>e</w:t>
      </w:r>
      <w:r w:rsidRPr="00F7369B">
        <w:rPr>
          <w:lang w:eastAsia="en-US"/>
        </w:rPr>
        <w:t xml:space="preserve"> NIP would not result in an incremental cost</w:t>
      </w:r>
      <w:r w:rsidR="00572090" w:rsidRPr="00F7369B">
        <w:rPr>
          <w:lang w:eastAsia="en-US"/>
        </w:rPr>
        <w:t xml:space="preserve"> to the program</w:t>
      </w:r>
      <w:r w:rsidR="00F77AA7" w:rsidRPr="00F7369B">
        <w:rPr>
          <w:lang w:eastAsia="en-US"/>
        </w:rPr>
        <w:t xml:space="preserve"> (paragraph 6.38)</w:t>
      </w:r>
      <w:r w:rsidR="00F7369B">
        <w:rPr>
          <w:lang w:eastAsia="en-US"/>
        </w:rPr>
        <w:t xml:space="preserve">. </w:t>
      </w:r>
    </w:p>
    <w:p w:rsidR="00A17F8E" w:rsidRDefault="00BF72E0" w:rsidP="00665877">
      <w:pPr>
        <w:widowControl w:val="0"/>
        <w:numPr>
          <w:ilvl w:val="1"/>
          <w:numId w:val="1"/>
        </w:numPr>
        <w:spacing w:after="120"/>
        <w:rPr>
          <w:rFonts w:asciiTheme="minorHAnsi" w:hAnsiTheme="minorHAnsi"/>
          <w:bCs/>
          <w:snapToGrid w:val="0"/>
          <w:lang w:eastAsia="en-US"/>
        </w:rPr>
      </w:pPr>
      <w:r w:rsidRPr="00F7369B">
        <w:rPr>
          <w:rFonts w:asciiTheme="minorHAnsi" w:hAnsiTheme="minorHAnsi"/>
          <w:bCs/>
          <w:snapToGrid w:val="0"/>
          <w:lang w:eastAsia="en-US"/>
        </w:rPr>
        <w:t xml:space="preserve">The PBAC noted that this submission is not eligible for an </w:t>
      </w:r>
      <w:r w:rsidR="00780AEE" w:rsidRPr="00F7369B">
        <w:rPr>
          <w:rFonts w:asciiTheme="minorHAnsi" w:hAnsiTheme="minorHAnsi"/>
          <w:bCs/>
          <w:snapToGrid w:val="0"/>
          <w:lang w:eastAsia="en-US"/>
        </w:rPr>
        <w:t>i</w:t>
      </w:r>
      <w:r w:rsidRPr="00F7369B">
        <w:rPr>
          <w:rFonts w:asciiTheme="minorHAnsi" w:hAnsiTheme="minorHAnsi"/>
          <w:bCs/>
          <w:snapToGrid w:val="0"/>
          <w:lang w:eastAsia="en-US"/>
        </w:rPr>
        <w:t xml:space="preserve">ndependent </w:t>
      </w:r>
      <w:r w:rsidR="00780AEE" w:rsidRPr="00F7369B">
        <w:rPr>
          <w:rFonts w:asciiTheme="minorHAnsi" w:hAnsiTheme="minorHAnsi"/>
          <w:bCs/>
          <w:snapToGrid w:val="0"/>
          <w:lang w:eastAsia="en-US"/>
        </w:rPr>
        <w:t>r</w:t>
      </w:r>
      <w:r w:rsidRPr="00F7369B">
        <w:rPr>
          <w:rFonts w:asciiTheme="minorHAnsi" w:hAnsiTheme="minorHAnsi"/>
          <w:bCs/>
          <w:snapToGrid w:val="0"/>
          <w:lang w:eastAsia="en-US"/>
        </w:rPr>
        <w:t>eview</w:t>
      </w:r>
      <w:r w:rsidR="00EA670F" w:rsidRPr="00F7369B">
        <w:rPr>
          <w:rFonts w:asciiTheme="minorHAnsi" w:hAnsiTheme="minorHAnsi"/>
          <w:bCs/>
          <w:snapToGrid w:val="0"/>
          <w:lang w:eastAsia="en-US"/>
        </w:rPr>
        <w:t xml:space="preserve"> </w:t>
      </w:r>
      <w:r w:rsidR="00780AEE" w:rsidRPr="00F7369B">
        <w:rPr>
          <w:rFonts w:asciiTheme="minorHAnsi" w:hAnsiTheme="minorHAnsi"/>
          <w:bCs/>
          <w:snapToGrid w:val="0"/>
          <w:lang w:eastAsia="en-US"/>
        </w:rPr>
        <w:t xml:space="preserve">as independent review is only relevant to </w:t>
      </w:r>
      <w:r w:rsidR="00EA4653" w:rsidRPr="00F7369B">
        <w:rPr>
          <w:rFonts w:asciiTheme="minorHAnsi" w:hAnsiTheme="minorHAnsi"/>
          <w:bCs/>
          <w:snapToGrid w:val="0"/>
          <w:lang w:eastAsia="en-US"/>
        </w:rPr>
        <w:t xml:space="preserve">requests for </w:t>
      </w:r>
      <w:r w:rsidR="00780AEE" w:rsidRPr="00F7369B">
        <w:rPr>
          <w:rFonts w:asciiTheme="minorHAnsi" w:hAnsiTheme="minorHAnsi"/>
          <w:bCs/>
          <w:snapToGrid w:val="0"/>
          <w:lang w:eastAsia="en-US"/>
        </w:rPr>
        <w:t>PBS listing</w:t>
      </w:r>
      <w:r w:rsidR="00F7369B">
        <w:rPr>
          <w:rFonts w:asciiTheme="minorHAnsi" w:hAnsiTheme="minorHAnsi"/>
          <w:bCs/>
          <w:snapToGrid w:val="0"/>
          <w:lang w:eastAsia="en-US"/>
        </w:rPr>
        <w:t xml:space="preserve">. </w:t>
      </w:r>
    </w:p>
    <w:p w:rsidR="004E1E1F" w:rsidRDefault="004E1E1F" w:rsidP="00C71225">
      <w:pPr>
        <w:widowControl w:val="0"/>
        <w:spacing w:after="120"/>
        <w:jc w:val="left"/>
        <w:rPr>
          <w:rFonts w:asciiTheme="minorHAnsi" w:hAnsiTheme="minorHAnsi"/>
          <w:b/>
          <w:bCs/>
          <w:snapToGrid w:val="0"/>
          <w:lang w:eastAsia="en-US"/>
        </w:rPr>
      </w:pPr>
    </w:p>
    <w:p w:rsidR="00BF72E0" w:rsidRPr="00F7369B" w:rsidRDefault="00BF72E0" w:rsidP="00C71225">
      <w:pPr>
        <w:widowControl w:val="0"/>
        <w:spacing w:after="120"/>
        <w:jc w:val="left"/>
        <w:rPr>
          <w:rFonts w:asciiTheme="minorHAnsi" w:hAnsiTheme="minorHAnsi"/>
          <w:b/>
          <w:bCs/>
          <w:snapToGrid w:val="0"/>
          <w:lang w:eastAsia="en-US"/>
        </w:rPr>
      </w:pPr>
      <w:r w:rsidRPr="00F7369B">
        <w:rPr>
          <w:rFonts w:asciiTheme="minorHAnsi" w:hAnsiTheme="minorHAnsi"/>
          <w:b/>
          <w:bCs/>
          <w:snapToGrid w:val="0"/>
          <w:lang w:eastAsia="en-US"/>
        </w:rPr>
        <w:t>Outcome:</w:t>
      </w:r>
    </w:p>
    <w:p w:rsidR="00BF72E0" w:rsidRPr="00F7369B" w:rsidRDefault="00BF72E0" w:rsidP="00BF72E0">
      <w:pPr>
        <w:spacing w:after="120"/>
        <w:rPr>
          <w:rFonts w:asciiTheme="minorHAnsi" w:hAnsiTheme="minorHAnsi"/>
          <w:bCs/>
          <w:snapToGrid w:val="0"/>
          <w:lang w:eastAsia="en-US"/>
        </w:rPr>
      </w:pPr>
      <w:r w:rsidRPr="00F7369B">
        <w:rPr>
          <w:rFonts w:asciiTheme="minorHAnsi" w:hAnsiTheme="minorHAnsi"/>
          <w:bCs/>
          <w:snapToGrid w:val="0"/>
          <w:lang w:eastAsia="en-US"/>
        </w:rPr>
        <w:t xml:space="preserve">Recommended </w:t>
      </w:r>
    </w:p>
    <w:p w:rsidR="00BF72E0" w:rsidRPr="00F7369B" w:rsidRDefault="00980545" w:rsidP="00B776D2">
      <w:pPr>
        <w:pStyle w:val="2-SectionHeading"/>
        <w:rPr>
          <w:rFonts w:cstheme="minorHAnsi"/>
        </w:rPr>
      </w:pPr>
      <w:r w:rsidRPr="00F7369B">
        <w:rPr>
          <w:rFonts w:cstheme="minorHAnsi"/>
        </w:rPr>
        <w:t xml:space="preserve"> </w:t>
      </w:r>
      <w:r w:rsidR="00BF72E0" w:rsidRPr="00F7369B">
        <w:rPr>
          <w:rFonts w:cstheme="minorHAnsi"/>
        </w:rPr>
        <w:t>Recommended listing</w:t>
      </w:r>
    </w:p>
    <w:p w:rsidR="00BF72E0" w:rsidRPr="00F7369B" w:rsidRDefault="00BF72E0" w:rsidP="00B776D2">
      <w:pPr>
        <w:keepNext/>
        <w:widowControl w:val="0"/>
        <w:numPr>
          <w:ilvl w:val="1"/>
          <w:numId w:val="1"/>
        </w:numPr>
        <w:spacing w:after="120"/>
        <w:jc w:val="left"/>
        <w:rPr>
          <w:rFonts w:asciiTheme="minorHAnsi" w:hAnsiTheme="minorHAnsi"/>
          <w:bCs/>
          <w:snapToGrid w:val="0"/>
          <w:lang w:eastAsia="en-US"/>
        </w:rPr>
      </w:pPr>
      <w:r w:rsidRPr="00F7369B">
        <w:rPr>
          <w:rFonts w:asciiTheme="minorHAnsi" w:hAnsiTheme="minorHAnsi"/>
          <w:bCs/>
          <w:snapToGrid w:val="0"/>
          <w:lang w:eastAsia="en-US"/>
        </w:rPr>
        <w:t>Add new item</w:t>
      </w:r>
      <w:r w:rsidR="00EF1854" w:rsidRPr="00F7369B">
        <w:rPr>
          <w:rFonts w:asciiTheme="minorHAnsi" w:hAnsiTheme="minorHAnsi"/>
          <w:bCs/>
          <w:snapToGrid w:val="0"/>
          <w:lang w:eastAsia="en-US"/>
        </w:rPr>
        <w:t xml:space="preserve"> to the Determination</w:t>
      </w:r>
      <w:r w:rsidRPr="00F7369B">
        <w:rPr>
          <w:rFonts w:asciiTheme="minorHAnsi" w:hAnsiTheme="minorHAnsi"/>
          <w:bCs/>
          <w:snapToGrid w:val="0"/>
          <w:lang w:eastAsia="en-US"/>
        </w:rPr>
        <w:t>:</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3544"/>
        <w:gridCol w:w="1387"/>
        <w:gridCol w:w="222"/>
        <w:gridCol w:w="1762"/>
        <w:gridCol w:w="2112"/>
      </w:tblGrid>
      <w:tr w:rsidR="00CB5A62" w:rsidRPr="00F7369B" w:rsidTr="00A751BC">
        <w:tc>
          <w:tcPr>
            <w:tcW w:w="1963" w:type="pct"/>
            <w:vAlign w:val="center"/>
          </w:tcPr>
          <w:p w:rsidR="00CB5A62" w:rsidRPr="00F7369B" w:rsidRDefault="00CB5A62" w:rsidP="00B776D2">
            <w:pPr>
              <w:keepNext/>
              <w:jc w:val="left"/>
              <w:rPr>
                <w:rFonts w:ascii="Arial Narrow" w:hAnsi="Arial Narrow" w:cstheme="minorHAnsi"/>
                <w:b/>
                <w:bCs/>
                <w:snapToGrid w:val="0"/>
                <w:sz w:val="20"/>
                <w:szCs w:val="20"/>
              </w:rPr>
            </w:pPr>
            <w:r w:rsidRPr="00F7369B">
              <w:rPr>
                <w:rFonts w:ascii="Arial Narrow" w:hAnsi="Arial Narrow" w:cstheme="minorHAnsi"/>
                <w:b/>
                <w:snapToGrid w:val="0"/>
                <w:sz w:val="20"/>
                <w:szCs w:val="20"/>
              </w:rPr>
              <w:t>Name, restriction, manner of administration, form</w:t>
            </w:r>
          </w:p>
        </w:tc>
        <w:tc>
          <w:tcPr>
            <w:tcW w:w="768" w:type="pct"/>
            <w:vAlign w:val="center"/>
          </w:tcPr>
          <w:p w:rsidR="00CB5A62" w:rsidRPr="00F7369B" w:rsidRDefault="00CB5A62" w:rsidP="00B776D2">
            <w:pPr>
              <w:keepNext/>
              <w:jc w:val="left"/>
              <w:rPr>
                <w:rFonts w:ascii="Arial Narrow" w:hAnsi="Arial Narrow" w:cstheme="minorHAnsi"/>
                <w:b/>
                <w:bCs/>
                <w:snapToGrid w:val="0"/>
                <w:sz w:val="20"/>
                <w:szCs w:val="20"/>
              </w:rPr>
            </w:pPr>
          </w:p>
        </w:tc>
        <w:tc>
          <w:tcPr>
            <w:tcW w:w="123" w:type="pct"/>
            <w:vAlign w:val="center"/>
          </w:tcPr>
          <w:p w:rsidR="00CB5A62" w:rsidRPr="00F7369B" w:rsidRDefault="00CB5A62" w:rsidP="00B776D2">
            <w:pPr>
              <w:keepNext/>
              <w:jc w:val="left"/>
              <w:rPr>
                <w:rFonts w:ascii="Arial Narrow" w:hAnsi="Arial Narrow" w:cstheme="minorHAnsi"/>
                <w:b/>
                <w:bCs/>
                <w:snapToGrid w:val="0"/>
                <w:sz w:val="20"/>
                <w:szCs w:val="20"/>
              </w:rPr>
            </w:pPr>
          </w:p>
        </w:tc>
        <w:tc>
          <w:tcPr>
            <w:tcW w:w="976" w:type="pct"/>
            <w:vAlign w:val="center"/>
          </w:tcPr>
          <w:p w:rsidR="00CB5A62" w:rsidRPr="00F7369B" w:rsidRDefault="00CB5A62" w:rsidP="00B776D2">
            <w:pPr>
              <w:keepNext/>
              <w:jc w:val="center"/>
              <w:rPr>
                <w:rFonts w:ascii="Arial Narrow" w:hAnsi="Arial Narrow" w:cstheme="minorHAnsi"/>
                <w:b/>
                <w:bCs/>
                <w:snapToGrid w:val="0"/>
                <w:sz w:val="20"/>
                <w:szCs w:val="20"/>
              </w:rPr>
            </w:pPr>
          </w:p>
        </w:tc>
        <w:tc>
          <w:tcPr>
            <w:tcW w:w="1170" w:type="pct"/>
            <w:vAlign w:val="center"/>
          </w:tcPr>
          <w:p w:rsidR="00CB5A62" w:rsidRPr="00F7369B" w:rsidRDefault="00CB5A62" w:rsidP="00B776D2">
            <w:pPr>
              <w:keepNext/>
              <w:jc w:val="left"/>
              <w:rPr>
                <w:rFonts w:ascii="Arial Narrow" w:hAnsi="Arial Narrow" w:cstheme="minorHAnsi"/>
                <w:b/>
                <w:bCs/>
                <w:snapToGrid w:val="0"/>
                <w:sz w:val="20"/>
                <w:szCs w:val="20"/>
              </w:rPr>
            </w:pPr>
            <w:r w:rsidRPr="00F7369B">
              <w:rPr>
                <w:rFonts w:ascii="Arial Narrow" w:hAnsi="Arial Narrow" w:cstheme="minorHAnsi"/>
                <w:b/>
                <w:snapToGrid w:val="0"/>
                <w:sz w:val="20"/>
                <w:szCs w:val="20"/>
              </w:rPr>
              <w:t>Proprietary name and manufacturer</w:t>
            </w:r>
          </w:p>
        </w:tc>
      </w:tr>
      <w:tr w:rsidR="00CB5A62" w:rsidRPr="00F7369B" w:rsidTr="00A751BC">
        <w:trPr>
          <w:trHeight w:val="357"/>
        </w:trPr>
        <w:tc>
          <w:tcPr>
            <w:tcW w:w="1963" w:type="pct"/>
          </w:tcPr>
          <w:p w:rsidR="00CB5A62" w:rsidRPr="00F7369B" w:rsidRDefault="00CB5A62" w:rsidP="00980545">
            <w:pPr>
              <w:keepNext/>
              <w:jc w:val="left"/>
              <w:rPr>
                <w:rFonts w:ascii="Arial Narrow" w:hAnsi="Arial Narrow" w:cstheme="minorHAnsi"/>
                <w:bCs/>
                <w:iCs/>
                <w:sz w:val="20"/>
                <w:szCs w:val="20"/>
              </w:rPr>
            </w:pPr>
            <w:r w:rsidRPr="00F7369B">
              <w:rPr>
                <w:rFonts w:ascii="Arial Narrow" w:hAnsi="Arial Narrow" w:cstheme="minorHAnsi"/>
                <w:bCs/>
                <w:sz w:val="20"/>
                <w:szCs w:val="20"/>
              </w:rPr>
              <w:t>Meningococcal polysaccharide serogroups A, C, W</w:t>
            </w:r>
            <w:r w:rsidRPr="00F7369B">
              <w:rPr>
                <w:rFonts w:ascii="Arial Narrow" w:hAnsi="Arial Narrow" w:cstheme="minorHAnsi"/>
                <w:bCs/>
                <w:sz w:val="20"/>
                <w:szCs w:val="20"/>
              </w:rPr>
              <w:noBreakHyphen/>
              <w:t>135 and Y conjugate Injection (0.5mL)</w:t>
            </w:r>
          </w:p>
        </w:tc>
        <w:tc>
          <w:tcPr>
            <w:tcW w:w="768" w:type="pct"/>
            <w:vAlign w:val="center"/>
          </w:tcPr>
          <w:p w:rsidR="00CB5A62" w:rsidRPr="00F7369B" w:rsidRDefault="00CB5A62" w:rsidP="00A751BC">
            <w:pPr>
              <w:jc w:val="center"/>
              <w:rPr>
                <w:rFonts w:ascii="Arial Narrow" w:hAnsi="Arial Narrow" w:cstheme="minorHAnsi"/>
                <w:snapToGrid w:val="0"/>
                <w:sz w:val="20"/>
                <w:szCs w:val="20"/>
              </w:rPr>
            </w:pPr>
          </w:p>
        </w:tc>
        <w:tc>
          <w:tcPr>
            <w:tcW w:w="123" w:type="pct"/>
            <w:vAlign w:val="center"/>
          </w:tcPr>
          <w:p w:rsidR="00CB5A62" w:rsidRPr="00F7369B" w:rsidRDefault="00CB5A62" w:rsidP="00A751BC">
            <w:pPr>
              <w:jc w:val="center"/>
              <w:rPr>
                <w:rFonts w:ascii="Arial Narrow" w:hAnsi="Arial Narrow" w:cstheme="minorHAnsi"/>
                <w:snapToGrid w:val="0"/>
                <w:sz w:val="20"/>
                <w:szCs w:val="20"/>
              </w:rPr>
            </w:pPr>
          </w:p>
        </w:tc>
        <w:tc>
          <w:tcPr>
            <w:tcW w:w="976" w:type="pct"/>
            <w:vAlign w:val="center"/>
          </w:tcPr>
          <w:p w:rsidR="00CB5A62" w:rsidRPr="00F7369B" w:rsidRDefault="00CB5A62" w:rsidP="00A751BC">
            <w:pPr>
              <w:jc w:val="center"/>
              <w:rPr>
                <w:rFonts w:ascii="Arial Narrow" w:hAnsi="Arial Narrow" w:cstheme="minorHAnsi"/>
                <w:snapToGrid w:val="0"/>
                <w:sz w:val="20"/>
                <w:szCs w:val="20"/>
              </w:rPr>
            </w:pPr>
          </w:p>
        </w:tc>
        <w:tc>
          <w:tcPr>
            <w:tcW w:w="1170" w:type="pct"/>
            <w:vAlign w:val="center"/>
          </w:tcPr>
          <w:p w:rsidR="00CB5A62" w:rsidRPr="00F7369B" w:rsidRDefault="00CB5A62" w:rsidP="00A751BC">
            <w:pPr>
              <w:jc w:val="left"/>
              <w:rPr>
                <w:rFonts w:ascii="Arial Narrow" w:hAnsi="Arial Narrow" w:cstheme="minorHAnsi"/>
                <w:snapToGrid w:val="0"/>
                <w:sz w:val="20"/>
                <w:szCs w:val="20"/>
              </w:rPr>
            </w:pPr>
            <w:r w:rsidRPr="00F7369B">
              <w:rPr>
                <w:rFonts w:ascii="Arial Narrow" w:hAnsi="Arial Narrow" w:cstheme="minorHAnsi"/>
                <w:snapToGrid w:val="0"/>
                <w:sz w:val="20"/>
                <w:szCs w:val="20"/>
              </w:rPr>
              <w:t xml:space="preserve">MenQuadfi, </w:t>
            </w:r>
            <w:r w:rsidR="005B2686" w:rsidRPr="00F7369B">
              <w:rPr>
                <w:rFonts w:ascii="Arial Narrow" w:hAnsi="Arial Narrow" w:cstheme="minorHAnsi"/>
                <w:snapToGrid w:val="0"/>
                <w:sz w:val="20"/>
                <w:szCs w:val="20"/>
              </w:rPr>
              <w:t>Sanofi-Aventis Australia Pty Ltd</w:t>
            </w:r>
          </w:p>
        </w:tc>
      </w:tr>
      <w:tr w:rsidR="00CB5A62" w:rsidRPr="00F7369B" w:rsidTr="00A751BC">
        <w:trPr>
          <w:trHeight w:val="357"/>
        </w:trPr>
        <w:tc>
          <w:tcPr>
            <w:tcW w:w="5000" w:type="pct"/>
            <w:gridSpan w:val="5"/>
          </w:tcPr>
          <w:p w:rsidR="00980545" w:rsidRPr="00F7369B" w:rsidRDefault="00980545" w:rsidP="00A751BC">
            <w:pPr>
              <w:jc w:val="left"/>
              <w:rPr>
                <w:rFonts w:ascii="Arial Narrow" w:hAnsi="Arial Narrow" w:cstheme="minorHAnsi"/>
                <w:sz w:val="20"/>
                <w:szCs w:val="20"/>
              </w:rPr>
            </w:pPr>
          </w:p>
          <w:p w:rsidR="00CB5A62" w:rsidRPr="00F7369B" w:rsidRDefault="00CB5A62" w:rsidP="00A751BC">
            <w:pPr>
              <w:jc w:val="left"/>
              <w:rPr>
                <w:rFonts w:ascii="Arial Narrow" w:hAnsi="Arial Narrow" w:cstheme="minorHAnsi"/>
                <w:snapToGrid w:val="0"/>
                <w:sz w:val="20"/>
                <w:szCs w:val="20"/>
              </w:rPr>
            </w:pPr>
            <w:r w:rsidRPr="00F7369B">
              <w:rPr>
                <w:rFonts w:ascii="Arial Narrow" w:hAnsi="Arial Narrow" w:cstheme="minorHAnsi"/>
                <w:sz w:val="20"/>
                <w:szCs w:val="20"/>
              </w:rPr>
              <w:t>Vaccine may be provided to:</w:t>
            </w:r>
          </w:p>
          <w:p w:rsidR="00CB5A62" w:rsidRPr="00F7369B" w:rsidRDefault="00CB5A62" w:rsidP="00A751BC">
            <w:pPr>
              <w:numPr>
                <w:ilvl w:val="0"/>
                <w:numId w:val="25"/>
              </w:numPr>
              <w:jc w:val="left"/>
              <w:rPr>
                <w:rFonts w:ascii="Arial Narrow" w:hAnsi="Arial Narrow" w:cstheme="minorHAnsi"/>
                <w:sz w:val="20"/>
                <w:szCs w:val="20"/>
                <w:lang w:eastAsia="en-US"/>
              </w:rPr>
            </w:pPr>
            <w:r w:rsidRPr="00F7369B">
              <w:rPr>
                <w:rFonts w:ascii="Arial Narrow" w:hAnsi="Arial Narrow" w:cstheme="minorHAnsi"/>
                <w:sz w:val="20"/>
                <w:szCs w:val="20"/>
                <w:lang w:eastAsia="en-US"/>
              </w:rPr>
              <w:t>a child who is 12 months old; or</w:t>
            </w:r>
          </w:p>
          <w:p w:rsidR="00CB5A62" w:rsidRPr="00F7369B" w:rsidRDefault="00CB5A62" w:rsidP="00A751BC">
            <w:pPr>
              <w:numPr>
                <w:ilvl w:val="0"/>
                <w:numId w:val="25"/>
              </w:numPr>
              <w:jc w:val="left"/>
              <w:rPr>
                <w:rFonts w:ascii="Arial Narrow" w:hAnsi="Arial Narrow" w:cstheme="minorHAnsi"/>
                <w:sz w:val="20"/>
                <w:szCs w:val="20"/>
                <w:lang w:eastAsia="en-US"/>
              </w:rPr>
            </w:pPr>
            <w:r w:rsidRPr="00F7369B">
              <w:rPr>
                <w:rFonts w:ascii="Arial Narrow" w:hAnsi="Arial Narrow" w:cstheme="minorHAnsi"/>
                <w:sz w:val="20"/>
                <w:szCs w:val="20"/>
                <w:lang w:eastAsia="en-US"/>
              </w:rPr>
              <w:t>a person who is at least 14 years old but less than 20 years of age; or</w:t>
            </w:r>
          </w:p>
          <w:p w:rsidR="00CB5A62" w:rsidRPr="00F7369B" w:rsidRDefault="00CB5A62" w:rsidP="00A751BC">
            <w:pPr>
              <w:numPr>
                <w:ilvl w:val="0"/>
                <w:numId w:val="25"/>
              </w:numPr>
              <w:jc w:val="left"/>
              <w:rPr>
                <w:rFonts w:ascii="Arial Narrow" w:hAnsi="Arial Narrow" w:cstheme="minorHAnsi"/>
                <w:sz w:val="20"/>
                <w:szCs w:val="20"/>
                <w:lang w:eastAsia="en-US"/>
              </w:rPr>
            </w:pPr>
            <w:r w:rsidRPr="00F7369B">
              <w:rPr>
                <w:rFonts w:ascii="Arial Narrow" w:hAnsi="Arial Narrow" w:cstheme="minorHAnsi"/>
                <w:sz w:val="20"/>
                <w:szCs w:val="20"/>
                <w:lang w:eastAsia="en-US"/>
              </w:rPr>
              <w:t xml:space="preserve">a person </w:t>
            </w:r>
            <w:r w:rsidRPr="00F7369B">
              <w:rPr>
                <w:rFonts w:ascii="Arial Narrow" w:hAnsi="Arial Narrow" w:cstheme="minorHAnsi"/>
                <w:strike/>
                <w:sz w:val="20"/>
                <w:szCs w:val="20"/>
                <w:lang w:eastAsia="en-US"/>
              </w:rPr>
              <w:t>≥</w:t>
            </w:r>
            <w:r w:rsidRPr="00F7369B">
              <w:rPr>
                <w:rFonts w:ascii="Arial Narrow" w:hAnsi="Arial Narrow" w:cstheme="minorHAnsi"/>
                <w:sz w:val="20"/>
                <w:szCs w:val="20"/>
                <w:lang w:eastAsia="en-US"/>
              </w:rPr>
              <w:t xml:space="preserve"> aged at least 12 months old who has congenital or acquired asplenia (e.g. splenectomy) or hyposplenia</w:t>
            </w:r>
            <w:r w:rsidRPr="00F7369B">
              <w:rPr>
                <w:rFonts w:ascii="Arial Narrow" w:hAnsi="Arial Narrow" w:cstheme="minorHAnsi"/>
                <w:strike/>
                <w:sz w:val="20"/>
                <w:szCs w:val="20"/>
                <w:lang w:eastAsia="en-US"/>
              </w:rPr>
              <w:t>)</w:t>
            </w:r>
            <w:r w:rsidRPr="00F7369B">
              <w:rPr>
                <w:rFonts w:ascii="Arial Narrow" w:hAnsi="Arial Narrow" w:cstheme="minorHAnsi"/>
                <w:sz w:val="20"/>
                <w:szCs w:val="20"/>
                <w:lang w:eastAsia="en-US"/>
              </w:rPr>
              <w:t>; or</w:t>
            </w:r>
          </w:p>
          <w:p w:rsidR="00CB5A62" w:rsidRPr="00F7369B" w:rsidRDefault="00CB5A62" w:rsidP="00A751BC">
            <w:pPr>
              <w:numPr>
                <w:ilvl w:val="0"/>
                <w:numId w:val="25"/>
              </w:numPr>
              <w:jc w:val="left"/>
              <w:rPr>
                <w:rFonts w:ascii="Arial Narrow" w:hAnsi="Arial Narrow" w:cstheme="minorHAnsi"/>
                <w:sz w:val="20"/>
                <w:szCs w:val="20"/>
                <w:lang w:eastAsia="en-US"/>
              </w:rPr>
            </w:pPr>
            <w:r w:rsidRPr="00F7369B">
              <w:rPr>
                <w:rFonts w:ascii="Arial Narrow" w:hAnsi="Arial Narrow" w:cstheme="minorHAnsi"/>
                <w:sz w:val="20"/>
                <w:szCs w:val="20"/>
                <w:lang w:eastAsia="en-US"/>
              </w:rPr>
              <w:t xml:space="preserve">a person </w:t>
            </w:r>
            <w:r w:rsidRPr="00F7369B">
              <w:rPr>
                <w:rFonts w:ascii="Arial Narrow" w:hAnsi="Arial Narrow" w:cstheme="minorHAnsi"/>
                <w:strike/>
                <w:sz w:val="20"/>
                <w:szCs w:val="20"/>
                <w:lang w:eastAsia="en-US"/>
              </w:rPr>
              <w:t>≥</w:t>
            </w:r>
            <w:r w:rsidRPr="00F7369B">
              <w:rPr>
                <w:rFonts w:ascii="Arial Narrow" w:hAnsi="Arial Narrow" w:cstheme="minorHAnsi"/>
                <w:sz w:val="20"/>
                <w:szCs w:val="20"/>
                <w:lang w:eastAsia="en-US"/>
              </w:rPr>
              <w:t xml:space="preserve"> aged at least 12 months old who has complement deficiency; or</w:t>
            </w:r>
          </w:p>
          <w:p w:rsidR="00CB5A62" w:rsidRPr="00F7369B" w:rsidRDefault="00CB5A62" w:rsidP="00A751BC">
            <w:pPr>
              <w:numPr>
                <w:ilvl w:val="0"/>
                <w:numId w:val="25"/>
              </w:numPr>
              <w:jc w:val="left"/>
              <w:rPr>
                <w:rFonts w:ascii="Arial Narrow" w:hAnsi="Arial Narrow" w:cstheme="minorHAnsi"/>
                <w:sz w:val="20"/>
                <w:szCs w:val="20"/>
                <w:lang w:eastAsia="en-US"/>
              </w:rPr>
            </w:pPr>
            <w:r w:rsidRPr="00F7369B">
              <w:rPr>
                <w:rFonts w:ascii="Arial Narrow" w:hAnsi="Arial Narrow" w:cstheme="minorHAnsi"/>
                <w:sz w:val="20"/>
                <w:szCs w:val="20"/>
                <w:lang w:eastAsia="en-US"/>
              </w:rPr>
              <w:t xml:space="preserve">a person </w:t>
            </w:r>
            <w:r w:rsidRPr="00F7369B">
              <w:rPr>
                <w:rFonts w:ascii="Arial Narrow" w:hAnsi="Arial Narrow" w:cstheme="minorHAnsi"/>
                <w:strike/>
                <w:sz w:val="20"/>
                <w:szCs w:val="20"/>
                <w:lang w:eastAsia="en-US"/>
              </w:rPr>
              <w:t>≥</w:t>
            </w:r>
            <w:r w:rsidRPr="00F7369B">
              <w:rPr>
                <w:rFonts w:ascii="Arial Narrow" w:hAnsi="Arial Narrow" w:cstheme="minorHAnsi"/>
                <w:sz w:val="20"/>
                <w:szCs w:val="20"/>
                <w:lang w:eastAsia="en-US"/>
              </w:rPr>
              <w:t xml:space="preserve"> aged at least 12 months old undergoing eculizumab treatment</w:t>
            </w:r>
            <w:r w:rsidR="00F7369B">
              <w:rPr>
                <w:rFonts w:ascii="Arial Narrow" w:hAnsi="Arial Narrow" w:cstheme="minorHAnsi"/>
                <w:sz w:val="20"/>
                <w:szCs w:val="20"/>
                <w:lang w:eastAsia="en-US"/>
              </w:rPr>
              <w:t xml:space="preserve">. </w:t>
            </w:r>
          </w:p>
          <w:p w:rsidR="00CB5A62" w:rsidRPr="00F7369B" w:rsidRDefault="00CB5A62" w:rsidP="00A751BC">
            <w:pPr>
              <w:widowControl w:val="0"/>
              <w:spacing w:after="120"/>
              <w:rPr>
                <w:rFonts w:ascii="Arial Narrow" w:hAnsi="Arial Narrow" w:cstheme="minorHAnsi"/>
                <w:bCs/>
                <w:snapToGrid w:val="0"/>
                <w:sz w:val="20"/>
                <w:szCs w:val="20"/>
              </w:rPr>
            </w:pPr>
            <w:r w:rsidRPr="00F7369B">
              <w:rPr>
                <w:rFonts w:ascii="Arial Narrow" w:hAnsi="Arial Narrow" w:cstheme="minorHAnsi"/>
                <w:bCs/>
                <w:snapToGrid w:val="0"/>
                <w:sz w:val="20"/>
                <w:szCs w:val="20"/>
              </w:rPr>
              <w:t>If in circumstances (c), (d) or (e): 2 doses of a primary course plus booster doses as described in subsection 7</w:t>
            </w:r>
            <w:r w:rsidR="00980545" w:rsidRPr="00F7369B">
              <w:rPr>
                <w:rFonts w:ascii="Arial Narrow" w:hAnsi="Arial Narrow" w:cstheme="minorHAnsi"/>
                <w:bCs/>
                <w:snapToGrid w:val="0"/>
                <w:sz w:val="20"/>
                <w:szCs w:val="20"/>
              </w:rPr>
              <w:t>.</w:t>
            </w:r>
          </w:p>
          <w:p w:rsidR="00CB5A62" w:rsidRPr="00F7369B" w:rsidRDefault="00CB5A62" w:rsidP="00A751BC">
            <w:pPr>
              <w:widowControl w:val="0"/>
              <w:spacing w:after="120"/>
              <w:rPr>
                <w:rFonts w:ascii="Arial Narrow" w:hAnsi="Arial Narrow" w:cstheme="minorHAnsi"/>
                <w:bCs/>
                <w:snapToGrid w:val="0"/>
                <w:sz w:val="20"/>
                <w:szCs w:val="20"/>
              </w:rPr>
            </w:pPr>
            <w:r w:rsidRPr="00F7369B">
              <w:rPr>
                <w:rFonts w:ascii="Arial Narrow" w:hAnsi="Arial Narrow" w:cstheme="minorHAnsi"/>
                <w:bCs/>
                <w:snapToGrid w:val="0"/>
                <w:sz w:val="20"/>
                <w:szCs w:val="20"/>
              </w:rPr>
              <w:t>For item [MenQuadfi] of Schedule 1, the following number of doses and booster doses of a designated vaccine mentioned in that item may be provided to a person who has congenital or acquired asplenia (e.g. splenectomy) or hyposplenia; a person who has complement deficiency or a person undergoing eculizumab treatment:</w:t>
            </w:r>
          </w:p>
          <w:p w:rsidR="00CB5A62" w:rsidRPr="00F7369B" w:rsidRDefault="00CB5A62" w:rsidP="00A751BC">
            <w:pPr>
              <w:widowControl w:val="0"/>
              <w:spacing w:after="120"/>
              <w:rPr>
                <w:rFonts w:ascii="Arial Narrow" w:hAnsi="Arial Narrow" w:cstheme="minorHAnsi"/>
                <w:bCs/>
                <w:snapToGrid w:val="0"/>
                <w:sz w:val="20"/>
                <w:szCs w:val="20"/>
              </w:rPr>
            </w:pPr>
            <w:r w:rsidRPr="00F7369B">
              <w:rPr>
                <w:rFonts w:ascii="Arial Narrow" w:hAnsi="Arial Narrow" w:cstheme="minorHAnsi"/>
                <w:bCs/>
                <w:snapToGrid w:val="0"/>
                <w:sz w:val="20"/>
                <w:szCs w:val="20"/>
              </w:rPr>
              <w:t xml:space="preserve">                (a)    Primary doses according to the following number of doses: </w:t>
            </w:r>
          </w:p>
          <w:p w:rsidR="00CB5A62" w:rsidRPr="00F7369B" w:rsidRDefault="00CB5A62" w:rsidP="00A751BC">
            <w:pPr>
              <w:widowControl w:val="0"/>
              <w:spacing w:after="120"/>
              <w:rPr>
                <w:rFonts w:ascii="Arial Narrow" w:hAnsi="Arial Narrow" w:cstheme="minorHAnsi"/>
                <w:bCs/>
                <w:snapToGrid w:val="0"/>
                <w:sz w:val="20"/>
                <w:szCs w:val="20"/>
              </w:rPr>
            </w:pPr>
            <w:r w:rsidRPr="00F7369B">
              <w:rPr>
                <w:rFonts w:ascii="Arial Narrow" w:hAnsi="Arial Narrow" w:cstheme="minorHAnsi"/>
                <w:bCs/>
                <w:snapToGrid w:val="0"/>
                <w:sz w:val="20"/>
                <w:szCs w:val="20"/>
              </w:rPr>
              <w:t xml:space="preserve">                        (i)    if aged 12 months or older at the start of their vaccine course – 2 doses; </w:t>
            </w:r>
          </w:p>
          <w:p w:rsidR="00CB5A62" w:rsidRPr="00F7369B" w:rsidRDefault="00CB5A62" w:rsidP="00A751BC">
            <w:pPr>
              <w:widowControl w:val="0"/>
              <w:spacing w:after="120"/>
              <w:rPr>
                <w:rFonts w:ascii="Arial Narrow" w:hAnsi="Arial Narrow" w:cstheme="minorHAnsi"/>
                <w:bCs/>
                <w:snapToGrid w:val="0"/>
                <w:sz w:val="20"/>
                <w:szCs w:val="20"/>
              </w:rPr>
            </w:pPr>
            <w:r w:rsidRPr="00F7369B">
              <w:rPr>
                <w:rFonts w:ascii="Arial Narrow" w:hAnsi="Arial Narrow" w:cstheme="minorHAnsi"/>
                <w:bCs/>
                <w:snapToGrid w:val="0"/>
                <w:sz w:val="20"/>
                <w:szCs w:val="20"/>
              </w:rPr>
              <w:t xml:space="preserve">               (b)    plus booster doses according to the following number and timing of doses:</w:t>
            </w:r>
          </w:p>
          <w:p w:rsidR="00CB5A62" w:rsidRPr="00F7369B" w:rsidRDefault="00CB5A62" w:rsidP="00A751BC">
            <w:pPr>
              <w:widowControl w:val="0"/>
              <w:spacing w:after="120"/>
              <w:rPr>
                <w:rFonts w:ascii="Arial Narrow" w:hAnsi="Arial Narrow" w:cstheme="minorHAnsi"/>
                <w:bCs/>
                <w:snapToGrid w:val="0"/>
                <w:sz w:val="20"/>
                <w:szCs w:val="20"/>
              </w:rPr>
            </w:pPr>
            <w:r w:rsidRPr="00F7369B">
              <w:rPr>
                <w:rFonts w:ascii="Arial Narrow" w:hAnsi="Arial Narrow" w:cstheme="minorHAnsi"/>
                <w:bCs/>
                <w:snapToGrid w:val="0"/>
                <w:sz w:val="20"/>
                <w:szCs w:val="20"/>
              </w:rPr>
              <w:t xml:space="preserve">                        (ii)    if they completed their primary schedule at less than or equal to 6 years of age - 1 booster dose 3 years after completing the primary schedule, and then 1 booster dose every 5 years after that; or </w:t>
            </w:r>
          </w:p>
          <w:p w:rsidR="00CB5A62" w:rsidRPr="00B776D2" w:rsidRDefault="00CB5A62" w:rsidP="00B776D2">
            <w:pPr>
              <w:widowControl w:val="0"/>
              <w:spacing w:after="120"/>
              <w:rPr>
                <w:rFonts w:ascii="Arial Narrow" w:hAnsi="Arial Narrow" w:cstheme="minorHAnsi"/>
                <w:bCs/>
                <w:snapToGrid w:val="0"/>
                <w:sz w:val="20"/>
                <w:szCs w:val="20"/>
              </w:rPr>
            </w:pPr>
            <w:r w:rsidRPr="00F7369B">
              <w:rPr>
                <w:rFonts w:ascii="Arial Narrow" w:hAnsi="Arial Narrow" w:cstheme="minorHAnsi"/>
                <w:bCs/>
                <w:snapToGrid w:val="0"/>
                <w:sz w:val="20"/>
                <w:szCs w:val="20"/>
              </w:rPr>
              <w:t xml:space="preserve">                         (iii)    if they completed their primary schedule at 7 years of age or older - 1 booster dose every 5 years after c</w:t>
            </w:r>
            <w:r w:rsidR="00B776D2">
              <w:rPr>
                <w:rFonts w:ascii="Arial Narrow" w:hAnsi="Arial Narrow" w:cstheme="minorHAnsi"/>
                <w:bCs/>
                <w:snapToGrid w:val="0"/>
                <w:sz w:val="20"/>
                <w:szCs w:val="20"/>
              </w:rPr>
              <w:t>ompleting the primary schedule.</w:t>
            </w:r>
            <w:r w:rsidRPr="00F7369B">
              <w:rPr>
                <w:rFonts w:ascii="Arial Narrow" w:hAnsi="Arial Narrow" w:cstheme="minorHAnsi"/>
                <w:strike/>
                <w:sz w:val="20"/>
                <w:szCs w:val="20"/>
                <w:lang w:eastAsia="en-US"/>
              </w:rPr>
              <w:t xml:space="preserve"> </w:t>
            </w:r>
          </w:p>
        </w:tc>
      </w:tr>
    </w:tbl>
    <w:p w:rsidR="00EA7ABA" w:rsidRDefault="00EA7ABA" w:rsidP="006A1216">
      <w:pPr>
        <w:widowControl w:val="0"/>
        <w:spacing w:after="120"/>
        <w:jc w:val="left"/>
        <w:rPr>
          <w:rFonts w:asciiTheme="minorHAnsi" w:hAnsiTheme="minorHAnsi"/>
          <w:bCs/>
          <w:snapToGrid w:val="0"/>
          <w:lang w:eastAsia="en-US"/>
        </w:rPr>
      </w:pPr>
    </w:p>
    <w:p w:rsidR="006A1216" w:rsidRPr="00F7369B" w:rsidRDefault="009F67F6" w:rsidP="006A1216">
      <w:pPr>
        <w:widowControl w:val="0"/>
        <w:numPr>
          <w:ilvl w:val="1"/>
          <w:numId w:val="1"/>
        </w:numPr>
        <w:spacing w:after="120"/>
        <w:jc w:val="left"/>
        <w:rPr>
          <w:rFonts w:asciiTheme="minorHAnsi" w:hAnsiTheme="minorHAnsi"/>
          <w:bCs/>
          <w:snapToGrid w:val="0"/>
          <w:lang w:eastAsia="en-US"/>
        </w:rPr>
      </w:pPr>
      <w:r w:rsidRPr="00F7369B">
        <w:rPr>
          <w:rFonts w:asciiTheme="minorHAnsi" w:hAnsiTheme="minorHAnsi"/>
          <w:bCs/>
          <w:snapToGrid w:val="0"/>
          <w:lang w:eastAsia="en-US"/>
        </w:rPr>
        <w:t>A s</w:t>
      </w:r>
      <w:r w:rsidR="006A1216" w:rsidRPr="00F7369B">
        <w:rPr>
          <w:rFonts w:asciiTheme="minorHAnsi" w:hAnsiTheme="minorHAnsi"/>
          <w:bCs/>
          <w:snapToGrid w:val="0"/>
          <w:lang w:eastAsia="en-US"/>
        </w:rPr>
        <w:t xml:space="preserve">ummary of </w:t>
      </w:r>
      <w:r w:rsidRPr="00F7369B">
        <w:rPr>
          <w:rFonts w:asciiTheme="minorHAnsi" w:hAnsiTheme="minorHAnsi"/>
          <w:bCs/>
          <w:snapToGrid w:val="0"/>
          <w:lang w:eastAsia="en-US"/>
        </w:rPr>
        <w:t xml:space="preserve">the </w:t>
      </w:r>
      <w:r w:rsidR="006A1216" w:rsidRPr="00F7369B">
        <w:rPr>
          <w:rFonts w:asciiTheme="minorHAnsi" w:hAnsiTheme="minorHAnsi"/>
          <w:bCs/>
          <w:snapToGrid w:val="0"/>
          <w:lang w:eastAsia="en-US"/>
        </w:rPr>
        <w:t>proposed MenQuadfi NIP and catch up program is provided below.</w:t>
      </w:r>
    </w:p>
    <w:p w:rsidR="006A1216" w:rsidRPr="00F7369B" w:rsidRDefault="006A1216" w:rsidP="00B776D2">
      <w:pPr>
        <w:keepNext/>
        <w:rPr>
          <w:rFonts w:ascii="Arial Narrow" w:hAnsi="Arial Narrow" w:cstheme="minorHAnsi"/>
          <w:b/>
          <w:bCs/>
          <w:sz w:val="20"/>
          <w:szCs w:val="16"/>
        </w:rPr>
      </w:pPr>
      <w:r w:rsidRPr="00F7369B">
        <w:rPr>
          <w:rFonts w:ascii="Arial Narrow" w:hAnsi="Arial Narrow" w:cstheme="minorHAnsi"/>
          <w:b/>
          <w:bCs/>
          <w:sz w:val="20"/>
          <w:szCs w:val="16"/>
        </w:rPr>
        <w:t xml:space="preserve">Summary of </w:t>
      </w:r>
      <w:r w:rsidR="009A4C79" w:rsidRPr="00F7369B">
        <w:rPr>
          <w:rFonts w:ascii="Arial Narrow" w:hAnsi="Arial Narrow" w:cstheme="minorHAnsi"/>
          <w:b/>
          <w:bCs/>
          <w:sz w:val="20"/>
          <w:szCs w:val="16"/>
        </w:rPr>
        <w:t xml:space="preserve">the </w:t>
      </w:r>
      <w:r w:rsidR="00D7391E">
        <w:rPr>
          <w:rFonts w:ascii="Arial Narrow" w:hAnsi="Arial Narrow" w:cstheme="minorHAnsi"/>
          <w:b/>
          <w:bCs/>
          <w:sz w:val="20"/>
          <w:szCs w:val="16"/>
        </w:rPr>
        <w:t xml:space="preserve">proposed </w:t>
      </w:r>
      <w:r w:rsidRPr="00F7369B">
        <w:rPr>
          <w:rFonts w:ascii="Arial Narrow" w:hAnsi="Arial Narrow" w:cstheme="minorHAnsi"/>
          <w:b/>
          <w:bCs/>
          <w:sz w:val="20"/>
          <w:szCs w:val="16"/>
        </w:rPr>
        <w:t>MenQuadfi NIP program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1"/>
        <w:gridCol w:w="1793"/>
        <w:gridCol w:w="1731"/>
        <w:gridCol w:w="1852"/>
        <w:gridCol w:w="1850"/>
      </w:tblGrid>
      <w:tr w:rsidR="006A1216" w:rsidRPr="00F7369B" w:rsidTr="00AF42B9">
        <w:trPr>
          <w:jc w:val="center"/>
        </w:trPr>
        <w:tc>
          <w:tcPr>
            <w:tcW w:w="993" w:type="pct"/>
            <w:tcMar>
              <w:top w:w="0" w:type="dxa"/>
              <w:left w:w="108" w:type="dxa"/>
              <w:bottom w:w="0" w:type="dxa"/>
              <w:right w:w="108" w:type="dxa"/>
            </w:tcMar>
            <w:hideMark/>
          </w:tcPr>
          <w:p w:rsidR="006A1216" w:rsidRPr="00F7369B" w:rsidRDefault="006A1216" w:rsidP="00B776D2">
            <w:pPr>
              <w:keepNext/>
              <w:jc w:val="left"/>
              <w:rPr>
                <w:rFonts w:ascii="Arial Narrow" w:hAnsi="Arial Narrow" w:cstheme="minorHAnsi"/>
                <w:b/>
                <w:bCs/>
                <w:sz w:val="20"/>
                <w:szCs w:val="20"/>
              </w:rPr>
            </w:pPr>
            <w:r w:rsidRPr="00F7369B">
              <w:rPr>
                <w:rFonts w:ascii="Arial Narrow" w:hAnsi="Arial Narrow" w:cstheme="minorHAnsi"/>
                <w:b/>
                <w:bCs/>
                <w:sz w:val="20"/>
                <w:szCs w:val="20"/>
              </w:rPr>
              <w:t>Population requested</w:t>
            </w:r>
          </w:p>
        </w:tc>
        <w:tc>
          <w:tcPr>
            <w:tcW w:w="994" w:type="pct"/>
            <w:tcMar>
              <w:top w:w="0" w:type="dxa"/>
              <w:left w:w="108" w:type="dxa"/>
              <w:bottom w:w="0" w:type="dxa"/>
              <w:right w:w="108" w:type="dxa"/>
            </w:tcMar>
            <w:hideMark/>
          </w:tcPr>
          <w:p w:rsidR="006A1216" w:rsidRPr="00F7369B" w:rsidRDefault="006A1216" w:rsidP="00B776D2">
            <w:pPr>
              <w:keepNext/>
              <w:jc w:val="left"/>
              <w:rPr>
                <w:rFonts w:ascii="Arial Narrow" w:hAnsi="Arial Narrow" w:cstheme="minorHAnsi"/>
                <w:b/>
                <w:bCs/>
                <w:sz w:val="20"/>
                <w:szCs w:val="20"/>
              </w:rPr>
            </w:pPr>
            <w:r w:rsidRPr="00F7369B">
              <w:rPr>
                <w:rFonts w:ascii="Arial Narrow" w:hAnsi="Arial Narrow" w:cstheme="minorHAnsi"/>
                <w:b/>
                <w:bCs/>
                <w:sz w:val="20"/>
                <w:szCs w:val="20"/>
              </w:rPr>
              <w:t>Number of doses, timing (primary series)</w:t>
            </w:r>
          </w:p>
        </w:tc>
        <w:tc>
          <w:tcPr>
            <w:tcW w:w="960" w:type="pct"/>
            <w:tcMar>
              <w:top w:w="0" w:type="dxa"/>
              <w:left w:w="108" w:type="dxa"/>
              <w:bottom w:w="0" w:type="dxa"/>
              <w:right w:w="108" w:type="dxa"/>
            </w:tcMar>
            <w:hideMark/>
          </w:tcPr>
          <w:p w:rsidR="006A1216" w:rsidRPr="00F7369B" w:rsidRDefault="006A1216" w:rsidP="00B776D2">
            <w:pPr>
              <w:keepNext/>
              <w:jc w:val="left"/>
              <w:rPr>
                <w:rFonts w:ascii="Arial Narrow" w:hAnsi="Arial Narrow" w:cstheme="minorHAnsi"/>
                <w:b/>
                <w:bCs/>
                <w:sz w:val="20"/>
                <w:szCs w:val="20"/>
              </w:rPr>
            </w:pPr>
            <w:r w:rsidRPr="00F7369B">
              <w:rPr>
                <w:rFonts w:ascii="Arial Narrow" w:hAnsi="Arial Narrow" w:cstheme="minorHAnsi"/>
                <w:b/>
                <w:bCs/>
                <w:sz w:val="20"/>
                <w:szCs w:val="20"/>
              </w:rPr>
              <w:t>Booster frequency</w:t>
            </w:r>
          </w:p>
        </w:tc>
        <w:tc>
          <w:tcPr>
            <w:tcW w:w="1027" w:type="pct"/>
            <w:tcMar>
              <w:top w:w="0" w:type="dxa"/>
              <w:left w:w="108" w:type="dxa"/>
              <w:bottom w:w="0" w:type="dxa"/>
              <w:right w:w="108" w:type="dxa"/>
            </w:tcMar>
            <w:hideMark/>
          </w:tcPr>
          <w:p w:rsidR="006A1216" w:rsidRPr="00F7369B" w:rsidRDefault="006A1216" w:rsidP="00B776D2">
            <w:pPr>
              <w:keepNext/>
              <w:jc w:val="left"/>
              <w:rPr>
                <w:rFonts w:ascii="Arial Narrow" w:hAnsi="Arial Narrow" w:cstheme="minorHAnsi"/>
                <w:b/>
                <w:bCs/>
                <w:sz w:val="20"/>
                <w:szCs w:val="20"/>
              </w:rPr>
            </w:pPr>
            <w:r w:rsidRPr="00F7369B">
              <w:rPr>
                <w:rFonts w:ascii="Arial Narrow" w:hAnsi="Arial Narrow" w:cstheme="minorHAnsi"/>
                <w:b/>
                <w:bCs/>
                <w:sz w:val="20"/>
                <w:szCs w:val="20"/>
              </w:rPr>
              <w:t xml:space="preserve">Program setting </w:t>
            </w:r>
            <w:r w:rsidRPr="00F7369B">
              <w:rPr>
                <w:rFonts w:ascii="Arial Narrow" w:hAnsi="Arial Narrow" w:cstheme="minorHAnsi"/>
                <w:b/>
                <w:bCs/>
                <w:sz w:val="20"/>
                <w:szCs w:val="20"/>
              </w:rPr>
              <w:br/>
              <w:t>(all that apply)</w:t>
            </w:r>
          </w:p>
        </w:tc>
        <w:tc>
          <w:tcPr>
            <w:tcW w:w="1026" w:type="pct"/>
            <w:tcMar>
              <w:top w:w="0" w:type="dxa"/>
              <w:left w:w="108" w:type="dxa"/>
              <w:bottom w:w="0" w:type="dxa"/>
              <w:right w:w="108" w:type="dxa"/>
            </w:tcMar>
            <w:hideMark/>
          </w:tcPr>
          <w:p w:rsidR="006A1216" w:rsidRPr="00F7369B" w:rsidRDefault="006A1216" w:rsidP="00B776D2">
            <w:pPr>
              <w:keepNext/>
              <w:jc w:val="left"/>
              <w:rPr>
                <w:rFonts w:ascii="Arial Narrow" w:hAnsi="Arial Narrow" w:cstheme="minorHAnsi"/>
                <w:b/>
                <w:bCs/>
                <w:sz w:val="20"/>
                <w:szCs w:val="20"/>
              </w:rPr>
            </w:pPr>
            <w:r w:rsidRPr="00F7369B">
              <w:rPr>
                <w:rFonts w:ascii="Arial Narrow" w:hAnsi="Arial Narrow" w:cstheme="minorHAnsi"/>
                <w:b/>
                <w:bCs/>
                <w:sz w:val="20"/>
                <w:szCs w:val="20"/>
              </w:rPr>
              <w:t>Implications for other NIP vaccines including comparator</w:t>
            </w:r>
          </w:p>
        </w:tc>
      </w:tr>
      <w:tr w:rsidR="006A1216" w:rsidRPr="00F7369B" w:rsidTr="00AF42B9">
        <w:trPr>
          <w:jc w:val="center"/>
        </w:trPr>
        <w:tc>
          <w:tcPr>
            <w:tcW w:w="993" w:type="pct"/>
            <w:tcMar>
              <w:top w:w="0" w:type="dxa"/>
              <w:left w:w="108" w:type="dxa"/>
              <w:bottom w:w="0" w:type="dxa"/>
              <w:right w:w="108" w:type="dxa"/>
            </w:tcMar>
            <w:hideMark/>
          </w:tcPr>
          <w:p w:rsidR="006A1216" w:rsidRPr="00F7369B" w:rsidRDefault="006A1216" w:rsidP="00B776D2">
            <w:pPr>
              <w:keepNext/>
              <w:jc w:val="left"/>
              <w:rPr>
                <w:rFonts w:ascii="Arial Narrow" w:hAnsi="Arial Narrow" w:cstheme="minorHAnsi"/>
                <w:sz w:val="20"/>
                <w:szCs w:val="20"/>
              </w:rPr>
            </w:pPr>
            <w:r w:rsidRPr="00F7369B">
              <w:rPr>
                <w:rFonts w:ascii="Arial Narrow" w:hAnsi="Arial Narrow" w:cstheme="minorHAnsi"/>
                <w:sz w:val="20"/>
                <w:szCs w:val="20"/>
              </w:rPr>
              <w:t xml:space="preserve">Children who are 12 months old. </w:t>
            </w:r>
          </w:p>
        </w:tc>
        <w:tc>
          <w:tcPr>
            <w:tcW w:w="994" w:type="pct"/>
            <w:tcMar>
              <w:top w:w="0" w:type="dxa"/>
              <w:left w:w="108" w:type="dxa"/>
              <w:bottom w:w="0" w:type="dxa"/>
              <w:right w:w="108" w:type="dxa"/>
            </w:tcMar>
            <w:hideMark/>
          </w:tcPr>
          <w:p w:rsidR="006A1216" w:rsidRPr="00F7369B" w:rsidRDefault="006A1216" w:rsidP="00B776D2">
            <w:pPr>
              <w:keepNext/>
              <w:jc w:val="left"/>
              <w:rPr>
                <w:rFonts w:ascii="Arial Narrow" w:hAnsi="Arial Narrow" w:cstheme="minorHAnsi"/>
                <w:sz w:val="20"/>
                <w:szCs w:val="20"/>
              </w:rPr>
            </w:pPr>
            <w:r w:rsidRPr="00F7369B">
              <w:rPr>
                <w:rFonts w:ascii="Arial Narrow" w:hAnsi="Arial Narrow" w:cstheme="minorHAnsi"/>
                <w:sz w:val="20"/>
                <w:szCs w:val="20"/>
              </w:rPr>
              <w:t>1 dose</w:t>
            </w:r>
          </w:p>
        </w:tc>
        <w:tc>
          <w:tcPr>
            <w:tcW w:w="960" w:type="pct"/>
            <w:tcMar>
              <w:top w:w="0" w:type="dxa"/>
              <w:left w:w="108" w:type="dxa"/>
              <w:bottom w:w="0" w:type="dxa"/>
              <w:right w:w="108" w:type="dxa"/>
            </w:tcMar>
            <w:hideMark/>
          </w:tcPr>
          <w:p w:rsidR="006A1216" w:rsidRPr="00F7369B" w:rsidRDefault="006A1216" w:rsidP="00B776D2">
            <w:pPr>
              <w:keepNext/>
              <w:jc w:val="left"/>
              <w:rPr>
                <w:rFonts w:ascii="Arial Narrow" w:hAnsi="Arial Narrow" w:cstheme="minorHAnsi"/>
                <w:sz w:val="20"/>
                <w:szCs w:val="20"/>
              </w:rPr>
            </w:pPr>
            <w:r w:rsidRPr="00F7369B">
              <w:rPr>
                <w:rFonts w:ascii="Arial Narrow" w:hAnsi="Arial Narrow" w:cstheme="minorHAnsi"/>
                <w:sz w:val="20"/>
                <w:szCs w:val="20"/>
              </w:rPr>
              <w:t>Not requested</w:t>
            </w:r>
          </w:p>
        </w:tc>
        <w:tc>
          <w:tcPr>
            <w:tcW w:w="1027" w:type="pct"/>
            <w:tcMar>
              <w:top w:w="0" w:type="dxa"/>
              <w:left w:w="108" w:type="dxa"/>
              <w:bottom w:w="0" w:type="dxa"/>
              <w:right w:w="108" w:type="dxa"/>
            </w:tcMar>
            <w:hideMark/>
          </w:tcPr>
          <w:p w:rsidR="006A1216" w:rsidRPr="00F7369B" w:rsidRDefault="006A1216" w:rsidP="00B776D2">
            <w:pPr>
              <w:keepNext/>
              <w:jc w:val="left"/>
              <w:rPr>
                <w:rFonts w:ascii="Arial Narrow" w:hAnsi="Arial Narrow" w:cstheme="minorHAnsi"/>
                <w:sz w:val="20"/>
                <w:szCs w:val="20"/>
              </w:rPr>
            </w:pPr>
            <w:r w:rsidRPr="00F7369B">
              <w:rPr>
                <w:rFonts w:ascii="Arial Narrow" w:hAnsi="Arial Narrow" w:cstheme="minorHAnsi"/>
                <w:sz w:val="20"/>
                <w:szCs w:val="20"/>
              </w:rPr>
              <w:t>GPs</w:t>
            </w:r>
          </w:p>
          <w:p w:rsidR="006A1216" w:rsidRPr="00F7369B" w:rsidRDefault="006A1216" w:rsidP="00B776D2">
            <w:pPr>
              <w:keepNext/>
              <w:jc w:val="left"/>
              <w:rPr>
                <w:rFonts w:ascii="Arial Narrow" w:hAnsi="Arial Narrow" w:cstheme="minorHAnsi"/>
                <w:sz w:val="20"/>
                <w:szCs w:val="20"/>
              </w:rPr>
            </w:pPr>
            <w:r w:rsidRPr="00F7369B">
              <w:rPr>
                <w:rFonts w:ascii="Arial Narrow" w:hAnsi="Arial Narrow" w:cstheme="minorHAnsi"/>
                <w:sz w:val="20"/>
                <w:szCs w:val="20"/>
              </w:rPr>
              <w:t xml:space="preserve">Specialist prescribers </w:t>
            </w:r>
          </w:p>
          <w:p w:rsidR="006A1216" w:rsidRPr="00F7369B" w:rsidRDefault="006A1216" w:rsidP="00B776D2">
            <w:pPr>
              <w:keepNext/>
              <w:jc w:val="left"/>
              <w:rPr>
                <w:rFonts w:ascii="Arial Narrow" w:hAnsi="Arial Narrow" w:cstheme="minorHAnsi"/>
                <w:sz w:val="20"/>
                <w:szCs w:val="20"/>
              </w:rPr>
            </w:pPr>
            <w:r w:rsidRPr="00F7369B">
              <w:rPr>
                <w:rFonts w:ascii="Arial Narrow" w:hAnsi="Arial Narrow" w:cstheme="minorHAnsi"/>
                <w:sz w:val="20"/>
                <w:szCs w:val="20"/>
              </w:rPr>
              <w:t>Child/community health clinic</w:t>
            </w:r>
          </w:p>
        </w:tc>
        <w:tc>
          <w:tcPr>
            <w:tcW w:w="1026" w:type="pct"/>
            <w:tcMar>
              <w:top w:w="0" w:type="dxa"/>
              <w:left w:w="108" w:type="dxa"/>
              <w:bottom w:w="0" w:type="dxa"/>
              <w:right w:w="108" w:type="dxa"/>
            </w:tcMar>
            <w:hideMark/>
          </w:tcPr>
          <w:p w:rsidR="006A1216" w:rsidRPr="00F7369B" w:rsidRDefault="006A1216" w:rsidP="00B776D2">
            <w:pPr>
              <w:keepNext/>
              <w:jc w:val="left"/>
              <w:rPr>
                <w:rFonts w:ascii="Arial Narrow" w:hAnsi="Arial Narrow" w:cstheme="minorHAnsi"/>
                <w:sz w:val="20"/>
                <w:szCs w:val="20"/>
              </w:rPr>
            </w:pPr>
            <w:r w:rsidRPr="00F7369B">
              <w:rPr>
                <w:rFonts w:ascii="Arial Narrow" w:hAnsi="Arial Narrow" w:cstheme="minorHAnsi"/>
                <w:sz w:val="20"/>
                <w:szCs w:val="20"/>
              </w:rPr>
              <w:t xml:space="preserve">NIP listings unchanged (alternative MenACWY product only) </w:t>
            </w:r>
          </w:p>
        </w:tc>
      </w:tr>
      <w:tr w:rsidR="006A1216" w:rsidRPr="00F7369B" w:rsidTr="00AF42B9">
        <w:trPr>
          <w:jc w:val="center"/>
        </w:trPr>
        <w:tc>
          <w:tcPr>
            <w:tcW w:w="993" w:type="pct"/>
            <w:tcMar>
              <w:top w:w="0" w:type="dxa"/>
              <w:left w:w="108" w:type="dxa"/>
              <w:bottom w:w="0" w:type="dxa"/>
              <w:right w:w="108" w:type="dxa"/>
            </w:tcMar>
            <w:hideMark/>
          </w:tcPr>
          <w:p w:rsidR="006A1216" w:rsidRPr="00F7369B" w:rsidRDefault="006A1216" w:rsidP="00B776D2">
            <w:pPr>
              <w:keepNext/>
              <w:jc w:val="left"/>
              <w:rPr>
                <w:rFonts w:ascii="Arial Narrow" w:hAnsi="Arial Narrow" w:cstheme="minorHAnsi"/>
                <w:sz w:val="20"/>
                <w:szCs w:val="20"/>
              </w:rPr>
            </w:pPr>
            <w:r w:rsidRPr="00F7369B">
              <w:rPr>
                <w:rFonts w:ascii="Arial Narrow" w:hAnsi="Arial Narrow" w:cstheme="minorHAnsi"/>
                <w:sz w:val="20"/>
                <w:szCs w:val="20"/>
              </w:rPr>
              <w:t>Adolescents who are at least 14 years old but less than 20 years of age</w:t>
            </w:r>
          </w:p>
        </w:tc>
        <w:tc>
          <w:tcPr>
            <w:tcW w:w="994" w:type="pct"/>
            <w:tcMar>
              <w:top w:w="0" w:type="dxa"/>
              <w:left w:w="108" w:type="dxa"/>
              <w:bottom w:w="0" w:type="dxa"/>
              <w:right w:w="108" w:type="dxa"/>
            </w:tcMar>
            <w:hideMark/>
          </w:tcPr>
          <w:p w:rsidR="006A1216" w:rsidRPr="00F7369B" w:rsidRDefault="006A1216" w:rsidP="00B776D2">
            <w:pPr>
              <w:keepNext/>
              <w:jc w:val="left"/>
              <w:rPr>
                <w:rFonts w:ascii="Arial Narrow" w:hAnsi="Arial Narrow" w:cstheme="minorHAnsi"/>
                <w:sz w:val="20"/>
                <w:szCs w:val="20"/>
              </w:rPr>
            </w:pPr>
            <w:r w:rsidRPr="00F7369B">
              <w:rPr>
                <w:rFonts w:ascii="Arial Narrow" w:hAnsi="Arial Narrow" w:cstheme="minorHAnsi"/>
                <w:sz w:val="20"/>
                <w:szCs w:val="20"/>
              </w:rPr>
              <w:t xml:space="preserve">1 dose </w:t>
            </w:r>
          </w:p>
        </w:tc>
        <w:tc>
          <w:tcPr>
            <w:tcW w:w="960" w:type="pct"/>
            <w:tcMar>
              <w:top w:w="0" w:type="dxa"/>
              <w:left w:w="108" w:type="dxa"/>
              <w:bottom w:w="0" w:type="dxa"/>
              <w:right w:w="108" w:type="dxa"/>
            </w:tcMar>
            <w:hideMark/>
          </w:tcPr>
          <w:p w:rsidR="006A1216" w:rsidRPr="00F7369B" w:rsidRDefault="006A1216" w:rsidP="00B776D2">
            <w:pPr>
              <w:keepNext/>
              <w:jc w:val="left"/>
              <w:rPr>
                <w:rFonts w:ascii="Arial Narrow" w:hAnsi="Arial Narrow" w:cstheme="minorHAnsi"/>
                <w:sz w:val="20"/>
                <w:szCs w:val="20"/>
              </w:rPr>
            </w:pPr>
            <w:r w:rsidRPr="00F7369B">
              <w:rPr>
                <w:rFonts w:ascii="Arial Narrow" w:hAnsi="Arial Narrow" w:cstheme="minorHAnsi"/>
                <w:sz w:val="20"/>
                <w:szCs w:val="20"/>
              </w:rPr>
              <w:t>Not requested</w:t>
            </w:r>
          </w:p>
        </w:tc>
        <w:tc>
          <w:tcPr>
            <w:tcW w:w="1027" w:type="pct"/>
            <w:tcMar>
              <w:top w:w="0" w:type="dxa"/>
              <w:left w:w="108" w:type="dxa"/>
              <w:bottom w:w="0" w:type="dxa"/>
              <w:right w:w="108" w:type="dxa"/>
            </w:tcMar>
            <w:hideMark/>
          </w:tcPr>
          <w:p w:rsidR="006A1216" w:rsidRPr="00F7369B" w:rsidRDefault="006A1216" w:rsidP="00B776D2">
            <w:pPr>
              <w:keepNext/>
              <w:jc w:val="left"/>
              <w:rPr>
                <w:rFonts w:ascii="Arial Narrow" w:hAnsi="Arial Narrow" w:cstheme="minorHAnsi"/>
                <w:sz w:val="20"/>
                <w:szCs w:val="20"/>
              </w:rPr>
            </w:pPr>
            <w:r w:rsidRPr="00F7369B">
              <w:rPr>
                <w:rFonts w:ascii="Arial Narrow" w:hAnsi="Arial Narrow" w:cstheme="minorHAnsi"/>
                <w:sz w:val="20"/>
                <w:szCs w:val="20"/>
              </w:rPr>
              <w:t>Schools, years 9-10 (main program)</w:t>
            </w:r>
          </w:p>
          <w:p w:rsidR="006A1216" w:rsidRPr="00F7369B" w:rsidRDefault="006A1216" w:rsidP="00B776D2">
            <w:pPr>
              <w:keepNext/>
              <w:jc w:val="left"/>
              <w:rPr>
                <w:rFonts w:ascii="Arial Narrow" w:hAnsi="Arial Narrow" w:cstheme="minorHAnsi"/>
                <w:sz w:val="20"/>
                <w:szCs w:val="20"/>
              </w:rPr>
            </w:pPr>
            <w:r w:rsidRPr="00F7369B">
              <w:rPr>
                <w:rFonts w:ascii="Arial Narrow" w:hAnsi="Arial Narrow" w:cstheme="minorHAnsi"/>
                <w:sz w:val="20"/>
                <w:szCs w:val="20"/>
              </w:rPr>
              <w:t>GPs or specialist prescribers (catch-up in those up to 19 years old, as provided for in existing NIP listing for MenACWY)</w:t>
            </w:r>
          </w:p>
        </w:tc>
        <w:tc>
          <w:tcPr>
            <w:tcW w:w="1026" w:type="pct"/>
            <w:tcMar>
              <w:top w:w="0" w:type="dxa"/>
              <w:left w:w="108" w:type="dxa"/>
              <w:bottom w:w="0" w:type="dxa"/>
              <w:right w:w="108" w:type="dxa"/>
            </w:tcMar>
            <w:hideMark/>
          </w:tcPr>
          <w:p w:rsidR="006A1216" w:rsidRPr="00F7369B" w:rsidRDefault="006A1216" w:rsidP="00B776D2">
            <w:pPr>
              <w:keepNext/>
              <w:jc w:val="left"/>
              <w:rPr>
                <w:rFonts w:ascii="Arial Narrow" w:hAnsi="Arial Narrow" w:cstheme="minorHAnsi"/>
                <w:sz w:val="20"/>
                <w:szCs w:val="20"/>
              </w:rPr>
            </w:pPr>
            <w:r w:rsidRPr="00F7369B">
              <w:rPr>
                <w:rFonts w:ascii="Arial Narrow" w:hAnsi="Arial Narrow" w:cstheme="minorHAnsi"/>
                <w:sz w:val="20"/>
                <w:szCs w:val="20"/>
              </w:rPr>
              <w:t>As above.</w:t>
            </w:r>
          </w:p>
        </w:tc>
      </w:tr>
      <w:tr w:rsidR="006A1216" w:rsidRPr="00F7369B" w:rsidTr="00AF42B9">
        <w:trPr>
          <w:jc w:val="center"/>
        </w:trPr>
        <w:tc>
          <w:tcPr>
            <w:tcW w:w="993" w:type="pct"/>
            <w:tcMar>
              <w:top w:w="0" w:type="dxa"/>
              <w:left w:w="108" w:type="dxa"/>
              <w:bottom w:w="0" w:type="dxa"/>
              <w:right w:w="108" w:type="dxa"/>
            </w:tcMar>
            <w:hideMark/>
          </w:tcPr>
          <w:p w:rsidR="006A1216" w:rsidRPr="00F7369B" w:rsidRDefault="006A1216" w:rsidP="00B776D2">
            <w:pPr>
              <w:keepNext/>
              <w:jc w:val="left"/>
              <w:rPr>
                <w:rFonts w:ascii="Arial Narrow" w:hAnsi="Arial Narrow" w:cstheme="minorHAnsi"/>
                <w:sz w:val="20"/>
                <w:szCs w:val="20"/>
              </w:rPr>
            </w:pPr>
            <w:r w:rsidRPr="00F7369B">
              <w:rPr>
                <w:rFonts w:ascii="Arial Narrow" w:hAnsi="Arial Narrow" w:cstheme="minorHAnsi"/>
                <w:sz w:val="20"/>
                <w:szCs w:val="20"/>
              </w:rPr>
              <w:t xml:space="preserve">Medically at-risk individuals ≥12 months of age, including those: </w:t>
            </w:r>
          </w:p>
          <w:p w:rsidR="006A1216" w:rsidRPr="00F7369B" w:rsidRDefault="006A1216" w:rsidP="00B776D2">
            <w:pPr>
              <w:pStyle w:val="ListParagraph"/>
              <w:keepNext/>
              <w:numPr>
                <w:ilvl w:val="0"/>
                <w:numId w:val="16"/>
              </w:numPr>
              <w:ind w:left="169" w:hanging="169"/>
              <w:jc w:val="left"/>
              <w:rPr>
                <w:rFonts w:ascii="Arial Narrow" w:hAnsi="Arial Narrow" w:cstheme="minorHAnsi"/>
                <w:sz w:val="20"/>
                <w:szCs w:val="20"/>
              </w:rPr>
            </w:pPr>
            <w:r w:rsidRPr="00F7369B">
              <w:rPr>
                <w:rFonts w:ascii="Arial Narrow" w:hAnsi="Arial Narrow" w:cstheme="minorHAnsi"/>
                <w:sz w:val="20"/>
                <w:szCs w:val="20"/>
              </w:rPr>
              <w:t>With congenital or acquired asplenia (e.g. splenectomy or hyposplenia); or</w:t>
            </w:r>
          </w:p>
          <w:p w:rsidR="006A1216" w:rsidRPr="00F7369B" w:rsidRDefault="006A1216" w:rsidP="00B776D2">
            <w:pPr>
              <w:pStyle w:val="ListParagraph"/>
              <w:keepNext/>
              <w:numPr>
                <w:ilvl w:val="0"/>
                <w:numId w:val="16"/>
              </w:numPr>
              <w:ind w:left="169" w:hanging="169"/>
              <w:jc w:val="left"/>
              <w:rPr>
                <w:rFonts w:ascii="Arial Narrow" w:hAnsi="Arial Narrow" w:cstheme="minorHAnsi"/>
                <w:sz w:val="20"/>
                <w:szCs w:val="20"/>
              </w:rPr>
            </w:pPr>
            <w:r w:rsidRPr="00F7369B">
              <w:rPr>
                <w:rFonts w:ascii="Arial Narrow" w:hAnsi="Arial Narrow" w:cstheme="minorHAnsi"/>
                <w:sz w:val="20"/>
                <w:szCs w:val="20"/>
              </w:rPr>
              <w:t>With complement deficiency; or</w:t>
            </w:r>
          </w:p>
          <w:p w:rsidR="006A1216" w:rsidRPr="00F7369B" w:rsidRDefault="006A1216" w:rsidP="00B776D2">
            <w:pPr>
              <w:pStyle w:val="ListParagraph"/>
              <w:keepNext/>
              <w:numPr>
                <w:ilvl w:val="0"/>
                <w:numId w:val="16"/>
              </w:numPr>
              <w:ind w:left="169" w:hanging="169"/>
              <w:jc w:val="left"/>
              <w:rPr>
                <w:rFonts w:ascii="Arial Narrow" w:hAnsi="Arial Narrow" w:cstheme="minorHAnsi"/>
                <w:sz w:val="20"/>
                <w:szCs w:val="20"/>
              </w:rPr>
            </w:pPr>
            <w:r w:rsidRPr="00F7369B">
              <w:rPr>
                <w:rFonts w:ascii="Arial Narrow" w:hAnsi="Arial Narrow" w:cstheme="minorHAnsi"/>
                <w:sz w:val="20"/>
                <w:szCs w:val="20"/>
              </w:rPr>
              <w:t>Who are undergoing eculizumab treatment.</w:t>
            </w:r>
          </w:p>
        </w:tc>
        <w:tc>
          <w:tcPr>
            <w:tcW w:w="994" w:type="pct"/>
            <w:tcMar>
              <w:top w:w="0" w:type="dxa"/>
              <w:left w:w="108" w:type="dxa"/>
              <w:bottom w:w="0" w:type="dxa"/>
              <w:right w:w="108" w:type="dxa"/>
            </w:tcMar>
            <w:hideMark/>
          </w:tcPr>
          <w:p w:rsidR="006A1216" w:rsidRPr="00F7369B" w:rsidRDefault="006A1216" w:rsidP="00B776D2">
            <w:pPr>
              <w:keepNext/>
              <w:jc w:val="left"/>
              <w:rPr>
                <w:rFonts w:ascii="Arial Narrow" w:hAnsi="Arial Narrow" w:cstheme="minorHAnsi"/>
                <w:sz w:val="20"/>
                <w:szCs w:val="20"/>
              </w:rPr>
            </w:pPr>
            <w:r w:rsidRPr="00F7369B">
              <w:rPr>
                <w:rFonts w:ascii="Arial Narrow" w:hAnsi="Arial Narrow" w:cstheme="minorHAnsi"/>
                <w:sz w:val="20"/>
                <w:szCs w:val="20"/>
              </w:rPr>
              <w:t>2 doses</w:t>
            </w:r>
          </w:p>
        </w:tc>
        <w:tc>
          <w:tcPr>
            <w:tcW w:w="960" w:type="pct"/>
            <w:tcMar>
              <w:top w:w="0" w:type="dxa"/>
              <w:left w:w="108" w:type="dxa"/>
              <w:bottom w:w="0" w:type="dxa"/>
              <w:right w:w="108" w:type="dxa"/>
            </w:tcMar>
          </w:tcPr>
          <w:p w:rsidR="006A1216" w:rsidRPr="00F7369B" w:rsidRDefault="006A1216" w:rsidP="00B776D2">
            <w:pPr>
              <w:keepNext/>
              <w:jc w:val="left"/>
              <w:rPr>
                <w:rFonts w:ascii="Arial Narrow" w:hAnsi="Arial Narrow" w:cstheme="minorHAnsi"/>
                <w:sz w:val="20"/>
                <w:szCs w:val="20"/>
              </w:rPr>
            </w:pPr>
            <w:r w:rsidRPr="00F7369B">
              <w:rPr>
                <w:rFonts w:ascii="Arial Narrow" w:hAnsi="Arial Narrow" w:cstheme="minorHAnsi"/>
                <w:sz w:val="20"/>
                <w:szCs w:val="20"/>
              </w:rPr>
              <w:t>If primary series was completed up to and including age 6 years old:</w:t>
            </w:r>
          </w:p>
          <w:p w:rsidR="006A1216" w:rsidRPr="00F7369B" w:rsidRDefault="006A1216" w:rsidP="00B776D2">
            <w:pPr>
              <w:keepNext/>
              <w:jc w:val="left"/>
              <w:rPr>
                <w:rFonts w:ascii="Arial Narrow" w:hAnsi="Arial Narrow" w:cstheme="minorHAnsi"/>
                <w:sz w:val="20"/>
                <w:szCs w:val="20"/>
              </w:rPr>
            </w:pPr>
            <w:r w:rsidRPr="00F7369B">
              <w:rPr>
                <w:rFonts w:ascii="Arial Narrow" w:hAnsi="Arial Narrow" w:cstheme="minorHAnsi"/>
                <w:sz w:val="20"/>
                <w:szCs w:val="20"/>
              </w:rPr>
              <w:t>1 booster dose 3 years after completing the primary series, and then 1 booster dose every 5 years after that;</w:t>
            </w:r>
          </w:p>
          <w:p w:rsidR="006A1216" w:rsidRPr="00F7369B" w:rsidRDefault="006A1216" w:rsidP="00B776D2">
            <w:pPr>
              <w:keepNext/>
              <w:jc w:val="left"/>
              <w:rPr>
                <w:rFonts w:ascii="Arial Narrow" w:hAnsi="Arial Narrow" w:cstheme="minorHAnsi"/>
                <w:sz w:val="20"/>
                <w:szCs w:val="20"/>
              </w:rPr>
            </w:pPr>
          </w:p>
          <w:p w:rsidR="006A1216" w:rsidRPr="00F7369B" w:rsidRDefault="006A1216" w:rsidP="00B776D2">
            <w:pPr>
              <w:keepNext/>
              <w:jc w:val="left"/>
              <w:rPr>
                <w:rFonts w:ascii="Arial Narrow" w:hAnsi="Arial Narrow" w:cstheme="minorHAnsi"/>
                <w:sz w:val="20"/>
                <w:szCs w:val="20"/>
              </w:rPr>
            </w:pPr>
            <w:r w:rsidRPr="00F7369B">
              <w:rPr>
                <w:rFonts w:ascii="Arial Narrow" w:hAnsi="Arial Narrow" w:cstheme="minorHAnsi"/>
                <w:sz w:val="20"/>
                <w:szCs w:val="20"/>
              </w:rPr>
              <w:t>If primary series completed by age 7 years or older:</w:t>
            </w:r>
          </w:p>
          <w:p w:rsidR="006A1216" w:rsidRPr="00F7369B" w:rsidRDefault="006A1216" w:rsidP="00B776D2">
            <w:pPr>
              <w:keepNext/>
              <w:jc w:val="left"/>
              <w:rPr>
                <w:rFonts w:ascii="Arial Narrow" w:hAnsi="Arial Narrow" w:cstheme="minorHAnsi"/>
                <w:sz w:val="20"/>
                <w:szCs w:val="20"/>
              </w:rPr>
            </w:pPr>
            <w:r w:rsidRPr="00F7369B">
              <w:rPr>
                <w:rFonts w:ascii="Arial Narrow" w:hAnsi="Arial Narrow" w:cstheme="minorHAnsi"/>
                <w:sz w:val="20"/>
                <w:szCs w:val="20"/>
              </w:rPr>
              <w:t>1 booster dose every 5 years after completing the primary series</w:t>
            </w:r>
          </w:p>
        </w:tc>
        <w:tc>
          <w:tcPr>
            <w:tcW w:w="1027" w:type="pct"/>
            <w:tcMar>
              <w:top w:w="0" w:type="dxa"/>
              <w:left w:w="108" w:type="dxa"/>
              <w:bottom w:w="0" w:type="dxa"/>
              <w:right w:w="108" w:type="dxa"/>
            </w:tcMar>
            <w:hideMark/>
          </w:tcPr>
          <w:p w:rsidR="006A1216" w:rsidRPr="00F7369B" w:rsidRDefault="006A1216" w:rsidP="00B776D2">
            <w:pPr>
              <w:keepNext/>
              <w:jc w:val="left"/>
              <w:rPr>
                <w:rFonts w:ascii="Arial Narrow" w:hAnsi="Arial Narrow" w:cstheme="minorHAnsi"/>
                <w:sz w:val="20"/>
                <w:szCs w:val="20"/>
              </w:rPr>
            </w:pPr>
            <w:r w:rsidRPr="00F7369B">
              <w:rPr>
                <w:rFonts w:ascii="Arial Narrow" w:hAnsi="Arial Narrow" w:cstheme="minorHAnsi"/>
                <w:sz w:val="20"/>
                <w:szCs w:val="20"/>
              </w:rPr>
              <w:t>GPs</w:t>
            </w:r>
          </w:p>
          <w:p w:rsidR="006A1216" w:rsidRPr="00F7369B" w:rsidRDefault="006A1216" w:rsidP="00B776D2">
            <w:pPr>
              <w:keepNext/>
              <w:jc w:val="left"/>
              <w:rPr>
                <w:rFonts w:ascii="Arial Narrow" w:hAnsi="Arial Narrow" w:cstheme="minorHAnsi"/>
                <w:sz w:val="20"/>
                <w:szCs w:val="20"/>
              </w:rPr>
            </w:pPr>
            <w:r w:rsidRPr="00F7369B">
              <w:rPr>
                <w:rFonts w:ascii="Arial Narrow" w:hAnsi="Arial Narrow" w:cstheme="minorHAnsi"/>
                <w:sz w:val="20"/>
                <w:szCs w:val="20"/>
              </w:rPr>
              <w:t xml:space="preserve">Specialist prescribers </w:t>
            </w:r>
          </w:p>
          <w:p w:rsidR="006A1216" w:rsidRPr="00F7369B" w:rsidRDefault="006A1216" w:rsidP="00B776D2">
            <w:pPr>
              <w:keepNext/>
              <w:jc w:val="left"/>
              <w:rPr>
                <w:rFonts w:ascii="Arial Narrow" w:hAnsi="Arial Narrow" w:cstheme="minorHAnsi"/>
                <w:sz w:val="20"/>
                <w:szCs w:val="20"/>
              </w:rPr>
            </w:pPr>
            <w:r w:rsidRPr="00F7369B">
              <w:rPr>
                <w:rFonts w:ascii="Arial Narrow" w:hAnsi="Arial Narrow" w:cstheme="minorHAnsi"/>
                <w:sz w:val="20"/>
                <w:szCs w:val="20"/>
              </w:rPr>
              <w:t>Child/community health clinic</w:t>
            </w:r>
          </w:p>
        </w:tc>
        <w:tc>
          <w:tcPr>
            <w:tcW w:w="1026" w:type="pct"/>
            <w:tcMar>
              <w:top w:w="0" w:type="dxa"/>
              <w:left w:w="108" w:type="dxa"/>
              <w:bottom w:w="0" w:type="dxa"/>
              <w:right w:w="108" w:type="dxa"/>
            </w:tcMar>
            <w:hideMark/>
          </w:tcPr>
          <w:p w:rsidR="006A1216" w:rsidRPr="00F7369B" w:rsidRDefault="006A1216" w:rsidP="00B776D2">
            <w:pPr>
              <w:keepNext/>
              <w:jc w:val="left"/>
              <w:rPr>
                <w:rFonts w:ascii="Arial Narrow" w:hAnsi="Arial Narrow" w:cstheme="minorHAnsi"/>
                <w:sz w:val="20"/>
                <w:szCs w:val="20"/>
              </w:rPr>
            </w:pPr>
            <w:r w:rsidRPr="00F7369B">
              <w:rPr>
                <w:rFonts w:ascii="Arial Narrow" w:hAnsi="Arial Narrow" w:cstheme="minorHAnsi"/>
                <w:sz w:val="20"/>
                <w:szCs w:val="20"/>
              </w:rPr>
              <w:t>As above.</w:t>
            </w:r>
          </w:p>
          <w:p w:rsidR="006A1216" w:rsidRPr="00F7369B" w:rsidRDefault="006A1216" w:rsidP="00B776D2">
            <w:pPr>
              <w:keepNext/>
              <w:jc w:val="left"/>
              <w:rPr>
                <w:rFonts w:ascii="Arial Narrow" w:hAnsi="Arial Narrow" w:cstheme="minorHAnsi"/>
                <w:sz w:val="20"/>
                <w:szCs w:val="20"/>
              </w:rPr>
            </w:pPr>
          </w:p>
          <w:p w:rsidR="006A1216" w:rsidRPr="00F7369B" w:rsidRDefault="006A1216" w:rsidP="00B776D2">
            <w:pPr>
              <w:keepNext/>
              <w:jc w:val="left"/>
              <w:rPr>
                <w:rFonts w:ascii="Arial Narrow" w:hAnsi="Arial Narrow" w:cstheme="minorHAnsi"/>
                <w:sz w:val="20"/>
                <w:szCs w:val="20"/>
              </w:rPr>
            </w:pPr>
          </w:p>
        </w:tc>
      </w:tr>
    </w:tbl>
    <w:p w:rsidR="006A1216" w:rsidRPr="00F7369B" w:rsidRDefault="006A1216" w:rsidP="006A1216">
      <w:pPr>
        <w:rPr>
          <w:rFonts w:asciiTheme="minorHAnsi" w:hAnsiTheme="minorHAnsi" w:cstheme="minorHAnsi"/>
          <w:b/>
          <w:bCs/>
          <w:sz w:val="20"/>
          <w:szCs w:val="16"/>
        </w:rPr>
      </w:pPr>
    </w:p>
    <w:p w:rsidR="006A1216" w:rsidRPr="00F7369B" w:rsidRDefault="006A1216" w:rsidP="006A1216">
      <w:pPr>
        <w:rPr>
          <w:rFonts w:ascii="Arial Narrow" w:hAnsi="Arial Narrow" w:cstheme="minorHAnsi"/>
          <w:b/>
          <w:bCs/>
          <w:sz w:val="20"/>
          <w:szCs w:val="16"/>
        </w:rPr>
      </w:pPr>
      <w:r w:rsidRPr="00F7369B">
        <w:rPr>
          <w:rFonts w:ascii="Arial Narrow" w:hAnsi="Arial Narrow" w:cstheme="minorHAnsi"/>
          <w:b/>
          <w:bCs/>
          <w:sz w:val="20"/>
          <w:szCs w:val="16"/>
        </w:rPr>
        <w:t xml:space="preserve">Summary of </w:t>
      </w:r>
      <w:r w:rsidR="009A4C79" w:rsidRPr="00F7369B">
        <w:rPr>
          <w:rFonts w:ascii="Arial Narrow" w:hAnsi="Arial Narrow" w:cstheme="minorHAnsi"/>
          <w:b/>
          <w:bCs/>
          <w:sz w:val="20"/>
          <w:szCs w:val="16"/>
        </w:rPr>
        <w:t xml:space="preserve">the </w:t>
      </w:r>
      <w:r w:rsidRPr="00F7369B">
        <w:rPr>
          <w:rFonts w:ascii="Arial Narrow" w:hAnsi="Arial Narrow" w:cstheme="minorHAnsi"/>
          <w:b/>
          <w:bCs/>
          <w:sz w:val="20"/>
          <w:szCs w:val="16"/>
        </w:rPr>
        <w:t xml:space="preserve">proposed MenQuadfi catch-up program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74"/>
        <w:gridCol w:w="2274"/>
        <w:gridCol w:w="2274"/>
        <w:gridCol w:w="2195"/>
      </w:tblGrid>
      <w:tr w:rsidR="006A1216" w:rsidRPr="00F7369B" w:rsidTr="00AF42B9">
        <w:tc>
          <w:tcPr>
            <w:tcW w:w="1261" w:type="pct"/>
            <w:tcMar>
              <w:top w:w="0" w:type="dxa"/>
              <w:left w:w="108" w:type="dxa"/>
              <w:bottom w:w="0" w:type="dxa"/>
              <w:right w:w="108" w:type="dxa"/>
            </w:tcMar>
            <w:hideMark/>
          </w:tcPr>
          <w:p w:rsidR="006A1216" w:rsidRPr="00F7369B" w:rsidRDefault="006A1216" w:rsidP="00AF42B9">
            <w:pPr>
              <w:jc w:val="left"/>
              <w:rPr>
                <w:rFonts w:ascii="Arial Narrow" w:hAnsi="Arial Narrow" w:cstheme="minorHAnsi"/>
                <w:b/>
                <w:bCs/>
                <w:sz w:val="20"/>
                <w:szCs w:val="20"/>
              </w:rPr>
            </w:pPr>
            <w:r w:rsidRPr="00F7369B">
              <w:rPr>
                <w:rFonts w:ascii="Arial Narrow" w:hAnsi="Arial Narrow" w:cstheme="minorHAnsi"/>
                <w:b/>
                <w:bCs/>
                <w:sz w:val="20"/>
                <w:szCs w:val="20"/>
              </w:rPr>
              <w:t>Population Requested</w:t>
            </w:r>
          </w:p>
        </w:tc>
        <w:tc>
          <w:tcPr>
            <w:tcW w:w="1261" w:type="pct"/>
            <w:tcMar>
              <w:top w:w="0" w:type="dxa"/>
              <w:left w:w="108" w:type="dxa"/>
              <w:bottom w:w="0" w:type="dxa"/>
              <w:right w:w="108" w:type="dxa"/>
            </w:tcMar>
            <w:hideMark/>
          </w:tcPr>
          <w:p w:rsidR="006A1216" w:rsidRPr="00F7369B" w:rsidRDefault="006A1216" w:rsidP="00AF42B9">
            <w:pPr>
              <w:jc w:val="left"/>
              <w:rPr>
                <w:rFonts w:ascii="Arial Narrow" w:hAnsi="Arial Narrow" w:cstheme="minorHAnsi"/>
                <w:b/>
                <w:bCs/>
                <w:sz w:val="20"/>
                <w:szCs w:val="20"/>
              </w:rPr>
            </w:pPr>
            <w:r w:rsidRPr="00F7369B">
              <w:rPr>
                <w:rFonts w:ascii="Arial Narrow" w:hAnsi="Arial Narrow" w:cstheme="minorHAnsi"/>
                <w:b/>
                <w:bCs/>
                <w:sz w:val="20"/>
                <w:szCs w:val="20"/>
              </w:rPr>
              <w:t xml:space="preserve">Number of doses and timing </w:t>
            </w:r>
          </w:p>
        </w:tc>
        <w:tc>
          <w:tcPr>
            <w:tcW w:w="1261" w:type="pct"/>
            <w:tcMar>
              <w:top w:w="0" w:type="dxa"/>
              <w:left w:w="108" w:type="dxa"/>
              <w:bottom w:w="0" w:type="dxa"/>
              <w:right w:w="108" w:type="dxa"/>
            </w:tcMar>
            <w:hideMark/>
          </w:tcPr>
          <w:p w:rsidR="006A1216" w:rsidRPr="00F7369B" w:rsidRDefault="006A1216" w:rsidP="00AF42B9">
            <w:pPr>
              <w:jc w:val="left"/>
              <w:rPr>
                <w:rFonts w:ascii="Arial Narrow" w:hAnsi="Arial Narrow" w:cstheme="minorHAnsi"/>
                <w:b/>
                <w:bCs/>
                <w:sz w:val="20"/>
                <w:szCs w:val="20"/>
              </w:rPr>
            </w:pPr>
            <w:r w:rsidRPr="00F7369B">
              <w:rPr>
                <w:rFonts w:ascii="Arial Narrow" w:hAnsi="Arial Narrow" w:cstheme="minorHAnsi"/>
                <w:b/>
                <w:bCs/>
                <w:sz w:val="20"/>
                <w:szCs w:val="20"/>
              </w:rPr>
              <w:t>Duration</w:t>
            </w:r>
          </w:p>
        </w:tc>
        <w:tc>
          <w:tcPr>
            <w:tcW w:w="1217" w:type="pct"/>
            <w:tcMar>
              <w:top w:w="0" w:type="dxa"/>
              <w:left w:w="108" w:type="dxa"/>
              <w:bottom w:w="0" w:type="dxa"/>
              <w:right w:w="108" w:type="dxa"/>
            </w:tcMar>
            <w:hideMark/>
          </w:tcPr>
          <w:p w:rsidR="006A1216" w:rsidRPr="00F7369B" w:rsidRDefault="006A1216" w:rsidP="00AF42B9">
            <w:pPr>
              <w:jc w:val="left"/>
              <w:rPr>
                <w:rFonts w:ascii="Arial Narrow" w:hAnsi="Arial Narrow" w:cstheme="minorHAnsi"/>
                <w:b/>
                <w:bCs/>
                <w:sz w:val="20"/>
                <w:szCs w:val="20"/>
              </w:rPr>
            </w:pPr>
            <w:r w:rsidRPr="00F7369B">
              <w:rPr>
                <w:rFonts w:ascii="Arial Narrow" w:hAnsi="Arial Narrow" w:cstheme="minorHAnsi"/>
                <w:b/>
                <w:bCs/>
                <w:sz w:val="20"/>
                <w:szCs w:val="20"/>
              </w:rPr>
              <w:t xml:space="preserve">Program setting </w:t>
            </w:r>
            <w:r w:rsidRPr="00F7369B">
              <w:rPr>
                <w:rFonts w:ascii="Arial Narrow" w:hAnsi="Arial Narrow" w:cstheme="minorHAnsi"/>
                <w:b/>
                <w:bCs/>
                <w:sz w:val="20"/>
                <w:szCs w:val="20"/>
              </w:rPr>
              <w:br/>
              <w:t>(all that apply)</w:t>
            </w:r>
          </w:p>
        </w:tc>
      </w:tr>
      <w:tr w:rsidR="006A1216" w:rsidRPr="00F7369B" w:rsidTr="00AF42B9">
        <w:tc>
          <w:tcPr>
            <w:tcW w:w="1261" w:type="pct"/>
            <w:tcMar>
              <w:top w:w="0" w:type="dxa"/>
              <w:left w:w="108" w:type="dxa"/>
              <w:bottom w:w="0" w:type="dxa"/>
              <w:right w:w="108" w:type="dxa"/>
            </w:tcMar>
            <w:hideMark/>
          </w:tcPr>
          <w:p w:rsidR="006A1216" w:rsidRPr="00F7369B" w:rsidRDefault="006A1216" w:rsidP="00AF42B9">
            <w:pPr>
              <w:jc w:val="left"/>
              <w:rPr>
                <w:rFonts w:ascii="Arial Narrow" w:hAnsi="Arial Narrow" w:cstheme="minorHAnsi"/>
                <w:sz w:val="20"/>
                <w:szCs w:val="20"/>
              </w:rPr>
            </w:pPr>
            <w:r w:rsidRPr="00F7369B">
              <w:rPr>
                <w:rFonts w:ascii="Arial Narrow" w:hAnsi="Arial Narrow" w:cstheme="minorHAnsi"/>
                <w:sz w:val="20"/>
                <w:szCs w:val="20"/>
              </w:rPr>
              <w:t>Included in adolescent cohort</w:t>
            </w:r>
          </w:p>
        </w:tc>
        <w:tc>
          <w:tcPr>
            <w:tcW w:w="1261" w:type="pct"/>
            <w:tcMar>
              <w:top w:w="0" w:type="dxa"/>
              <w:left w:w="108" w:type="dxa"/>
              <w:bottom w:w="0" w:type="dxa"/>
              <w:right w:w="108" w:type="dxa"/>
            </w:tcMar>
            <w:hideMark/>
          </w:tcPr>
          <w:p w:rsidR="006A1216" w:rsidRPr="00F7369B" w:rsidRDefault="006A1216" w:rsidP="00AF42B9">
            <w:pPr>
              <w:jc w:val="left"/>
              <w:rPr>
                <w:rFonts w:ascii="Arial Narrow" w:hAnsi="Arial Narrow" w:cstheme="minorHAnsi"/>
                <w:sz w:val="20"/>
                <w:szCs w:val="20"/>
              </w:rPr>
            </w:pPr>
            <w:r w:rsidRPr="00F7369B">
              <w:rPr>
                <w:rFonts w:ascii="Arial Narrow" w:hAnsi="Arial Narrow" w:cstheme="minorHAnsi"/>
                <w:sz w:val="20"/>
                <w:szCs w:val="20"/>
              </w:rPr>
              <w:t>As for adolescent cohort</w:t>
            </w:r>
          </w:p>
        </w:tc>
        <w:tc>
          <w:tcPr>
            <w:tcW w:w="1261" w:type="pct"/>
            <w:tcMar>
              <w:top w:w="0" w:type="dxa"/>
              <w:left w:w="108" w:type="dxa"/>
              <w:bottom w:w="0" w:type="dxa"/>
              <w:right w:w="108" w:type="dxa"/>
            </w:tcMar>
            <w:hideMark/>
          </w:tcPr>
          <w:p w:rsidR="006A1216" w:rsidRPr="00F7369B" w:rsidRDefault="006A1216" w:rsidP="00AF42B9">
            <w:pPr>
              <w:jc w:val="left"/>
              <w:rPr>
                <w:rFonts w:ascii="Arial Narrow" w:hAnsi="Arial Narrow" w:cstheme="minorHAnsi"/>
                <w:sz w:val="20"/>
                <w:szCs w:val="20"/>
              </w:rPr>
            </w:pPr>
            <w:r w:rsidRPr="00F7369B">
              <w:rPr>
                <w:rFonts w:ascii="Arial Narrow" w:hAnsi="Arial Narrow" w:cstheme="minorHAnsi"/>
                <w:sz w:val="20"/>
                <w:szCs w:val="20"/>
              </w:rPr>
              <w:t>As for adolescent cohort</w:t>
            </w:r>
          </w:p>
        </w:tc>
        <w:tc>
          <w:tcPr>
            <w:tcW w:w="1217" w:type="pct"/>
            <w:tcMar>
              <w:top w:w="0" w:type="dxa"/>
              <w:left w:w="108" w:type="dxa"/>
              <w:bottom w:w="0" w:type="dxa"/>
              <w:right w:w="108" w:type="dxa"/>
            </w:tcMar>
            <w:hideMark/>
          </w:tcPr>
          <w:p w:rsidR="006A1216" w:rsidRPr="00F7369B" w:rsidRDefault="006A1216" w:rsidP="00AF42B9">
            <w:pPr>
              <w:jc w:val="left"/>
              <w:rPr>
                <w:rFonts w:ascii="Arial Narrow" w:hAnsi="Arial Narrow" w:cstheme="minorHAnsi"/>
                <w:sz w:val="20"/>
                <w:szCs w:val="20"/>
              </w:rPr>
            </w:pPr>
            <w:r w:rsidRPr="00F7369B">
              <w:rPr>
                <w:rFonts w:ascii="Arial Narrow" w:hAnsi="Arial Narrow" w:cstheme="minorHAnsi"/>
                <w:sz w:val="20"/>
                <w:szCs w:val="20"/>
              </w:rPr>
              <w:t>As for adolescent cohort</w:t>
            </w:r>
          </w:p>
        </w:tc>
      </w:tr>
    </w:tbl>
    <w:p w:rsidR="006F05C3" w:rsidRPr="00F7369B" w:rsidRDefault="006F05C3" w:rsidP="006A1216">
      <w:pPr>
        <w:widowControl w:val="0"/>
        <w:spacing w:after="120"/>
        <w:rPr>
          <w:rFonts w:asciiTheme="minorHAnsi" w:hAnsiTheme="minorHAnsi" w:cstheme="minorHAnsi"/>
          <w:b/>
          <w:sz w:val="20"/>
          <w:szCs w:val="16"/>
        </w:rPr>
      </w:pPr>
    </w:p>
    <w:p w:rsidR="00D711D9" w:rsidRDefault="00D711D9" w:rsidP="00D711D9">
      <w:pPr>
        <w:pStyle w:val="2-SectionHeading"/>
        <w:rPr>
          <w:bCs/>
          <w:lang w:val="en-GB"/>
        </w:rPr>
      </w:pPr>
      <w:r w:rsidRPr="00C07617">
        <w:t>Context for Decision</w:t>
      </w:r>
    </w:p>
    <w:p w:rsidR="00D711D9" w:rsidRPr="007129F2" w:rsidRDefault="00D711D9" w:rsidP="00D711D9">
      <w:pPr>
        <w:spacing w:after="1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D711D9" w:rsidRPr="00C07617" w:rsidRDefault="00D711D9" w:rsidP="00D711D9">
      <w:pPr>
        <w:pStyle w:val="2-SectionHeading"/>
      </w:pPr>
      <w:r>
        <w:t>Sponsor’s Comment</w:t>
      </w:r>
    </w:p>
    <w:p w:rsidR="00D711D9" w:rsidRPr="001179AC" w:rsidRDefault="00D711D9" w:rsidP="00D711D9">
      <w:pPr>
        <w:spacing w:after="120"/>
        <w:rPr>
          <w:rFonts w:asciiTheme="minorHAnsi" w:hAnsiTheme="minorHAnsi"/>
          <w:bCs/>
        </w:rPr>
      </w:pPr>
      <w:r w:rsidRPr="00C07617">
        <w:rPr>
          <w:rFonts w:asciiTheme="minorHAnsi" w:hAnsiTheme="minorHAnsi"/>
          <w:bCs/>
        </w:rPr>
        <w:t>The sponsor had no comment.</w:t>
      </w:r>
    </w:p>
    <w:p w:rsidR="00812070" w:rsidRPr="00F7369B" w:rsidRDefault="00812070" w:rsidP="00635C58">
      <w:pPr>
        <w:jc w:val="left"/>
        <w:rPr>
          <w:rFonts w:asciiTheme="minorHAnsi" w:hAnsiTheme="minorHAnsi" w:cstheme="minorHAnsi"/>
          <w:b/>
          <w:sz w:val="20"/>
          <w:szCs w:val="16"/>
        </w:rPr>
      </w:pPr>
    </w:p>
    <w:sectPr w:rsidR="00812070" w:rsidRPr="00F7369B" w:rsidSect="00746D36">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20EFA" w16cex:dateUtc="2020-09-08T04:08:00Z"/>
  <w16cex:commentExtensible w16cex:durableId="23020F54" w16cex:dateUtc="2020-09-08T04:10:00Z"/>
  <w16cex:commentExtensible w16cex:durableId="2301D8BB" w16cex:dateUtc="2020-09-08T00:17:00Z"/>
  <w16cex:commentExtensible w16cex:durableId="2301DAA9" w16cex:dateUtc="2020-09-08T00:25:00Z"/>
  <w16cex:commentExtensible w16cex:durableId="230205D7" w16cex:dateUtc="2020-09-08T03:29:00Z"/>
  <w16cex:commentExtensible w16cex:durableId="23021212" w16cex:dateUtc="2020-09-08T04:22:00Z"/>
  <w16cex:commentExtensible w16cex:durableId="230210AF" w16cex:dateUtc="2020-09-08T04:16:00Z"/>
  <w16cex:commentExtensible w16cex:durableId="2301EB7B" w16cex:dateUtc="2020-09-08T01:37:00Z"/>
  <w16cex:commentExtensible w16cex:durableId="2301FA02" w16cex:dateUtc="2020-09-08T02:39:00Z"/>
  <w16cex:commentExtensible w16cex:durableId="23007F49" w16cex:dateUtc="2020-09-06T23:43:00Z"/>
  <w16cex:commentExtensible w16cex:durableId="2302117A" w16cex:dateUtc="2020-09-08T04: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CEE478" w16cid:durableId="22FB645F"/>
  <w16cid:commentId w16cid:paraId="5668F04A" w16cid:durableId="22FB6460"/>
  <w16cid:commentId w16cid:paraId="308F603E" w16cid:durableId="23020EFA"/>
  <w16cid:commentId w16cid:paraId="372BD091" w16cid:durableId="23020F54"/>
  <w16cid:commentId w16cid:paraId="13A84E12" w16cid:durableId="22FB6462"/>
  <w16cid:commentId w16cid:paraId="02DBBC75" w16cid:durableId="2301D8BB"/>
  <w16cid:commentId w16cid:paraId="625C4CCD" w16cid:durableId="22FB6463"/>
  <w16cid:commentId w16cid:paraId="0E8BE1FC" w16cid:durableId="2301DAA9"/>
  <w16cid:commentId w16cid:paraId="74ABB4CA" w16cid:durableId="22FB6464"/>
  <w16cid:commentId w16cid:paraId="46F79959" w16cid:durableId="230205D7"/>
  <w16cid:commentId w16cid:paraId="3522500C" w16cid:durableId="23021212"/>
  <w16cid:commentId w16cid:paraId="65194FF3" w16cid:durableId="22FB6467"/>
  <w16cid:commentId w16cid:paraId="6616BD55" w16cid:durableId="22FB6468"/>
  <w16cid:commentId w16cid:paraId="20F0620E" w16cid:durableId="22FB6469"/>
  <w16cid:commentId w16cid:paraId="635ABF8D" w16cid:durableId="22FB646A"/>
  <w16cid:commentId w16cid:paraId="5C12275F" w16cid:durableId="22FB646D"/>
  <w16cid:commentId w16cid:paraId="130B1865" w16cid:durableId="22FB646E"/>
  <w16cid:commentId w16cid:paraId="6621E44C" w16cid:durableId="22FB646F"/>
  <w16cid:commentId w16cid:paraId="4587B189" w16cid:durableId="22FB6470"/>
  <w16cid:commentId w16cid:paraId="7FF24461" w16cid:durableId="22FB6473"/>
  <w16cid:commentId w16cid:paraId="2B2F0967" w16cid:durableId="230210AF"/>
  <w16cid:commentId w16cid:paraId="1749EE6F" w16cid:durableId="22FB6474"/>
  <w16cid:commentId w16cid:paraId="2B1C9645" w16cid:durableId="2301EB7B"/>
  <w16cid:commentId w16cid:paraId="6894336F" w16cid:durableId="22FB6475"/>
  <w16cid:commentId w16cid:paraId="4B40E9C1" w16cid:durableId="22FB6478"/>
  <w16cid:commentId w16cid:paraId="7AC2CC9E" w16cid:durableId="22FB6479"/>
  <w16cid:commentId w16cid:paraId="4B424ED8" w16cid:durableId="22FB647A"/>
  <w16cid:commentId w16cid:paraId="78E5E13D" w16cid:durableId="22FB647E"/>
  <w16cid:commentId w16cid:paraId="14013F2B" w16cid:durableId="2301FA02"/>
  <w16cid:commentId w16cid:paraId="4780042C" w16cid:durableId="23007F49"/>
  <w16cid:commentId w16cid:paraId="1E3D0927" w16cid:durableId="23007F1D"/>
  <w16cid:commentId w16cid:paraId="0ECB3229" w16cid:durableId="2302117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E1F" w:rsidRDefault="004E1E1F" w:rsidP="00124A51">
      <w:r>
        <w:separator/>
      </w:r>
    </w:p>
    <w:p w:rsidR="004E1E1F" w:rsidRDefault="004E1E1F"/>
  </w:endnote>
  <w:endnote w:type="continuationSeparator" w:id="0">
    <w:p w:rsidR="004E1E1F" w:rsidRDefault="004E1E1F" w:rsidP="00124A51">
      <w:r>
        <w:continuationSeparator/>
      </w:r>
    </w:p>
    <w:p w:rsidR="004E1E1F" w:rsidRDefault="004E1E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ldhabi">
    <w:charset w:val="B2"/>
    <w:family w:val="auto"/>
    <w:pitch w:val="variable"/>
    <w:sig w:usb0="80002007" w:usb1="80000000" w:usb2="00000008" w:usb3="00000000" w:csb0="00000041"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FCD" w:rsidRDefault="00395F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E1F" w:rsidRPr="00706222" w:rsidRDefault="004E1E1F" w:rsidP="00706222">
    <w:pPr>
      <w:pStyle w:val="Footer"/>
      <w:jc w:val="center"/>
    </w:pPr>
    <w:r w:rsidRPr="00836F75">
      <w:rPr>
        <w:b/>
      </w:rPr>
      <w:fldChar w:fldCharType="begin"/>
    </w:r>
    <w:r w:rsidRPr="00836F75">
      <w:rPr>
        <w:b/>
      </w:rPr>
      <w:instrText xml:space="preserve"> PAGE   \* MERGEFORMAT </w:instrText>
    </w:r>
    <w:r w:rsidRPr="00836F75">
      <w:rPr>
        <w:b/>
      </w:rPr>
      <w:fldChar w:fldCharType="separate"/>
    </w:r>
    <w:r w:rsidR="00CA06D4">
      <w:rPr>
        <w:b/>
        <w:noProof/>
      </w:rPr>
      <w:t>24</w:t>
    </w:r>
    <w:r w:rsidRPr="00836F75">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FCD" w:rsidRDefault="00395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E1F" w:rsidRDefault="004E1E1F" w:rsidP="00124A51">
      <w:r>
        <w:separator/>
      </w:r>
    </w:p>
    <w:p w:rsidR="004E1E1F" w:rsidRDefault="004E1E1F"/>
  </w:footnote>
  <w:footnote w:type="continuationSeparator" w:id="0">
    <w:p w:rsidR="004E1E1F" w:rsidRDefault="004E1E1F" w:rsidP="00124A51">
      <w:r>
        <w:continuationSeparator/>
      </w:r>
    </w:p>
    <w:p w:rsidR="004E1E1F" w:rsidRDefault="004E1E1F"/>
  </w:footnote>
  <w:footnote w:id="1">
    <w:p w:rsidR="004E1E1F" w:rsidRPr="007E26A0" w:rsidRDefault="004E1E1F" w:rsidP="00E116AA">
      <w:pPr>
        <w:pStyle w:val="FootnoteText"/>
        <w:rPr>
          <w:rFonts w:ascii="Arial Narrow" w:hAnsi="Arial Narrow"/>
        </w:rPr>
      </w:pPr>
      <w:r w:rsidRPr="007E26A0">
        <w:rPr>
          <w:rStyle w:val="FootnoteReference"/>
          <w:rFonts w:ascii="Arial Narrow" w:hAnsi="Arial Narrow"/>
        </w:rPr>
        <w:footnoteRef/>
      </w:r>
      <w:r w:rsidRPr="007E26A0">
        <w:rPr>
          <w:rFonts w:ascii="Arial Narrow" w:hAnsi="Arial Narrow"/>
        </w:rPr>
        <w:t xml:space="preserve"> Australian Government Department of Health (2018) Invasive meningococcal disease national surveillance report Quarter 4 2018. </w:t>
      </w:r>
    </w:p>
  </w:footnote>
  <w:footnote w:id="2">
    <w:p w:rsidR="004E1E1F" w:rsidRPr="007E26A0" w:rsidRDefault="004E1E1F" w:rsidP="00E924CC">
      <w:pPr>
        <w:pStyle w:val="FootnoteText"/>
        <w:rPr>
          <w:rFonts w:ascii="Arial Narrow" w:hAnsi="Arial Narrow"/>
          <w:lang w:val="en-US"/>
        </w:rPr>
      </w:pPr>
      <w:r w:rsidRPr="007E26A0">
        <w:rPr>
          <w:rStyle w:val="FootnoteReference"/>
          <w:rFonts w:ascii="Arial Narrow" w:hAnsi="Arial Narrow"/>
        </w:rPr>
        <w:footnoteRef/>
      </w:r>
      <w:r w:rsidRPr="007E26A0">
        <w:rPr>
          <w:rFonts w:ascii="Arial Narrow" w:hAnsi="Arial Narrow"/>
        </w:rPr>
        <w:t xml:space="preserve"> Australian Government Department of Health (2019) Invasive meningococcal disease national surveillance report Quarter 1 January to 30 June 2019.</w:t>
      </w:r>
    </w:p>
  </w:footnote>
  <w:footnote w:id="3">
    <w:p w:rsidR="004E1E1F" w:rsidRDefault="004E1E1F">
      <w:pPr>
        <w:pStyle w:val="FootnoteText"/>
      </w:pPr>
      <w:r>
        <w:rPr>
          <w:rStyle w:val="FootnoteReference"/>
        </w:rPr>
        <w:footnoteRef/>
      </w:r>
      <w:r>
        <w:t xml:space="preserve"> </w:t>
      </w:r>
      <w:r>
        <w:rPr>
          <w:iCs/>
        </w:rPr>
        <w:t xml:space="preserve">The recommended dose for Nimenrix is 2 to 4 in medically at-risk individuals. Children under 12 months of age receive 3 or 4 doses which does not apply to MenQuadfi.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FCD" w:rsidRDefault="00395F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E1F" w:rsidRPr="00056684" w:rsidRDefault="004E1E1F" w:rsidP="00706222">
    <w:pPr>
      <w:pStyle w:val="Header"/>
      <w:ind w:left="360"/>
      <w:rPr>
        <w:rFonts w:asciiTheme="minorHAnsi" w:hAnsiTheme="minorHAnsi"/>
        <w:i/>
        <w:color w:val="808080"/>
      </w:rPr>
    </w:pPr>
    <w:r>
      <w:rPr>
        <w:rFonts w:asciiTheme="minorHAnsi" w:hAnsiTheme="minorHAnsi"/>
        <w:i/>
        <w:color w:val="808080"/>
      </w:rPr>
      <w:t>Public Summary Document</w:t>
    </w:r>
    <w:r w:rsidRPr="00056684">
      <w:rPr>
        <w:rFonts w:asciiTheme="minorHAnsi" w:hAnsiTheme="minorHAnsi"/>
        <w:i/>
        <w:color w:val="808080"/>
      </w:rPr>
      <w:t xml:space="preserve"> – </w:t>
    </w:r>
    <w:r>
      <w:rPr>
        <w:rFonts w:asciiTheme="minorHAnsi" w:hAnsiTheme="minorHAnsi"/>
        <w:i/>
        <w:color w:val="808080"/>
      </w:rPr>
      <w:t>November 2020</w:t>
    </w:r>
    <w:r w:rsidRPr="00056684">
      <w:rPr>
        <w:rFonts w:asciiTheme="minorHAnsi" w:hAnsiTheme="minorHAnsi"/>
        <w:i/>
        <w:color w:val="808080"/>
      </w:rPr>
      <w:t xml:space="preserve"> PBAC Meeting</w:t>
    </w:r>
  </w:p>
  <w:p w:rsidR="004E1E1F" w:rsidRPr="00124A51" w:rsidRDefault="004E1E1F" w:rsidP="002B1C1F">
    <w:pPr>
      <w:tabs>
        <w:tab w:val="left" w:pos="142"/>
        <w:tab w:val="right" w:pos="9027"/>
      </w:tabs>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FCD" w:rsidRDefault="00395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86E5A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7B16E5"/>
    <w:multiLevelType w:val="hybridMultilevel"/>
    <w:tmpl w:val="1166BD58"/>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015E76"/>
    <w:multiLevelType w:val="hybridMultilevel"/>
    <w:tmpl w:val="596865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DFE6F44"/>
    <w:multiLevelType w:val="hybridMultilevel"/>
    <w:tmpl w:val="90B881B6"/>
    <w:lvl w:ilvl="0" w:tplc="BA5CE46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6A1C8E"/>
    <w:multiLevelType w:val="multilevel"/>
    <w:tmpl w:val="E97A754C"/>
    <w:lvl w:ilvl="0">
      <w:start w:val="1"/>
      <w:numFmt w:val="bullet"/>
      <w:lvlText w:val=""/>
      <w:lvlJc w:val="left"/>
      <w:pPr>
        <w:ind w:left="1429" w:hanging="720"/>
      </w:pPr>
      <w:rPr>
        <w:rFonts w:ascii="Symbol" w:hAnsi="Symbol" w:hint="default"/>
        <w:b/>
      </w:rPr>
    </w:lvl>
    <w:lvl w:ilvl="1">
      <w:start w:val="1"/>
      <w:numFmt w:val="bullet"/>
      <w:lvlText w:val=""/>
      <w:lvlJc w:val="left"/>
      <w:pPr>
        <w:ind w:left="1854"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509" w:hanging="1800"/>
      </w:pPr>
      <w:rPr>
        <w:rFonts w:hint="default"/>
      </w:rPr>
    </w:lvl>
  </w:abstractNum>
  <w:abstractNum w:abstractNumId="7" w15:restartNumberingAfterBreak="0">
    <w:nsid w:val="15440255"/>
    <w:multiLevelType w:val="hybridMultilevel"/>
    <w:tmpl w:val="ACB411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8A7830"/>
    <w:multiLevelType w:val="hybridMultilevel"/>
    <w:tmpl w:val="081C87F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5979B8"/>
    <w:multiLevelType w:val="hybridMultilevel"/>
    <w:tmpl w:val="7F9E7098"/>
    <w:lvl w:ilvl="0" w:tplc="E01C1174">
      <w:start w:val="1"/>
      <w:numFmt w:val="bullet"/>
      <w:pStyle w:val="Normal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6143DE"/>
    <w:multiLevelType w:val="hybridMultilevel"/>
    <w:tmpl w:val="CF080FE8"/>
    <w:lvl w:ilvl="0" w:tplc="0C090001">
      <w:start w:val="1"/>
      <w:numFmt w:val="bullet"/>
      <w:lvlText w:val=""/>
      <w:lvlJc w:val="left"/>
      <w:pPr>
        <w:ind w:left="1636"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B02479E"/>
    <w:multiLevelType w:val="hybridMultilevel"/>
    <w:tmpl w:val="E76005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28B6F05"/>
    <w:multiLevelType w:val="multilevel"/>
    <w:tmpl w:val="E97A754C"/>
    <w:lvl w:ilvl="0">
      <w:start w:val="1"/>
      <w:numFmt w:val="bullet"/>
      <w:lvlText w:val=""/>
      <w:lvlJc w:val="left"/>
      <w:pPr>
        <w:ind w:left="1429" w:hanging="720"/>
      </w:pPr>
      <w:rPr>
        <w:rFonts w:ascii="Symbol" w:hAnsi="Symbol" w:hint="default"/>
        <w:b/>
      </w:rPr>
    </w:lvl>
    <w:lvl w:ilvl="1">
      <w:start w:val="1"/>
      <w:numFmt w:val="bullet"/>
      <w:lvlText w:val=""/>
      <w:lvlJc w:val="left"/>
      <w:pPr>
        <w:ind w:left="1854"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509" w:hanging="1800"/>
      </w:pPr>
      <w:rPr>
        <w:rFonts w:hint="default"/>
      </w:rPr>
    </w:lvl>
  </w:abstractNum>
  <w:abstractNum w:abstractNumId="13" w15:restartNumberingAfterBreak="0">
    <w:nsid w:val="23577D32"/>
    <w:multiLevelType w:val="hybridMultilevel"/>
    <w:tmpl w:val="9CBA120E"/>
    <w:lvl w:ilvl="0" w:tplc="E19EE61A">
      <w:start w:val="1"/>
      <w:numFmt w:val="lowerLetter"/>
      <w:pStyle w:val="NormalLett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82D7BEA"/>
    <w:multiLevelType w:val="hybridMultilevel"/>
    <w:tmpl w:val="78749D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626E2C"/>
    <w:multiLevelType w:val="hybridMultilevel"/>
    <w:tmpl w:val="DF9AB09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10849C2"/>
    <w:multiLevelType w:val="multilevel"/>
    <w:tmpl w:val="E97A754C"/>
    <w:lvl w:ilvl="0">
      <w:start w:val="1"/>
      <w:numFmt w:val="bullet"/>
      <w:lvlText w:val=""/>
      <w:lvlJc w:val="left"/>
      <w:pPr>
        <w:ind w:left="1429" w:hanging="720"/>
      </w:pPr>
      <w:rPr>
        <w:rFonts w:ascii="Symbol" w:hAnsi="Symbol" w:hint="default"/>
        <w:b/>
      </w:rPr>
    </w:lvl>
    <w:lvl w:ilvl="1">
      <w:start w:val="1"/>
      <w:numFmt w:val="bullet"/>
      <w:lvlText w:val=""/>
      <w:lvlJc w:val="left"/>
      <w:pPr>
        <w:ind w:left="1854"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509" w:hanging="1800"/>
      </w:pPr>
      <w:rPr>
        <w:rFonts w:hint="default"/>
      </w:rPr>
    </w:lvl>
  </w:abstractNum>
  <w:abstractNum w:abstractNumId="20" w15:restartNumberingAfterBreak="0">
    <w:nsid w:val="31FB333C"/>
    <w:multiLevelType w:val="hybridMultilevel"/>
    <w:tmpl w:val="6464F030"/>
    <w:lvl w:ilvl="0" w:tplc="C7DE2338">
      <w:start w:val="8"/>
      <w:numFmt w:val="decimal"/>
      <w:lvlText w:val="%1"/>
      <w:lvlJc w:val="left"/>
      <w:pPr>
        <w:ind w:left="720" w:hanging="360"/>
      </w:pPr>
      <w:rPr>
        <w:rFonts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E417E5C"/>
    <w:multiLevelType w:val="hybridMultilevel"/>
    <w:tmpl w:val="36640166"/>
    <w:lvl w:ilvl="0" w:tplc="E30E330C">
      <w:start w:val="1"/>
      <w:numFmt w:val="decimal"/>
      <w:pStyle w:val="Normal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3E14DA6"/>
    <w:multiLevelType w:val="hybridMultilevel"/>
    <w:tmpl w:val="C1846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241C4D"/>
    <w:multiLevelType w:val="multilevel"/>
    <w:tmpl w:val="E47ABA46"/>
    <w:lvl w:ilvl="0">
      <w:start w:val="6"/>
      <w:numFmt w:val="decimal"/>
      <w:lvlText w:val="%1"/>
      <w:lvlJc w:val="left"/>
      <w:pPr>
        <w:ind w:left="372" w:hanging="372"/>
      </w:pPr>
      <w:rPr>
        <w:rFonts w:hint="default"/>
      </w:rPr>
    </w:lvl>
    <w:lvl w:ilvl="1">
      <w:start w:val="38"/>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7997EE0"/>
    <w:multiLevelType w:val="hybridMultilevel"/>
    <w:tmpl w:val="844252A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4F00C3"/>
    <w:multiLevelType w:val="hybridMultilevel"/>
    <w:tmpl w:val="3476F7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137B5F"/>
    <w:multiLevelType w:val="hybridMultilevel"/>
    <w:tmpl w:val="844252A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B51E4A"/>
    <w:multiLevelType w:val="multilevel"/>
    <w:tmpl w:val="E97A754C"/>
    <w:lvl w:ilvl="0">
      <w:start w:val="1"/>
      <w:numFmt w:val="bullet"/>
      <w:lvlText w:val=""/>
      <w:lvlJc w:val="left"/>
      <w:pPr>
        <w:ind w:left="1429" w:hanging="720"/>
      </w:pPr>
      <w:rPr>
        <w:rFonts w:ascii="Symbol" w:hAnsi="Symbol" w:hint="default"/>
        <w:b/>
      </w:rPr>
    </w:lvl>
    <w:lvl w:ilvl="1">
      <w:start w:val="1"/>
      <w:numFmt w:val="bullet"/>
      <w:lvlText w:val=""/>
      <w:lvlJc w:val="left"/>
      <w:pPr>
        <w:ind w:left="1854"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509" w:hanging="1800"/>
      </w:pPr>
      <w:rPr>
        <w:rFonts w:hint="default"/>
      </w:rPr>
    </w:lvl>
  </w:abstractNum>
  <w:abstractNum w:abstractNumId="32" w15:restartNumberingAfterBreak="0">
    <w:nsid w:val="5BD958EE"/>
    <w:multiLevelType w:val="hybridMultilevel"/>
    <w:tmpl w:val="F7F4E6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CBB36E3"/>
    <w:multiLevelType w:val="hybridMultilevel"/>
    <w:tmpl w:val="907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D0305F0"/>
    <w:multiLevelType w:val="hybridMultilevel"/>
    <w:tmpl w:val="EF147D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AA34157"/>
    <w:multiLevelType w:val="hybridMultilevel"/>
    <w:tmpl w:val="9E547E7E"/>
    <w:lvl w:ilvl="0" w:tplc="0C090001">
      <w:start w:val="1"/>
      <w:numFmt w:val="bullet"/>
      <w:lvlText w:val=""/>
      <w:lvlJc w:val="left"/>
      <w:pPr>
        <w:ind w:left="1440" w:hanging="360"/>
      </w:pPr>
      <w:rPr>
        <w:rFonts w:ascii="Symbol" w:hAnsi="Symbol" w:hint="default"/>
      </w:rPr>
    </w:lvl>
    <w:lvl w:ilvl="1" w:tplc="357414CA">
      <w:numFmt w:val="bullet"/>
      <w:lvlText w:val="•"/>
      <w:lvlJc w:val="left"/>
      <w:pPr>
        <w:ind w:left="2160" w:hanging="360"/>
      </w:pPr>
      <w:rPr>
        <w:rFonts w:ascii="Calibri" w:eastAsia="Times New Roman" w:hAnsi="Calibri" w:cs="Calibri"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74680FAC"/>
    <w:multiLevelType w:val="hybridMultilevel"/>
    <w:tmpl w:val="FCA294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4FF29C8"/>
    <w:multiLevelType w:val="multilevel"/>
    <w:tmpl w:val="EE2CA44C"/>
    <w:lvl w:ilvl="0">
      <w:start w:val="1"/>
      <w:numFmt w:val="decimal"/>
      <w:lvlText w:val="%1"/>
      <w:lvlJc w:val="left"/>
      <w:pPr>
        <w:ind w:left="720" w:hanging="720"/>
      </w:pPr>
      <w:rPr>
        <w:rFonts w:hint="default"/>
        <w:b/>
      </w:rPr>
    </w:lvl>
    <w:lvl w:ilvl="1">
      <w:start w:val="1"/>
      <w:numFmt w:val="bullet"/>
      <w:lvlText w:val=""/>
      <w:lvlJc w:val="left"/>
      <w:pPr>
        <w:ind w:left="1429"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8"/>
  </w:num>
  <w:num w:numId="2">
    <w:abstractNumId w:val="23"/>
  </w:num>
  <w:num w:numId="3">
    <w:abstractNumId w:val="24"/>
  </w:num>
  <w:num w:numId="4">
    <w:abstractNumId w:val="0"/>
  </w:num>
  <w:num w:numId="5">
    <w:abstractNumId w:val="39"/>
  </w:num>
  <w:num w:numId="6">
    <w:abstractNumId w:val="5"/>
  </w:num>
  <w:num w:numId="7">
    <w:abstractNumId w:val="13"/>
  </w:num>
  <w:num w:numId="8">
    <w:abstractNumId w:val="21"/>
  </w:num>
  <w:num w:numId="9">
    <w:abstractNumId w:val="10"/>
  </w:num>
  <w:num w:numId="10">
    <w:abstractNumId w:val="9"/>
  </w:num>
  <w:num w:numId="11">
    <w:abstractNumId w:val="37"/>
  </w:num>
  <w:num w:numId="12">
    <w:abstractNumId w:val="6"/>
  </w:num>
  <w:num w:numId="13">
    <w:abstractNumId w:val="12"/>
  </w:num>
  <w:num w:numId="14">
    <w:abstractNumId w:val="19"/>
  </w:num>
  <w:num w:numId="15">
    <w:abstractNumId w:val="31"/>
  </w:num>
  <w:num w:numId="16">
    <w:abstractNumId w:val="22"/>
  </w:num>
  <w:num w:numId="17">
    <w:abstractNumId w:val="30"/>
  </w:num>
  <w:num w:numId="18">
    <w:abstractNumId w:val="8"/>
  </w:num>
  <w:num w:numId="19">
    <w:abstractNumId w:val="4"/>
  </w:num>
  <w:num w:numId="20">
    <w:abstractNumId w:val="32"/>
  </w:num>
  <w:num w:numId="21">
    <w:abstractNumId w:val="34"/>
  </w:num>
  <w:num w:numId="22">
    <w:abstractNumId w:val="36"/>
  </w:num>
  <w:num w:numId="23">
    <w:abstractNumId w:val="11"/>
  </w:num>
  <w:num w:numId="24">
    <w:abstractNumId w:val="18"/>
  </w:num>
  <w:num w:numId="25">
    <w:abstractNumId w:val="26"/>
  </w:num>
  <w:num w:numId="26">
    <w:abstractNumId w:val="3"/>
  </w:num>
  <w:num w:numId="27">
    <w:abstractNumId w:val="1"/>
  </w:num>
  <w:num w:numId="28">
    <w:abstractNumId w:val="15"/>
  </w:num>
  <w:num w:numId="29">
    <w:abstractNumId w:val="17"/>
  </w:num>
  <w:num w:numId="30">
    <w:abstractNumId w:val="14"/>
  </w:num>
  <w:num w:numId="31">
    <w:abstractNumId w:val="28"/>
  </w:num>
  <w:num w:numId="32">
    <w:abstractNumId w:val="29"/>
  </w:num>
  <w:num w:numId="33">
    <w:abstractNumId w:val="38"/>
  </w:num>
  <w:num w:numId="34">
    <w:abstractNumId w:val="35"/>
  </w:num>
  <w:num w:numId="35">
    <w:abstractNumId w:val="2"/>
  </w:num>
  <w:num w:numId="36">
    <w:abstractNumId w:val="38"/>
  </w:num>
  <w:num w:numId="37">
    <w:abstractNumId w:val="38"/>
  </w:num>
  <w:num w:numId="38">
    <w:abstractNumId w:val="38"/>
  </w:num>
  <w:num w:numId="39">
    <w:abstractNumId w:val="33"/>
  </w:num>
  <w:num w:numId="40">
    <w:abstractNumId w:val="16"/>
  </w:num>
  <w:num w:numId="41">
    <w:abstractNumId w:val="38"/>
  </w:num>
  <w:num w:numId="42">
    <w:abstractNumId w:val="38"/>
  </w:num>
  <w:num w:numId="43">
    <w:abstractNumId w:val="25"/>
  </w:num>
  <w:num w:numId="44">
    <w:abstractNumId w:val="20"/>
  </w:num>
  <w:num w:numId="45">
    <w:abstractNumId w:val="7"/>
  </w:num>
  <w:num w:numId="46">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removePersonalInformation/>
  <w:removeDateAndTime/>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NTE0NDM2NzI2MjBV0lEKTi0uzszPAykwMasFAPmPgIstAAAA"/>
  </w:docVars>
  <w:rsids>
    <w:rsidRoot w:val="00E65E79"/>
    <w:rsid w:val="00000790"/>
    <w:rsid w:val="0000110B"/>
    <w:rsid w:val="00001BC5"/>
    <w:rsid w:val="00003499"/>
    <w:rsid w:val="000039B7"/>
    <w:rsid w:val="00004271"/>
    <w:rsid w:val="00004B1D"/>
    <w:rsid w:val="000059A3"/>
    <w:rsid w:val="000061D6"/>
    <w:rsid w:val="0000639A"/>
    <w:rsid w:val="00006F7A"/>
    <w:rsid w:val="00007E84"/>
    <w:rsid w:val="00010006"/>
    <w:rsid w:val="00013247"/>
    <w:rsid w:val="00013A11"/>
    <w:rsid w:val="00013B62"/>
    <w:rsid w:val="00013F98"/>
    <w:rsid w:val="00015886"/>
    <w:rsid w:val="000162EF"/>
    <w:rsid w:val="00016349"/>
    <w:rsid w:val="000169D8"/>
    <w:rsid w:val="00017EAB"/>
    <w:rsid w:val="000207C9"/>
    <w:rsid w:val="000211F4"/>
    <w:rsid w:val="0002225F"/>
    <w:rsid w:val="00022974"/>
    <w:rsid w:val="00023763"/>
    <w:rsid w:val="00023908"/>
    <w:rsid w:val="000257D0"/>
    <w:rsid w:val="000274B8"/>
    <w:rsid w:val="00027D86"/>
    <w:rsid w:val="000329F1"/>
    <w:rsid w:val="00033863"/>
    <w:rsid w:val="00034941"/>
    <w:rsid w:val="00035DC0"/>
    <w:rsid w:val="00035FEB"/>
    <w:rsid w:val="00036829"/>
    <w:rsid w:val="00037192"/>
    <w:rsid w:val="000376EA"/>
    <w:rsid w:val="00037A26"/>
    <w:rsid w:val="00040895"/>
    <w:rsid w:val="000413AD"/>
    <w:rsid w:val="00041B59"/>
    <w:rsid w:val="000435EE"/>
    <w:rsid w:val="00043C37"/>
    <w:rsid w:val="00043C51"/>
    <w:rsid w:val="00045017"/>
    <w:rsid w:val="0004583C"/>
    <w:rsid w:val="00045A2B"/>
    <w:rsid w:val="0004698F"/>
    <w:rsid w:val="00046AFB"/>
    <w:rsid w:val="00047671"/>
    <w:rsid w:val="00047C38"/>
    <w:rsid w:val="000502E5"/>
    <w:rsid w:val="00051AC9"/>
    <w:rsid w:val="000531FB"/>
    <w:rsid w:val="000539D0"/>
    <w:rsid w:val="00053EE1"/>
    <w:rsid w:val="00053FBE"/>
    <w:rsid w:val="00054621"/>
    <w:rsid w:val="000546D7"/>
    <w:rsid w:val="00054C5C"/>
    <w:rsid w:val="00056ECF"/>
    <w:rsid w:val="000604DF"/>
    <w:rsid w:val="00060C54"/>
    <w:rsid w:val="00061145"/>
    <w:rsid w:val="00064624"/>
    <w:rsid w:val="000653B5"/>
    <w:rsid w:val="000659C2"/>
    <w:rsid w:val="00066360"/>
    <w:rsid w:val="00066AF8"/>
    <w:rsid w:val="00071248"/>
    <w:rsid w:val="00071AE1"/>
    <w:rsid w:val="000720B9"/>
    <w:rsid w:val="0007305C"/>
    <w:rsid w:val="00073735"/>
    <w:rsid w:val="000737F7"/>
    <w:rsid w:val="000756EE"/>
    <w:rsid w:val="00075E64"/>
    <w:rsid w:val="0007672F"/>
    <w:rsid w:val="00076B54"/>
    <w:rsid w:val="000774F0"/>
    <w:rsid w:val="00080909"/>
    <w:rsid w:val="000812CA"/>
    <w:rsid w:val="00081E63"/>
    <w:rsid w:val="0008258D"/>
    <w:rsid w:val="00083E99"/>
    <w:rsid w:val="00084FA8"/>
    <w:rsid w:val="000856C5"/>
    <w:rsid w:val="00085C31"/>
    <w:rsid w:val="00086073"/>
    <w:rsid w:val="000902D9"/>
    <w:rsid w:val="00090C7E"/>
    <w:rsid w:val="000914B9"/>
    <w:rsid w:val="0009159F"/>
    <w:rsid w:val="00091EAB"/>
    <w:rsid w:val="00092600"/>
    <w:rsid w:val="0009262B"/>
    <w:rsid w:val="00093302"/>
    <w:rsid w:val="00093310"/>
    <w:rsid w:val="00094179"/>
    <w:rsid w:val="0009445C"/>
    <w:rsid w:val="00095200"/>
    <w:rsid w:val="00095FE5"/>
    <w:rsid w:val="00096284"/>
    <w:rsid w:val="0009634B"/>
    <w:rsid w:val="000A000D"/>
    <w:rsid w:val="000A1BC0"/>
    <w:rsid w:val="000A1C7E"/>
    <w:rsid w:val="000A2EF3"/>
    <w:rsid w:val="000A3922"/>
    <w:rsid w:val="000A3D72"/>
    <w:rsid w:val="000A6039"/>
    <w:rsid w:val="000A6A71"/>
    <w:rsid w:val="000A6B10"/>
    <w:rsid w:val="000A7453"/>
    <w:rsid w:val="000A7D08"/>
    <w:rsid w:val="000B0121"/>
    <w:rsid w:val="000B0670"/>
    <w:rsid w:val="000B0E75"/>
    <w:rsid w:val="000B0EB0"/>
    <w:rsid w:val="000B2DCB"/>
    <w:rsid w:val="000B48C1"/>
    <w:rsid w:val="000B5CE0"/>
    <w:rsid w:val="000B6262"/>
    <w:rsid w:val="000B6CAC"/>
    <w:rsid w:val="000B7612"/>
    <w:rsid w:val="000B78AE"/>
    <w:rsid w:val="000B7C44"/>
    <w:rsid w:val="000C0B78"/>
    <w:rsid w:val="000C215C"/>
    <w:rsid w:val="000C24B5"/>
    <w:rsid w:val="000C3DD4"/>
    <w:rsid w:val="000C3DF9"/>
    <w:rsid w:val="000C6713"/>
    <w:rsid w:val="000C734D"/>
    <w:rsid w:val="000D1BFC"/>
    <w:rsid w:val="000D1D5D"/>
    <w:rsid w:val="000D281A"/>
    <w:rsid w:val="000D2848"/>
    <w:rsid w:val="000D326A"/>
    <w:rsid w:val="000D35B1"/>
    <w:rsid w:val="000D445D"/>
    <w:rsid w:val="000D51FB"/>
    <w:rsid w:val="000E0640"/>
    <w:rsid w:val="000E12FC"/>
    <w:rsid w:val="000E135D"/>
    <w:rsid w:val="000E796A"/>
    <w:rsid w:val="000F00BA"/>
    <w:rsid w:val="000F316A"/>
    <w:rsid w:val="000F3C74"/>
    <w:rsid w:val="000F3E34"/>
    <w:rsid w:val="000F4BB8"/>
    <w:rsid w:val="000F4BC1"/>
    <w:rsid w:val="000F4FA9"/>
    <w:rsid w:val="000F53FB"/>
    <w:rsid w:val="000F65DB"/>
    <w:rsid w:val="000F66D4"/>
    <w:rsid w:val="000F7127"/>
    <w:rsid w:val="000F7B54"/>
    <w:rsid w:val="00100F8A"/>
    <w:rsid w:val="0010258A"/>
    <w:rsid w:val="00103085"/>
    <w:rsid w:val="0010452E"/>
    <w:rsid w:val="00105867"/>
    <w:rsid w:val="00105AE2"/>
    <w:rsid w:val="001060C6"/>
    <w:rsid w:val="00106B80"/>
    <w:rsid w:val="0010789B"/>
    <w:rsid w:val="0011032E"/>
    <w:rsid w:val="0011153B"/>
    <w:rsid w:val="0011348B"/>
    <w:rsid w:val="00113679"/>
    <w:rsid w:val="001155C3"/>
    <w:rsid w:val="00115982"/>
    <w:rsid w:val="00116C53"/>
    <w:rsid w:val="00116CC6"/>
    <w:rsid w:val="00117E1A"/>
    <w:rsid w:val="00120070"/>
    <w:rsid w:val="00121799"/>
    <w:rsid w:val="001222FC"/>
    <w:rsid w:val="00122812"/>
    <w:rsid w:val="00123902"/>
    <w:rsid w:val="00124A51"/>
    <w:rsid w:val="0012516C"/>
    <w:rsid w:val="001258D1"/>
    <w:rsid w:val="00126621"/>
    <w:rsid w:val="00126B1D"/>
    <w:rsid w:val="001301E9"/>
    <w:rsid w:val="00130993"/>
    <w:rsid w:val="00131D82"/>
    <w:rsid w:val="0013271B"/>
    <w:rsid w:val="00132B22"/>
    <w:rsid w:val="00133D36"/>
    <w:rsid w:val="0013436A"/>
    <w:rsid w:val="00136786"/>
    <w:rsid w:val="00137645"/>
    <w:rsid w:val="0014015A"/>
    <w:rsid w:val="00140E99"/>
    <w:rsid w:val="0014170B"/>
    <w:rsid w:val="00141952"/>
    <w:rsid w:val="00143A6F"/>
    <w:rsid w:val="00143F67"/>
    <w:rsid w:val="00144527"/>
    <w:rsid w:val="00144FBF"/>
    <w:rsid w:val="00145540"/>
    <w:rsid w:val="001456B0"/>
    <w:rsid w:val="00146B0E"/>
    <w:rsid w:val="001476DA"/>
    <w:rsid w:val="001555F4"/>
    <w:rsid w:val="00155AFF"/>
    <w:rsid w:val="00156B94"/>
    <w:rsid w:val="00156F8F"/>
    <w:rsid w:val="00157130"/>
    <w:rsid w:val="00157404"/>
    <w:rsid w:val="001576B1"/>
    <w:rsid w:val="0016047B"/>
    <w:rsid w:val="001606F0"/>
    <w:rsid w:val="00160A4C"/>
    <w:rsid w:val="00162913"/>
    <w:rsid w:val="00163EFF"/>
    <w:rsid w:val="00163F66"/>
    <w:rsid w:val="00164B9A"/>
    <w:rsid w:val="00165145"/>
    <w:rsid w:val="001661FB"/>
    <w:rsid w:val="00166795"/>
    <w:rsid w:val="00166B2F"/>
    <w:rsid w:val="001671A0"/>
    <w:rsid w:val="00167352"/>
    <w:rsid w:val="0016767F"/>
    <w:rsid w:val="001732D0"/>
    <w:rsid w:val="00173565"/>
    <w:rsid w:val="00173B07"/>
    <w:rsid w:val="001751FA"/>
    <w:rsid w:val="001775F4"/>
    <w:rsid w:val="001779F0"/>
    <w:rsid w:val="00177E2E"/>
    <w:rsid w:val="00180D1E"/>
    <w:rsid w:val="00181795"/>
    <w:rsid w:val="00181D9C"/>
    <w:rsid w:val="00182E0A"/>
    <w:rsid w:val="00184B0E"/>
    <w:rsid w:val="0018752F"/>
    <w:rsid w:val="00190F98"/>
    <w:rsid w:val="001910FF"/>
    <w:rsid w:val="00191AC2"/>
    <w:rsid w:val="00191EA8"/>
    <w:rsid w:val="00193838"/>
    <w:rsid w:val="00193FD4"/>
    <w:rsid w:val="00194724"/>
    <w:rsid w:val="00194AD8"/>
    <w:rsid w:val="00195222"/>
    <w:rsid w:val="001956D5"/>
    <w:rsid w:val="00196D9D"/>
    <w:rsid w:val="001975D8"/>
    <w:rsid w:val="001A178E"/>
    <w:rsid w:val="001A1A70"/>
    <w:rsid w:val="001A304A"/>
    <w:rsid w:val="001A38EB"/>
    <w:rsid w:val="001A3FDE"/>
    <w:rsid w:val="001A43FA"/>
    <w:rsid w:val="001A47C5"/>
    <w:rsid w:val="001A59FB"/>
    <w:rsid w:val="001A5D27"/>
    <w:rsid w:val="001A5E9E"/>
    <w:rsid w:val="001A6354"/>
    <w:rsid w:val="001A6366"/>
    <w:rsid w:val="001A7AE8"/>
    <w:rsid w:val="001B204E"/>
    <w:rsid w:val="001B2372"/>
    <w:rsid w:val="001B3443"/>
    <w:rsid w:val="001B4D20"/>
    <w:rsid w:val="001B7A64"/>
    <w:rsid w:val="001C1F95"/>
    <w:rsid w:val="001C2A9B"/>
    <w:rsid w:val="001C2E01"/>
    <w:rsid w:val="001C4299"/>
    <w:rsid w:val="001C4874"/>
    <w:rsid w:val="001C5F94"/>
    <w:rsid w:val="001C6E66"/>
    <w:rsid w:val="001C721B"/>
    <w:rsid w:val="001D051B"/>
    <w:rsid w:val="001D10D0"/>
    <w:rsid w:val="001D1100"/>
    <w:rsid w:val="001D1391"/>
    <w:rsid w:val="001D25D7"/>
    <w:rsid w:val="001D40D9"/>
    <w:rsid w:val="001D50B2"/>
    <w:rsid w:val="001D7645"/>
    <w:rsid w:val="001D7FB7"/>
    <w:rsid w:val="001E1E86"/>
    <w:rsid w:val="001E238E"/>
    <w:rsid w:val="001E2483"/>
    <w:rsid w:val="001E2B1E"/>
    <w:rsid w:val="001E2CFF"/>
    <w:rsid w:val="001E2F24"/>
    <w:rsid w:val="001E30D4"/>
    <w:rsid w:val="001E34DF"/>
    <w:rsid w:val="001E4FD8"/>
    <w:rsid w:val="001E52EB"/>
    <w:rsid w:val="001E61D2"/>
    <w:rsid w:val="001E6C83"/>
    <w:rsid w:val="001E740C"/>
    <w:rsid w:val="001F04F5"/>
    <w:rsid w:val="001F1235"/>
    <w:rsid w:val="001F1CB3"/>
    <w:rsid w:val="001F1D47"/>
    <w:rsid w:val="001F2244"/>
    <w:rsid w:val="001F38B5"/>
    <w:rsid w:val="001F3BBA"/>
    <w:rsid w:val="001F4081"/>
    <w:rsid w:val="001F4CBC"/>
    <w:rsid w:val="001F56DE"/>
    <w:rsid w:val="001F5E88"/>
    <w:rsid w:val="001F66B1"/>
    <w:rsid w:val="001F670A"/>
    <w:rsid w:val="001F7361"/>
    <w:rsid w:val="00201084"/>
    <w:rsid w:val="002011B0"/>
    <w:rsid w:val="00203181"/>
    <w:rsid w:val="00203783"/>
    <w:rsid w:val="0020385F"/>
    <w:rsid w:val="00206207"/>
    <w:rsid w:val="002068A0"/>
    <w:rsid w:val="00207021"/>
    <w:rsid w:val="0020732F"/>
    <w:rsid w:val="002076F6"/>
    <w:rsid w:val="00207D00"/>
    <w:rsid w:val="002105C1"/>
    <w:rsid w:val="002109A5"/>
    <w:rsid w:val="00212F9C"/>
    <w:rsid w:val="00213EF5"/>
    <w:rsid w:val="00215057"/>
    <w:rsid w:val="00216BF5"/>
    <w:rsid w:val="0021728F"/>
    <w:rsid w:val="00222F23"/>
    <w:rsid w:val="002233FE"/>
    <w:rsid w:val="00223B49"/>
    <w:rsid w:val="00223D5A"/>
    <w:rsid w:val="00224DD4"/>
    <w:rsid w:val="00225F39"/>
    <w:rsid w:val="00226562"/>
    <w:rsid w:val="002278A0"/>
    <w:rsid w:val="002309CC"/>
    <w:rsid w:val="00230F0D"/>
    <w:rsid w:val="0023209F"/>
    <w:rsid w:val="00233C01"/>
    <w:rsid w:val="0023413C"/>
    <w:rsid w:val="002346F0"/>
    <w:rsid w:val="00235056"/>
    <w:rsid w:val="00235A10"/>
    <w:rsid w:val="0023629D"/>
    <w:rsid w:val="00237255"/>
    <w:rsid w:val="002374D6"/>
    <w:rsid w:val="002403E4"/>
    <w:rsid w:val="002424AF"/>
    <w:rsid w:val="002439DC"/>
    <w:rsid w:val="00243EFC"/>
    <w:rsid w:val="002441D2"/>
    <w:rsid w:val="00244319"/>
    <w:rsid w:val="00244B0A"/>
    <w:rsid w:val="00244DC8"/>
    <w:rsid w:val="002458BA"/>
    <w:rsid w:val="00245CE9"/>
    <w:rsid w:val="00245FB9"/>
    <w:rsid w:val="0024627D"/>
    <w:rsid w:val="0024636C"/>
    <w:rsid w:val="00247925"/>
    <w:rsid w:val="00247C59"/>
    <w:rsid w:val="00250B02"/>
    <w:rsid w:val="00251006"/>
    <w:rsid w:val="002524D5"/>
    <w:rsid w:val="00253A30"/>
    <w:rsid w:val="00253B1D"/>
    <w:rsid w:val="00254DCF"/>
    <w:rsid w:val="0025534B"/>
    <w:rsid w:val="00255BB7"/>
    <w:rsid w:val="00257541"/>
    <w:rsid w:val="00257A39"/>
    <w:rsid w:val="00257AC4"/>
    <w:rsid w:val="00261EEF"/>
    <w:rsid w:val="00262A1A"/>
    <w:rsid w:val="00262A87"/>
    <w:rsid w:val="00262AEE"/>
    <w:rsid w:val="00263858"/>
    <w:rsid w:val="00264D26"/>
    <w:rsid w:val="00267642"/>
    <w:rsid w:val="00267AEA"/>
    <w:rsid w:val="002700E6"/>
    <w:rsid w:val="0027294B"/>
    <w:rsid w:val="002729B8"/>
    <w:rsid w:val="00273EB4"/>
    <w:rsid w:val="00274682"/>
    <w:rsid w:val="00275C5A"/>
    <w:rsid w:val="00277EBF"/>
    <w:rsid w:val="00281014"/>
    <w:rsid w:val="00284BE1"/>
    <w:rsid w:val="002856A2"/>
    <w:rsid w:val="0028665D"/>
    <w:rsid w:val="002873D6"/>
    <w:rsid w:val="0029077E"/>
    <w:rsid w:val="00294B74"/>
    <w:rsid w:val="0029702D"/>
    <w:rsid w:val="002A14AB"/>
    <w:rsid w:val="002A1BE0"/>
    <w:rsid w:val="002A2ADE"/>
    <w:rsid w:val="002A2F50"/>
    <w:rsid w:val="002A40BB"/>
    <w:rsid w:val="002A6330"/>
    <w:rsid w:val="002A7845"/>
    <w:rsid w:val="002A7AA4"/>
    <w:rsid w:val="002B05A1"/>
    <w:rsid w:val="002B09A4"/>
    <w:rsid w:val="002B1C1F"/>
    <w:rsid w:val="002B22BC"/>
    <w:rsid w:val="002B2DB7"/>
    <w:rsid w:val="002B42EF"/>
    <w:rsid w:val="002B432F"/>
    <w:rsid w:val="002B5380"/>
    <w:rsid w:val="002B62B3"/>
    <w:rsid w:val="002B6754"/>
    <w:rsid w:val="002B6AA6"/>
    <w:rsid w:val="002B6CCE"/>
    <w:rsid w:val="002B7BD3"/>
    <w:rsid w:val="002B7C25"/>
    <w:rsid w:val="002C0742"/>
    <w:rsid w:val="002C0F05"/>
    <w:rsid w:val="002C138C"/>
    <w:rsid w:val="002C2510"/>
    <w:rsid w:val="002C2775"/>
    <w:rsid w:val="002C27C1"/>
    <w:rsid w:val="002C5099"/>
    <w:rsid w:val="002C5889"/>
    <w:rsid w:val="002C5E46"/>
    <w:rsid w:val="002C62BB"/>
    <w:rsid w:val="002C66C5"/>
    <w:rsid w:val="002C672D"/>
    <w:rsid w:val="002C71CE"/>
    <w:rsid w:val="002C7C51"/>
    <w:rsid w:val="002D08F8"/>
    <w:rsid w:val="002D2E07"/>
    <w:rsid w:val="002D3A1B"/>
    <w:rsid w:val="002D577C"/>
    <w:rsid w:val="002D70B2"/>
    <w:rsid w:val="002D7744"/>
    <w:rsid w:val="002E1071"/>
    <w:rsid w:val="002E15B9"/>
    <w:rsid w:val="002E2158"/>
    <w:rsid w:val="002E2A0A"/>
    <w:rsid w:val="002E4F02"/>
    <w:rsid w:val="002E5B29"/>
    <w:rsid w:val="002E7722"/>
    <w:rsid w:val="002F0454"/>
    <w:rsid w:val="002F07BA"/>
    <w:rsid w:val="002F0AB5"/>
    <w:rsid w:val="002F0DA9"/>
    <w:rsid w:val="002F1014"/>
    <w:rsid w:val="002F1B1A"/>
    <w:rsid w:val="002F3F58"/>
    <w:rsid w:val="002F48DE"/>
    <w:rsid w:val="002F54FD"/>
    <w:rsid w:val="002F643C"/>
    <w:rsid w:val="002F64CA"/>
    <w:rsid w:val="002F6F74"/>
    <w:rsid w:val="002F71C0"/>
    <w:rsid w:val="002F74F1"/>
    <w:rsid w:val="00300AD5"/>
    <w:rsid w:val="00301017"/>
    <w:rsid w:val="0030155F"/>
    <w:rsid w:val="00302FD5"/>
    <w:rsid w:val="0030587B"/>
    <w:rsid w:val="00306D98"/>
    <w:rsid w:val="0030786C"/>
    <w:rsid w:val="0031031A"/>
    <w:rsid w:val="003103CD"/>
    <w:rsid w:val="00310981"/>
    <w:rsid w:val="003124D9"/>
    <w:rsid w:val="00312594"/>
    <w:rsid w:val="00315498"/>
    <w:rsid w:val="00316474"/>
    <w:rsid w:val="00317C49"/>
    <w:rsid w:val="00320BC7"/>
    <w:rsid w:val="00322107"/>
    <w:rsid w:val="00322355"/>
    <w:rsid w:val="00322846"/>
    <w:rsid w:val="00322B9B"/>
    <w:rsid w:val="003232AE"/>
    <w:rsid w:val="00323CF8"/>
    <w:rsid w:val="00325998"/>
    <w:rsid w:val="00325BD0"/>
    <w:rsid w:val="00326DA7"/>
    <w:rsid w:val="003270E4"/>
    <w:rsid w:val="00327274"/>
    <w:rsid w:val="00330DAA"/>
    <w:rsid w:val="00330F5C"/>
    <w:rsid w:val="00331756"/>
    <w:rsid w:val="003339A8"/>
    <w:rsid w:val="00336148"/>
    <w:rsid w:val="00336516"/>
    <w:rsid w:val="003366C9"/>
    <w:rsid w:val="003371B0"/>
    <w:rsid w:val="0033735C"/>
    <w:rsid w:val="00340DF1"/>
    <w:rsid w:val="003414A2"/>
    <w:rsid w:val="003456D2"/>
    <w:rsid w:val="00345E69"/>
    <w:rsid w:val="00346185"/>
    <w:rsid w:val="00346443"/>
    <w:rsid w:val="00347FE7"/>
    <w:rsid w:val="0035052A"/>
    <w:rsid w:val="00350F0C"/>
    <w:rsid w:val="003515B4"/>
    <w:rsid w:val="003517F9"/>
    <w:rsid w:val="00351BA9"/>
    <w:rsid w:val="00354F64"/>
    <w:rsid w:val="0035620E"/>
    <w:rsid w:val="00356406"/>
    <w:rsid w:val="00356613"/>
    <w:rsid w:val="00357D22"/>
    <w:rsid w:val="00360345"/>
    <w:rsid w:val="00361A05"/>
    <w:rsid w:val="003624C4"/>
    <w:rsid w:val="00363B00"/>
    <w:rsid w:val="00365389"/>
    <w:rsid w:val="003654AC"/>
    <w:rsid w:val="003700CC"/>
    <w:rsid w:val="00370C0D"/>
    <w:rsid w:val="0037107F"/>
    <w:rsid w:val="003710CF"/>
    <w:rsid w:val="003712CD"/>
    <w:rsid w:val="003725B7"/>
    <w:rsid w:val="0037358A"/>
    <w:rsid w:val="003750F6"/>
    <w:rsid w:val="00375D9E"/>
    <w:rsid w:val="003760FC"/>
    <w:rsid w:val="0037696F"/>
    <w:rsid w:val="0037730E"/>
    <w:rsid w:val="003776B4"/>
    <w:rsid w:val="003777D7"/>
    <w:rsid w:val="00380A60"/>
    <w:rsid w:val="003826CF"/>
    <w:rsid w:val="0038365C"/>
    <w:rsid w:val="0038369B"/>
    <w:rsid w:val="00383B0D"/>
    <w:rsid w:val="00383B78"/>
    <w:rsid w:val="0038574B"/>
    <w:rsid w:val="00385A9D"/>
    <w:rsid w:val="00386FB3"/>
    <w:rsid w:val="00387CA8"/>
    <w:rsid w:val="003902B1"/>
    <w:rsid w:val="0039179C"/>
    <w:rsid w:val="003918BB"/>
    <w:rsid w:val="00394487"/>
    <w:rsid w:val="003949F8"/>
    <w:rsid w:val="00395FCD"/>
    <w:rsid w:val="00396896"/>
    <w:rsid w:val="00396FD0"/>
    <w:rsid w:val="003975CC"/>
    <w:rsid w:val="003A155E"/>
    <w:rsid w:val="003A1A7A"/>
    <w:rsid w:val="003A2392"/>
    <w:rsid w:val="003A2831"/>
    <w:rsid w:val="003A3CB6"/>
    <w:rsid w:val="003A3ED1"/>
    <w:rsid w:val="003A44DB"/>
    <w:rsid w:val="003A6243"/>
    <w:rsid w:val="003B3971"/>
    <w:rsid w:val="003B529B"/>
    <w:rsid w:val="003B55D1"/>
    <w:rsid w:val="003B5B61"/>
    <w:rsid w:val="003B640D"/>
    <w:rsid w:val="003C1654"/>
    <w:rsid w:val="003C1CC1"/>
    <w:rsid w:val="003C25DC"/>
    <w:rsid w:val="003C3186"/>
    <w:rsid w:val="003C5542"/>
    <w:rsid w:val="003C7D19"/>
    <w:rsid w:val="003C7D2F"/>
    <w:rsid w:val="003C7F98"/>
    <w:rsid w:val="003D0A08"/>
    <w:rsid w:val="003D1828"/>
    <w:rsid w:val="003D1DE4"/>
    <w:rsid w:val="003D1E9A"/>
    <w:rsid w:val="003D2422"/>
    <w:rsid w:val="003D39A1"/>
    <w:rsid w:val="003D3FBF"/>
    <w:rsid w:val="003D4A30"/>
    <w:rsid w:val="003D4F31"/>
    <w:rsid w:val="003D5F9D"/>
    <w:rsid w:val="003D7452"/>
    <w:rsid w:val="003D79BB"/>
    <w:rsid w:val="003D7C98"/>
    <w:rsid w:val="003D7D9D"/>
    <w:rsid w:val="003E0543"/>
    <w:rsid w:val="003E35BD"/>
    <w:rsid w:val="003E49A8"/>
    <w:rsid w:val="003E5617"/>
    <w:rsid w:val="003E5C4F"/>
    <w:rsid w:val="003E6069"/>
    <w:rsid w:val="003E63CB"/>
    <w:rsid w:val="003E6420"/>
    <w:rsid w:val="003E749E"/>
    <w:rsid w:val="003F028D"/>
    <w:rsid w:val="003F0A4B"/>
    <w:rsid w:val="003F2C6B"/>
    <w:rsid w:val="003F4156"/>
    <w:rsid w:val="003F5ADF"/>
    <w:rsid w:val="003F65DB"/>
    <w:rsid w:val="003F72A6"/>
    <w:rsid w:val="0040041C"/>
    <w:rsid w:val="00400AE9"/>
    <w:rsid w:val="00400B29"/>
    <w:rsid w:val="004038B9"/>
    <w:rsid w:val="0040504B"/>
    <w:rsid w:val="004059F4"/>
    <w:rsid w:val="0040601D"/>
    <w:rsid w:val="00407FE5"/>
    <w:rsid w:val="004101B0"/>
    <w:rsid w:val="00410326"/>
    <w:rsid w:val="00410708"/>
    <w:rsid w:val="00410EC7"/>
    <w:rsid w:val="00411989"/>
    <w:rsid w:val="00411B39"/>
    <w:rsid w:val="0041218C"/>
    <w:rsid w:val="004127A7"/>
    <w:rsid w:val="00413390"/>
    <w:rsid w:val="00413A1E"/>
    <w:rsid w:val="00413C83"/>
    <w:rsid w:val="004140B2"/>
    <w:rsid w:val="00414476"/>
    <w:rsid w:val="00414C2E"/>
    <w:rsid w:val="004151CF"/>
    <w:rsid w:val="00416364"/>
    <w:rsid w:val="0042047F"/>
    <w:rsid w:val="00420AA6"/>
    <w:rsid w:val="00420B9F"/>
    <w:rsid w:val="0042192C"/>
    <w:rsid w:val="00422260"/>
    <w:rsid w:val="0042413F"/>
    <w:rsid w:val="004257CE"/>
    <w:rsid w:val="00425E50"/>
    <w:rsid w:val="004319F8"/>
    <w:rsid w:val="00431E55"/>
    <w:rsid w:val="004321F6"/>
    <w:rsid w:val="00433044"/>
    <w:rsid w:val="004330E0"/>
    <w:rsid w:val="00433E08"/>
    <w:rsid w:val="00434088"/>
    <w:rsid w:val="00435E60"/>
    <w:rsid w:val="004375B9"/>
    <w:rsid w:val="004376A9"/>
    <w:rsid w:val="0044030E"/>
    <w:rsid w:val="004405E5"/>
    <w:rsid w:val="004428D0"/>
    <w:rsid w:val="00442FF6"/>
    <w:rsid w:val="004437D5"/>
    <w:rsid w:val="00444185"/>
    <w:rsid w:val="004443A7"/>
    <w:rsid w:val="0044442C"/>
    <w:rsid w:val="00444638"/>
    <w:rsid w:val="0044471E"/>
    <w:rsid w:val="00445018"/>
    <w:rsid w:val="00445941"/>
    <w:rsid w:val="004464EB"/>
    <w:rsid w:val="00446530"/>
    <w:rsid w:val="00447025"/>
    <w:rsid w:val="00447D26"/>
    <w:rsid w:val="00447D41"/>
    <w:rsid w:val="00447DFC"/>
    <w:rsid w:val="004518F4"/>
    <w:rsid w:val="00451D32"/>
    <w:rsid w:val="00453CEF"/>
    <w:rsid w:val="00455D45"/>
    <w:rsid w:val="00456D5D"/>
    <w:rsid w:val="00457430"/>
    <w:rsid w:val="00457CDB"/>
    <w:rsid w:val="00462FD1"/>
    <w:rsid w:val="00463745"/>
    <w:rsid w:val="00464595"/>
    <w:rsid w:val="0046483C"/>
    <w:rsid w:val="004652E6"/>
    <w:rsid w:val="004658B5"/>
    <w:rsid w:val="00471EA5"/>
    <w:rsid w:val="00472791"/>
    <w:rsid w:val="00472A79"/>
    <w:rsid w:val="00472D47"/>
    <w:rsid w:val="00473F19"/>
    <w:rsid w:val="00475E22"/>
    <w:rsid w:val="0048088E"/>
    <w:rsid w:val="00480F2B"/>
    <w:rsid w:val="00482720"/>
    <w:rsid w:val="004835E7"/>
    <w:rsid w:val="004839AB"/>
    <w:rsid w:val="00485472"/>
    <w:rsid w:val="004867E2"/>
    <w:rsid w:val="00487A30"/>
    <w:rsid w:val="00487DAF"/>
    <w:rsid w:val="00490B17"/>
    <w:rsid w:val="00491A2B"/>
    <w:rsid w:val="00491B3A"/>
    <w:rsid w:val="0049222F"/>
    <w:rsid w:val="00492A9C"/>
    <w:rsid w:val="00492CFD"/>
    <w:rsid w:val="00494207"/>
    <w:rsid w:val="00494DD5"/>
    <w:rsid w:val="004954BD"/>
    <w:rsid w:val="00495D4B"/>
    <w:rsid w:val="004962D2"/>
    <w:rsid w:val="00497C73"/>
    <w:rsid w:val="00497D25"/>
    <w:rsid w:val="004A0DA1"/>
    <w:rsid w:val="004A13D6"/>
    <w:rsid w:val="004A2920"/>
    <w:rsid w:val="004A33A6"/>
    <w:rsid w:val="004A4018"/>
    <w:rsid w:val="004A4574"/>
    <w:rsid w:val="004A486D"/>
    <w:rsid w:val="004A52E9"/>
    <w:rsid w:val="004A6040"/>
    <w:rsid w:val="004A6597"/>
    <w:rsid w:val="004A6E99"/>
    <w:rsid w:val="004A7848"/>
    <w:rsid w:val="004B077B"/>
    <w:rsid w:val="004B1CB4"/>
    <w:rsid w:val="004B1EBB"/>
    <w:rsid w:val="004B25F7"/>
    <w:rsid w:val="004B2F18"/>
    <w:rsid w:val="004B3C80"/>
    <w:rsid w:val="004B3DDB"/>
    <w:rsid w:val="004B44FD"/>
    <w:rsid w:val="004B5CFC"/>
    <w:rsid w:val="004B5E04"/>
    <w:rsid w:val="004B6F79"/>
    <w:rsid w:val="004B7127"/>
    <w:rsid w:val="004B7622"/>
    <w:rsid w:val="004B774D"/>
    <w:rsid w:val="004B77E1"/>
    <w:rsid w:val="004C16C1"/>
    <w:rsid w:val="004C2CD9"/>
    <w:rsid w:val="004C3EF7"/>
    <w:rsid w:val="004C4AED"/>
    <w:rsid w:val="004C604B"/>
    <w:rsid w:val="004C67ED"/>
    <w:rsid w:val="004D2C2D"/>
    <w:rsid w:val="004D69B5"/>
    <w:rsid w:val="004D7227"/>
    <w:rsid w:val="004E06F4"/>
    <w:rsid w:val="004E0E7F"/>
    <w:rsid w:val="004E0EB8"/>
    <w:rsid w:val="004E1512"/>
    <w:rsid w:val="004E18AE"/>
    <w:rsid w:val="004E18E9"/>
    <w:rsid w:val="004E1E1F"/>
    <w:rsid w:val="004E2ADC"/>
    <w:rsid w:val="004E2ECC"/>
    <w:rsid w:val="004E43B2"/>
    <w:rsid w:val="004E43BE"/>
    <w:rsid w:val="004F0871"/>
    <w:rsid w:val="004F1BDA"/>
    <w:rsid w:val="004F1D02"/>
    <w:rsid w:val="004F262E"/>
    <w:rsid w:val="004F2679"/>
    <w:rsid w:val="004F2F21"/>
    <w:rsid w:val="004F3DE5"/>
    <w:rsid w:val="004F6913"/>
    <w:rsid w:val="004F7865"/>
    <w:rsid w:val="00500694"/>
    <w:rsid w:val="0050174E"/>
    <w:rsid w:val="00501854"/>
    <w:rsid w:val="0050189E"/>
    <w:rsid w:val="0050219B"/>
    <w:rsid w:val="00502ED0"/>
    <w:rsid w:val="00503F17"/>
    <w:rsid w:val="00505099"/>
    <w:rsid w:val="00506928"/>
    <w:rsid w:val="00507463"/>
    <w:rsid w:val="005077EF"/>
    <w:rsid w:val="00510F5D"/>
    <w:rsid w:val="00511AD5"/>
    <w:rsid w:val="00511DC7"/>
    <w:rsid w:val="0051241F"/>
    <w:rsid w:val="00512EB2"/>
    <w:rsid w:val="00513712"/>
    <w:rsid w:val="00513C67"/>
    <w:rsid w:val="005142C5"/>
    <w:rsid w:val="0051501B"/>
    <w:rsid w:val="005152B5"/>
    <w:rsid w:val="00520073"/>
    <w:rsid w:val="00520975"/>
    <w:rsid w:val="0052123C"/>
    <w:rsid w:val="005212F7"/>
    <w:rsid w:val="00521319"/>
    <w:rsid w:val="00522BBF"/>
    <w:rsid w:val="00522BC8"/>
    <w:rsid w:val="0052337E"/>
    <w:rsid w:val="00523C28"/>
    <w:rsid w:val="005260E4"/>
    <w:rsid w:val="0053176B"/>
    <w:rsid w:val="0053233B"/>
    <w:rsid w:val="00533160"/>
    <w:rsid w:val="00533BDE"/>
    <w:rsid w:val="00533D4C"/>
    <w:rsid w:val="00536B40"/>
    <w:rsid w:val="00536F42"/>
    <w:rsid w:val="00537182"/>
    <w:rsid w:val="00537C04"/>
    <w:rsid w:val="00537C30"/>
    <w:rsid w:val="0054068D"/>
    <w:rsid w:val="00541056"/>
    <w:rsid w:val="00541CED"/>
    <w:rsid w:val="00541E6E"/>
    <w:rsid w:val="00541EDD"/>
    <w:rsid w:val="00542743"/>
    <w:rsid w:val="00542C2D"/>
    <w:rsid w:val="0054440B"/>
    <w:rsid w:val="00546352"/>
    <w:rsid w:val="00546A6B"/>
    <w:rsid w:val="005478BD"/>
    <w:rsid w:val="005479E3"/>
    <w:rsid w:val="00550C14"/>
    <w:rsid w:val="00551985"/>
    <w:rsid w:val="00552BD3"/>
    <w:rsid w:val="005532A0"/>
    <w:rsid w:val="00554DB3"/>
    <w:rsid w:val="00555109"/>
    <w:rsid w:val="00555418"/>
    <w:rsid w:val="00556B35"/>
    <w:rsid w:val="0055741A"/>
    <w:rsid w:val="00557986"/>
    <w:rsid w:val="00560348"/>
    <w:rsid w:val="00560F92"/>
    <w:rsid w:val="005611B7"/>
    <w:rsid w:val="00561699"/>
    <w:rsid w:val="005618D4"/>
    <w:rsid w:val="0056378A"/>
    <w:rsid w:val="00563E41"/>
    <w:rsid w:val="00563ED4"/>
    <w:rsid w:val="00564C62"/>
    <w:rsid w:val="00565DF0"/>
    <w:rsid w:val="0056696F"/>
    <w:rsid w:val="00566B4B"/>
    <w:rsid w:val="00572090"/>
    <w:rsid w:val="00572269"/>
    <w:rsid w:val="0057244A"/>
    <w:rsid w:val="005726A0"/>
    <w:rsid w:val="00572F26"/>
    <w:rsid w:val="005750C5"/>
    <w:rsid w:val="005752DE"/>
    <w:rsid w:val="00575D8D"/>
    <w:rsid w:val="00576972"/>
    <w:rsid w:val="00576E09"/>
    <w:rsid w:val="005814A1"/>
    <w:rsid w:val="00582139"/>
    <w:rsid w:val="00583699"/>
    <w:rsid w:val="00583E22"/>
    <w:rsid w:val="0058454A"/>
    <w:rsid w:val="00584B62"/>
    <w:rsid w:val="00584DCC"/>
    <w:rsid w:val="00584FF5"/>
    <w:rsid w:val="00585CDD"/>
    <w:rsid w:val="00587058"/>
    <w:rsid w:val="005904A3"/>
    <w:rsid w:val="005913D7"/>
    <w:rsid w:val="00591957"/>
    <w:rsid w:val="0059258A"/>
    <w:rsid w:val="00593240"/>
    <w:rsid w:val="00593D4E"/>
    <w:rsid w:val="00596FA7"/>
    <w:rsid w:val="00597632"/>
    <w:rsid w:val="00597BF9"/>
    <w:rsid w:val="005A1E30"/>
    <w:rsid w:val="005A309A"/>
    <w:rsid w:val="005A373D"/>
    <w:rsid w:val="005A6324"/>
    <w:rsid w:val="005A6438"/>
    <w:rsid w:val="005A7580"/>
    <w:rsid w:val="005B046C"/>
    <w:rsid w:val="005B06F6"/>
    <w:rsid w:val="005B0B58"/>
    <w:rsid w:val="005B2686"/>
    <w:rsid w:val="005B4E53"/>
    <w:rsid w:val="005B5836"/>
    <w:rsid w:val="005B5857"/>
    <w:rsid w:val="005B70A3"/>
    <w:rsid w:val="005B7C54"/>
    <w:rsid w:val="005C1B83"/>
    <w:rsid w:val="005C25FF"/>
    <w:rsid w:val="005C2CC6"/>
    <w:rsid w:val="005C2D55"/>
    <w:rsid w:val="005C346B"/>
    <w:rsid w:val="005C49C3"/>
    <w:rsid w:val="005C6E10"/>
    <w:rsid w:val="005D044D"/>
    <w:rsid w:val="005D0ABD"/>
    <w:rsid w:val="005D18AD"/>
    <w:rsid w:val="005D26B4"/>
    <w:rsid w:val="005D2D3E"/>
    <w:rsid w:val="005D2E04"/>
    <w:rsid w:val="005D78D7"/>
    <w:rsid w:val="005E148F"/>
    <w:rsid w:val="005E281F"/>
    <w:rsid w:val="005E6451"/>
    <w:rsid w:val="005E66CB"/>
    <w:rsid w:val="005E6CBC"/>
    <w:rsid w:val="005E72FF"/>
    <w:rsid w:val="005E73C0"/>
    <w:rsid w:val="005F06A9"/>
    <w:rsid w:val="005F19F8"/>
    <w:rsid w:val="005F2706"/>
    <w:rsid w:val="005F4687"/>
    <w:rsid w:val="005F5C5C"/>
    <w:rsid w:val="005F6376"/>
    <w:rsid w:val="005F642E"/>
    <w:rsid w:val="005F6A8F"/>
    <w:rsid w:val="005F6BB7"/>
    <w:rsid w:val="005F7588"/>
    <w:rsid w:val="006011B4"/>
    <w:rsid w:val="006019D7"/>
    <w:rsid w:val="00603DB9"/>
    <w:rsid w:val="00604A85"/>
    <w:rsid w:val="006051D9"/>
    <w:rsid w:val="00606FBA"/>
    <w:rsid w:val="00607669"/>
    <w:rsid w:val="006076F4"/>
    <w:rsid w:val="00607AFD"/>
    <w:rsid w:val="00610499"/>
    <w:rsid w:val="006115A7"/>
    <w:rsid w:val="0061216C"/>
    <w:rsid w:val="006124B9"/>
    <w:rsid w:val="00612F97"/>
    <w:rsid w:val="0061345D"/>
    <w:rsid w:val="006145C1"/>
    <w:rsid w:val="0061549B"/>
    <w:rsid w:val="00616802"/>
    <w:rsid w:val="0061682C"/>
    <w:rsid w:val="00617E12"/>
    <w:rsid w:val="00620C25"/>
    <w:rsid w:val="00621477"/>
    <w:rsid w:val="006218F1"/>
    <w:rsid w:val="00621ADA"/>
    <w:rsid w:val="00623122"/>
    <w:rsid w:val="00623F7B"/>
    <w:rsid w:val="00623FE5"/>
    <w:rsid w:val="00624C00"/>
    <w:rsid w:val="00625470"/>
    <w:rsid w:val="006261E4"/>
    <w:rsid w:val="00626AA2"/>
    <w:rsid w:val="0063070E"/>
    <w:rsid w:val="00630DD3"/>
    <w:rsid w:val="0063158F"/>
    <w:rsid w:val="006315DA"/>
    <w:rsid w:val="00631D6B"/>
    <w:rsid w:val="00632183"/>
    <w:rsid w:val="006330A1"/>
    <w:rsid w:val="00633A35"/>
    <w:rsid w:val="0063479F"/>
    <w:rsid w:val="006353F0"/>
    <w:rsid w:val="006357B5"/>
    <w:rsid w:val="00635C58"/>
    <w:rsid w:val="006364A1"/>
    <w:rsid w:val="0063678E"/>
    <w:rsid w:val="006377E9"/>
    <w:rsid w:val="00637BFD"/>
    <w:rsid w:val="00641C4E"/>
    <w:rsid w:val="00641FB3"/>
    <w:rsid w:val="0064434C"/>
    <w:rsid w:val="006471CC"/>
    <w:rsid w:val="00647A29"/>
    <w:rsid w:val="0065079F"/>
    <w:rsid w:val="006515F5"/>
    <w:rsid w:val="00651C52"/>
    <w:rsid w:val="00651CE0"/>
    <w:rsid w:val="00652A28"/>
    <w:rsid w:val="0065379F"/>
    <w:rsid w:val="00654853"/>
    <w:rsid w:val="00655DA8"/>
    <w:rsid w:val="00656188"/>
    <w:rsid w:val="0065715A"/>
    <w:rsid w:val="00657A4B"/>
    <w:rsid w:val="00657D8F"/>
    <w:rsid w:val="006602CF"/>
    <w:rsid w:val="00660D96"/>
    <w:rsid w:val="006610F1"/>
    <w:rsid w:val="00661226"/>
    <w:rsid w:val="00661A8C"/>
    <w:rsid w:val="00661C6B"/>
    <w:rsid w:val="00665877"/>
    <w:rsid w:val="00667442"/>
    <w:rsid w:val="00671004"/>
    <w:rsid w:val="00671C0F"/>
    <w:rsid w:val="00672646"/>
    <w:rsid w:val="00672B24"/>
    <w:rsid w:val="00674E42"/>
    <w:rsid w:val="00675BFA"/>
    <w:rsid w:val="00680FB4"/>
    <w:rsid w:val="00681089"/>
    <w:rsid w:val="006813F8"/>
    <w:rsid w:val="00682112"/>
    <w:rsid w:val="00682BA6"/>
    <w:rsid w:val="00683B6D"/>
    <w:rsid w:val="00684D29"/>
    <w:rsid w:val="00684D47"/>
    <w:rsid w:val="00686957"/>
    <w:rsid w:val="006872BA"/>
    <w:rsid w:val="00690795"/>
    <w:rsid w:val="00691648"/>
    <w:rsid w:val="006917D7"/>
    <w:rsid w:val="0069434C"/>
    <w:rsid w:val="00694F44"/>
    <w:rsid w:val="00695CD8"/>
    <w:rsid w:val="00696C19"/>
    <w:rsid w:val="00696DFC"/>
    <w:rsid w:val="00696F51"/>
    <w:rsid w:val="006979A5"/>
    <w:rsid w:val="006A1216"/>
    <w:rsid w:val="006A67B5"/>
    <w:rsid w:val="006A68B9"/>
    <w:rsid w:val="006A6B99"/>
    <w:rsid w:val="006A7E5F"/>
    <w:rsid w:val="006B1686"/>
    <w:rsid w:val="006B261B"/>
    <w:rsid w:val="006B2C90"/>
    <w:rsid w:val="006B35E6"/>
    <w:rsid w:val="006B465A"/>
    <w:rsid w:val="006B4C30"/>
    <w:rsid w:val="006B6B2D"/>
    <w:rsid w:val="006B6DD0"/>
    <w:rsid w:val="006B79EC"/>
    <w:rsid w:val="006C0399"/>
    <w:rsid w:val="006C14F0"/>
    <w:rsid w:val="006C1C56"/>
    <w:rsid w:val="006C2A8E"/>
    <w:rsid w:val="006C3255"/>
    <w:rsid w:val="006C3F26"/>
    <w:rsid w:val="006C46E2"/>
    <w:rsid w:val="006C629C"/>
    <w:rsid w:val="006D0D17"/>
    <w:rsid w:val="006D3C7D"/>
    <w:rsid w:val="006D4659"/>
    <w:rsid w:val="006D5D5F"/>
    <w:rsid w:val="006D68FB"/>
    <w:rsid w:val="006D69CF"/>
    <w:rsid w:val="006D6AA4"/>
    <w:rsid w:val="006E2868"/>
    <w:rsid w:val="006E381C"/>
    <w:rsid w:val="006E451E"/>
    <w:rsid w:val="006E55BE"/>
    <w:rsid w:val="006E6584"/>
    <w:rsid w:val="006E7A34"/>
    <w:rsid w:val="006F05C3"/>
    <w:rsid w:val="006F1ECE"/>
    <w:rsid w:val="006F306C"/>
    <w:rsid w:val="006F3948"/>
    <w:rsid w:val="006F4328"/>
    <w:rsid w:val="006F63A5"/>
    <w:rsid w:val="006F6A93"/>
    <w:rsid w:val="0070142B"/>
    <w:rsid w:val="0070276E"/>
    <w:rsid w:val="00702F8F"/>
    <w:rsid w:val="00703942"/>
    <w:rsid w:val="00704761"/>
    <w:rsid w:val="00705B46"/>
    <w:rsid w:val="00705BD3"/>
    <w:rsid w:val="00705E67"/>
    <w:rsid w:val="00706222"/>
    <w:rsid w:val="007079FC"/>
    <w:rsid w:val="00711A36"/>
    <w:rsid w:val="007143F6"/>
    <w:rsid w:val="00714C26"/>
    <w:rsid w:val="0071529C"/>
    <w:rsid w:val="0071628E"/>
    <w:rsid w:val="007170DA"/>
    <w:rsid w:val="007172AD"/>
    <w:rsid w:val="00717581"/>
    <w:rsid w:val="00720370"/>
    <w:rsid w:val="00720801"/>
    <w:rsid w:val="00722490"/>
    <w:rsid w:val="00722720"/>
    <w:rsid w:val="00722B1B"/>
    <w:rsid w:val="00723287"/>
    <w:rsid w:val="00723DD7"/>
    <w:rsid w:val="0072416F"/>
    <w:rsid w:val="00725220"/>
    <w:rsid w:val="00727357"/>
    <w:rsid w:val="00727C94"/>
    <w:rsid w:val="00731B0A"/>
    <w:rsid w:val="00731EAE"/>
    <w:rsid w:val="00732A8F"/>
    <w:rsid w:val="00733073"/>
    <w:rsid w:val="00733639"/>
    <w:rsid w:val="00734560"/>
    <w:rsid w:val="00735033"/>
    <w:rsid w:val="00735328"/>
    <w:rsid w:val="00735ADC"/>
    <w:rsid w:val="0073685B"/>
    <w:rsid w:val="00740475"/>
    <w:rsid w:val="0074056C"/>
    <w:rsid w:val="00740BFC"/>
    <w:rsid w:val="00740E14"/>
    <w:rsid w:val="00741467"/>
    <w:rsid w:val="007417A8"/>
    <w:rsid w:val="007449BF"/>
    <w:rsid w:val="00744E37"/>
    <w:rsid w:val="0074595A"/>
    <w:rsid w:val="00746BC0"/>
    <w:rsid w:val="00746D36"/>
    <w:rsid w:val="0074723C"/>
    <w:rsid w:val="007510B4"/>
    <w:rsid w:val="00751891"/>
    <w:rsid w:val="00752142"/>
    <w:rsid w:val="007523F9"/>
    <w:rsid w:val="0075357E"/>
    <w:rsid w:val="00754EB3"/>
    <w:rsid w:val="007573E8"/>
    <w:rsid w:val="00760C4E"/>
    <w:rsid w:val="00760F9E"/>
    <w:rsid w:val="00761030"/>
    <w:rsid w:val="007627BE"/>
    <w:rsid w:val="00764F03"/>
    <w:rsid w:val="0076500D"/>
    <w:rsid w:val="007657E9"/>
    <w:rsid w:val="00765B1A"/>
    <w:rsid w:val="0076679C"/>
    <w:rsid w:val="0076787E"/>
    <w:rsid w:val="00771549"/>
    <w:rsid w:val="00775A84"/>
    <w:rsid w:val="00777335"/>
    <w:rsid w:val="0077746F"/>
    <w:rsid w:val="00780045"/>
    <w:rsid w:val="00780AEE"/>
    <w:rsid w:val="00780C06"/>
    <w:rsid w:val="00781CAD"/>
    <w:rsid w:val="0078200A"/>
    <w:rsid w:val="0078296B"/>
    <w:rsid w:val="007836AB"/>
    <w:rsid w:val="00783D0D"/>
    <w:rsid w:val="007843F2"/>
    <w:rsid w:val="00785723"/>
    <w:rsid w:val="00785A9F"/>
    <w:rsid w:val="00787F67"/>
    <w:rsid w:val="00791508"/>
    <w:rsid w:val="007925DF"/>
    <w:rsid w:val="0079558F"/>
    <w:rsid w:val="007969C0"/>
    <w:rsid w:val="007A08AA"/>
    <w:rsid w:val="007A0A12"/>
    <w:rsid w:val="007A132D"/>
    <w:rsid w:val="007A1345"/>
    <w:rsid w:val="007A2DDB"/>
    <w:rsid w:val="007A51D2"/>
    <w:rsid w:val="007A5312"/>
    <w:rsid w:val="007A70BA"/>
    <w:rsid w:val="007A7C78"/>
    <w:rsid w:val="007B0D68"/>
    <w:rsid w:val="007B0F31"/>
    <w:rsid w:val="007B1566"/>
    <w:rsid w:val="007B251D"/>
    <w:rsid w:val="007B4F58"/>
    <w:rsid w:val="007B50AE"/>
    <w:rsid w:val="007B528D"/>
    <w:rsid w:val="007B63CA"/>
    <w:rsid w:val="007B77D1"/>
    <w:rsid w:val="007B7D81"/>
    <w:rsid w:val="007C07C7"/>
    <w:rsid w:val="007C0F46"/>
    <w:rsid w:val="007C1CD9"/>
    <w:rsid w:val="007C2B0B"/>
    <w:rsid w:val="007C2F54"/>
    <w:rsid w:val="007C32EF"/>
    <w:rsid w:val="007C361D"/>
    <w:rsid w:val="007C40F9"/>
    <w:rsid w:val="007C4B84"/>
    <w:rsid w:val="007C70FF"/>
    <w:rsid w:val="007C7C25"/>
    <w:rsid w:val="007D004F"/>
    <w:rsid w:val="007D0B38"/>
    <w:rsid w:val="007D2DFC"/>
    <w:rsid w:val="007D423F"/>
    <w:rsid w:val="007D490A"/>
    <w:rsid w:val="007D5440"/>
    <w:rsid w:val="007D65EB"/>
    <w:rsid w:val="007D69EB"/>
    <w:rsid w:val="007E128F"/>
    <w:rsid w:val="007E26A0"/>
    <w:rsid w:val="007E3180"/>
    <w:rsid w:val="007E52A3"/>
    <w:rsid w:val="007E5D5B"/>
    <w:rsid w:val="007E68A2"/>
    <w:rsid w:val="007E7BFC"/>
    <w:rsid w:val="007F1017"/>
    <w:rsid w:val="007F4A3F"/>
    <w:rsid w:val="007F4A61"/>
    <w:rsid w:val="007F5255"/>
    <w:rsid w:val="007F55AE"/>
    <w:rsid w:val="007F56CC"/>
    <w:rsid w:val="007F61C2"/>
    <w:rsid w:val="00801203"/>
    <w:rsid w:val="00801C51"/>
    <w:rsid w:val="00803A49"/>
    <w:rsid w:val="00803D29"/>
    <w:rsid w:val="00804A34"/>
    <w:rsid w:val="00804D5C"/>
    <w:rsid w:val="00805142"/>
    <w:rsid w:val="00805FCE"/>
    <w:rsid w:val="008077A3"/>
    <w:rsid w:val="00807A8B"/>
    <w:rsid w:val="00811383"/>
    <w:rsid w:val="00812070"/>
    <w:rsid w:val="00812149"/>
    <w:rsid w:val="008125BF"/>
    <w:rsid w:val="00812CAC"/>
    <w:rsid w:val="0081329F"/>
    <w:rsid w:val="00813726"/>
    <w:rsid w:val="00816361"/>
    <w:rsid w:val="008165A0"/>
    <w:rsid w:val="008166EF"/>
    <w:rsid w:val="00816862"/>
    <w:rsid w:val="008168C3"/>
    <w:rsid w:val="00816BE2"/>
    <w:rsid w:val="00816FEF"/>
    <w:rsid w:val="008202F4"/>
    <w:rsid w:val="00820A8C"/>
    <w:rsid w:val="00821138"/>
    <w:rsid w:val="008215FB"/>
    <w:rsid w:val="0082187C"/>
    <w:rsid w:val="00821CC2"/>
    <w:rsid w:val="00822F02"/>
    <w:rsid w:val="00823174"/>
    <w:rsid w:val="00824BDD"/>
    <w:rsid w:val="00825751"/>
    <w:rsid w:val="008264EB"/>
    <w:rsid w:val="008317FB"/>
    <w:rsid w:val="00833491"/>
    <w:rsid w:val="00833B05"/>
    <w:rsid w:val="008362B4"/>
    <w:rsid w:val="00837243"/>
    <w:rsid w:val="00837B2A"/>
    <w:rsid w:val="00840CA2"/>
    <w:rsid w:val="008411C3"/>
    <w:rsid w:val="0084372B"/>
    <w:rsid w:val="0084374F"/>
    <w:rsid w:val="008440B4"/>
    <w:rsid w:val="00844616"/>
    <w:rsid w:val="00844A22"/>
    <w:rsid w:val="00847703"/>
    <w:rsid w:val="00847DF5"/>
    <w:rsid w:val="00850546"/>
    <w:rsid w:val="00850981"/>
    <w:rsid w:val="0085309D"/>
    <w:rsid w:val="008567D4"/>
    <w:rsid w:val="00856897"/>
    <w:rsid w:val="00856E9A"/>
    <w:rsid w:val="008578DE"/>
    <w:rsid w:val="00857CED"/>
    <w:rsid w:val="00857D40"/>
    <w:rsid w:val="0086015D"/>
    <w:rsid w:val="0086075D"/>
    <w:rsid w:val="00861EC9"/>
    <w:rsid w:val="00862502"/>
    <w:rsid w:val="0086273E"/>
    <w:rsid w:val="00862CC1"/>
    <w:rsid w:val="00864E59"/>
    <w:rsid w:val="00865794"/>
    <w:rsid w:val="008660D4"/>
    <w:rsid w:val="008704B4"/>
    <w:rsid w:val="00871FA9"/>
    <w:rsid w:val="008728E9"/>
    <w:rsid w:val="008779B5"/>
    <w:rsid w:val="00882874"/>
    <w:rsid w:val="00882E3C"/>
    <w:rsid w:val="0088337D"/>
    <w:rsid w:val="00883787"/>
    <w:rsid w:val="008855E4"/>
    <w:rsid w:val="0088665A"/>
    <w:rsid w:val="00886CD2"/>
    <w:rsid w:val="00891E6F"/>
    <w:rsid w:val="0089275D"/>
    <w:rsid w:val="00892A36"/>
    <w:rsid w:val="00893239"/>
    <w:rsid w:val="00894489"/>
    <w:rsid w:val="00894909"/>
    <w:rsid w:val="008963A5"/>
    <w:rsid w:val="00896D5D"/>
    <w:rsid w:val="008A1999"/>
    <w:rsid w:val="008A3363"/>
    <w:rsid w:val="008A3371"/>
    <w:rsid w:val="008A3B95"/>
    <w:rsid w:val="008A3C3E"/>
    <w:rsid w:val="008A4F68"/>
    <w:rsid w:val="008A5BEB"/>
    <w:rsid w:val="008A6D04"/>
    <w:rsid w:val="008A7550"/>
    <w:rsid w:val="008A79DE"/>
    <w:rsid w:val="008B0CEA"/>
    <w:rsid w:val="008B0F85"/>
    <w:rsid w:val="008B15BC"/>
    <w:rsid w:val="008B1757"/>
    <w:rsid w:val="008B18DD"/>
    <w:rsid w:val="008B2F9D"/>
    <w:rsid w:val="008B4746"/>
    <w:rsid w:val="008B5A54"/>
    <w:rsid w:val="008B7992"/>
    <w:rsid w:val="008B7D7E"/>
    <w:rsid w:val="008C2568"/>
    <w:rsid w:val="008C3181"/>
    <w:rsid w:val="008C3358"/>
    <w:rsid w:val="008C4796"/>
    <w:rsid w:val="008C5610"/>
    <w:rsid w:val="008C5739"/>
    <w:rsid w:val="008C58DE"/>
    <w:rsid w:val="008C61A5"/>
    <w:rsid w:val="008C700F"/>
    <w:rsid w:val="008C7ECB"/>
    <w:rsid w:val="008D02DC"/>
    <w:rsid w:val="008D3B86"/>
    <w:rsid w:val="008D4755"/>
    <w:rsid w:val="008D4C3D"/>
    <w:rsid w:val="008D619C"/>
    <w:rsid w:val="008D743C"/>
    <w:rsid w:val="008D7CB2"/>
    <w:rsid w:val="008E0D3C"/>
    <w:rsid w:val="008E10B1"/>
    <w:rsid w:val="008E1B9E"/>
    <w:rsid w:val="008E4772"/>
    <w:rsid w:val="008E55AB"/>
    <w:rsid w:val="008F120A"/>
    <w:rsid w:val="008F1357"/>
    <w:rsid w:val="008F27E0"/>
    <w:rsid w:val="008F2C21"/>
    <w:rsid w:val="008F3186"/>
    <w:rsid w:val="008F3CCA"/>
    <w:rsid w:val="008F48EB"/>
    <w:rsid w:val="008F495D"/>
    <w:rsid w:val="008F4F0B"/>
    <w:rsid w:val="008F6CA4"/>
    <w:rsid w:val="008F731F"/>
    <w:rsid w:val="009046C4"/>
    <w:rsid w:val="009062A5"/>
    <w:rsid w:val="00910FA7"/>
    <w:rsid w:val="00911272"/>
    <w:rsid w:val="009135D6"/>
    <w:rsid w:val="00913763"/>
    <w:rsid w:val="00914829"/>
    <w:rsid w:val="00914C77"/>
    <w:rsid w:val="00914E45"/>
    <w:rsid w:val="00915459"/>
    <w:rsid w:val="009204C2"/>
    <w:rsid w:val="00921ACB"/>
    <w:rsid w:val="0092307B"/>
    <w:rsid w:val="0092369B"/>
    <w:rsid w:val="00923EF7"/>
    <w:rsid w:val="00924D53"/>
    <w:rsid w:val="00925EAA"/>
    <w:rsid w:val="00927BC1"/>
    <w:rsid w:val="00933518"/>
    <w:rsid w:val="00934988"/>
    <w:rsid w:val="00936A8E"/>
    <w:rsid w:val="00937089"/>
    <w:rsid w:val="009407C9"/>
    <w:rsid w:val="00941ED0"/>
    <w:rsid w:val="0094252F"/>
    <w:rsid w:val="00944E19"/>
    <w:rsid w:val="00944F8A"/>
    <w:rsid w:val="00945F75"/>
    <w:rsid w:val="00947F9A"/>
    <w:rsid w:val="00950DC4"/>
    <w:rsid w:val="009510A2"/>
    <w:rsid w:val="00951656"/>
    <w:rsid w:val="00953257"/>
    <w:rsid w:val="00953458"/>
    <w:rsid w:val="009543AB"/>
    <w:rsid w:val="0095474C"/>
    <w:rsid w:val="00957002"/>
    <w:rsid w:val="009617FB"/>
    <w:rsid w:val="00962CB9"/>
    <w:rsid w:val="009633C5"/>
    <w:rsid w:val="009638C5"/>
    <w:rsid w:val="00964312"/>
    <w:rsid w:val="00965B8A"/>
    <w:rsid w:val="00966072"/>
    <w:rsid w:val="009663A2"/>
    <w:rsid w:val="00966666"/>
    <w:rsid w:val="009669F6"/>
    <w:rsid w:val="0097071F"/>
    <w:rsid w:val="009717AC"/>
    <w:rsid w:val="00972299"/>
    <w:rsid w:val="00972EF5"/>
    <w:rsid w:val="009730D7"/>
    <w:rsid w:val="00974080"/>
    <w:rsid w:val="00974D82"/>
    <w:rsid w:val="009751C1"/>
    <w:rsid w:val="009770DE"/>
    <w:rsid w:val="009800A7"/>
    <w:rsid w:val="00980545"/>
    <w:rsid w:val="00980960"/>
    <w:rsid w:val="009811F1"/>
    <w:rsid w:val="00983E57"/>
    <w:rsid w:val="0098572F"/>
    <w:rsid w:val="00985DE2"/>
    <w:rsid w:val="0098675D"/>
    <w:rsid w:val="00987B59"/>
    <w:rsid w:val="009926E0"/>
    <w:rsid w:val="00992DA9"/>
    <w:rsid w:val="0099451E"/>
    <w:rsid w:val="00996B1A"/>
    <w:rsid w:val="009977CA"/>
    <w:rsid w:val="00997E77"/>
    <w:rsid w:val="009A11E4"/>
    <w:rsid w:val="009A1D47"/>
    <w:rsid w:val="009A2DCC"/>
    <w:rsid w:val="009A3C35"/>
    <w:rsid w:val="009A43AB"/>
    <w:rsid w:val="009A4C79"/>
    <w:rsid w:val="009A53BD"/>
    <w:rsid w:val="009A5ABC"/>
    <w:rsid w:val="009A6157"/>
    <w:rsid w:val="009A679B"/>
    <w:rsid w:val="009A6E77"/>
    <w:rsid w:val="009A79A5"/>
    <w:rsid w:val="009A7F10"/>
    <w:rsid w:val="009B0267"/>
    <w:rsid w:val="009B12F9"/>
    <w:rsid w:val="009B3E26"/>
    <w:rsid w:val="009B4AEE"/>
    <w:rsid w:val="009C00B5"/>
    <w:rsid w:val="009C147B"/>
    <w:rsid w:val="009C1E83"/>
    <w:rsid w:val="009C1F57"/>
    <w:rsid w:val="009C3706"/>
    <w:rsid w:val="009C3A3A"/>
    <w:rsid w:val="009C6CEA"/>
    <w:rsid w:val="009C7B85"/>
    <w:rsid w:val="009D0254"/>
    <w:rsid w:val="009D1053"/>
    <w:rsid w:val="009D1A64"/>
    <w:rsid w:val="009D3729"/>
    <w:rsid w:val="009D5B91"/>
    <w:rsid w:val="009D792E"/>
    <w:rsid w:val="009D7DCA"/>
    <w:rsid w:val="009D7EB2"/>
    <w:rsid w:val="009E0BED"/>
    <w:rsid w:val="009E0DFE"/>
    <w:rsid w:val="009E31F6"/>
    <w:rsid w:val="009E3FB8"/>
    <w:rsid w:val="009E4444"/>
    <w:rsid w:val="009E4C07"/>
    <w:rsid w:val="009E5854"/>
    <w:rsid w:val="009F13C3"/>
    <w:rsid w:val="009F39C0"/>
    <w:rsid w:val="009F5599"/>
    <w:rsid w:val="009F67F6"/>
    <w:rsid w:val="00A005B7"/>
    <w:rsid w:val="00A01184"/>
    <w:rsid w:val="00A037C2"/>
    <w:rsid w:val="00A03D43"/>
    <w:rsid w:val="00A04380"/>
    <w:rsid w:val="00A05472"/>
    <w:rsid w:val="00A05C32"/>
    <w:rsid w:val="00A0653F"/>
    <w:rsid w:val="00A07394"/>
    <w:rsid w:val="00A07773"/>
    <w:rsid w:val="00A11CD0"/>
    <w:rsid w:val="00A13948"/>
    <w:rsid w:val="00A139B7"/>
    <w:rsid w:val="00A1555B"/>
    <w:rsid w:val="00A155C5"/>
    <w:rsid w:val="00A166FD"/>
    <w:rsid w:val="00A16AD8"/>
    <w:rsid w:val="00A17F8E"/>
    <w:rsid w:val="00A204D2"/>
    <w:rsid w:val="00A21704"/>
    <w:rsid w:val="00A21C95"/>
    <w:rsid w:val="00A21CF3"/>
    <w:rsid w:val="00A24813"/>
    <w:rsid w:val="00A25411"/>
    <w:rsid w:val="00A26F21"/>
    <w:rsid w:val="00A27AEC"/>
    <w:rsid w:val="00A320DB"/>
    <w:rsid w:val="00A326EC"/>
    <w:rsid w:val="00A35D16"/>
    <w:rsid w:val="00A37BCD"/>
    <w:rsid w:val="00A41689"/>
    <w:rsid w:val="00A4248C"/>
    <w:rsid w:val="00A42592"/>
    <w:rsid w:val="00A43C59"/>
    <w:rsid w:val="00A441BA"/>
    <w:rsid w:val="00A50ECD"/>
    <w:rsid w:val="00A518F3"/>
    <w:rsid w:val="00A52729"/>
    <w:rsid w:val="00A53675"/>
    <w:rsid w:val="00A54C30"/>
    <w:rsid w:val="00A54DB2"/>
    <w:rsid w:val="00A55147"/>
    <w:rsid w:val="00A564D7"/>
    <w:rsid w:val="00A56B6A"/>
    <w:rsid w:val="00A5766E"/>
    <w:rsid w:val="00A578DC"/>
    <w:rsid w:val="00A60BDC"/>
    <w:rsid w:val="00A62CCD"/>
    <w:rsid w:val="00A640E2"/>
    <w:rsid w:val="00A64D65"/>
    <w:rsid w:val="00A64F12"/>
    <w:rsid w:val="00A6725B"/>
    <w:rsid w:val="00A678F3"/>
    <w:rsid w:val="00A70605"/>
    <w:rsid w:val="00A73134"/>
    <w:rsid w:val="00A73CFA"/>
    <w:rsid w:val="00A751BC"/>
    <w:rsid w:val="00A758A6"/>
    <w:rsid w:val="00A758CB"/>
    <w:rsid w:val="00A76001"/>
    <w:rsid w:val="00A777B2"/>
    <w:rsid w:val="00A77A6B"/>
    <w:rsid w:val="00A80F60"/>
    <w:rsid w:val="00A825D4"/>
    <w:rsid w:val="00A828F6"/>
    <w:rsid w:val="00A82B73"/>
    <w:rsid w:val="00A82BF5"/>
    <w:rsid w:val="00A86E8B"/>
    <w:rsid w:val="00A87164"/>
    <w:rsid w:val="00A871F7"/>
    <w:rsid w:val="00A872CA"/>
    <w:rsid w:val="00A9135D"/>
    <w:rsid w:val="00A91549"/>
    <w:rsid w:val="00A9158E"/>
    <w:rsid w:val="00A92F58"/>
    <w:rsid w:val="00A93072"/>
    <w:rsid w:val="00A938BD"/>
    <w:rsid w:val="00A93953"/>
    <w:rsid w:val="00A959D8"/>
    <w:rsid w:val="00A9688E"/>
    <w:rsid w:val="00AA0613"/>
    <w:rsid w:val="00AA0B4B"/>
    <w:rsid w:val="00AA113D"/>
    <w:rsid w:val="00AA28D8"/>
    <w:rsid w:val="00AA3DE5"/>
    <w:rsid w:val="00AA40FE"/>
    <w:rsid w:val="00AA454D"/>
    <w:rsid w:val="00AA6BD5"/>
    <w:rsid w:val="00AA6BD8"/>
    <w:rsid w:val="00AA6C7D"/>
    <w:rsid w:val="00AA7FD6"/>
    <w:rsid w:val="00AB042A"/>
    <w:rsid w:val="00AB19EF"/>
    <w:rsid w:val="00AB2637"/>
    <w:rsid w:val="00AB2D34"/>
    <w:rsid w:val="00AB2D7A"/>
    <w:rsid w:val="00AB3223"/>
    <w:rsid w:val="00AB3430"/>
    <w:rsid w:val="00AB37B9"/>
    <w:rsid w:val="00AB384E"/>
    <w:rsid w:val="00AB4AD1"/>
    <w:rsid w:val="00AB5E07"/>
    <w:rsid w:val="00AB6C1C"/>
    <w:rsid w:val="00AB7CFA"/>
    <w:rsid w:val="00AC1106"/>
    <w:rsid w:val="00AC145A"/>
    <w:rsid w:val="00AC1B6D"/>
    <w:rsid w:val="00AC24FA"/>
    <w:rsid w:val="00AC539A"/>
    <w:rsid w:val="00AC56EB"/>
    <w:rsid w:val="00AC5B48"/>
    <w:rsid w:val="00AC6766"/>
    <w:rsid w:val="00AD1450"/>
    <w:rsid w:val="00AD325C"/>
    <w:rsid w:val="00AD34E5"/>
    <w:rsid w:val="00AD63B0"/>
    <w:rsid w:val="00AD6502"/>
    <w:rsid w:val="00AD7D26"/>
    <w:rsid w:val="00AE032F"/>
    <w:rsid w:val="00AE0695"/>
    <w:rsid w:val="00AE3E7E"/>
    <w:rsid w:val="00AE4B46"/>
    <w:rsid w:val="00AE4ED5"/>
    <w:rsid w:val="00AE5E56"/>
    <w:rsid w:val="00AE628C"/>
    <w:rsid w:val="00AE7A2A"/>
    <w:rsid w:val="00AF1315"/>
    <w:rsid w:val="00AF19BF"/>
    <w:rsid w:val="00AF2DC3"/>
    <w:rsid w:val="00AF42B9"/>
    <w:rsid w:val="00AF5F1A"/>
    <w:rsid w:val="00B01360"/>
    <w:rsid w:val="00B033E5"/>
    <w:rsid w:val="00B03A63"/>
    <w:rsid w:val="00B04F69"/>
    <w:rsid w:val="00B0630F"/>
    <w:rsid w:val="00B06BBF"/>
    <w:rsid w:val="00B0709E"/>
    <w:rsid w:val="00B07431"/>
    <w:rsid w:val="00B1275E"/>
    <w:rsid w:val="00B12FF4"/>
    <w:rsid w:val="00B14F8C"/>
    <w:rsid w:val="00B17980"/>
    <w:rsid w:val="00B201A4"/>
    <w:rsid w:val="00B201D1"/>
    <w:rsid w:val="00B204CD"/>
    <w:rsid w:val="00B213A6"/>
    <w:rsid w:val="00B235B0"/>
    <w:rsid w:val="00B23CD3"/>
    <w:rsid w:val="00B24821"/>
    <w:rsid w:val="00B24DF6"/>
    <w:rsid w:val="00B26126"/>
    <w:rsid w:val="00B2619A"/>
    <w:rsid w:val="00B27513"/>
    <w:rsid w:val="00B278E5"/>
    <w:rsid w:val="00B27E2A"/>
    <w:rsid w:val="00B31738"/>
    <w:rsid w:val="00B340E7"/>
    <w:rsid w:val="00B3440D"/>
    <w:rsid w:val="00B34FE2"/>
    <w:rsid w:val="00B35166"/>
    <w:rsid w:val="00B357D8"/>
    <w:rsid w:val="00B360F4"/>
    <w:rsid w:val="00B36A00"/>
    <w:rsid w:val="00B36E61"/>
    <w:rsid w:val="00B37BFC"/>
    <w:rsid w:val="00B37DB1"/>
    <w:rsid w:val="00B40358"/>
    <w:rsid w:val="00B40913"/>
    <w:rsid w:val="00B41614"/>
    <w:rsid w:val="00B42851"/>
    <w:rsid w:val="00B42F80"/>
    <w:rsid w:val="00B435CB"/>
    <w:rsid w:val="00B505C8"/>
    <w:rsid w:val="00B50BEE"/>
    <w:rsid w:val="00B50DB8"/>
    <w:rsid w:val="00B51ECF"/>
    <w:rsid w:val="00B52B08"/>
    <w:rsid w:val="00B53654"/>
    <w:rsid w:val="00B53905"/>
    <w:rsid w:val="00B53FA0"/>
    <w:rsid w:val="00B54334"/>
    <w:rsid w:val="00B54589"/>
    <w:rsid w:val="00B54B5B"/>
    <w:rsid w:val="00B5562E"/>
    <w:rsid w:val="00B55D65"/>
    <w:rsid w:val="00B57000"/>
    <w:rsid w:val="00B60939"/>
    <w:rsid w:val="00B60AFD"/>
    <w:rsid w:val="00B60CAC"/>
    <w:rsid w:val="00B62715"/>
    <w:rsid w:val="00B62A67"/>
    <w:rsid w:val="00B6377D"/>
    <w:rsid w:val="00B63F45"/>
    <w:rsid w:val="00B640B5"/>
    <w:rsid w:val="00B65611"/>
    <w:rsid w:val="00B66919"/>
    <w:rsid w:val="00B701EC"/>
    <w:rsid w:val="00B70E8E"/>
    <w:rsid w:val="00B71286"/>
    <w:rsid w:val="00B71E05"/>
    <w:rsid w:val="00B728A4"/>
    <w:rsid w:val="00B76C92"/>
    <w:rsid w:val="00B776D2"/>
    <w:rsid w:val="00B818A4"/>
    <w:rsid w:val="00B82ED8"/>
    <w:rsid w:val="00B84117"/>
    <w:rsid w:val="00B84E88"/>
    <w:rsid w:val="00B858F0"/>
    <w:rsid w:val="00B85AA2"/>
    <w:rsid w:val="00B85D71"/>
    <w:rsid w:val="00B8649C"/>
    <w:rsid w:val="00B8695D"/>
    <w:rsid w:val="00B872AE"/>
    <w:rsid w:val="00B87F0A"/>
    <w:rsid w:val="00B90502"/>
    <w:rsid w:val="00B92D0B"/>
    <w:rsid w:val="00B93173"/>
    <w:rsid w:val="00B94945"/>
    <w:rsid w:val="00B94C2C"/>
    <w:rsid w:val="00B94DD6"/>
    <w:rsid w:val="00B95C54"/>
    <w:rsid w:val="00B96143"/>
    <w:rsid w:val="00B96E91"/>
    <w:rsid w:val="00BA033F"/>
    <w:rsid w:val="00BA0753"/>
    <w:rsid w:val="00BA094D"/>
    <w:rsid w:val="00BA1078"/>
    <w:rsid w:val="00BA1161"/>
    <w:rsid w:val="00BA322D"/>
    <w:rsid w:val="00BA6103"/>
    <w:rsid w:val="00BA63FA"/>
    <w:rsid w:val="00BB00B3"/>
    <w:rsid w:val="00BB0458"/>
    <w:rsid w:val="00BB0BDD"/>
    <w:rsid w:val="00BB176C"/>
    <w:rsid w:val="00BB2A73"/>
    <w:rsid w:val="00BB3238"/>
    <w:rsid w:val="00BB3A45"/>
    <w:rsid w:val="00BB3B69"/>
    <w:rsid w:val="00BB3BC3"/>
    <w:rsid w:val="00BB3BD9"/>
    <w:rsid w:val="00BB447A"/>
    <w:rsid w:val="00BB4ACC"/>
    <w:rsid w:val="00BB50D1"/>
    <w:rsid w:val="00BB6519"/>
    <w:rsid w:val="00BB703E"/>
    <w:rsid w:val="00BB732D"/>
    <w:rsid w:val="00BB7405"/>
    <w:rsid w:val="00BB7E7C"/>
    <w:rsid w:val="00BC34D2"/>
    <w:rsid w:val="00BC3631"/>
    <w:rsid w:val="00BC39E1"/>
    <w:rsid w:val="00BC4680"/>
    <w:rsid w:val="00BC4B05"/>
    <w:rsid w:val="00BC591F"/>
    <w:rsid w:val="00BC6CDB"/>
    <w:rsid w:val="00BC71DE"/>
    <w:rsid w:val="00BC7D6D"/>
    <w:rsid w:val="00BD2108"/>
    <w:rsid w:val="00BD501E"/>
    <w:rsid w:val="00BD68A3"/>
    <w:rsid w:val="00BD6938"/>
    <w:rsid w:val="00BD6B43"/>
    <w:rsid w:val="00BD6CF3"/>
    <w:rsid w:val="00BD6F0F"/>
    <w:rsid w:val="00BD7E08"/>
    <w:rsid w:val="00BE0ECA"/>
    <w:rsid w:val="00BE1AC0"/>
    <w:rsid w:val="00BE2180"/>
    <w:rsid w:val="00BE21F2"/>
    <w:rsid w:val="00BE3E12"/>
    <w:rsid w:val="00BE4275"/>
    <w:rsid w:val="00BE6947"/>
    <w:rsid w:val="00BE6F2E"/>
    <w:rsid w:val="00BF06AE"/>
    <w:rsid w:val="00BF0F95"/>
    <w:rsid w:val="00BF1545"/>
    <w:rsid w:val="00BF1809"/>
    <w:rsid w:val="00BF2433"/>
    <w:rsid w:val="00BF464C"/>
    <w:rsid w:val="00BF61C9"/>
    <w:rsid w:val="00BF6C35"/>
    <w:rsid w:val="00BF6C94"/>
    <w:rsid w:val="00BF6E0E"/>
    <w:rsid w:val="00BF72E0"/>
    <w:rsid w:val="00BF7D62"/>
    <w:rsid w:val="00C00424"/>
    <w:rsid w:val="00C00A08"/>
    <w:rsid w:val="00C02D09"/>
    <w:rsid w:val="00C03D38"/>
    <w:rsid w:val="00C06CD2"/>
    <w:rsid w:val="00C071A0"/>
    <w:rsid w:val="00C07E0C"/>
    <w:rsid w:val="00C1179F"/>
    <w:rsid w:val="00C12C14"/>
    <w:rsid w:val="00C151D4"/>
    <w:rsid w:val="00C15F04"/>
    <w:rsid w:val="00C179B3"/>
    <w:rsid w:val="00C17E3F"/>
    <w:rsid w:val="00C200AA"/>
    <w:rsid w:val="00C20C56"/>
    <w:rsid w:val="00C2243C"/>
    <w:rsid w:val="00C237ED"/>
    <w:rsid w:val="00C24632"/>
    <w:rsid w:val="00C25418"/>
    <w:rsid w:val="00C25D9C"/>
    <w:rsid w:val="00C26E3C"/>
    <w:rsid w:val="00C2778B"/>
    <w:rsid w:val="00C30EDC"/>
    <w:rsid w:val="00C31649"/>
    <w:rsid w:val="00C31953"/>
    <w:rsid w:val="00C3434C"/>
    <w:rsid w:val="00C359D4"/>
    <w:rsid w:val="00C363AB"/>
    <w:rsid w:val="00C36726"/>
    <w:rsid w:val="00C36EAE"/>
    <w:rsid w:val="00C372D6"/>
    <w:rsid w:val="00C3767A"/>
    <w:rsid w:val="00C4016C"/>
    <w:rsid w:val="00C40385"/>
    <w:rsid w:val="00C41768"/>
    <w:rsid w:val="00C42DCC"/>
    <w:rsid w:val="00C4339E"/>
    <w:rsid w:val="00C44568"/>
    <w:rsid w:val="00C475AA"/>
    <w:rsid w:val="00C5340E"/>
    <w:rsid w:val="00C53C98"/>
    <w:rsid w:val="00C554AA"/>
    <w:rsid w:val="00C55B26"/>
    <w:rsid w:val="00C55B31"/>
    <w:rsid w:val="00C56FCF"/>
    <w:rsid w:val="00C57B6C"/>
    <w:rsid w:val="00C60C54"/>
    <w:rsid w:val="00C625A4"/>
    <w:rsid w:val="00C628A6"/>
    <w:rsid w:val="00C64344"/>
    <w:rsid w:val="00C64F02"/>
    <w:rsid w:val="00C65108"/>
    <w:rsid w:val="00C65576"/>
    <w:rsid w:val="00C66165"/>
    <w:rsid w:val="00C665DA"/>
    <w:rsid w:val="00C6786E"/>
    <w:rsid w:val="00C7060A"/>
    <w:rsid w:val="00C71225"/>
    <w:rsid w:val="00C7151A"/>
    <w:rsid w:val="00C7174E"/>
    <w:rsid w:val="00C717E3"/>
    <w:rsid w:val="00C71F60"/>
    <w:rsid w:val="00C72241"/>
    <w:rsid w:val="00C74ACE"/>
    <w:rsid w:val="00C750C8"/>
    <w:rsid w:val="00C7560F"/>
    <w:rsid w:val="00C80A0E"/>
    <w:rsid w:val="00C8213F"/>
    <w:rsid w:val="00C85154"/>
    <w:rsid w:val="00C86C43"/>
    <w:rsid w:val="00C8743E"/>
    <w:rsid w:val="00C8797A"/>
    <w:rsid w:val="00C879C6"/>
    <w:rsid w:val="00C87BFB"/>
    <w:rsid w:val="00C900B8"/>
    <w:rsid w:val="00C90C71"/>
    <w:rsid w:val="00C9104C"/>
    <w:rsid w:val="00C91BF9"/>
    <w:rsid w:val="00C91FD1"/>
    <w:rsid w:val="00C931CF"/>
    <w:rsid w:val="00C938CF"/>
    <w:rsid w:val="00C94053"/>
    <w:rsid w:val="00C94B93"/>
    <w:rsid w:val="00C94D98"/>
    <w:rsid w:val="00C95DDB"/>
    <w:rsid w:val="00C9624D"/>
    <w:rsid w:val="00C969DA"/>
    <w:rsid w:val="00CA06D4"/>
    <w:rsid w:val="00CA2455"/>
    <w:rsid w:val="00CA2C77"/>
    <w:rsid w:val="00CA3771"/>
    <w:rsid w:val="00CA3AFD"/>
    <w:rsid w:val="00CA444F"/>
    <w:rsid w:val="00CA5245"/>
    <w:rsid w:val="00CA5863"/>
    <w:rsid w:val="00CA6C73"/>
    <w:rsid w:val="00CA6EC8"/>
    <w:rsid w:val="00CA71F4"/>
    <w:rsid w:val="00CA7B09"/>
    <w:rsid w:val="00CB0818"/>
    <w:rsid w:val="00CB11D7"/>
    <w:rsid w:val="00CB12A5"/>
    <w:rsid w:val="00CB1CAC"/>
    <w:rsid w:val="00CB2F2A"/>
    <w:rsid w:val="00CB3509"/>
    <w:rsid w:val="00CB50C0"/>
    <w:rsid w:val="00CB5A62"/>
    <w:rsid w:val="00CB5B1A"/>
    <w:rsid w:val="00CB6B22"/>
    <w:rsid w:val="00CB6C46"/>
    <w:rsid w:val="00CB78C5"/>
    <w:rsid w:val="00CB7F5F"/>
    <w:rsid w:val="00CC0CD7"/>
    <w:rsid w:val="00CC0E4B"/>
    <w:rsid w:val="00CC1B39"/>
    <w:rsid w:val="00CC22FE"/>
    <w:rsid w:val="00CC35EA"/>
    <w:rsid w:val="00CC3848"/>
    <w:rsid w:val="00CC4150"/>
    <w:rsid w:val="00CC475E"/>
    <w:rsid w:val="00CD2638"/>
    <w:rsid w:val="00CD3F77"/>
    <w:rsid w:val="00CD5DEF"/>
    <w:rsid w:val="00CD61A2"/>
    <w:rsid w:val="00CD6458"/>
    <w:rsid w:val="00CD6ADC"/>
    <w:rsid w:val="00CD7193"/>
    <w:rsid w:val="00CE042F"/>
    <w:rsid w:val="00CE2AE4"/>
    <w:rsid w:val="00CE3407"/>
    <w:rsid w:val="00CE38C8"/>
    <w:rsid w:val="00CE510A"/>
    <w:rsid w:val="00CE6274"/>
    <w:rsid w:val="00CE6699"/>
    <w:rsid w:val="00CE726F"/>
    <w:rsid w:val="00CE72A0"/>
    <w:rsid w:val="00CE77B6"/>
    <w:rsid w:val="00CE7FCB"/>
    <w:rsid w:val="00CF0644"/>
    <w:rsid w:val="00CF161B"/>
    <w:rsid w:val="00CF24D5"/>
    <w:rsid w:val="00CF2B8D"/>
    <w:rsid w:val="00CF33EA"/>
    <w:rsid w:val="00CF42F4"/>
    <w:rsid w:val="00CF456B"/>
    <w:rsid w:val="00CF5A22"/>
    <w:rsid w:val="00D01526"/>
    <w:rsid w:val="00D0262E"/>
    <w:rsid w:val="00D03A1B"/>
    <w:rsid w:val="00D05E3D"/>
    <w:rsid w:val="00D06139"/>
    <w:rsid w:val="00D06FD7"/>
    <w:rsid w:val="00D07340"/>
    <w:rsid w:val="00D10A37"/>
    <w:rsid w:val="00D110BD"/>
    <w:rsid w:val="00D11B3E"/>
    <w:rsid w:val="00D11DFF"/>
    <w:rsid w:val="00D127AC"/>
    <w:rsid w:val="00D12A7B"/>
    <w:rsid w:val="00D12D07"/>
    <w:rsid w:val="00D13675"/>
    <w:rsid w:val="00D141E1"/>
    <w:rsid w:val="00D15314"/>
    <w:rsid w:val="00D163D1"/>
    <w:rsid w:val="00D17D6C"/>
    <w:rsid w:val="00D2133B"/>
    <w:rsid w:val="00D2155B"/>
    <w:rsid w:val="00D22215"/>
    <w:rsid w:val="00D22316"/>
    <w:rsid w:val="00D23D11"/>
    <w:rsid w:val="00D244B6"/>
    <w:rsid w:val="00D26FF0"/>
    <w:rsid w:val="00D2743A"/>
    <w:rsid w:val="00D2754D"/>
    <w:rsid w:val="00D27983"/>
    <w:rsid w:val="00D27B27"/>
    <w:rsid w:val="00D30803"/>
    <w:rsid w:val="00D30814"/>
    <w:rsid w:val="00D33802"/>
    <w:rsid w:val="00D33BE9"/>
    <w:rsid w:val="00D33F93"/>
    <w:rsid w:val="00D357FF"/>
    <w:rsid w:val="00D41089"/>
    <w:rsid w:val="00D41419"/>
    <w:rsid w:val="00D420D0"/>
    <w:rsid w:val="00D424C7"/>
    <w:rsid w:val="00D43967"/>
    <w:rsid w:val="00D43B2A"/>
    <w:rsid w:val="00D43D83"/>
    <w:rsid w:val="00D44C64"/>
    <w:rsid w:val="00D45536"/>
    <w:rsid w:val="00D47575"/>
    <w:rsid w:val="00D505B6"/>
    <w:rsid w:val="00D507C6"/>
    <w:rsid w:val="00D5243B"/>
    <w:rsid w:val="00D531AC"/>
    <w:rsid w:val="00D533EC"/>
    <w:rsid w:val="00D54E6C"/>
    <w:rsid w:val="00D56A95"/>
    <w:rsid w:val="00D57016"/>
    <w:rsid w:val="00D65CCE"/>
    <w:rsid w:val="00D7054C"/>
    <w:rsid w:val="00D70D45"/>
    <w:rsid w:val="00D70F16"/>
    <w:rsid w:val="00D711D9"/>
    <w:rsid w:val="00D72F57"/>
    <w:rsid w:val="00D7391E"/>
    <w:rsid w:val="00D74993"/>
    <w:rsid w:val="00D75485"/>
    <w:rsid w:val="00D76A44"/>
    <w:rsid w:val="00D815EF"/>
    <w:rsid w:val="00D81F26"/>
    <w:rsid w:val="00D8489D"/>
    <w:rsid w:val="00D85803"/>
    <w:rsid w:val="00D86231"/>
    <w:rsid w:val="00D86363"/>
    <w:rsid w:val="00D9125B"/>
    <w:rsid w:val="00D91401"/>
    <w:rsid w:val="00D91923"/>
    <w:rsid w:val="00D930B9"/>
    <w:rsid w:val="00D93753"/>
    <w:rsid w:val="00D94C5B"/>
    <w:rsid w:val="00D953E0"/>
    <w:rsid w:val="00D956BF"/>
    <w:rsid w:val="00D969F4"/>
    <w:rsid w:val="00DA3167"/>
    <w:rsid w:val="00DA3686"/>
    <w:rsid w:val="00DA4A13"/>
    <w:rsid w:val="00DA4DC3"/>
    <w:rsid w:val="00DA7013"/>
    <w:rsid w:val="00DA77A5"/>
    <w:rsid w:val="00DA7B6E"/>
    <w:rsid w:val="00DB0858"/>
    <w:rsid w:val="00DB3CFF"/>
    <w:rsid w:val="00DB3DBF"/>
    <w:rsid w:val="00DB484F"/>
    <w:rsid w:val="00DB63E8"/>
    <w:rsid w:val="00DB776B"/>
    <w:rsid w:val="00DB7C77"/>
    <w:rsid w:val="00DC04F6"/>
    <w:rsid w:val="00DC0690"/>
    <w:rsid w:val="00DC1D65"/>
    <w:rsid w:val="00DC3495"/>
    <w:rsid w:val="00DC3A07"/>
    <w:rsid w:val="00DC3C57"/>
    <w:rsid w:val="00DC4028"/>
    <w:rsid w:val="00DC5501"/>
    <w:rsid w:val="00DC5FA5"/>
    <w:rsid w:val="00DC7154"/>
    <w:rsid w:val="00DC7DF3"/>
    <w:rsid w:val="00DC7E8A"/>
    <w:rsid w:val="00DD0F78"/>
    <w:rsid w:val="00DD273C"/>
    <w:rsid w:val="00DD3906"/>
    <w:rsid w:val="00DD3AA1"/>
    <w:rsid w:val="00DD3F28"/>
    <w:rsid w:val="00DD4537"/>
    <w:rsid w:val="00DD4E15"/>
    <w:rsid w:val="00DD55A1"/>
    <w:rsid w:val="00DD56F4"/>
    <w:rsid w:val="00DD593A"/>
    <w:rsid w:val="00DD59D8"/>
    <w:rsid w:val="00DD6478"/>
    <w:rsid w:val="00DD7159"/>
    <w:rsid w:val="00DD72FE"/>
    <w:rsid w:val="00DD7542"/>
    <w:rsid w:val="00DE0DA2"/>
    <w:rsid w:val="00DE2273"/>
    <w:rsid w:val="00DE2304"/>
    <w:rsid w:val="00DE3138"/>
    <w:rsid w:val="00DE37F8"/>
    <w:rsid w:val="00DE3991"/>
    <w:rsid w:val="00DE4FCB"/>
    <w:rsid w:val="00DE516B"/>
    <w:rsid w:val="00DE54C7"/>
    <w:rsid w:val="00DE5D07"/>
    <w:rsid w:val="00DE72A7"/>
    <w:rsid w:val="00DE7832"/>
    <w:rsid w:val="00DE7D51"/>
    <w:rsid w:val="00DF18FC"/>
    <w:rsid w:val="00DF1966"/>
    <w:rsid w:val="00DF53B7"/>
    <w:rsid w:val="00DF5D2B"/>
    <w:rsid w:val="00DF6B10"/>
    <w:rsid w:val="00E00E8E"/>
    <w:rsid w:val="00E01329"/>
    <w:rsid w:val="00E01E9F"/>
    <w:rsid w:val="00E04867"/>
    <w:rsid w:val="00E04F5A"/>
    <w:rsid w:val="00E05630"/>
    <w:rsid w:val="00E064A6"/>
    <w:rsid w:val="00E06664"/>
    <w:rsid w:val="00E06DBB"/>
    <w:rsid w:val="00E06FD9"/>
    <w:rsid w:val="00E10149"/>
    <w:rsid w:val="00E10944"/>
    <w:rsid w:val="00E11340"/>
    <w:rsid w:val="00E116AA"/>
    <w:rsid w:val="00E122A1"/>
    <w:rsid w:val="00E1484E"/>
    <w:rsid w:val="00E16372"/>
    <w:rsid w:val="00E16DD6"/>
    <w:rsid w:val="00E17560"/>
    <w:rsid w:val="00E17E7B"/>
    <w:rsid w:val="00E20BDB"/>
    <w:rsid w:val="00E20E4D"/>
    <w:rsid w:val="00E20ED6"/>
    <w:rsid w:val="00E21358"/>
    <w:rsid w:val="00E21452"/>
    <w:rsid w:val="00E2249B"/>
    <w:rsid w:val="00E22A0D"/>
    <w:rsid w:val="00E22E76"/>
    <w:rsid w:val="00E236E0"/>
    <w:rsid w:val="00E244F6"/>
    <w:rsid w:val="00E267AE"/>
    <w:rsid w:val="00E267F5"/>
    <w:rsid w:val="00E2771E"/>
    <w:rsid w:val="00E27E14"/>
    <w:rsid w:val="00E311EF"/>
    <w:rsid w:val="00E31E44"/>
    <w:rsid w:val="00E32180"/>
    <w:rsid w:val="00E34948"/>
    <w:rsid w:val="00E35676"/>
    <w:rsid w:val="00E37569"/>
    <w:rsid w:val="00E401B2"/>
    <w:rsid w:val="00E41E30"/>
    <w:rsid w:val="00E42F73"/>
    <w:rsid w:val="00E43415"/>
    <w:rsid w:val="00E43D70"/>
    <w:rsid w:val="00E466F3"/>
    <w:rsid w:val="00E46954"/>
    <w:rsid w:val="00E4724E"/>
    <w:rsid w:val="00E479BA"/>
    <w:rsid w:val="00E47B2C"/>
    <w:rsid w:val="00E47DB0"/>
    <w:rsid w:val="00E51560"/>
    <w:rsid w:val="00E52950"/>
    <w:rsid w:val="00E5313D"/>
    <w:rsid w:val="00E53FC8"/>
    <w:rsid w:val="00E54347"/>
    <w:rsid w:val="00E55424"/>
    <w:rsid w:val="00E55915"/>
    <w:rsid w:val="00E55BB5"/>
    <w:rsid w:val="00E655B5"/>
    <w:rsid w:val="00E65E79"/>
    <w:rsid w:val="00E66BA2"/>
    <w:rsid w:val="00E67416"/>
    <w:rsid w:val="00E675E2"/>
    <w:rsid w:val="00E718B6"/>
    <w:rsid w:val="00E723BA"/>
    <w:rsid w:val="00E73581"/>
    <w:rsid w:val="00E76853"/>
    <w:rsid w:val="00E7689A"/>
    <w:rsid w:val="00E80F5F"/>
    <w:rsid w:val="00E833F7"/>
    <w:rsid w:val="00E83BDF"/>
    <w:rsid w:val="00E8476C"/>
    <w:rsid w:val="00E8740E"/>
    <w:rsid w:val="00E87A1D"/>
    <w:rsid w:val="00E9009F"/>
    <w:rsid w:val="00E9094A"/>
    <w:rsid w:val="00E91D35"/>
    <w:rsid w:val="00E924CC"/>
    <w:rsid w:val="00E926A5"/>
    <w:rsid w:val="00E93F62"/>
    <w:rsid w:val="00E93FC8"/>
    <w:rsid w:val="00E9523B"/>
    <w:rsid w:val="00E97D0B"/>
    <w:rsid w:val="00EA03B9"/>
    <w:rsid w:val="00EA17C3"/>
    <w:rsid w:val="00EA2CAA"/>
    <w:rsid w:val="00EA3864"/>
    <w:rsid w:val="00EA4653"/>
    <w:rsid w:val="00EA5751"/>
    <w:rsid w:val="00EA6232"/>
    <w:rsid w:val="00EA670F"/>
    <w:rsid w:val="00EA7ABA"/>
    <w:rsid w:val="00EA7F1C"/>
    <w:rsid w:val="00EB0258"/>
    <w:rsid w:val="00EB0DCB"/>
    <w:rsid w:val="00EB15B6"/>
    <w:rsid w:val="00EB375F"/>
    <w:rsid w:val="00EB3D06"/>
    <w:rsid w:val="00EB4916"/>
    <w:rsid w:val="00EB5D5E"/>
    <w:rsid w:val="00EB64CE"/>
    <w:rsid w:val="00EC00C9"/>
    <w:rsid w:val="00EC0DD9"/>
    <w:rsid w:val="00EC1095"/>
    <w:rsid w:val="00EC13C5"/>
    <w:rsid w:val="00EC1669"/>
    <w:rsid w:val="00EC1854"/>
    <w:rsid w:val="00EC2624"/>
    <w:rsid w:val="00EC2649"/>
    <w:rsid w:val="00EC31ED"/>
    <w:rsid w:val="00EC5836"/>
    <w:rsid w:val="00EC688C"/>
    <w:rsid w:val="00ED1419"/>
    <w:rsid w:val="00ED3386"/>
    <w:rsid w:val="00ED4E53"/>
    <w:rsid w:val="00ED57EA"/>
    <w:rsid w:val="00ED5BD4"/>
    <w:rsid w:val="00ED6F54"/>
    <w:rsid w:val="00ED7749"/>
    <w:rsid w:val="00EE01FA"/>
    <w:rsid w:val="00EE07D3"/>
    <w:rsid w:val="00EE0C80"/>
    <w:rsid w:val="00EE1958"/>
    <w:rsid w:val="00EE1996"/>
    <w:rsid w:val="00EE1C01"/>
    <w:rsid w:val="00EE22AF"/>
    <w:rsid w:val="00EE2AA6"/>
    <w:rsid w:val="00EE4031"/>
    <w:rsid w:val="00EE4097"/>
    <w:rsid w:val="00EE4249"/>
    <w:rsid w:val="00EE54CE"/>
    <w:rsid w:val="00EE62DC"/>
    <w:rsid w:val="00EE7F6A"/>
    <w:rsid w:val="00EF0171"/>
    <w:rsid w:val="00EF1854"/>
    <w:rsid w:val="00EF1B25"/>
    <w:rsid w:val="00EF1C3A"/>
    <w:rsid w:val="00EF1DA0"/>
    <w:rsid w:val="00EF25DA"/>
    <w:rsid w:val="00EF428B"/>
    <w:rsid w:val="00EF4747"/>
    <w:rsid w:val="00EF4BF8"/>
    <w:rsid w:val="00EF5C46"/>
    <w:rsid w:val="00F02253"/>
    <w:rsid w:val="00F03C2E"/>
    <w:rsid w:val="00F04A66"/>
    <w:rsid w:val="00F04B4B"/>
    <w:rsid w:val="00F04DB8"/>
    <w:rsid w:val="00F0516C"/>
    <w:rsid w:val="00F06449"/>
    <w:rsid w:val="00F067A2"/>
    <w:rsid w:val="00F06849"/>
    <w:rsid w:val="00F07301"/>
    <w:rsid w:val="00F07B9E"/>
    <w:rsid w:val="00F1099F"/>
    <w:rsid w:val="00F10F40"/>
    <w:rsid w:val="00F1116F"/>
    <w:rsid w:val="00F1263A"/>
    <w:rsid w:val="00F14835"/>
    <w:rsid w:val="00F15B77"/>
    <w:rsid w:val="00F16A0B"/>
    <w:rsid w:val="00F21A20"/>
    <w:rsid w:val="00F23E29"/>
    <w:rsid w:val="00F24181"/>
    <w:rsid w:val="00F24837"/>
    <w:rsid w:val="00F24C9B"/>
    <w:rsid w:val="00F2575F"/>
    <w:rsid w:val="00F26F67"/>
    <w:rsid w:val="00F27565"/>
    <w:rsid w:val="00F310D4"/>
    <w:rsid w:val="00F31D5A"/>
    <w:rsid w:val="00F33975"/>
    <w:rsid w:val="00F33DE9"/>
    <w:rsid w:val="00F33EDC"/>
    <w:rsid w:val="00F34926"/>
    <w:rsid w:val="00F349E4"/>
    <w:rsid w:val="00F35E6D"/>
    <w:rsid w:val="00F3619A"/>
    <w:rsid w:val="00F37447"/>
    <w:rsid w:val="00F40708"/>
    <w:rsid w:val="00F40AAA"/>
    <w:rsid w:val="00F40BA7"/>
    <w:rsid w:val="00F40F9D"/>
    <w:rsid w:val="00F41ACD"/>
    <w:rsid w:val="00F42D4B"/>
    <w:rsid w:val="00F43D7B"/>
    <w:rsid w:val="00F458C6"/>
    <w:rsid w:val="00F46CB6"/>
    <w:rsid w:val="00F4756D"/>
    <w:rsid w:val="00F47DE8"/>
    <w:rsid w:val="00F50588"/>
    <w:rsid w:val="00F542C1"/>
    <w:rsid w:val="00F55E73"/>
    <w:rsid w:val="00F55EDA"/>
    <w:rsid w:val="00F56C80"/>
    <w:rsid w:val="00F60092"/>
    <w:rsid w:val="00F60A14"/>
    <w:rsid w:val="00F61376"/>
    <w:rsid w:val="00F61C18"/>
    <w:rsid w:val="00F6339A"/>
    <w:rsid w:val="00F63418"/>
    <w:rsid w:val="00F65194"/>
    <w:rsid w:val="00F65F43"/>
    <w:rsid w:val="00F65F4B"/>
    <w:rsid w:val="00F67A69"/>
    <w:rsid w:val="00F70ADE"/>
    <w:rsid w:val="00F70BFF"/>
    <w:rsid w:val="00F70C9D"/>
    <w:rsid w:val="00F7107C"/>
    <w:rsid w:val="00F71819"/>
    <w:rsid w:val="00F7369B"/>
    <w:rsid w:val="00F74CD9"/>
    <w:rsid w:val="00F74D0B"/>
    <w:rsid w:val="00F750EE"/>
    <w:rsid w:val="00F77246"/>
    <w:rsid w:val="00F77AA7"/>
    <w:rsid w:val="00F80A7B"/>
    <w:rsid w:val="00F80E5D"/>
    <w:rsid w:val="00F81BB5"/>
    <w:rsid w:val="00F81E78"/>
    <w:rsid w:val="00F82118"/>
    <w:rsid w:val="00F83972"/>
    <w:rsid w:val="00F842A4"/>
    <w:rsid w:val="00F84B4F"/>
    <w:rsid w:val="00F84FB3"/>
    <w:rsid w:val="00F851CE"/>
    <w:rsid w:val="00F852A0"/>
    <w:rsid w:val="00F85837"/>
    <w:rsid w:val="00F86008"/>
    <w:rsid w:val="00F87350"/>
    <w:rsid w:val="00F91219"/>
    <w:rsid w:val="00F92444"/>
    <w:rsid w:val="00F9393E"/>
    <w:rsid w:val="00F96FD0"/>
    <w:rsid w:val="00F97A78"/>
    <w:rsid w:val="00FA0B20"/>
    <w:rsid w:val="00FA24E7"/>
    <w:rsid w:val="00FA56DC"/>
    <w:rsid w:val="00FA5EE6"/>
    <w:rsid w:val="00FA6876"/>
    <w:rsid w:val="00FA7956"/>
    <w:rsid w:val="00FB2D2B"/>
    <w:rsid w:val="00FB2FCB"/>
    <w:rsid w:val="00FB4C49"/>
    <w:rsid w:val="00FB6817"/>
    <w:rsid w:val="00FB78F4"/>
    <w:rsid w:val="00FB7C55"/>
    <w:rsid w:val="00FC084C"/>
    <w:rsid w:val="00FC1074"/>
    <w:rsid w:val="00FC1274"/>
    <w:rsid w:val="00FC1884"/>
    <w:rsid w:val="00FC371D"/>
    <w:rsid w:val="00FC489B"/>
    <w:rsid w:val="00FC54FB"/>
    <w:rsid w:val="00FC588F"/>
    <w:rsid w:val="00FC5F0B"/>
    <w:rsid w:val="00FC7F81"/>
    <w:rsid w:val="00FD144A"/>
    <w:rsid w:val="00FD2100"/>
    <w:rsid w:val="00FD22CE"/>
    <w:rsid w:val="00FD2495"/>
    <w:rsid w:val="00FD3A24"/>
    <w:rsid w:val="00FD3B3F"/>
    <w:rsid w:val="00FD436C"/>
    <w:rsid w:val="00FD446D"/>
    <w:rsid w:val="00FD4CC3"/>
    <w:rsid w:val="00FD4F2C"/>
    <w:rsid w:val="00FD5814"/>
    <w:rsid w:val="00FD6394"/>
    <w:rsid w:val="00FD7046"/>
    <w:rsid w:val="00FD73EE"/>
    <w:rsid w:val="00FD76CB"/>
    <w:rsid w:val="00FD7A1F"/>
    <w:rsid w:val="00FE03C3"/>
    <w:rsid w:val="00FE0E6C"/>
    <w:rsid w:val="00FE1CDC"/>
    <w:rsid w:val="00FE2151"/>
    <w:rsid w:val="00FE343B"/>
    <w:rsid w:val="00FE638F"/>
    <w:rsid w:val="00FE70C3"/>
    <w:rsid w:val="00FE7881"/>
    <w:rsid w:val="00FE7A13"/>
    <w:rsid w:val="00FF1FC9"/>
    <w:rsid w:val="00FF20EE"/>
    <w:rsid w:val="00FF2AD9"/>
    <w:rsid w:val="00FF359F"/>
    <w:rsid w:val="00FF3DCF"/>
    <w:rsid w:val="00FF492C"/>
    <w:rsid w:val="00FF4A21"/>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847A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iPriority="1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9"/>
    <w:qFormat/>
    <w:rsid w:val="001B204E"/>
    <w:pPr>
      <w:ind w:left="720" w:hanging="720"/>
      <w:outlineLvl w:val="0"/>
    </w:pPr>
    <w:rPr>
      <w:b/>
      <w:caps/>
      <w:sz w:val="32"/>
    </w:rPr>
  </w:style>
  <w:style w:type="paragraph" w:styleId="Heading2">
    <w:name w:val="heading 2"/>
    <w:basedOn w:val="Normal"/>
    <w:next w:val="Normal"/>
    <w:link w:val="Heading2Char"/>
    <w:uiPriority w:val="9"/>
    <w:qFormat/>
    <w:rsid w:val="001B204E"/>
    <w:pPr>
      <w:outlineLvl w:val="1"/>
    </w:pPr>
    <w:rPr>
      <w:b/>
      <w:i/>
      <w:sz w:val="28"/>
    </w:rPr>
  </w:style>
  <w:style w:type="paragraph" w:styleId="Heading3">
    <w:name w:val="heading 3"/>
    <w:basedOn w:val="Normal"/>
    <w:next w:val="Normal"/>
    <w:uiPriority w:val="9"/>
    <w:qFormat/>
    <w:rsid w:val="001F7361"/>
    <w:pPr>
      <w:outlineLvl w:val="2"/>
    </w:pPr>
    <w:rPr>
      <w:u w:val="single"/>
    </w:rPr>
  </w:style>
  <w:style w:type="paragraph" w:styleId="Heading4">
    <w:name w:val="heading 4"/>
    <w:basedOn w:val="Normal"/>
    <w:next w:val="Normal"/>
    <w:uiPriority w:val="9"/>
    <w:qFormat/>
    <w:rsid w:val="00124A51"/>
    <w:pPr>
      <w:keepNext/>
      <w:spacing w:before="240" w:after="60"/>
      <w:outlineLvl w:val="3"/>
    </w:pPr>
    <w:rPr>
      <w:b/>
      <w:bCs/>
      <w:i/>
      <w:sz w:val="26"/>
      <w:szCs w:val="28"/>
    </w:rPr>
  </w:style>
  <w:style w:type="paragraph" w:styleId="Heading5">
    <w:name w:val="heading 5"/>
    <w:basedOn w:val="Normal"/>
    <w:next w:val="Normal"/>
    <w:uiPriority w:val="9"/>
    <w:rsid w:val="00124A51"/>
    <w:pPr>
      <w:spacing w:before="240" w:after="60"/>
      <w:outlineLvl w:val="4"/>
    </w:pPr>
    <w:rPr>
      <w:b/>
      <w:bCs/>
      <w:iCs/>
      <w:sz w:val="26"/>
      <w:szCs w:val="26"/>
    </w:rPr>
  </w:style>
  <w:style w:type="paragraph" w:styleId="Heading6">
    <w:name w:val="heading 6"/>
    <w:basedOn w:val="Normal"/>
    <w:next w:val="Normal"/>
    <w:uiPriority w:val="9"/>
    <w:rsid w:val="00124A51"/>
    <w:pPr>
      <w:spacing w:before="240" w:after="60"/>
      <w:outlineLvl w:val="5"/>
    </w:pPr>
    <w:rPr>
      <w:b/>
      <w:bCs/>
      <w:i/>
    </w:rPr>
  </w:style>
  <w:style w:type="paragraph" w:styleId="Heading7">
    <w:name w:val="heading 7"/>
    <w:basedOn w:val="Normal"/>
    <w:next w:val="Normal"/>
    <w:link w:val="Heading7Char"/>
    <w:uiPriority w:val="9"/>
    <w:rsid w:val="00124A51"/>
    <w:pPr>
      <w:keepNext/>
      <w:jc w:val="center"/>
      <w:outlineLvl w:val="6"/>
    </w:pPr>
    <w:rPr>
      <w:b/>
      <w:sz w:val="20"/>
    </w:rPr>
  </w:style>
  <w:style w:type="paragraph" w:styleId="Heading8">
    <w:name w:val="heading 8"/>
    <w:basedOn w:val="Normal"/>
    <w:next w:val="Normal"/>
    <w:link w:val="Heading8Char"/>
    <w:uiPriority w:val="9"/>
    <w:qFormat/>
    <w:rsid w:val="00124A51"/>
    <w:pPr>
      <w:keepNext/>
      <w:jc w:val="right"/>
      <w:outlineLvl w:val="7"/>
    </w:pPr>
    <w:rPr>
      <w:b/>
    </w:rPr>
  </w:style>
  <w:style w:type="paragraph" w:styleId="Heading9">
    <w:name w:val="heading 9"/>
    <w:basedOn w:val="Normal"/>
    <w:next w:val="Normal"/>
    <w:link w:val="Heading9Char"/>
    <w:uiPriority w:val="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iPriority w:val="10"/>
    <w:unhideWhenUsed/>
    <w:qFormat/>
    <w:rsid w:val="00124A51"/>
    <w:pPr>
      <w:spacing w:after="200"/>
    </w:pPr>
    <w:rPr>
      <w:b/>
      <w:bCs/>
      <w:color w:val="4F81BD" w:themeColor="accent1"/>
      <w:sz w:val="18"/>
      <w:szCs w:val="18"/>
    </w:rPr>
  </w:style>
  <w:style w:type="character" w:customStyle="1" w:styleId="CaptionChar">
    <w:name w:val="Caption Char"/>
    <w:link w:val="Caption"/>
    <w:uiPriority w:val="10"/>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 List"/>
    <w:next w:val="ListBullet"/>
    <w:link w:val="ListParagraphChar"/>
    <w:uiPriority w:val="72"/>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List Char"/>
    <w:basedOn w:val="DefaultParagraphFont"/>
    <w:link w:val="ListParagraph"/>
    <w:uiPriority w:val="72"/>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Dossier table,Section 3- footnotes"/>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qFormat/>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Bulletpoints">
    <w:name w:val="Bullet points"/>
    <w:basedOn w:val="ListParagraph"/>
    <w:qFormat/>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character" w:customStyle="1" w:styleId="FontItalics">
    <w:name w:val="Font Italics"/>
    <w:basedOn w:val="DefaultParagraphFont"/>
    <w:uiPriority w:val="1"/>
    <w:qFormat/>
    <w:rsid w:val="008F1357"/>
    <w:rPr>
      <w:rFonts w:asciiTheme="minorHAnsi" w:hAnsiTheme="minorHAnsi"/>
      <w:i/>
      <w:sz w:val="22"/>
    </w:rPr>
  </w:style>
  <w:style w:type="character" w:customStyle="1" w:styleId="Font">
    <w:name w:val="Font"/>
    <w:basedOn w:val="DefaultParagraphFont"/>
    <w:uiPriority w:val="1"/>
    <w:qFormat/>
    <w:rsid w:val="008F1357"/>
    <w:rPr>
      <w:rFonts w:asciiTheme="minorHAnsi" w:hAnsiTheme="minorHAnsi"/>
      <w:sz w:val="22"/>
    </w:rPr>
  </w:style>
  <w:style w:type="paragraph" w:customStyle="1" w:styleId="Table">
    <w:name w:val="Table"/>
    <w:basedOn w:val="Normal"/>
    <w:link w:val="TableChar"/>
    <w:qFormat/>
    <w:rsid w:val="003F65DB"/>
    <w:pPr>
      <w:jc w:val="left"/>
    </w:pPr>
    <w:rPr>
      <w:rFonts w:eastAsiaTheme="minorHAnsi" w:cstheme="minorHAnsi"/>
      <w:sz w:val="18"/>
      <w:szCs w:val="18"/>
      <w:lang w:eastAsia="en-US"/>
    </w:rPr>
  </w:style>
  <w:style w:type="character" w:customStyle="1" w:styleId="TableBulletsChar">
    <w:name w:val="Table Bullets Char"/>
    <w:basedOn w:val="TableChar"/>
    <w:link w:val="TableBullets"/>
    <w:uiPriority w:val="5"/>
    <w:rsid w:val="003F65DB"/>
    <w:rPr>
      <w:rFonts w:ascii="Calibri" w:eastAsiaTheme="majorEastAsia" w:hAnsi="Calibri" w:cstheme="majorBidi"/>
      <w:sz w:val="18"/>
      <w:szCs w:val="18"/>
      <w:lang w:eastAsia="en-US" w:bidi="en-US"/>
    </w:rPr>
  </w:style>
  <w:style w:type="paragraph" w:customStyle="1" w:styleId="TableBullets">
    <w:name w:val="Table Bullets"/>
    <w:basedOn w:val="Table"/>
    <w:link w:val="TableBulletsChar"/>
    <w:uiPriority w:val="5"/>
    <w:qFormat/>
    <w:rsid w:val="003F65DB"/>
    <w:pPr>
      <w:numPr>
        <w:numId w:val="6"/>
      </w:numPr>
    </w:pPr>
    <w:rPr>
      <w:rFonts w:eastAsiaTheme="majorEastAsia" w:cstheme="majorBidi"/>
      <w:lang w:bidi="en-US"/>
    </w:rPr>
  </w:style>
  <w:style w:type="character" w:customStyle="1" w:styleId="TableChar">
    <w:name w:val="Table Char"/>
    <w:basedOn w:val="DefaultParagraphFont"/>
    <w:link w:val="Table"/>
    <w:rsid w:val="003F65DB"/>
    <w:rPr>
      <w:rFonts w:ascii="Calibri" w:eastAsiaTheme="minorHAnsi" w:hAnsi="Calibri" w:cstheme="minorHAnsi"/>
      <w:sz w:val="18"/>
      <w:szCs w:val="18"/>
      <w:lang w:eastAsia="en-US"/>
    </w:rPr>
  </w:style>
  <w:style w:type="character" w:customStyle="1" w:styleId="Small">
    <w:name w:val="Small"/>
    <w:basedOn w:val="DefaultParagraphFont"/>
    <w:uiPriority w:val="1"/>
    <w:qFormat/>
    <w:rsid w:val="003F65DB"/>
    <w:rPr>
      <w:rFonts w:asciiTheme="minorHAnsi" w:hAnsiTheme="minorHAnsi"/>
      <w:sz w:val="18"/>
    </w:rPr>
  </w:style>
  <w:style w:type="character" w:customStyle="1" w:styleId="SmallItalics">
    <w:name w:val="Small Italics"/>
    <w:basedOn w:val="Small"/>
    <w:uiPriority w:val="4"/>
    <w:qFormat/>
    <w:rsid w:val="003F65DB"/>
    <w:rPr>
      <w:rFonts w:asciiTheme="minorHAnsi" w:hAnsiTheme="minorHAnsi"/>
      <w:i/>
      <w:sz w:val="18"/>
    </w:rPr>
  </w:style>
  <w:style w:type="paragraph" w:styleId="FootnoteText">
    <w:name w:val="footnote text"/>
    <w:aliases w:val="Char Char Char Char,Char Char Char1 Char Char,Char Char Char1 Char Char Char,Char Char Char1 Char, Char1, Char Char Char Char, Char Char Char1 Char Char, Char Char Char1 Char Char Char, Char Char Char1 Char"/>
    <w:basedOn w:val="Normal"/>
    <w:link w:val="FootnoteTextChar"/>
    <w:unhideWhenUsed/>
    <w:qFormat/>
    <w:rsid w:val="00041B59"/>
    <w:pPr>
      <w:jc w:val="left"/>
    </w:pPr>
    <w:rPr>
      <w:rFonts w:asciiTheme="minorHAnsi" w:eastAsiaTheme="minorHAnsi" w:hAnsiTheme="minorHAnsi" w:cstheme="minorBidi"/>
      <w:sz w:val="18"/>
      <w:szCs w:val="20"/>
      <w:lang w:eastAsia="en-US"/>
    </w:rPr>
  </w:style>
  <w:style w:type="character" w:customStyle="1" w:styleId="FootnoteTextChar">
    <w:name w:val="Footnote Text Char"/>
    <w:aliases w:val="Char Char Char Char Char,Char Char Char1 Char Char Char1,Char Char Char1 Char Char Char Char,Char Char Char1 Char Char1, Char1 Char, Char Char Char Char Char, Char Char Char1 Char Char Char1, Char Char Char1 Char Char Char Char"/>
    <w:basedOn w:val="DefaultParagraphFont"/>
    <w:link w:val="FootnoteText"/>
    <w:rsid w:val="00041B59"/>
    <w:rPr>
      <w:rFonts w:asciiTheme="minorHAnsi" w:eastAsiaTheme="minorHAnsi" w:hAnsiTheme="minorHAnsi" w:cstheme="minorBidi"/>
      <w:sz w:val="18"/>
      <w:lang w:eastAsia="en-US"/>
    </w:rPr>
  </w:style>
  <w:style w:type="character" w:customStyle="1" w:styleId="CaptionFootnoteChar">
    <w:name w:val="Caption Footnote Char"/>
    <w:basedOn w:val="DefaultParagraphFont"/>
    <w:link w:val="CaptionFootnote"/>
    <w:locked/>
    <w:rsid w:val="00785723"/>
    <w:rPr>
      <w:rFonts w:ascii="Calibri" w:hAnsi="Calibri" w:cstheme="minorHAnsi"/>
      <w:sz w:val="18"/>
      <w:szCs w:val="18"/>
    </w:rPr>
  </w:style>
  <w:style w:type="paragraph" w:customStyle="1" w:styleId="CaptionFootnote">
    <w:name w:val="Caption Footnote"/>
    <w:basedOn w:val="Table"/>
    <w:link w:val="CaptionFootnoteChar"/>
    <w:qFormat/>
    <w:rsid w:val="00785723"/>
    <w:rPr>
      <w:rFonts w:eastAsia="Times New Roman"/>
      <w:lang w:eastAsia="en-AU"/>
    </w:rPr>
  </w:style>
  <w:style w:type="table" w:customStyle="1" w:styleId="Submissionstandard">
    <w:name w:val="Submission standard"/>
    <w:basedOn w:val="TableNormal"/>
    <w:uiPriority w:val="99"/>
    <w:qFormat/>
    <w:rsid w:val="00785723"/>
    <w:rPr>
      <w:rFonts w:ascii="Arial Narrow" w:eastAsiaTheme="majorEastAsia" w:hAnsi="Arial Narrow" w:cstheme="majorBidi"/>
      <w:szCs w:val="22"/>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ldhabi" w:hAnsi="Aldhabi" w:cs="Aldhabi" w:hint="cs"/>
        <w:b/>
        <w:sz w:val="20"/>
        <w:szCs w:val="20"/>
      </w:rPr>
      <w:tblPr/>
      <w:tcPr>
        <w:shd w:val="clear" w:color="auto" w:fill="BFBFBF" w:themeFill="background1" w:themeFillShade="BF"/>
      </w:tcPr>
    </w:tblStylePr>
  </w:style>
  <w:style w:type="character" w:styleId="FootnoteReference">
    <w:name w:val="footnote reference"/>
    <w:basedOn w:val="DefaultParagraphFont"/>
    <w:unhideWhenUsed/>
    <w:rsid w:val="003232AE"/>
    <w:rPr>
      <w:vertAlign w:val="superscript"/>
    </w:rPr>
  </w:style>
  <w:style w:type="paragraph" w:customStyle="1" w:styleId="Default">
    <w:name w:val="Default"/>
    <w:rsid w:val="009F5599"/>
    <w:pPr>
      <w:autoSpaceDE w:val="0"/>
      <w:autoSpaceDN w:val="0"/>
      <w:adjustRightInd w:val="0"/>
    </w:pPr>
    <w:rPr>
      <w:color w:val="000000"/>
      <w:sz w:val="24"/>
      <w:szCs w:val="24"/>
    </w:rPr>
  </w:style>
  <w:style w:type="paragraph" w:customStyle="1" w:styleId="NormalLetters">
    <w:name w:val="Normal Letters"/>
    <w:basedOn w:val="Normal"/>
    <w:qFormat/>
    <w:rsid w:val="00117E1A"/>
    <w:pPr>
      <w:numPr>
        <w:numId w:val="7"/>
      </w:numPr>
      <w:spacing w:line="360" w:lineRule="auto"/>
      <w:contextualSpacing/>
      <w:jc w:val="left"/>
    </w:pPr>
    <w:rPr>
      <w:rFonts w:asciiTheme="minorHAnsi" w:eastAsiaTheme="minorHAnsi" w:hAnsiTheme="minorHAnsi" w:cstheme="minorBidi"/>
      <w:sz w:val="22"/>
      <w:szCs w:val="22"/>
      <w:lang w:eastAsia="en-US"/>
    </w:rPr>
  </w:style>
  <w:style w:type="paragraph" w:styleId="Bibliography">
    <w:name w:val="Bibliography"/>
    <w:basedOn w:val="Normal"/>
    <w:next w:val="Normal"/>
    <w:uiPriority w:val="37"/>
    <w:semiHidden/>
    <w:unhideWhenUsed/>
    <w:rsid w:val="007E52A3"/>
  </w:style>
  <w:style w:type="paragraph" w:customStyle="1" w:styleId="MainBodyText">
    <w:name w:val="Main Body Text"/>
    <w:basedOn w:val="Normal"/>
    <w:link w:val="MainBodyTextChar"/>
    <w:rsid w:val="00D930B9"/>
    <w:pPr>
      <w:spacing w:after="240" w:line="276" w:lineRule="auto"/>
    </w:pPr>
    <w:rPr>
      <w:rFonts w:ascii="Arial" w:hAnsi="Arial" w:cs="Times New Roman"/>
      <w:sz w:val="22"/>
      <w:szCs w:val="22"/>
    </w:rPr>
  </w:style>
  <w:style w:type="character" w:customStyle="1" w:styleId="MainBodyTextChar">
    <w:name w:val="Main Body Text Char"/>
    <w:link w:val="MainBodyText"/>
    <w:rsid w:val="00D930B9"/>
    <w:rPr>
      <w:rFonts w:ascii="Arial" w:hAnsi="Arial"/>
      <w:sz w:val="22"/>
      <w:szCs w:val="22"/>
    </w:rPr>
  </w:style>
  <w:style w:type="paragraph" w:customStyle="1" w:styleId="NormalNumbers">
    <w:name w:val="Normal Numbers"/>
    <w:basedOn w:val="Normal"/>
    <w:qFormat/>
    <w:rsid w:val="00EF428B"/>
    <w:pPr>
      <w:numPr>
        <w:numId w:val="8"/>
      </w:numPr>
      <w:spacing w:after="240" w:line="360" w:lineRule="auto"/>
      <w:jc w:val="left"/>
    </w:pPr>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560F92"/>
    <w:rPr>
      <w:color w:val="605E5C"/>
      <w:shd w:val="clear" w:color="auto" w:fill="E1DFDD"/>
    </w:rPr>
  </w:style>
  <w:style w:type="character" w:styleId="Emphasis">
    <w:name w:val="Emphasis"/>
    <w:basedOn w:val="DefaultParagraphFont"/>
    <w:uiPriority w:val="20"/>
    <w:qFormat/>
    <w:rsid w:val="00472791"/>
    <w:rPr>
      <w:i/>
      <w:iCs/>
    </w:rPr>
  </w:style>
  <w:style w:type="paragraph" w:customStyle="1" w:styleId="NormalBullets">
    <w:name w:val="Normal Bullets"/>
    <w:basedOn w:val="Normal"/>
    <w:qFormat/>
    <w:rsid w:val="00472791"/>
    <w:pPr>
      <w:numPr>
        <w:numId w:val="10"/>
      </w:numPr>
      <w:spacing w:after="240" w:line="360" w:lineRule="auto"/>
      <w:ind w:left="357" w:hanging="357"/>
      <w:contextualSpacing/>
      <w:jc w:val="left"/>
    </w:pPr>
    <w:rPr>
      <w:rFonts w:asciiTheme="minorHAnsi" w:eastAsiaTheme="minorHAnsi" w:hAnsiTheme="minorHAnsi" w:cstheme="minorBidi"/>
      <w:sz w:val="22"/>
      <w:szCs w:val="22"/>
      <w:lang w:eastAsia="en-US"/>
    </w:rPr>
  </w:style>
  <w:style w:type="paragraph" w:customStyle="1" w:styleId="TableCentre">
    <w:name w:val="Table Centre"/>
    <w:basedOn w:val="Table"/>
    <w:qFormat/>
    <w:rsid w:val="00472791"/>
    <w:pPr>
      <w:jc w:val="center"/>
    </w:pPr>
    <w:rPr>
      <w:rFonts w:asciiTheme="minorHAnsi" w:eastAsiaTheme="majorEastAsia" w:hAnsiTheme="minorHAnsi" w:cstheme="majorBidi"/>
      <w:szCs w:val="22"/>
      <w:lang w:bidi="en-US"/>
    </w:rPr>
  </w:style>
  <w:style w:type="character" w:customStyle="1" w:styleId="FootnoteTextChar1">
    <w:name w:val="Footnote Text Char1"/>
    <w:basedOn w:val="DefaultParagraphFont"/>
    <w:semiHidden/>
    <w:rsid w:val="00472791"/>
    <w:rPr>
      <w:rFonts w:ascii="Calibri" w:hAnsi="Calibri" w:cs="Arial"/>
    </w:rPr>
  </w:style>
  <w:style w:type="paragraph" w:customStyle="1" w:styleId="TableLeft">
    <w:name w:val="Table Left"/>
    <w:basedOn w:val="Normal"/>
    <w:link w:val="TableLeftChar"/>
    <w:uiPriority w:val="99"/>
    <w:qFormat/>
    <w:rsid w:val="00472791"/>
    <w:pPr>
      <w:jc w:val="left"/>
    </w:pPr>
    <w:rPr>
      <w:rFonts w:eastAsiaTheme="majorEastAsia" w:cstheme="majorBidi"/>
      <w:sz w:val="20"/>
      <w:szCs w:val="22"/>
      <w:lang w:eastAsia="en-US" w:bidi="en-US"/>
    </w:rPr>
  </w:style>
  <w:style w:type="character" w:customStyle="1" w:styleId="TableLeftChar">
    <w:name w:val="Table Left Char"/>
    <w:basedOn w:val="DefaultParagraphFont"/>
    <w:link w:val="TableLeft"/>
    <w:uiPriority w:val="99"/>
    <w:locked/>
    <w:rsid w:val="00472791"/>
    <w:rPr>
      <w:rFonts w:ascii="Calibri" w:eastAsiaTheme="majorEastAsia" w:hAnsi="Calibri" w:cstheme="majorBidi"/>
      <w:szCs w:val="22"/>
      <w:lang w:eastAsia="en-US" w:bidi="en-US"/>
    </w:rPr>
  </w:style>
  <w:style w:type="paragraph" w:customStyle="1" w:styleId="TableText1">
    <w:name w:val="TableText"/>
    <w:basedOn w:val="Normal"/>
    <w:qFormat/>
    <w:rsid w:val="00472791"/>
    <w:pPr>
      <w:spacing w:before="60" w:after="60"/>
      <w:jc w:val="left"/>
    </w:pPr>
    <w:rPr>
      <w:rFonts w:ascii="Arial" w:hAnsi="Arial" w:cs="Times New Roman"/>
      <w:sz w:val="18"/>
      <w:szCs w:val="22"/>
    </w:rPr>
  </w:style>
  <w:style w:type="paragraph" w:customStyle="1" w:styleId="TableHeading0">
    <w:name w:val="Table Heading"/>
    <w:basedOn w:val="Normal"/>
    <w:qFormat/>
    <w:rsid w:val="00472791"/>
    <w:pPr>
      <w:keepNext/>
      <w:spacing w:after="60"/>
      <w:jc w:val="left"/>
    </w:pPr>
    <w:rPr>
      <w:rFonts w:ascii="Arial Narrow" w:eastAsiaTheme="minorHAnsi" w:hAnsi="Arial Narrow" w:cstheme="minorBidi"/>
      <w:b/>
      <w:sz w:val="20"/>
      <w:szCs w:val="22"/>
      <w:lang w:eastAsia="en-US"/>
    </w:rPr>
  </w:style>
  <w:style w:type="paragraph" w:customStyle="1" w:styleId="EndNoteBibliography">
    <w:name w:val="EndNote Bibliography"/>
    <w:basedOn w:val="Normal"/>
    <w:link w:val="EndNoteBibliographyChar"/>
    <w:rsid w:val="00472791"/>
    <w:pPr>
      <w:spacing w:after="120"/>
      <w:jc w:val="left"/>
    </w:pPr>
    <w:rPr>
      <w:rFonts w:ascii="Times New Roman" w:eastAsiaTheme="minorHAnsi" w:hAnsi="Times New Roman" w:cs="Times New Roman"/>
      <w:noProof/>
      <w:sz w:val="22"/>
      <w:szCs w:val="22"/>
      <w:lang w:val="en-US" w:eastAsia="en-US"/>
    </w:rPr>
  </w:style>
  <w:style w:type="character" w:customStyle="1" w:styleId="EndNoteBibliographyChar">
    <w:name w:val="EndNote Bibliography Char"/>
    <w:basedOn w:val="DefaultParagraphFont"/>
    <w:link w:val="EndNoteBibliography"/>
    <w:rsid w:val="00472791"/>
    <w:rPr>
      <w:rFonts w:eastAsiaTheme="minorHAnsi"/>
      <w:noProof/>
      <w:sz w:val="22"/>
      <w:szCs w:val="22"/>
      <w:lang w:val="en-US" w:eastAsia="en-US"/>
    </w:rPr>
  </w:style>
  <w:style w:type="paragraph" w:customStyle="1" w:styleId="bulletnumberedstyle">
    <w:name w:val="bullet numbered style"/>
    <w:basedOn w:val="ListParagraph"/>
    <w:link w:val="bulletnumberedstyleChar"/>
    <w:qFormat/>
    <w:rsid w:val="00894909"/>
    <w:pPr>
      <w:numPr>
        <w:numId w:val="0"/>
      </w:numPr>
      <w:spacing w:after="160"/>
      <w:ind w:left="720" w:hanging="720"/>
    </w:pPr>
    <w:rPr>
      <w:rFonts w:ascii="Calibri" w:hAnsi="Calibri" w:cs="Times New Roman"/>
      <w:snapToGrid/>
    </w:rPr>
  </w:style>
  <w:style w:type="character" w:customStyle="1" w:styleId="bulletnumberedstyleChar">
    <w:name w:val="bullet numbered style Char"/>
    <w:basedOn w:val="DefaultParagraphFont"/>
    <w:link w:val="bulletnumberedstyle"/>
    <w:rsid w:val="00894909"/>
    <w:rPr>
      <w:rFonts w:ascii="Calibri" w:hAnsi="Calibri"/>
      <w:sz w:val="24"/>
      <w:szCs w:val="24"/>
    </w:rPr>
  </w:style>
  <w:style w:type="character" w:styleId="PlaceholderText">
    <w:name w:val="Placeholder Text"/>
    <w:basedOn w:val="DefaultParagraphFont"/>
    <w:uiPriority w:val="99"/>
    <w:semiHidden/>
    <w:rsid w:val="005F06A9"/>
    <w:rPr>
      <w:color w:val="808080"/>
    </w:rPr>
  </w:style>
  <w:style w:type="paragraph" w:customStyle="1" w:styleId="zr1">
    <w:name w:val="zr1"/>
    <w:basedOn w:val="Normal"/>
    <w:rsid w:val="00FE7881"/>
    <w:pPr>
      <w:spacing w:before="100" w:beforeAutospacing="1" w:after="100" w:afterAutospacing="1"/>
      <w:jc w:val="left"/>
    </w:pPr>
    <w:rPr>
      <w:rFonts w:ascii="Times New Roman" w:hAnsi="Times New Roman" w:cs="Times New Roman"/>
    </w:rPr>
  </w:style>
  <w:style w:type="paragraph" w:customStyle="1" w:styleId="p1">
    <w:name w:val="p1"/>
    <w:basedOn w:val="Normal"/>
    <w:rsid w:val="00FE7881"/>
    <w:pPr>
      <w:spacing w:before="100" w:beforeAutospacing="1" w:after="100" w:afterAutospacing="1"/>
      <w:jc w:val="left"/>
    </w:pPr>
    <w:rPr>
      <w:rFonts w:ascii="Times New Roman" w:hAnsi="Times New Roman" w:cs="Times New Roman"/>
    </w:rPr>
  </w:style>
  <w:style w:type="paragraph" w:customStyle="1" w:styleId="p2">
    <w:name w:val="p2"/>
    <w:basedOn w:val="Normal"/>
    <w:rsid w:val="00FE7881"/>
    <w:pPr>
      <w:spacing w:before="100" w:beforeAutospacing="1" w:after="100" w:afterAutospacing="1"/>
      <w:jc w:val="left"/>
    </w:pPr>
    <w:rPr>
      <w:rFonts w:ascii="Times New Roman" w:hAnsi="Times New Roman" w:cs="Times New Roman"/>
    </w:rPr>
  </w:style>
  <w:style w:type="paragraph" w:customStyle="1" w:styleId="subsectionhead">
    <w:name w:val="subsectionhead"/>
    <w:basedOn w:val="Normal"/>
    <w:rsid w:val="009A6157"/>
    <w:pPr>
      <w:spacing w:before="100" w:beforeAutospacing="1" w:after="100" w:afterAutospacing="1"/>
      <w:jc w:val="left"/>
    </w:pPr>
    <w:rPr>
      <w:rFonts w:ascii="Times New Roman" w:hAnsi="Times New Roman" w:cs="Times New Roman"/>
    </w:rPr>
  </w:style>
  <w:style w:type="paragraph" w:customStyle="1" w:styleId="subsection">
    <w:name w:val="subsection"/>
    <w:basedOn w:val="Normal"/>
    <w:rsid w:val="009A6157"/>
    <w:pPr>
      <w:spacing w:before="100" w:beforeAutospacing="1" w:after="100" w:afterAutospacing="1"/>
      <w:jc w:val="left"/>
    </w:pPr>
    <w:rPr>
      <w:rFonts w:ascii="Times New Roman" w:hAnsi="Times New Roman" w:cs="Times New Roman"/>
    </w:rPr>
  </w:style>
  <w:style w:type="paragraph" w:customStyle="1" w:styleId="paragraph">
    <w:name w:val="paragraph"/>
    <w:basedOn w:val="Normal"/>
    <w:rsid w:val="009A6157"/>
    <w:pPr>
      <w:spacing w:before="100" w:beforeAutospacing="1" w:after="100" w:afterAutospacing="1"/>
      <w:jc w:val="left"/>
    </w:pPr>
    <w:rPr>
      <w:rFonts w:ascii="Times New Roman" w:hAnsi="Times New Roman" w:cs="Times New Roman"/>
    </w:rPr>
  </w:style>
  <w:style w:type="paragraph" w:customStyle="1" w:styleId="3Bodytext">
    <w:name w:val="3. Body text"/>
    <w:basedOn w:val="ListParagraph"/>
    <w:link w:val="3BodytextChar"/>
    <w:qFormat/>
    <w:rsid w:val="00CB50C0"/>
    <w:pPr>
      <w:numPr>
        <w:numId w:val="0"/>
      </w:numPr>
      <w:ind w:left="709" w:hanging="720"/>
    </w:pPr>
    <w:rPr>
      <w:rFonts w:eastAsiaTheme="minorHAnsi" w:cstheme="minorBidi"/>
      <w:snapToGrid/>
      <w:szCs w:val="22"/>
    </w:rPr>
  </w:style>
  <w:style w:type="character" w:customStyle="1" w:styleId="3BodytextChar">
    <w:name w:val="3. Body text Char"/>
    <w:basedOn w:val="DefaultParagraphFont"/>
    <w:link w:val="3Bodytext"/>
    <w:rsid w:val="00CB50C0"/>
    <w:rPr>
      <w:rFonts w:asciiTheme="minorHAnsi" w:eastAsiaTheme="minorHAnsi" w:hAnsi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75864953">
      <w:bodyDiv w:val="1"/>
      <w:marLeft w:val="0"/>
      <w:marRight w:val="0"/>
      <w:marTop w:val="0"/>
      <w:marBottom w:val="0"/>
      <w:divBdr>
        <w:top w:val="none" w:sz="0" w:space="0" w:color="auto"/>
        <w:left w:val="none" w:sz="0" w:space="0" w:color="auto"/>
        <w:bottom w:val="none" w:sz="0" w:space="0" w:color="auto"/>
        <w:right w:val="none" w:sz="0" w:space="0" w:color="auto"/>
      </w:divBdr>
    </w:div>
    <w:div w:id="942764008">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844935">
      <w:bodyDiv w:val="1"/>
      <w:marLeft w:val="0"/>
      <w:marRight w:val="0"/>
      <w:marTop w:val="0"/>
      <w:marBottom w:val="0"/>
      <w:divBdr>
        <w:top w:val="none" w:sz="0" w:space="0" w:color="auto"/>
        <w:left w:val="none" w:sz="0" w:space="0" w:color="auto"/>
        <w:bottom w:val="none" w:sz="0" w:space="0" w:color="auto"/>
        <w:right w:val="none" w:sz="0" w:space="0" w:color="auto"/>
      </w:divBdr>
    </w:div>
    <w:div w:id="1588805574">
      <w:bodyDiv w:val="1"/>
      <w:marLeft w:val="0"/>
      <w:marRight w:val="0"/>
      <w:marTop w:val="0"/>
      <w:marBottom w:val="0"/>
      <w:divBdr>
        <w:top w:val="none" w:sz="0" w:space="0" w:color="auto"/>
        <w:left w:val="none" w:sz="0" w:space="0" w:color="auto"/>
        <w:bottom w:val="none" w:sz="0" w:space="0" w:color="auto"/>
        <w:right w:val="none" w:sz="0" w:space="0" w:color="auto"/>
      </w:divBdr>
    </w:div>
    <w:div w:id="1674721472">
      <w:bodyDiv w:val="1"/>
      <w:marLeft w:val="0"/>
      <w:marRight w:val="0"/>
      <w:marTop w:val="0"/>
      <w:marBottom w:val="0"/>
      <w:divBdr>
        <w:top w:val="none" w:sz="0" w:space="0" w:color="auto"/>
        <w:left w:val="none" w:sz="0" w:space="0" w:color="auto"/>
        <w:bottom w:val="none" w:sz="0" w:space="0" w:color="auto"/>
        <w:right w:val="none" w:sz="0" w:space="0" w:color="auto"/>
      </w:divBdr>
    </w:div>
    <w:div w:id="1681855071">
      <w:bodyDiv w:val="1"/>
      <w:marLeft w:val="0"/>
      <w:marRight w:val="0"/>
      <w:marTop w:val="0"/>
      <w:marBottom w:val="0"/>
      <w:divBdr>
        <w:top w:val="none" w:sz="0" w:space="0" w:color="auto"/>
        <w:left w:val="none" w:sz="0" w:space="0" w:color="auto"/>
        <w:bottom w:val="none" w:sz="0" w:space="0" w:color="auto"/>
        <w:right w:val="none" w:sz="0" w:space="0" w:color="auto"/>
      </w:divBdr>
    </w:div>
    <w:div w:id="1686208104">
      <w:bodyDiv w:val="1"/>
      <w:marLeft w:val="0"/>
      <w:marRight w:val="0"/>
      <w:marTop w:val="0"/>
      <w:marBottom w:val="0"/>
      <w:divBdr>
        <w:top w:val="none" w:sz="0" w:space="0" w:color="auto"/>
        <w:left w:val="none" w:sz="0" w:space="0" w:color="auto"/>
        <w:bottom w:val="none" w:sz="0" w:space="0" w:color="auto"/>
        <w:right w:val="none" w:sz="0" w:space="0" w:color="auto"/>
      </w:divBdr>
      <w:divsChild>
        <w:div w:id="357856487">
          <w:marLeft w:val="0"/>
          <w:marRight w:val="0"/>
          <w:marTop w:val="0"/>
          <w:marBottom w:val="0"/>
          <w:divBdr>
            <w:top w:val="none" w:sz="0" w:space="0" w:color="auto"/>
            <w:left w:val="none" w:sz="0" w:space="0" w:color="auto"/>
            <w:bottom w:val="none" w:sz="0" w:space="0" w:color="auto"/>
            <w:right w:val="none" w:sz="0" w:space="0" w:color="auto"/>
          </w:divBdr>
          <w:divsChild>
            <w:div w:id="479080081">
              <w:marLeft w:val="0"/>
              <w:marRight w:val="0"/>
              <w:marTop w:val="0"/>
              <w:marBottom w:val="0"/>
              <w:divBdr>
                <w:top w:val="none" w:sz="0" w:space="0" w:color="auto"/>
                <w:left w:val="none" w:sz="0" w:space="0" w:color="auto"/>
                <w:bottom w:val="none" w:sz="0" w:space="0" w:color="auto"/>
                <w:right w:val="none" w:sz="0" w:space="0" w:color="auto"/>
              </w:divBdr>
              <w:divsChild>
                <w:div w:id="478113417">
                  <w:marLeft w:val="0"/>
                  <w:marRight w:val="0"/>
                  <w:marTop w:val="0"/>
                  <w:marBottom w:val="0"/>
                  <w:divBdr>
                    <w:top w:val="none" w:sz="0" w:space="0" w:color="auto"/>
                    <w:left w:val="none" w:sz="0" w:space="0" w:color="auto"/>
                    <w:bottom w:val="none" w:sz="0" w:space="0" w:color="auto"/>
                    <w:right w:val="none" w:sz="0" w:space="0" w:color="auto"/>
                  </w:divBdr>
                  <w:divsChild>
                    <w:div w:id="119109821">
                      <w:marLeft w:val="0"/>
                      <w:marRight w:val="0"/>
                      <w:marTop w:val="0"/>
                      <w:marBottom w:val="0"/>
                      <w:divBdr>
                        <w:top w:val="none" w:sz="0" w:space="0" w:color="auto"/>
                        <w:left w:val="none" w:sz="0" w:space="0" w:color="auto"/>
                        <w:bottom w:val="none" w:sz="0" w:space="0" w:color="auto"/>
                        <w:right w:val="none" w:sz="0" w:space="0" w:color="auto"/>
                      </w:divBdr>
                      <w:divsChild>
                        <w:div w:id="1741514322">
                          <w:marLeft w:val="0"/>
                          <w:marRight w:val="0"/>
                          <w:marTop w:val="0"/>
                          <w:marBottom w:val="0"/>
                          <w:divBdr>
                            <w:top w:val="none" w:sz="0" w:space="0" w:color="auto"/>
                            <w:left w:val="none" w:sz="0" w:space="0" w:color="auto"/>
                            <w:bottom w:val="none" w:sz="0" w:space="0" w:color="auto"/>
                            <w:right w:val="none" w:sz="0" w:space="0" w:color="auto"/>
                          </w:divBdr>
                          <w:divsChild>
                            <w:div w:id="1485396527">
                              <w:marLeft w:val="0"/>
                              <w:marRight w:val="0"/>
                              <w:marTop w:val="0"/>
                              <w:marBottom w:val="0"/>
                              <w:divBdr>
                                <w:top w:val="none" w:sz="0" w:space="0" w:color="auto"/>
                                <w:left w:val="none" w:sz="0" w:space="0" w:color="auto"/>
                                <w:bottom w:val="none" w:sz="0" w:space="0" w:color="auto"/>
                                <w:right w:val="none" w:sz="0" w:space="0" w:color="auto"/>
                              </w:divBdr>
                              <w:divsChild>
                                <w:div w:id="494536763">
                                  <w:marLeft w:val="0"/>
                                  <w:marRight w:val="0"/>
                                  <w:marTop w:val="0"/>
                                  <w:marBottom w:val="0"/>
                                  <w:divBdr>
                                    <w:top w:val="none" w:sz="0" w:space="0" w:color="auto"/>
                                    <w:left w:val="none" w:sz="0" w:space="0" w:color="auto"/>
                                    <w:bottom w:val="none" w:sz="0" w:space="0" w:color="auto"/>
                                    <w:right w:val="none" w:sz="0" w:space="0" w:color="auto"/>
                                  </w:divBdr>
                                  <w:divsChild>
                                    <w:div w:id="869145646">
                                      <w:marLeft w:val="0"/>
                                      <w:marRight w:val="0"/>
                                      <w:marTop w:val="0"/>
                                      <w:marBottom w:val="0"/>
                                      <w:divBdr>
                                        <w:top w:val="none" w:sz="0" w:space="0" w:color="auto"/>
                                        <w:left w:val="none" w:sz="0" w:space="0" w:color="auto"/>
                                        <w:bottom w:val="none" w:sz="0" w:space="0" w:color="auto"/>
                                        <w:right w:val="none" w:sz="0" w:space="0" w:color="auto"/>
                                      </w:divBdr>
                                      <w:divsChild>
                                        <w:div w:id="161091763">
                                          <w:marLeft w:val="0"/>
                                          <w:marRight w:val="0"/>
                                          <w:marTop w:val="0"/>
                                          <w:marBottom w:val="0"/>
                                          <w:divBdr>
                                            <w:top w:val="none" w:sz="0" w:space="0" w:color="auto"/>
                                            <w:left w:val="none" w:sz="0" w:space="0" w:color="auto"/>
                                            <w:bottom w:val="none" w:sz="0" w:space="0" w:color="auto"/>
                                            <w:right w:val="none" w:sz="0" w:space="0" w:color="auto"/>
                                          </w:divBdr>
                                          <w:divsChild>
                                            <w:div w:id="1482693481">
                                              <w:marLeft w:val="0"/>
                                              <w:marRight w:val="0"/>
                                              <w:marTop w:val="0"/>
                                              <w:marBottom w:val="0"/>
                                              <w:divBdr>
                                                <w:top w:val="none" w:sz="0" w:space="0" w:color="auto"/>
                                                <w:left w:val="none" w:sz="0" w:space="0" w:color="auto"/>
                                                <w:bottom w:val="none" w:sz="0" w:space="0" w:color="auto"/>
                                                <w:right w:val="none" w:sz="0" w:space="0" w:color="auto"/>
                                              </w:divBdr>
                                              <w:divsChild>
                                                <w:div w:id="1280336585">
                                                  <w:marLeft w:val="0"/>
                                                  <w:marRight w:val="0"/>
                                                  <w:marTop w:val="0"/>
                                                  <w:marBottom w:val="0"/>
                                                  <w:divBdr>
                                                    <w:top w:val="none" w:sz="0" w:space="0" w:color="auto"/>
                                                    <w:left w:val="none" w:sz="0" w:space="0" w:color="auto"/>
                                                    <w:bottom w:val="none" w:sz="0" w:space="0" w:color="auto"/>
                                                    <w:right w:val="none" w:sz="0" w:space="0" w:color="auto"/>
                                                  </w:divBdr>
                                                  <w:divsChild>
                                                    <w:div w:id="962543295">
                                                      <w:marLeft w:val="0"/>
                                                      <w:marRight w:val="0"/>
                                                      <w:marTop w:val="0"/>
                                                      <w:marBottom w:val="0"/>
                                                      <w:divBdr>
                                                        <w:top w:val="none" w:sz="0" w:space="0" w:color="auto"/>
                                                        <w:left w:val="none" w:sz="0" w:space="0" w:color="auto"/>
                                                        <w:bottom w:val="none" w:sz="0" w:space="0" w:color="auto"/>
                                                        <w:right w:val="none" w:sz="0" w:space="0" w:color="auto"/>
                                                      </w:divBdr>
                                                      <w:divsChild>
                                                        <w:div w:id="128696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73514220">
      <w:bodyDiv w:val="1"/>
      <w:marLeft w:val="0"/>
      <w:marRight w:val="0"/>
      <w:marTop w:val="0"/>
      <w:marBottom w:val="0"/>
      <w:divBdr>
        <w:top w:val="none" w:sz="0" w:space="0" w:color="auto"/>
        <w:left w:val="none" w:sz="0" w:space="0" w:color="auto"/>
        <w:bottom w:val="none" w:sz="0" w:space="0" w:color="auto"/>
        <w:right w:val="none" w:sz="0" w:space="0" w:color="auto"/>
      </w:divBdr>
    </w:div>
    <w:div w:id="204984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19F30-69D0-4645-B6E1-593719AF6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8035</Words>
  <Characters>45023</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2021-03-01T01:06:00Z</dcterms:created>
  <dcterms:modified xsi:type="dcterms:W3CDTF">2021-03-01T01:10:00Z</dcterms:modified>
</cp:coreProperties>
</file>