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128DF" w14:textId="77777777" w:rsidR="00E3279B" w:rsidRDefault="003A3A88" w:rsidP="00F27CC5">
      <w:pPr>
        <w:pStyle w:val="1-MainHeading"/>
        <w:spacing w:after="120"/>
      </w:pPr>
      <w:bookmarkStart w:id="0" w:name="_Toc50643108"/>
      <w:r w:rsidRPr="00901D86">
        <w:t>6.06</w:t>
      </w:r>
      <w:r w:rsidR="00163F66" w:rsidRPr="00901D86">
        <w:tab/>
      </w:r>
      <w:r w:rsidR="00D52877" w:rsidRPr="00901D86">
        <w:t>GUSELKUMAB,</w:t>
      </w:r>
      <w:r w:rsidR="00D52877" w:rsidRPr="00901D86">
        <w:br/>
      </w:r>
      <w:r w:rsidR="00F27CC5" w:rsidRPr="00901D86">
        <w:t xml:space="preserve">Injection </w:t>
      </w:r>
      <w:r w:rsidR="006F588A" w:rsidRPr="00901D86">
        <w:t xml:space="preserve">100 mg in 1 mL </w:t>
      </w:r>
      <w:r w:rsidR="00F27CC5" w:rsidRPr="00901D86">
        <w:t>single use pre-filled syringe,</w:t>
      </w:r>
      <w:r w:rsidR="00D52877" w:rsidRPr="00901D86">
        <w:br/>
      </w:r>
      <w:r w:rsidR="00F27CC5" w:rsidRPr="00901D86">
        <w:t xml:space="preserve">Injection </w:t>
      </w:r>
      <w:r w:rsidR="006F588A" w:rsidRPr="00901D86">
        <w:t>100 mg in 1 mL single use pre-filled pen,</w:t>
      </w:r>
      <w:r w:rsidR="00D52877" w:rsidRPr="00901D86">
        <w:br/>
        <w:t>Tremfya®,</w:t>
      </w:r>
      <w:r w:rsidR="006F588A" w:rsidRPr="00901D86">
        <w:t xml:space="preserve"> </w:t>
      </w:r>
    </w:p>
    <w:p w14:paraId="1AD0B581" w14:textId="2EF3E33B" w:rsidR="00D52877" w:rsidRPr="00901D86" w:rsidRDefault="00F27CC5" w:rsidP="00E3279B">
      <w:pPr>
        <w:pStyle w:val="1-MainHeading"/>
        <w:spacing w:after="120"/>
        <w:ind w:firstLine="0"/>
      </w:pPr>
      <w:r w:rsidRPr="00901D86">
        <w:t>Janssen-Cilag Australia Pty Ltd</w:t>
      </w:r>
      <w:bookmarkEnd w:id="0"/>
    </w:p>
    <w:p w14:paraId="53CFC42B" w14:textId="77777777" w:rsidR="00B50DB8" w:rsidRPr="00901D86" w:rsidRDefault="00B50DB8" w:rsidP="004A6040">
      <w:pPr>
        <w:pStyle w:val="2-SectionHeading"/>
      </w:pPr>
      <w:bookmarkStart w:id="1" w:name="_Toc50643110"/>
      <w:r w:rsidRPr="00901D86">
        <w:t xml:space="preserve">Purpose of </w:t>
      </w:r>
      <w:r w:rsidR="00CD7193" w:rsidRPr="00901D86">
        <w:t>s</w:t>
      </w:r>
      <w:r w:rsidR="00BB3A45" w:rsidRPr="00901D86">
        <w:t>ubmission</w:t>
      </w:r>
      <w:bookmarkEnd w:id="1"/>
    </w:p>
    <w:p w14:paraId="64A58933" w14:textId="77777777" w:rsidR="00D52877" w:rsidRPr="00901D86" w:rsidRDefault="00D52877" w:rsidP="00D52877">
      <w:pPr>
        <w:pStyle w:val="3-BodyText"/>
      </w:pPr>
      <w:r w:rsidRPr="00901D86">
        <w:t xml:space="preserve">The submission requested an Authority Required listing for guselkumab for the treatment of severe psoriatic arthritis (PsA) in patients meeting the specified criteria. This </w:t>
      </w:r>
      <w:r w:rsidR="006433BB" w:rsidRPr="00901D86">
        <w:t>wa</w:t>
      </w:r>
      <w:r w:rsidRPr="00901D86">
        <w:t>s the first submission for guselkumab for PsA to be considered by the PBAC. Guselkumab</w:t>
      </w:r>
      <w:r w:rsidR="00F9680F" w:rsidRPr="00901D86">
        <w:t xml:space="preserve"> is</w:t>
      </w:r>
      <w:r w:rsidR="006433BB" w:rsidRPr="00901D86">
        <w:t xml:space="preserve"> </w:t>
      </w:r>
      <w:r w:rsidRPr="00901D86">
        <w:t xml:space="preserve">listed on the PBS for treatment of severe chronic plaque psoriasis (CPP). </w:t>
      </w:r>
    </w:p>
    <w:p w14:paraId="71AB844E" w14:textId="7B75B225" w:rsidR="00C2778B" w:rsidRPr="00901D86" w:rsidRDefault="0034462A" w:rsidP="00E3279B">
      <w:pPr>
        <w:pStyle w:val="3-BodyText"/>
      </w:pPr>
      <w:r w:rsidRPr="00901D86">
        <w:t>The l</w:t>
      </w:r>
      <w:r w:rsidR="008150A9" w:rsidRPr="00901D86">
        <w:t xml:space="preserve">isting was requested on the basis of a cost-minimisation analysis (CMA) versus ustekinumab. </w:t>
      </w:r>
      <w:r w:rsidR="005C03E1" w:rsidRPr="00901D86">
        <w:t>Table 1 summarises the key components of the clinical issue addressed by the submission.</w:t>
      </w:r>
    </w:p>
    <w:p w14:paraId="02DA9F37" w14:textId="77777777" w:rsidR="00E3279B" w:rsidRDefault="00E3279B">
      <w:pPr>
        <w:jc w:val="left"/>
        <w:rPr>
          <w:rStyle w:val="CommentReference"/>
          <w:rFonts w:eastAsiaTheme="majorEastAsia" w:cstheme="majorBidi"/>
          <w:bCs/>
          <w:szCs w:val="24"/>
        </w:rPr>
      </w:pPr>
      <w:bookmarkStart w:id="2" w:name="_Ref50429097"/>
      <w:r>
        <w:rPr>
          <w:rStyle w:val="CommentReference"/>
          <w:b w:val="0"/>
          <w:szCs w:val="24"/>
        </w:rPr>
        <w:br w:type="page"/>
      </w:r>
    </w:p>
    <w:p w14:paraId="5BFFA343" w14:textId="7E75A8D3" w:rsidR="00D52877" w:rsidRPr="00901D86" w:rsidRDefault="006C5E4A" w:rsidP="00D52877">
      <w:pPr>
        <w:pStyle w:val="TableFigureHeading"/>
      </w:pPr>
      <w:r w:rsidRPr="00901D86">
        <w:rPr>
          <w:rStyle w:val="CommentReference"/>
          <w:b/>
          <w:szCs w:val="24"/>
        </w:rPr>
        <w:lastRenderedPageBreak/>
        <w:t xml:space="preserve">Table </w:t>
      </w:r>
      <w:r w:rsidR="00C16E86" w:rsidRPr="00901D86">
        <w:rPr>
          <w:rStyle w:val="CommentReference"/>
          <w:b/>
          <w:szCs w:val="24"/>
        </w:rPr>
        <w:t>1</w:t>
      </w:r>
      <w:bookmarkEnd w:id="2"/>
      <w:r w:rsidR="00D52877" w:rsidRPr="00901D86">
        <w:rPr>
          <w:rStyle w:val="CommentReference"/>
          <w:b/>
          <w:szCs w:val="24"/>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7318"/>
      </w:tblGrid>
      <w:tr w:rsidR="00D52877" w:rsidRPr="00901D86" w14:paraId="14F0C2C8" w14:textId="77777777" w:rsidTr="006C5E4A">
        <w:tc>
          <w:tcPr>
            <w:tcW w:w="1838" w:type="dxa"/>
            <w:vAlign w:val="center"/>
          </w:tcPr>
          <w:p w14:paraId="79273626" w14:textId="77777777" w:rsidR="00D52877" w:rsidRPr="00901D86" w:rsidRDefault="00D52877" w:rsidP="006C5E4A">
            <w:pPr>
              <w:pStyle w:val="In-tableHeading"/>
              <w:rPr>
                <w:lang w:val="en-AU"/>
              </w:rPr>
            </w:pPr>
            <w:r w:rsidRPr="00901D86">
              <w:rPr>
                <w:lang w:val="en-AU"/>
              </w:rPr>
              <w:t>Component</w:t>
            </w:r>
          </w:p>
        </w:tc>
        <w:tc>
          <w:tcPr>
            <w:tcW w:w="7318" w:type="dxa"/>
            <w:vAlign w:val="center"/>
          </w:tcPr>
          <w:p w14:paraId="705556D3" w14:textId="77777777" w:rsidR="00D52877" w:rsidRPr="00901D86" w:rsidRDefault="00D52877" w:rsidP="006C5E4A">
            <w:pPr>
              <w:pStyle w:val="In-tableHeading"/>
              <w:jc w:val="center"/>
              <w:rPr>
                <w:lang w:val="en-AU"/>
              </w:rPr>
            </w:pPr>
            <w:r w:rsidRPr="00901D86">
              <w:rPr>
                <w:lang w:val="en-AU"/>
              </w:rPr>
              <w:t>Description</w:t>
            </w:r>
          </w:p>
        </w:tc>
      </w:tr>
      <w:tr w:rsidR="00D52877" w:rsidRPr="00901D86" w14:paraId="2A77075B" w14:textId="77777777" w:rsidTr="006C5E4A">
        <w:tc>
          <w:tcPr>
            <w:tcW w:w="1838" w:type="dxa"/>
            <w:vAlign w:val="center"/>
          </w:tcPr>
          <w:p w14:paraId="736D3C4F" w14:textId="77777777" w:rsidR="00D52877" w:rsidRPr="00901D86" w:rsidRDefault="00D52877" w:rsidP="006C5E4A">
            <w:pPr>
              <w:pStyle w:val="TableText0"/>
            </w:pPr>
            <w:r w:rsidRPr="00901D86">
              <w:t>Population</w:t>
            </w:r>
          </w:p>
        </w:tc>
        <w:tc>
          <w:tcPr>
            <w:tcW w:w="7318" w:type="dxa"/>
            <w:vAlign w:val="center"/>
          </w:tcPr>
          <w:p w14:paraId="40AF91BE" w14:textId="77777777" w:rsidR="00D52877" w:rsidRPr="00901D86" w:rsidRDefault="00D52877" w:rsidP="00F85DDB">
            <w:pPr>
              <w:pStyle w:val="TableText0"/>
            </w:pPr>
            <w:r w:rsidRPr="00901D86">
              <w:t>Severe PsA in adult patients who have failed to respond to methotrexate and sulfasalazine or leflunomide.</w:t>
            </w:r>
          </w:p>
        </w:tc>
      </w:tr>
      <w:tr w:rsidR="00D52877" w:rsidRPr="00901D86" w14:paraId="2B5B3732" w14:textId="77777777" w:rsidTr="006C5E4A">
        <w:tc>
          <w:tcPr>
            <w:tcW w:w="1838" w:type="dxa"/>
            <w:vAlign w:val="center"/>
          </w:tcPr>
          <w:p w14:paraId="33620607" w14:textId="77777777" w:rsidR="00D52877" w:rsidRPr="00901D86" w:rsidRDefault="00D52877" w:rsidP="006C5E4A">
            <w:pPr>
              <w:pStyle w:val="TableText0"/>
            </w:pPr>
            <w:r w:rsidRPr="00901D86">
              <w:t>Intervention</w:t>
            </w:r>
          </w:p>
        </w:tc>
        <w:tc>
          <w:tcPr>
            <w:tcW w:w="7318" w:type="dxa"/>
            <w:vAlign w:val="center"/>
          </w:tcPr>
          <w:p w14:paraId="528DF775" w14:textId="77777777" w:rsidR="00D52877" w:rsidRPr="00901D86" w:rsidRDefault="00D52877" w:rsidP="006C5E4A">
            <w:pPr>
              <w:pStyle w:val="TableText0"/>
            </w:pPr>
            <w:r w:rsidRPr="00901D86">
              <w:t xml:space="preserve">Guselkumab: administered subcutaneously as 100 mg pre-filled syringe </w:t>
            </w:r>
            <w:r w:rsidRPr="00901D86">
              <w:rPr>
                <w:iCs/>
              </w:rPr>
              <w:t>or pen</w:t>
            </w:r>
            <w:r w:rsidRPr="00901D86">
              <w:rPr>
                <w:vertAlign w:val="superscript"/>
              </w:rPr>
              <w:t>a</w:t>
            </w:r>
            <w:r w:rsidRPr="00901D86">
              <w:t xml:space="preserve"> at Week 0, Week 4, and every 8 weeks thereafter. Treatment is administered until loss of response or unacceptable toxicity.</w:t>
            </w:r>
          </w:p>
        </w:tc>
      </w:tr>
      <w:tr w:rsidR="00D52877" w:rsidRPr="00901D86" w14:paraId="3447E9D9" w14:textId="77777777" w:rsidTr="006C5E4A">
        <w:tc>
          <w:tcPr>
            <w:tcW w:w="1838" w:type="dxa"/>
            <w:vAlign w:val="center"/>
          </w:tcPr>
          <w:p w14:paraId="65613E05" w14:textId="77777777" w:rsidR="00D52877" w:rsidRPr="00901D86" w:rsidRDefault="00D52877" w:rsidP="006C5E4A">
            <w:pPr>
              <w:pStyle w:val="TableText0"/>
            </w:pPr>
            <w:r w:rsidRPr="00901D86">
              <w:t>Comparator</w:t>
            </w:r>
          </w:p>
        </w:tc>
        <w:tc>
          <w:tcPr>
            <w:tcW w:w="7318" w:type="dxa"/>
            <w:vAlign w:val="center"/>
          </w:tcPr>
          <w:p w14:paraId="5E95433F" w14:textId="77777777" w:rsidR="00D52877" w:rsidRPr="00901D86" w:rsidRDefault="00D52877" w:rsidP="006C5E4A">
            <w:pPr>
              <w:pStyle w:val="TableText0"/>
            </w:pPr>
            <w:r w:rsidRPr="00901D86">
              <w:t xml:space="preserve">Primary clinical and pricing comparator: ustekinumab. </w:t>
            </w:r>
          </w:p>
          <w:p w14:paraId="1F41A447" w14:textId="77777777" w:rsidR="00D52877" w:rsidRPr="00901D86" w:rsidRDefault="00D52877" w:rsidP="006C5E4A">
            <w:pPr>
              <w:pStyle w:val="TableText0"/>
            </w:pPr>
            <w:r w:rsidRPr="00901D86">
              <w:t>Secondary clinical comparators: certolizumab pegol, secukinumab, tofacitinib, adalimumab.</w:t>
            </w:r>
          </w:p>
        </w:tc>
      </w:tr>
      <w:tr w:rsidR="00D52877" w:rsidRPr="00901D86" w14:paraId="7297C818" w14:textId="77777777" w:rsidTr="006C5E4A">
        <w:tc>
          <w:tcPr>
            <w:tcW w:w="1838" w:type="dxa"/>
            <w:vAlign w:val="center"/>
          </w:tcPr>
          <w:p w14:paraId="45E2EA32" w14:textId="77777777" w:rsidR="00D52877" w:rsidRPr="00901D86" w:rsidRDefault="00D52877" w:rsidP="006C5E4A">
            <w:pPr>
              <w:pStyle w:val="TableText0"/>
            </w:pPr>
            <w:r w:rsidRPr="00901D86">
              <w:t>Outcomes</w:t>
            </w:r>
          </w:p>
        </w:tc>
        <w:tc>
          <w:tcPr>
            <w:tcW w:w="7318" w:type="dxa"/>
            <w:vAlign w:val="center"/>
          </w:tcPr>
          <w:p w14:paraId="2D3F5B21" w14:textId="77777777" w:rsidR="00D52877" w:rsidRPr="00901D86" w:rsidRDefault="00D52877" w:rsidP="006C5E4A">
            <w:pPr>
              <w:pStyle w:val="TableText0"/>
            </w:pPr>
            <w:r w:rsidRPr="00901D86">
              <w:t>ACR20, ACR50 and safety.</w:t>
            </w:r>
          </w:p>
        </w:tc>
      </w:tr>
      <w:tr w:rsidR="00D52877" w:rsidRPr="00901D86" w14:paraId="54DFE4A9" w14:textId="77777777" w:rsidTr="006C5E4A">
        <w:tc>
          <w:tcPr>
            <w:tcW w:w="1838" w:type="dxa"/>
            <w:vAlign w:val="center"/>
          </w:tcPr>
          <w:p w14:paraId="43E42905" w14:textId="77777777" w:rsidR="00D52877" w:rsidRPr="00901D86" w:rsidRDefault="00D52877" w:rsidP="006C5E4A">
            <w:pPr>
              <w:pStyle w:val="TableText0"/>
            </w:pPr>
            <w:r w:rsidRPr="00901D86">
              <w:t>Clinical claim versus ustekinumab (primary comparator) - efficacy</w:t>
            </w:r>
          </w:p>
        </w:tc>
        <w:tc>
          <w:tcPr>
            <w:tcW w:w="7318" w:type="dxa"/>
            <w:vAlign w:val="center"/>
          </w:tcPr>
          <w:p w14:paraId="230678AA" w14:textId="77777777" w:rsidR="00D52877" w:rsidRPr="00901D86" w:rsidRDefault="00D52877" w:rsidP="006C5E4A">
            <w:pPr>
              <w:pStyle w:val="TableText0"/>
            </w:pPr>
            <w:r w:rsidRPr="00901D86">
              <w:t xml:space="preserve">In patients with severe PsA, </w:t>
            </w:r>
          </w:p>
          <w:p w14:paraId="4A4FCF0D" w14:textId="77777777" w:rsidR="00D52877" w:rsidRPr="00901D86" w:rsidRDefault="00D52877" w:rsidP="005608AC">
            <w:pPr>
              <w:pStyle w:val="TableText0"/>
              <w:numPr>
                <w:ilvl w:val="1"/>
                <w:numId w:val="15"/>
              </w:numPr>
              <w:ind w:left="149" w:hanging="142"/>
            </w:pPr>
            <w:r w:rsidRPr="00901D86">
              <w:t>The indirect comparisons show that the treatment effect of guselkumab is similar to ustekinumab with respect to ACR20 (RR: 0.97 [95% CI: 0.62, 1.52]; OR: 1.19 [95% CI: 0.71, 2.00]). The lower bound of the 95% CI of the RR is 0.62 which is above 0.46 (the margin of difference previously accepted by the PBAC), and thus guselkumab is non-inferior to ustekinumab in the induction of ACR20.</w:t>
            </w:r>
          </w:p>
          <w:p w14:paraId="72C6EF86" w14:textId="77777777" w:rsidR="00D52877" w:rsidRPr="00901D86" w:rsidRDefault="00D52877" w:rsidP="005608AC">
            <w:pPr>
              <w:pStyle w:val="TableText0"/>
              <w:numPr>
                <w:ilvl w:val="1"/>
                <w:numId w:val="15"/>
              </w:numPr>
              <w:ind w:left="149" w:hanging="142"/>
            </w:pPr>
            <w:r w:rsidRPr="00901D86">
              <w:t xml:space="preserve">The indirect comparisons show that the treatment effect of guselkumab is similar to ustekinumab with respect to ACR50. When using the RR, the difference in achieving ACR50 is not statistically significant (RR: 0.77 [95% CI: 0.28, 2.11]). Whilst it is noted that the lower bound of the 95% CI is below the margin of difference previously accepted by the PBAC (&gt;0.29), the difference is negligible (0.01). Thus, guselkumab is non-inferior to ustekinumab. </w:t>
            </w:r>
          </w:p>
        </w:tc>
      </w:tr>
      <w:tr w:rsidR="00D52877" w:rsidRPr="00901D86" w14:paraId="335E5C41" w14:textId="77777777" w:rsidTr="006C5E4A">
        <w:tc>
          <w:tcPr>
            <w:tcW w:w="1838" w:type="dxa"/>
            <w:shd w:val="clear" w:color="auto" w:fill="auto"/>
            <w:vAlign w:val="center"/>
          </w:tcPr>
          <w:p w14:paraId="2C540056" w14:textId="77777777" w:rsidR="00D52877" w:rsidRPr="00901D86" w:rsidRDefault="00D52877" w:rsidP="006C5E4A">
            <w:pPr>
              <w:pStyle w:val="TableText0"/>
            </w:pPr>
            <w:r w:rsidRPr="00901D86">
              <w:t>Clinical claim versus certolizumab pegol, secukinumab, tofacitinib, adalimumab (secondary comparators) - efficacy</w:t>
            </w:r>
          </w:p>
        </w:tc>
        <w:tc>
          <w:tcPr>
            <w:tcW w:w="7318" w:type="dxa"/>
            <w:shd w:val="clear" w:color="auto" w:fill="auto"/>
            <w:vAlign w:val="center"/>
          </w:tcPr>
          <w:p w14:paraId="2D9DAE06" w14:textId="77777777" w:rsidR="00D52877" w:rsidRPr="00901D86" w:rsidRDefault="00D52877" w:rsidP="006C5E4A">
            <w:pPr>
              <w:pStyle w:val="TableText0"/>
            </w:pPr>
            <w:r w:rsidRPr="00901D86">
              <w:t xml:space="preserve">In patients with severe PsA, </w:t>
            </w:r>
          </w:p>
          <w:p w14:paraId="1529DA4C" w14:textId="77777777" w:rsidR="00D52877" w:rsidRPr="00901D86" w:rsidRDefault="00D52877" w:rsidP="005608AC">
            <w:pPr>
              <w:pStyle w:val="TableText0"/>
              <w:numPr>
                <w:ilvl w:val="1"/>
                <w:numId w:val="15"/>
              </w:numPr>
              <w:ind w:left="149" w:hanging="142"/>
            </w:pPr>
            <w:r w:rsidRPr="00901D86">
              <w:t>Guselkumab demonstrates non-inferior comparative effectiveness to the secondary comparators certolizumab pegol, tofacitinib, and secukinumab in induction and maintenance treatment of severe PsA.</w:t>
            </w:r>
          </w:p>
          <w:p w14:paraId="01A85F58" w14:textId="77777777" w:rsidR="00D52877" w:rsidRPr="00901D86" w:rsidRDefault="00D52877" w:rsidP="005608AC">
            <w:pPr>
              <w:pStyle w:val="TableText0"/>
              <w:numPr>
                <w:ilvl w:val="1"/>
                <w:numId w:val="15"/>
              </w:numPr>
              <w:ind w:left="149" w:hanging="142"/>
            </w:pPr>
            <w:r w:rsidRPr="00901D86">
              <w:t>Consistent with PBAC deliberations for ustekinumab, certolizumab, secukinumab, and tofacitinib; guselkumab did not demonstrate non-inferiority against the secondary comparator adalimumab in induction but demonstrated non-inferiority in maintenance treatment of severe PsA.</w:t>
            </w:r>
          </w:p>
        </w:tc>
      </w:tr>
      <w:tr w:rsidR="00D52877" w:rsidRPr="00901D86" w14:paraId="2032EC70" w14:textId="77777777" w:rsidTr="006C5E4A">
        <w:tc>
          <w:tcPr>
            <w:tcW w:w="1838" w:type="dxa"/>
            <w:shd w:val="clear" w:color="auto" w:fill="auto"/>
            <w:vAlign w:val="center"/>
          </w:tcPr>
          <w:p w14:paraId="460606AD" w14:textId="77777777" w:rsidR="00D52877" w:rsidRPr="00901D86" w:rsidRDefault="00D52877" w:rsidP="006C5E4A">
            <w:pPr>
              <w:pStyle w:val="TableText0"/>
            </w:pPr>
            <w:r w:rsidRPr="00901D86">
              <w:t>Clinical claim - safety</w:t>
            </w:r>
          </w:p>
        </w:tc>
        <w:tc>
          <w:tcPr>
            <w:tcW w:w="7318" w:type="dxa"/>
            <w:shd w:val="clear" w:color="auto" w:fill="auto"/>
            <w:vAlign w:val="center"/>
          </w:tcPr>
          <w:p w14:paraId="703AF0C0" w14:textId="77777777" w:rsidR="00D52877" w:rsidRPr="00901D86" w:rsidRDefault="00D52877" w:rsidP="006C5E4A">
            <w:pPr>
              <w:pStyle w:val="TableText0"/>
            </w:pPr>
            <w:r w:rsidRPr="00901D86">
              <w:t>Guselkumab is well tolerated with non-inferior safety compared to ustekinumab and all secondary comparators certolizumab pegol, secukinumab, tofacitinib, adalimumab.</w:t>
            </w:r>
          </w:p>
        </w:tc>
      </w:tr>
    </w:tbl>
    <w:p w14:paraId="5CA553BC" w14:textId="77777777" w:rsidR="00D52877" w:rsidRPr="00E96E7B" w:rsidRDefault="00D52877" w:rsidP="00D52877">
      <w:pPr>
        <w:pStyle w:val="TableFigureFooter"/>
        <w:spacing w:after="0"/>
      </w:pPr>
      <w:r w:rsidRPr="00E96E7B">
        <w:t>Source: Table 1.1, p</w:t>
      </w:r>
      <w:r w:rsidR="006C5E4A" w:rsidRPr="00E96E7B">
        <w:t>14</w:t>
      </w:r>
      <w:r w:rsidRPr="00E96E7B">
        <w:t xml:space="preserve"> of the submission.</w:t>
      </w:r>
    </w:p>
    <w:p w14:paraId="4D8A4556" w14:textId="77777777" w:rsidR="00D52877" w:rsidRPr="00901D86" w:rsidRDefault="00D52877" w:rsidP="00D52877">
      <w:pPr>
        <w:pStyle w:val="TableFigureFooter"/>
        <w:tabs>
          <w:tab w:val="left" w:pos="284"/>
        </w:tabs>
        <w:spacing w:after="0"/>
        <w:ind w:left="284" w:hanging="284"/>
      </w:pPr>
      <w:r w:rsidRPr="00E96E7B">
        <w:rPr>
          <w:vertAlign w:val="superscript"/>
        </w:rPr>
        <w:t>a</w:t>
      </w:r>
      <w:r w:rsidRPr="00E96E7B">
        <w:tab/>
      </w:r>
      <w:r w:rsidR="0034462A" w:rsidRPr="00E96E7B">
        <w:t xml:space="preserve">the </w:t>
      </w:r>
      <w:r w:rsidRPr="00E96E7B">
        <w:t>current guselkumab product information (PI) includes</w:t>
      </w:r>
      <w:r w:rsidR="0034462A" w:rsidRPr="00E96E7B">
        <w:t xml:space="preserve"> a</w:t>
      </w:r>
      <w:r w:rsidRPr="00E96E7B">
        <w:t xml:space="preserve"> pre-filled syringe and pen for the psoriasis (PsO) indication. </w:t>
      </w:r>
      <w:r w:rsidR="0034462A" w:rsidRPr="00E96E7B">
        <w:t>The d</w:t>
      </w:r>
      <w:r w:rsidRPr="00E96E7B">
        <w:t>raft PI for the PsA indication only included the pre-filled syringe, but that is expected to change to include both the pre-filled syringe and pen.</w:t>
      </w:r>
    </w:p>
    <w:p w14:paraId="4C92DF9D" w14:textId="77777777" w:rsidR="00D52877" w:rsidRPr="00901D86" w:rsidRDefault="00D52877" w:rsidP="006C5E4A">
      <w:pPr>
        <w:pStyle w:val="TableFigureFooter"/>
        <w:tabs>
          <w:tab w:val="left" w:pos="0"/>
        </w:tabs>
        <w:spacing w:after="0"/>
      </w:pPr>
      <w:r w:rsidRPr="00901D86">
        <w:t xml:space="preserve">ACR = American College of Rheumatology; </w:t>
      </w:r>
      <w:r w:rsidR="006C5E4A" w:rsidRPr="00901D86">
        <w:t xml:space="preserve">ACR20 = ≥20% improvement in tender and swollen joint counts and ≥20% improvement in 3 of 5 remaining ACR core set measures; ACR50 = ≥50% improvement in tender and swollen joint counts and ≥50% improvement in 3 of 5 remaining ACR core set measures; </w:t>
      </w:r>
      <w:r w:rsidRPr="00901D86">
        <w:t>PsA = psoriatic arthritis</w:t>
      </w:r>
    </w:p>
    <w:p w14:paraId="39996F0A" w14:textId="77777777" w:rsidR="005C25FF" w:rsidRPr="00901D86" w:rsidRDefault="005C25FF" w:rsidP="004A6040">
      <w:pPr>
        <w:pStyle w:val="2-SectionHeading"/>
      </w:pPr>
      <w:bookmarkStart w:id="3" w:name="_Toc50643111"/>
      <w:r w:rsidRPr="00901D86">
        <w:t>Background</w:t>
      </w:r>
      <w:bookmarkEnd w:id="3"/>
    </w:p>
    <w:p w14:paraId="4E45A6C7" w14:textId="77777777" w:rsidR="005C25FF" w:rsidRPr="00901D86" w:rsidRDefault="005C25FF" w:rsidP="004A6040">
      <w:pPr>
        <w:pStyle w:val="4-SubsectionHeading"/>
      </w:pPr>
      <w:bookmarkStart w:id="4" w:name="_Toc22897638"/>
      <w:bookmarkStart w:id="5" w:name="_Toc50643112"/>
      <w:r w:rsidRPr="00901D86">
        <w:t>Registration status</w:t>
      </w:r>
      <w:bookmarkEnd w:id="4"/>
      <w:bookmarkEnd w:id="5"/>
    </w:p>
    <w:p w14:paraId="611BF975" w14:textId="77777777" w:rsidR="006C5E4A" w:rsidRPr="00901D86" w:rsidRDefault="006C5E4A" w:rsidP="006C5E4A">
      <w:pPr>
        <w:pStyle w:val="3-BodyText"/>
      </w:pPr>
      <w:r w:rsidRPr="00901D86">
        <w:t>The submission was made under the</w:t>
      </w:r>
      <w:r w:rsidR="00C14DCB" w:rsidRPr="00901D86">
        <w:t xml:space="preserve"> Therapeutic Goods Administration</w:t>
      </w:r>
      <w:r w:rsidRPr="00901D86">
        <w:t xml:space="preserve"> </w:t>
      </w:r>
      <w:r w:rsidR="00C14DCB" w:rsidRPr="00901D86">
        <w:t>(</w:t>
      </w:r>
      <w:r w:rsidRPr="00901D86">
        <w:t>TGA</w:t>
      </w:r>
      <w:r w:rsidR="00C14DCB" w:rsidRPr="00901D86">
        <w:t>)</w:t>
      </w:r>
      <w:r w:rsidRPr="00901D86">
        <w:t xml:space="preserve">/PBAC Parallel Process. At the time of PBAC consideration, the </w:t>
      </w:r>
      <w:r w:rsidR="00F27F3E" w:rsidRPr="00901D86">
        <w:t>Delegate’s Overview</w:t>
      </w:r>
      <w:r w:rsidRPr="00901D86">
        <w:t xml:space="preserve"> was available. The proposed indication, as recommended by the </w:t>
      </w:r>
      <w:r w:rsidR="00F27F3E" w:rsidRPr="00901D86">
        <w:t>Delegate</w:t>
      </w:r>
      <w:r w:rsidRPr="00901D86">
        <w:t xml:space="preserve"> was “for the treatment of adult</w:t>
      </w:r>
      <w:r w:rsidR="006E2A09" w:rsidRPr="00901D86">
        <w:t xml:space="preserve"> patients</w:t>
      </w:r>
      <w:r w:rsidRPr="00901D86">
        <w:t xml:space="preserve"> with active psoriatic arthritis, who have had an inadequate response to, or are intolerant to, prior DMARD</w:t>
      </w:r>
      <w:r w:rsidR="006E2A09" w:rsidRPr="00901D86">
        <w:t xml:space="preserve"> therapy</w:t>
      </w:r>
      <w:r w:rsidRPr="00901D86">
        <w:t>”.</w:t>
      </w:r>
    </w:p>
    <w:p w14:paraId="093DDD31" w14:textId="77777777" w:rsidR="005C25FF" w:rsidRPr="00901D86" w:rsidRDefault="006C5E4A" w:rsidP="006C5E4A">
      <w:pPr>
        <w:pStyle w:val="3-BodyText"/>
      </w:pPr>
      <w:r w:rsidRPr="00901D86">
        <w:t xml:space="preserve">Guselkumab is TGA registered for patients with moderate to severe </w:t>
      </w:r>
      <w:r w:rsidR="005C6B07" w:rsidRPr="00901D86">
        <w:t xml:space="preserve">chronic </w:t>
      </w:r>
      <w:r w:rsidRPr="00901D86">
        <w:t xml:space="preserve">plaque psoriasis </w:t>
      </w:r>
      <w:r w:rsidR="005C6B07" w:rsidRPr="00901D86">
        <w:t xml:space="preserve">(CPP) </w:t>
      </w:r>
      <w:r w:rsidRPr="00901D86">
        <w:t>and PBS listed for the treatment of patients with severe CPP.</w:t>
      </w:r>
    </w:p>
    <w:p w14:paraId="255B528E" w14:textId="77777777" w:rsidR="005D0A71" w:rsidRPr="00901D86" w:rsidRDefault="00B50DB8" w:rsidP="00AA3064">
      <w:pPr>
        <w:pStyle w:val="2-SectionHeading"/>
        <w:rPr>
          <w:rFonts w:cs="Calibri"/>
          <w:bCs/>
        </w:rPr>
      </w:pPr>
      <w:bookmarkStart w:id="6" w:name="_Toc50643113"/>
      <w:r w:rsidRPr="00901D86">
        <w:lastRenderedPageBreak/>
        <w:t>Requested listing</w:t>
      </w:r>
      <w:bookmarkEnd w:id="6"/>
    </w:p>
    <w:tbl>
      <w:tblPr>
        <w:tblW w:w="4977" w:type="pct"/>
        <w:tblInd w:w="28" w:type="dxa"/>
        <w:tblCellMar>
          <w:left w:w="28" w:type="dxa"/>
          <w:right w:w="28" w:type="dxa"/>
        </w:tblCellMar>
        <w:tblLook w:val="0000" w:firstRow="0" w:lastRow="0" w:firstColumn="0" w:lastColumn="0" w:noHBand="0" w:noVBand="0"/>
      </w:tblPr>
      <w:tblGrid>
        <w:gridCol w:w="3340"/>
        <w:gridCol w:w="1067"/>
        <w:gridCol w:w="825"/>
        <w:gridCol w:w="1828"/>
        <w:gridCol w:w="1925"/>
      </w:tblGrid>
      <w:tr w:rsidR="006C5E4A" w:rsidRPr="00901D86" w14:paraId="58B48751" w14:textId="77777777" w:rsidTr="006C5E4A">
        <w:trPr>
          <w:cantSplit/>
          <w:trHeight w:val="463"/>
        </w:trPr>
        <w:tc>
          <w:tcPr>
            <w:tcW w:w="1859" w:type="pct"/>
            <w:tcBorders>
              <w:top w:val="single" w:sz="4" w:space="0" w:color="auto"/>
              <w:bottom w:val="single" w:sz="4" w:space="0" w:color="auto"/>
            </w:tcBorders>
            <w:vAlign w:val="center"/>
          </w:tcPr>
          <w:p w14:paraId="3B7ADC71" w14:textId="77777777" w:rsidR="006C5E4A" w:rsidRPr="00901D86" w:rsidRDefault="006C5E4A" w:rsidP="006C5E4A">
            <w:pPr>
              <w:keepNext/>
              <w:jc w:val="left"/>
              <w:rPr>
                <w:rFonts w:ascii="Arial Narrow" w:hAnsi="Arial Narrow"/>
                <w:b/>
                <w:sz w:val="20"/>
              </w:rPr>
            </w:pPr>
            <w:r w:rsidRPr="00901D86">
              <w:rPr>
                <w:rFonts w:ascii="Arial Narrow" w:hAnsi="Arial Narrow"/>
                <w:b/>
                <w:sz w:val="20"/>
              </w:rPr>
              <w:t>Name, Restriction,</w:t>
            </w:r>
          </w:p>
          <w:p w14:paraId="7367A022" w14:textId="77777777" w:rsidR="006C5E4A" w:rsidRPr="00901D86" w:rsidRDefault="006C5E4A" w:rsidP="006C5E4A">
            <w:pPr>
              <w:keepNext/>
              <w:jc w:val="left"/>
              <w:rPr>
                <w:rFonts w:ascii="Arial Narrow" w:hAnsi="Arial Narrow"/>
                <w:b/>
                <w:sz w:val="20"/>
              </w:rPr>
            </w:pPr>
            <w:r w:rsidRPr="00901D86">
              <w:rPr>
                <w:rFonts w:ascii="Arial Narrow" w:hAnsi="Arial Narrow"/>
                <w:b/>
                <w:sz w:val="20"/>
              </w:rPr>
              <w:t>Manner of administration and form</w:t>
            </w:r>
          </w:p>
        </w:tc>
        <w:tc>
          <w:tcPr>
            <w:tcW w:w="594" w:type="pct"/>
            <w:tcBorders>
              <w:top w:val="single" w:sz="4" w:space="0" w:color="auto"/>
              <w:bottom w:val="single" w:sz="4" w:space="0" w:color="auto"/>
            </w:tcBorders>
            <w:vAlign w:val="center"/>
          </w:tcPr>
          <w:p w14:paraId="69772452" w14:textId="77777777" w:rsidR="006C5E4A" w:rsidRPr="00901D86" w:rsidRDefault="006C5E4A" w:rsidP="006C5E4A">
            <w:pPr>
              <w:keepNext/>
              <w:jc w:val="center"/>
              <w:rPr>
                <w:rFonts w:ascii="Arial Narrow" w:hAnsi="Arial Narrow"/>
                <w:b/>
                <w:sz w:val="20"/>
              </w:rPr>
            </w:pPr>
            <w:r w:rsidRPr="00901D86">
              <w:rPr>
                <w:rFonts w:ascii="Arial Narrow" w:hAnsi="Arial Narrow"/>
                <w:b/>
                <w:sz w:val="20"/>
              </w:rPr>
              <w:t>Max.</w:t>
            </w:r>
          </w:p>
          <w:p w14:paraId="1AB95441" w14:textId="77777777" w:rsidR="006C5E4A" w:rsidRPr="00901D86" w:rsidRDefault="006C5E4A" w:rsidP="006C5E4A">
            <w:pPr>
              <w:keepNext/>
              <w:jc w:val="center"/>
              <w:rPr>
                <w:rFonts w:ascii="Arial Narrow" w:hAnsi="Arial Narrow"/>
                <w:b/>
                <w:sz w:val="20"/>
              </w:rPr>
            </w:pPr>
            <w:r w:rsidRPr="00901D86">
              <w:rPr>
                <w:rFonts w:ascii="Arial Narrow" w:hAnsi="Arial Narrow"/>
                <w:b/>
                <w:sz w:val="20"/>
              </w:rPr>
              <w:t>Qty</w:t>
            </w:r>
          </w:p>
        </w:tc>
        <w:tc>
          <w:tcPr>
            <w:tcW w:w="459" w:type="pct"/>
            <w:tcBorders>
              <w:top w:val="single" w:sz="4" w:space="0" w:color="auto"/>
              <w:bottom w:val="single" w:sz="4" w:space="0" w:color="auto"/>
            </w:tcBorders>
            <w:vAlign w:val="center"/>
          </w:tcPr>
          <w:p w14:paraId="52E1FBC2" w14:textId="77777777" w:rsidR="006C5E4A" w:rsidRPr="00901D86" w:rsidRDefault="006C5E4A" w:rsidP="006C5E4A">
            <w:pPr>
              <w:keepNext/>
              <w:jc w:val="center"/>
              <w:rPr>
                <w:rFonts w:ascii="Arial Narrow" w:hAnsi="Arial Narrow"/>
                <w:b/>
                <w:sz w:val="20"/>
              </w:rPr>
            </w:pPr>
            <w:r w:rsidRPr="00901D86">
              <w:rPr>
                <w:rFonts w:ascii="Arial Narrow" w:hAnsi="Arial Narrow" w:cs="Times New Roman"/>
                <w:b/>
                <w:sz w:val="20"/>
              </w:rPr>
              <w:t>№</w:t>
            </w:r>
            <w:r w:rsidRPr="00901D86">
              <w:rPr>
                <w:rFonts w:ascii="Arial Narrow" w:hAnsi="Arial Narrow"/>
                <w:b/>
                <w:sz w:val="20"/>
              </w:rPr>
              <w:t>.of</w:t>
            </w:r>
          </w:p>
          <w:p w14:paraId="42841984" w14:textId="77777777" w:rsidR="006C5E4A" w:rsidRPr="00901D86" w:rsidRDefault="006C5E4A" w:rsidP="006C5E4A">
            <w:pPr>
              <w:keepNext/>
              <w:jc w:val="center"/>
              <w:rPr>
                <w:rFonts w:ascii="Arial Narrow" w:hAnsi="Arial Narrow"/>
                <w:b/>
                <w:sz w:val="20"/>
              </w:rPr>
            </w:pPr>
            <w:r w:rsidRPr="00901D86">
              <w:rPr>
                <w:rFonts w:ascii="Arial Narrow" w:hAnsi="Arial Narrow"/>
                <w:b/>
                <w:sz w:val="20"/>
              </w:rPr>
              <w:t>Rpts</w:t>
            </w:r>
          </w:p>
        </w:tc>
        <w:tc>
          <w:tcPr>
            <w:tcW w:w="1017" w:type="pct"/>
            <w:tcBorders>
              <w:top w:val="single" w:sz="4" w:space="0" w:color="auto"/>
              <w:bottom w:val="single" w:sz="4" w:space="0" w:color="auto"/>
            </w:tcBorders>
            <w:vAlign w:val="center"/>
          </w:tcPr>
          <w:p w14:paraId="60D3C733" w14:textId="77777777" w:rsidR="006C5E4A" w:rsidRPr="00901D86" w:rsidRDefault="006C5E4A" w:rsidP="006C5E4A">
            <w:pPr>
              <w:keepNext/>
              <w:jc w:val="center"/>
              <w:rPr>
                <w:rFonts w:ascii="Arial Narrow" w:hAnsi="Arial Narrow"/>
                <w:b/>
                <w:sz w:val="20"/>
              </w:rPr>
            </w:pPr>
            <w:r w:rsidRPr="00901D86">
              <w:rPr>
                <w:rFonts w:ascii="Arial Narrow" w:hAnsi="Arial Narrow"/>
                <w:b/>
                <w:sz w:val="20"/>
              </w:rPr>
              <w:t>Dispensed Price for Max. Qty</w:t>
            </w:r>
          </w:p>
        </w:tc>
        <w:tc>
          <w:tcPr>
            <w:tcW w:w="1071" w:type="pct"/>
            <w:tcBorders>
              <w:top w:val="single" w:sz="4" w:space="0" w:color="auto"/>
              <w:bottom w:val="single" w:sz="4" w:space="0" w:color="auto"/>
            </w:tcBorders>
            <w:vAlign w:val="center"/>
          </w:tcPr>
          <w:p w14:paraId="378DDF19" w14:textId="77777777" w:rsidR="006C5E4A" w:rsidRPr="00901D86" w:rsidRDefault="006C5E4A" w:rsidP="006C5E4A">
            <w:pPr>
              <w:keepNext/>
              <w:jc w:val="center"/>
              <w:rPr>
                <w:rFonts w:ascii="Arial Narrow" w:hAnsi="Arial Narrow"/>
                <w:b/>
                <w:sz w:val="20"/>
              </w:rPr>
            </w:pPr>
            <w:r w:rsidRPr="00901D86">
              <w:rPr>
                <w:rFonts w:ascii="Arial Narrow" w:hAnsi="Arial Narrow"/>
                <w:b/>
                <w:sz w:val="20"/>
              </w:rPr>
              <w:t>Proprietary Name and Manufacturer</w:t>
            </w:r>
          </w:p>
        </w:tc>
      </w:tr>
      <w:tr w:rsidR="006C5E4A" w:rsidRPr="00901D86" w14:paraId="38711985" w14:textId="77777777" w:rsidTr="006C5E4A">
        <w:trPr>
          <w:cantSplit/>
          <w:trHeight w:val="567"/>
        </w:trPr>
        <w:tc>
          <w:tcPr>
            <w:tcW w:w="1859" w:type="pct"/>
            <w:tcBorders>
              <w:bottom w:val="single" w:sz="4" w:space="0" w:color="auto"/>
            </w:tcBorders>
            <w:vAlign w:val="center"/>
          </w:tcPr>
          <w:p w14:paraId="20B801F9" w14:textId="77777777" w:rsidR="006C5E4A" w:rsidRPr="00901D86" w:rsidRDefault="006C5E4A" w:rsidP="006C5E4A">
            <w:pPr>
              <w:keepNext/>
              <w:jc w:val="left"/>
              <w:rPr>
                <w:rFonts w:ascii="Arial Narrow" w:hAnsi="Arial Narrow"/>
                <w:smallCaps/>
                <w:sz w:val="20"/>
              </w:rPr>
            </w:pPr>
            <w:r w:rsidRPr="00901D86">
              <w:rPr>
                <w:rFonts w:ascii="Arial Narrow" w:hAnsi="Arial Narrow"/>
                <w:smallCaps/>
                <w:sz w:val="20"/>
              </w:rPr>
              <w:t>Initial</w:t>
            </w:r>
          </w:p>
          <w:p w14:paraId="4E30753D" w14:textId="77777777" w:rsidR="006C5E4A" w:rsidRPr="00901D86" w:rsidRDefault="006C5E4A" w:rsidP="006C5E4A">
            <w:pPr>
              <w:keepNext/>
              <w:jc w:val="left"/>
              <w:rPr>
                <w:rFonts w:ascii="Arial Narrow" w:hAnsi="Arial Narrow"/>
                <w:sz w:val="20"/>
              </w:rPr>
            </w:pPr>
            <w:r w:rsidRPr="00901D86">
              <w:rPr>
                <w:rFonts w:ascii="Arial Narrow" w:hAnsi="Arial Narrow"/>
                <w:smallCaps/>
                <w:sz w:val="20"/>
              </w:rPr>
              <w:t>GUSELKUMAB</w:t>
            </w:r>
            <w:r w:rsidRPr="00901D86">
              <w:rPr>
                <w:rFonts w:ascii="Arial Narrow" w:hAnsi="Arial Narrow"/>
                <w:sz w:val="20"/>
              </w:rPr>
              <w:t>, pre-filled syringe, 100mg</w:t>
            </w:r>
          </w:p>
        </w:tc>
        <w:tc>
          <w:tcPr>
            <w:tcW w:w="594" w:type="pct"/>
            <w:tcBorders>
              <w:bottom w:val="single" w:sz="4" w:space="0" w:color="auto"/>
            </w:tcBorders>
            <w:vAlign w:val="center"/>
          </w:tcPr>
          <w:p w14:paraId="340E7F73" w14:textId="77777777" w:rsidR="006C5E4A" w:rsidRPr="00901D86" w:rsidRDefault="006C5E4A" w:rsidP="006C5E4A">
            <w:pPr>
              <w:keepNext/>
              <w:jc w:val="center"/>
              <w:rPr>
                <w:rFonts w:ascii="Arial Narrow" w:hAnsi="Arial Narrow"/>
                <w:sz w:val="20"/>
              </w:rPr>
            </w:pPr>
            <w:r w:rsidRPr="00901D86">
              <w:rPr>
                <w:rFonts w:ascii="Arial Narrow" w:hAnsi="Arial Narrow"/>
                <w:sz w:val="20"/>
              </w:rPr>
              <w:t>1</w:t>
            </w:r>
          </w:p>
        </w:tc>
        <w:tc>
          <w:tcPr>
            <w:tcW w:w="459" w:type="pct"/>
            <w:tcBorders>
              <w:bottom w:val="single" w:sz="4" w:space="0" w:color="auto"/>
            </w:tcBorders>
            <w:vAlign w:val="center"/>
          </w:tcPr>
          <w:p w14:paraId="2B3C33E6" w14:textId="77777777" w:rsidR="006C5E4A" w:rsidRPr="00901D86" w:rsidRDefault="006C5E4A" w:rsidP="006C5E4A">
            <w:pPr>
              <w:keepNext/>
              <w:jc w:val="center"/>
              <w:rPr>
                <w:rFonts w:ascii="Arial Narrow" w:hAnsi="Arial Narrow"/>
                <w:sz w:val="20"/>
              </w:rPr>
            </w:pPr>
            <w:r w:rsidRPr="00901D86">
              <w:rPr>
                <w:rFonts w:ascii="Arial Narrow" w:hAnsi="Arial Narrow"/>
                <w:sz w:val="20"/>
              </w:rPr>
              <w:t>2</w:t>
            </w:r>
          </w:p>
        </w:tc>
        <w:tc>
          <w:tcPr>
            <w:tcW w:w="1017" w:type="pct"/>
            <w:tcBorders>
              <w:bottom w:val="single" w:sz="4" w:space="0" w:color="auto"/>
            </w:tcBorders>
            <w:vAlign w:val="center"/>
          </w:tcPr>
          <w:p w14:paraId="3F9FBF38" w14:textId="77777777" w:rsidR="006C5E4A" w:rsidRPr="00901D86" w:rsidRDefault="006C5E4A" w:rsidP="006C5E4A">
            <w:pPr>
              <w:keepNext/>
              <w:jc w:val="center"/>
              <w:rPr>
                <w:rFonts w:ascii="Arial Narrow" w:hAnsi="Arial Narrow"/>
                <w:sz w:val="20"/>
              </w:rPr>
            </w:pPr>
            <w:r w:rsidRPr="00901D86">
              <w:rPr>
                <w:rFonts w:ascii="Arial Narrow" w:hAnsi="Arial Narrow"/>
                <w:sz w:val="20"/>
              </w:rPr>
              <w:t>$3,</w:t>
            </w:r>
            <w:r w:rsidR="00B867EB" w:rsidRPr="00901D86">
              <w:rPr>
                <w:rFonts w:ascii="Arial Narrow" w:hAnsi="Arial Narrow"/>
                <w:sz w:val="20"/>
              </w:rPr>
              <w:t>811.58</w:t>
            </w:r>
            <w:r w:rsidRPr="00901D86">
              <w:rPr>
                <w:rFonts w:ascii="Arial Narrow" w:hAnsi="Arial Narrow"/>
                <w:sz w:val="20"/>
              </w:rPr>
              <w:t xml:space="preserve"> (published)</w:t>
            </w:r>
          </w:p>
          <w:p w14:paraId="6E7797D0" w14:textId="77777777" w:rsidR="006C5E4A" w:rsidRPr="00901D86" w:rsidRDefault="005C1F93" w:rsidP="006C5E4A">
            <w:pPr>
              <w:keepNext/>
              <w:jc w:val="center"/>
              <w:rPr>
                <w:rFonts w:ascii="Arial Narrow" w:hAnsi="Arial Narrow"/>
                <w:sz w:val="20"/>
                <w:vertAlign w:val="superscript"/>
              </w:rPr>
            </w:pPr>
            <w:r w:rsidRPr="00901D86">
              <w:rPr>
                <w:rFonts w:ascii="Arial Narrow" w:hAnsi="Arial Narrow"/>
                <w:sz w:val="20"/>
              </w:rPr>
              <w:t>$</w:t>
            </w:r>
            <w:r w:rsidR="0031616A">
              <w:rPr>
                <w:rFonts w:ascii="Arial Narrow" w:hAnsi="Arial Narrow"/>
                <w:noProof/>
                <w:color w:val="000000"/>
                <w:sz w:val="20"/>
                <w:highlight w:val="black"/>
              </w:rPr>
              <w:t>'''''''''''''''''''''''</w:t>
            </w:r>
            <w:r w:rsidRPr="00901D86">
              <w:rPr>
                <w:rFonts w:ascii="Arial Narrow" w:hAnsi="Arial Narrow"/>
                <w:sz w:val="20"/>
              </w:rPr>
              <w:t xml:space="preserve"> </w:t>
            </w:r>
            <w:r w:rsidR="006C5E4A" w:rsidRPr="00901D86">
              <w:rPr>
                <w:rFonts w:ascii="Arial Narrow" w:hAnsi="Arial Narrow"/>
                <w:sz w:val="20"/>
              </w:rPr>
              <w:t>(effective)</w:t>
            </w:r>
            <w:r w:rsidRPr="00901D86">
              <w:rPr>
                <w:rFonts w:ascii="Arial Narrow" w:hAnsi="Arial Narrow"/>
                <w:sz w:val="20"/>
                <w:vertAlign w:val="superscript"/>
              </w:rPr>
              <w:t>a</w:t>
            </w:r>
          </w:p>
        </w:tc>
        <w:tc>
          <w:tcPr>
            <w:tcW w:w="1071" w:type="pct"/>
            <w:tcBorders>
              <w:top w:val="single" w:sz="4" w:space="0" w:color="auto"/>
              <w:bottom w:val="single" w:sz="4" w:space="0" w:color="auto"/>
            </w:tcBorders>
            <w:vAlign w:val="center"/>
          </w:tcPr>
          <w:p w14:paraId="7D0809E9" w14:textId="77777777" w:rsidR="006C5E4A" w:rsidRPr="00901D86" w:rsidRDefault="006C5E4A" w:rsidP="006C5E4A">
            <w:pPr>
              <w:keepNext/>
              <w:jc w:val="center"/>
              <w:rPr>
                <w:rFonts w:ascii="Arial Narrow" w:hAnsi="Arial Narrow"/>
                <w:sz w:val="20"/>
              </w:rPr>
            </w:pPr>
            <w:r w:rsidRPr="00901D86">
              <w:rPr>
                <w:rFonts w:ascii="Arial Narrow" w:hAnsi="Arial Narrow"/>
                <w:sz w:val="20"/>
              </w:rPr>
              <w:t>Tremfya®, Janssen-Cilag Pty Ltd</w:t>
            </w:r>
          </w:p>
        </w:tc>
      </w:tr>
      <w:tr w:rsidR="006C5E4A" w:rsidRPr="00901D86" w14:paraId="45F62124" w14:textId="77777777" w:rsidTr="006C5E4A">
        <w:trPr>
          <w:cantSplit/>
          <w:trHeight w:val="567"/>
        </w:trPr>
        <w:tc>
          <w:tcPr>
            <w:tcW w:w="1859" w:type="pct"/>
            <w:tcBorders>
              <w:top w:val="single" w:sz="4" w:space="0" w:color="auto"/>
            </w:tcBorders>
            <w:vAlign w:val="center"/>
          </w:tcPr>
          <w:p w14:paraId="65ECD01E" w14:textId="77777777" w:rsidR="006C5E4A" w:rsidRPr="00901D86" w:rsidRDefault="006C5E4A" w:rsidP="006C5E4A">
            <w:pPr>
              <w:keepNext/>
              <w:jc w:val="left"/>
              <w:rPr>
                <w:rFonts w:ascii="Arial Narrow" w:hAnsi="Arial Narrow"/>
                <w:smallCaps/>
                <w:sz w:val="20"/>
              </w:rPr>
            </w:pPr>
            <w:r w:rsidRPr="00901D86">
              <w:rPr>
                <w:rFonts w:ascii="Arial Narrow" w:hAnsi="Arial Narrow"/>
                <w:smallCaps/>
                <w:sz w:val="20"/>
              </w:rPr>
              <w:t>initial</w:t>
            </w:r>
          </w:p>
          <w:p w14:paraId="48F8EFB5" w14:textId="77777777" w:rsidR="006C5E4A" w:rsidRPr="00901D86" w:rsidRDefault="006C5E4A" w:rsidP="006C5E4A">
            <w:pPr>
              <w:keepNext/>
              <w:jc w:val="left"/>
              <w:rPr>
                <w:rFonts w:ascii="Arial Narrow" w:hAnsi="Arial Narrow"/>
                <w:smallCaps/>
                <w:sz w:val="20"/>
              </w:rPr>
            </w:pPr>
            <w:r w:rsidRPr="00901D86">
              <w:rPr>
                <w:rFonts w:ascii="Arial Narrow" w:hAnsi="Arial Narrow"/>
                <w:smallCaps/>
                <w:sz w:val="20"/>
              </w:rPr>
              <w:t>GUSELKUMAB</w:t>
            </w:r>
            <w:r w:rsidRPr="00901D86">
              <w:rPr>
                <w:rFonts w:ascii="Arial Narrow" w:hAnsi="Arial Narrow"/>
                <w:sz w:val="20"/>
              </w:rPr>
              <w:t>, pre-filled pen, 100mg</w:t>
            </w:r>
          </w:p>
        </w:tc>
        <w:tc>
          <w:tcPr>
            <w:tcW w:w="594" w:type="pct"/>
            <w:tcBorders>
              <w:top w:val="single" w:sz="4" w:space="0" w:color="auto"/>
            </w:tcBorders>
            <w:vAlign w:val="center"/>
          </w:tcPr>
          <w:p w14:paraId="1110C04F" w14:textId="77777777" w:rsidR="006C5E4A" w:rsidRPr="00901D86" w:rsidRDefault="006C5E4A" w:rsidP="006C5E4A">
            <w:pPr>
              <w:keepNext/>
              <w:jc w:val="center"/>
              <w:rPr>
                <w:rFonts w:ascii="Arial Narrow" w:hAnsi="Arial Narrow"/>
                <w:sz w:val="20"/>
              </w:rPr>
            </w:pPr>
            <w:r w:rsidRPr="00901D86">
              <w:rPr>
                <w:rFonts w:ascii="Arial Narrow" w:hAnsi="Arial Narrow"/>
                <w:sz w:val="20"/>
              </w:rPr>
              <w:t>1</w:t>
            </w:r>
          </w:p>
        </w:tc>
        <w:tc>
          <w:tcPr>
            <w:tcW w:w="459" w:type="pct"/>
            <w:tcBorders>
              <w:top w:val="single" w:sz="4" w:space="0" w:color="auto"/>
            </w:tcBorders>
            <w:vAlign w:val="center"/>
          </w:tcPr>
          <w:p w14:paraId="4AAE4A1A" w14:textId="77777777" w:rsidR="006C5E4A" w:rsidRPr="00901D86" w:rsidRDefault="006C5E4A" w:rsidP="006C5E4A">
            <w:pPr>
              <w:keepNext/>
              <w:jc w:val="center"/>
              <w:rPr>
                <w:rFonts w:ascii="Arial Narrow" w:hAnsi="Arial Narrow"/>
                <w:sz w:val="20"/>
              </w:rPr>
            </w:pPr>
            <w:r w:rsidRPr="00901D86">
              <w:rPr>
                <w:rFonts w:ascii="Arial Narrow" w:hAnsi="Arial Narrow"/>
                <w:sz w:val="20"/>
              </w:rPr>
              <w:t>2</w:t>
            </w:r>
          </w:p>
        </w:tc>
        <w:tc>
          <w:tcPr>
            <w:tcW w:w="1017" w:type="pct"/>
            <w:tcBorders>
              <w:top w:val="single" w:sz="4" w:space="0" w:color="auto"/>
            </w:tcBorders>
            <w:vAlign w:val="center"/>
          </w:tcPr>
          <w:p w14:paraId="1B5D9227" w14:textId="77777777" w:rsidR="006C5E4A" w:rsidRPr="00901D86" w:rsidRDefault="006C5E4A" w:rsidP="006C5E4A">
            <w:pPr>
              <w:keepNext/>
              <w:jc w:val="center"/>
              <w:rPr>
                <w:rFonts w:ascii="Arial Narrow" w:hAnsi="Arial Narrow"/>
                <w:sz w:val="20"/>
              </w:rPr>
            </w:pPr>
            <w:r w:rsidRPr="00901D86">
              <w:rPr>
                <w:rFonts w:ascii="Arial Narrow" w:hAnsi="Arial Narrow"/>
                <w:sz w:val="20"/>
              </w:rPr>
              <w:t>$3,</w:t>
            </w:r>
            <w:r w:rsidR="00B867EB" w:rsidRPr="00901D86">
              <w:rPr>
                <w:rFonts w:ascii="Arial Narrow" w:hAnsi="Arial Narrow"/>
                <w:sz w:val="20"/>
              </w:rPr>
              <w:t>811.58</w:t>
            </w:r>
            <w:r w:rsidRPr="00901D86">
              <w:rPr>
                <w:rFonts w:ascii="Arial Narrow" w:hAnsi="Arial Narrow"/>
                <w:sz w:val="20"/>
              </w:rPr>
              <w:t xml:space="preserve"> (published)</w:t>
            </w:r>
          </w:p>
          <w:p w14:paraId="6FBC9950" w14:textId="77777777" w:rsidR="006C5E4A" w:rsidRPr="00901D86" w:rsidRDefault="005C1F93" w:rsidP="006C5E4A">
            <w:pPr>
              <w:keepNext/>
              <w:jc w:val="center"/>
              <w:rPr>
                <w:rFonts w:ascii="Arial Narrow" w:hAnsi="Arial Narrow"/>
                <w:sz w:val="20"/>
              </w:rPr>
            </w:pPr>
            <w:r w:rsidRPr="00901D86">
              <w:rPr>
                <w:rFonts w:ascii="Arial Narrow" w:hAnsi="Arial Narrow"/>
                <w:sz w:val="20"/>
              </w:rPr>
              <w:t>$</w:t>
            </w:r>
            <w:r w:rsidR="0031616A">
              <w:rPr>
                <w:rFonts w:ascii="Arial Narrow" w:hAnsi="Arial Narrow"/>
                <w:noProof/>
                <w:color w:val="000000"/>
                <w:sz w:val="20"/>
                <w:highlight w:val="black"/>
              </w:rPr>
              <w:t>'''''''''''''''''''''</w:t>
            </w:r>
            <w:r w:rsidRPr="00901D86">
              <w:rPr>
                <w:rFonts w:ascii="Arial Narrow" w:hAnsi="Arial Narrow"/>
                <w:sz w:val="20"/>
              </w:rPr>
              <w:t xml:space="preserve"> (effective)</w:t>
            </w:r>
            <w:r w:rsidRPr="00901D86">
              <w:rPr>
                <w:rFonts w:ascii="Arial Narrow" w:hAnsi="Arial Narrow"/>
                <w:sz w:val="20"/>
                <w:vertAlign w:val="superscript"/>
              </w:rPr>
              <w:t>a</w:t>
            </w:r>
          </w:p>
        </w:tc>
        <w:tc>
          <w:tcPr>
            <w:tcW w:w="1071" w:type="pct"/>
            <w:tcBorders>
              <w:top w:val="single" w:sz="4" w:space="0" w:color="auto"/>
              <w:bottom w:val="single" w:sz="4" w:space="0" w:color="auto"/>
            </w:tcBorders>
            <w:vAlign w:val="center"/>
          </w:tcPr>
          <w:p w14:paraId="31528647" w14:textId="77777777" w:rsidR="006C5E4A" w:rsidRPr="00901D86" w:rsidRDefault="006C5E4A" w:rsidP="006C5E4A">
            <w:pPr>
              <w:keepNext/>
              <w:jc w:val="center"/>
              <w:rPr>
                <w:rFonts w:ascii="Arial Narrow" w:hAnsi="Arial Narrow"/>
                <w:sz w:val="20"/>
              </w:rPr>
            </w:pPr>
            <w:r w:rsidRPr="00901D86">
              <w:rPr>
                <w:rFonts w:ascii="Arial Narrow" w:hAnsi="Arial Narrow"/>
                <w:sz w:val="20"/>
              </w:rPr>
              <w:t>Tremfya®, Janssen-Cilag Pty Ltd</w:t>
            </w:r>
          </w:p>
        </w:tc>
      </w:tr>
      <w:tr w:rsidR="006C5E4A" w:rsidRPr="00901D86" w14:paraId="1931399D" w14:textId="77777777" w:rsidTr="006C5E4A">
        <w:trPr>
          <w:cantSplit/>
          <w:trHeight w:val="567"/>
        </w:trPr>
        <w:tc>
          <w:tcPr>
            <w:tcW w:w="1859" w:type="pct"/>
            <w:tcBorders>
              <w:top w:val="single" w:sz="4" w:space="0" w:color="auto"/>
            </w:tcBorders>
            <w:vAlign w:val="center"/>
          </w:tcPr>
          <w:p w14:paraId="0E6249A2" w14:textId="77777777" w:rsidR="006C5E4A" w:rsidRPr="00901D86" w:rsidRDefault="006C5E4A" w:rsidP="006C5E4A">
            <w:pPr>
              <w:keepNext/>
              <w:jc w:val="left"/>
              <w:rPr>
                <w:rFonts w:ascii="Arial Narrow" w:hAnsi="Arial Narrow"/>
                <w:smallCaps/>
                <w:sz w:val="20"/>
              </w:rPr>
            </w:pPr>
            <w:r w:rsidRPr="00901D86">
              <w:rPr>
                <w:rFonts w:ascii="Arial Narrow" w:hAnsi="Arial Narrow"/>
                <w:smallCaps/>
                <w:sz w:val="20"/>
              </w:rPr>
              <w:t>Continuing</w:t>
            </w:r>
          </w:p>
          <w:p w14:paraId="6BAF8060" w14:textId="77777777" w:rsidR="006C5E4A" w:rsidRPr="00901D86" w:rsidRDefault="006C5E4A" w:rsidP="006C5E4A">
            <w:pPr>
              <w:keepNext/>
              <w:jc w:val="left"/>
              <w:rPr>
                <w:rFonts w:ascii="Arial Narrow" w:hAnsi="Arial Narrow"/>
                <w:smallCaps/>
                <w:sz w:val="20"/>
              </w:rPr>
            </w:pPr>
            <w:r w:rsidRPr="00901D86">
              <w:rPr>
                <w:rFonts w:ascii="Arial Narrow" w:hAnsi="Arial Narrow"/>
                <w:smallCaps/>
                <w:sz w:val="20"/>
              </w:rPr>
              <w:t>GUSELKUMAB</w:t>
            </w:r>
            <w:r w:rsidRPr="00901D86">
              <w:rPr>
                <w:rFonts w:ascii="Arial Narrow" w:hAnsi="Arial Narrow"/>
                <w:sz w:val="20"/>
              </w:rPr>
              <w:t>, pre-filled syringe, 100mg</w:t>
            </w:r>
          </w:p>
        </w:tc>
        <w:tc>
          <w:tcPr>
            <w:tcW w:w="594" w:type="pct"/>
            <w:tcBorders>
              <w:top w:val="single" w:sz="4" w:space="0" w:color="auto"/>
            </w:tcBorders>
            <w:vAlign w:val="center"/>
          </w:tcPr>
          <w:p w14:paraId="46DCC960" w14:textId="77777777" w:rsidR="006C5E4A" w:rsidRPr="00901D86" w:rsidRDefault="006C5E4A" w:rsidP="006C5E4A">
            <w:pPr>
              <w:keepNext/>
              <w:jc w:val="center"/>
              <w:rPr>
                <w:rFonts w:ascii="Arial Narrow" w:hAnsi="Arial Narrow"/>
                <w:sz w:val="20"/>
              </w:rPr>
            </w:pPr>
            <w:r w:rsidRPr="00901D86">
              <w:rPr>
                <w:rFonts w:ascii="Arial Narrow" w:hAnsi="Arial Narrow"/>
                <w:sz w:val="20"/>
              </w:rPr>
              <w:t>1</w:t>
            </w:r>
          </w:p>
        </w:tc>
        <w:tc>
          <w:tcPr>
            <w:tcW w:w="459" w:type="pct"/>
            <w:tcBorders>
              <w:top w:val="single" w:sz="4" w:space="0" w:color="auto"/>
            </w:tcBorders>
            <w:vAlign w:val="center"/>
          </w:tcPr>
          <w:p w14:paraId="1F26544C" w14:textId="77777777" w:rsidR="006C5E4A" w:rsidRPr="00901D86" w:rsidRDefault="006C5E4A" w:rsidP="006C5E4A">
            <w:pPr>
              <w:keepNext/>
              <w:jc w:val="center"/>
              <w:rPr>
                <w:rFonts w:ascii="Arial Narrow" w:hAnsi="Arial Narrow"/>
                <w:sz w:val="20"/>
              </w:rPr>
            </w:pPr>
            <w:r w:rsidRPr="00901D86">
              <w:rPr>
                <w:rFonts w:ascii="Arial Narrow" w:hAnsi="Arial Narrow"/>
                <w:sz w:val="20"/>
              </w:rPr>
              <w:t>2</w:t>
            </w:r>
          </w:p>
        </w:tc>
        <w:tc>
          <w:tcPr>
            <w:tcW w:w="1017" w:type="pct"/>
            <w:tcBorders>
              <w:top w:val="single" w:sz="4" w:space="0" w:color="auto"/>
            </w:tcBorders>
            <w:vAlign w:val="center"/>
          </w:tcPr>
          <w:p w14:paraId="1C7CBB15" w14:textId="77777777" w:rsidR="006C5E4A" w:rsidRPr="00901D86" w:rsidRDefault="006C5E4A" w:rsidP="006C5E4A">
            <w:pPr>
              <w:keepNext/>
              <w:jc w:val="center"/>
              <w:rPr>
                <w:rFonts w:ascii="Arial Narrow" w:hAnsi="Arial Narrow"/>
                <w:sz w:val="20"/>
              </w:rPr>
            </w:pPr>
            <w:r w:rsidRPr="00901D86">
              <w:rPr>
                <w:rFonts w:ascii="Arial Narrow" w:hAnsi="Arial Narrow"/>
                <w:sz w:val="20"/>
              </w:rPr>
              <w:t>$3,</w:t>
            </w:r>
            <w:r w:rsidR="00B867EB" w:rsidRPr="00901D86">
              <w:rPr>
                <w:rFonts w:ascii="Arial Narrow" w:hAnsi="Arial Narrow"/>
                <w:sz w:val="20"/>
              </w:rPr>
              <w:t>811.58</w:t>
            </w:r>
            <w:r w:rsidRPr="00901D86">
              <w:rPr>
                <w:rFonts w:ascii="Arial Narrow" w:hAnsi="Arial Narrow"/>
                <w:sz w:val="20"/>
              </w:rPr>
              <w:t xml:space="preserve"> (published)</w:t>
            </w:r>
          </w:p>
          <w:p w14:paraId="7821D570" w14:textId="77777777" w:rsidR="006C5E4A" w:rsidRPr="00901D86" w:rsidRDefault="005C1F93" w:rsidP="006C5E4A">
            <w:pPr>
              <w:keepNext/>
              <w:jc w:val="center"/>
              <w:rPr>
                <w:rFonts w:ascii="Arial Narrow" w:hAnsi="Arial Narrow"/>
                <w:sz w:val="20"/>
              </w:rPr>
            </w:pPr>
            <w:r w:rsidRPr="00901D86">
              <w:rPr>
                <w:rFonts w:ascii="Arial Narrow" w:hAnsi="Arial Narrow"/>
                <w:sz w:val="20"/>
              </w:rPr>
              <w:t>$</w:t>
            </w:r>
            <w:r w:rsidR="0031616A">
              <w:rPr>
                <w:rFonts w:ascii="Arial Narrow" w:hAnsi="Arial Narrow"/>
                <w:noProof/>
                <w:color w:val="000000"/>
                <w:sz w:val="20"/>
                <w:highlight w:val="black"/>
              </w:rPr>
              <w:t>''''''''''''''''''''</w:t>
            </w:r>
            <w:r w:rsidRPr="00901D86">
              <w:rPr>
                <w:rFonts w:ascii="Arial Narrow" w:hAnsi="Arial Narrow"/>
                <w:sz w:val="20"/>
              </w:rPr>
              <w:t xml:space="preserve"> (effective)</w:t>
            </w:r>
            <w:r w:rsidRPr="00901D86">
              <w:rPr>
                <w:rFonts w:ascii="Arial Narrow" w:hAnsi="Arial Narrow"/>
                <w:sz w:val="20"/>
                <w:vertAlign w:val="superscript"/>
              </w:rPr>
              <w:t>a</w:t>
            </w:r>
          </w:p>
        </w:tc>
        <w:tc>
          <w:tcPr>
            <w:tcW w:w="1071" w:type="pct"/>
            <w:tcBorders>
              <w:top w:val="single" w:sz="4" w:space="0" w:color="auto"/>
              <w:bottom w:val="single" w:sz="4" w:space="0" w:color="auto"/>
            </w:tcBorders>
            <w:vAlign w:val="center"/>
          </w:tcPr>
          <w:p w14:paraId="45062E76" w14:textId="77777777" w:rsidR="006C5E4A" w:rsidRPr="00901D86" w:rsidRDefault="006C5E4A" w:rsidP="006C5E4A">
            <w:pPr>
              <w:keepNext/>
              <w:jc w:val="center"/>
              <w:rPr>
                <w:rFonts w:ascii="Arial Narrow" w:hAnsi="Arial Narrow"/>
                <w:sz w:val="20"/>
              </w:rPr>
            </w:pPr>
            <w:r w:rsidRPr="00901D86">
              <w:rPr>
                <w:rFonts w:ascii="Arial Narrow" w:hAnsi="Arial Narrow"/>
                <w:sz w:val="20"/>
              </w:rPr>
              <w:t>Tremfya®, Janssen-Cilag Pty Ltd</w:t>
            </w:r>
          </w:p>
        </w:tc>
      </w:tr>
      <w:tr w:rsidR="006C5E4A" w:rsidRPr="00901D86" w14:paraId="06268F5C" w14:textId="77777777" w:rsidTr="006C5E4A">
        <w:trPr>
          <w:cantSplit/>
          <w:trHeight w:val="567"/>
        </w:trPr>
        <w:tc>
          <w:tcPr>
            <w:tcW w:w="1859" w:type="pct"/>
            <w:tcBorders>
              <w:top w:val="single" w:sz="4" w:space="0" w:color="auto"/>
            </w:tcBorders>
            <w:vAlign w:val="center"/>
          </w:tcPr>
          <w:p w14:paraId="107C0039" w14:textId="77777777" w:rsidR="006C5E4A" w:rsidRPr="00901D86" w:rsidRDefault="006C5E4A" w:rsidP="006C5E4A">
            <w:pPr>
              <w:keepNext/>
              <w:jc w:val="left"/>
              <w:rPr>
                <w:rFonts w:ascii="Arial Narrow" w:hAnsi="Arial Narrow"/>
                <w:smallCaps/>
                <w:sz w:val="20"/>
              </w:rPr>
            </w:pPr>
            <w:r w:rsidRPr="00901D86">
              <w:rPr>
                <w:rFonts w:ascii="Arial Narrow" w:hAnsi="Arial Narrow"/>
                <w:smallCaps/>
                <w:sz w:val="20"/>
              </w:rPr>
              <w:t>Continuing</w:t>
            </w:r>
          </w:p>
          <w:p w14:paraId="0021496D" w14:textId="77777777" w:rsidR="006C5E4A" w:rsidRPr="00901D86" w:rsidRDefault="006C5E4A" w:rsidP="006C5E4A">
            <w:pPr>
              <w:keepNext/>
              <w:jc w:val="left"/>
              <w:rPr>
                <w:rFonts w:ascii="Arial Narrow" w:hAnsi="Arial Narrow"/>
                <w:smallCaps/>
                <w:sz w:val="20"/>
              </w:rPr>
            </w:pPr>
            <w:r w:rsidRPr="00901D86">
              <w:rPr>
                <w:rFonts w:ascii="Arial Narrow" w:hAnsi="Arial Narrow"/>
                <w:smallCaps/>
                <w:sz w:val="20"/>
              </w:rPr>
              <w:t>GUSELKUMAB</w:t>
            </w:r>
            <w:r w:rsidRPr="00901D86">
              <w:rPr>
                <w:rFonts w:ascii="Arial Narrow" w:hAnsi="Arial Narrow"/>
                <w:sz w:val="20"/>
              </w:rPr>
              <w:t>, pre-filled pen, 100mg</w:t>
            </w:r>
          </w:p>
        </w:tc>
        <w:tc>
          <w:tcPr>
            <w:tcW w:w="594" w:type="pct"/>
            <w:tcBorders>
              <w:top w:val="single" w:sz="4" w:space="0" w:color="auto"/>
            </w:tcBorders>
            <w:vAlign w:val="center"/>
          </w:tcPr>
          <w:p w14:paraId="180A8F5A" w14:textId="77777777" w:rsidR="006C5E4A" w:rsidRPr="00901D86" w:rsidRDefault="006C5E4A" w:rsidP="006C5E4A">
            <w:pPr>
              <w:keepNext/>
              <w:jc w:val="center"/>
              <w:rPr>
                <w:rFonts w:ascii="Arial Narrow" w:hAnsi="Arial Narrow"/>
                <w:sz w:val="20"/>
              </w:rPr>
            </w:pPr>
            <w:r w:rsidRPr="00901D86">
              <w:rPr>
                <w:rFonts w:ascii="Arial Narrow" w:hAnsi="Arial Narrow"/>
                <w:sz w:val="20"/>
              </w:rPr>
              <w:t>1</w:t>
            </w:r>
          </w:p>
        </w:tc>
        <w:tc>
          <w:tcPr>
            <w:tcW w:w="459" w:type="pct"/>
            <w:tcBorders>
              <w:top w:val="single" w:sz="4" w:space="0" w:color="auto"/>
            </w:tcBorders>
            <w:vAlign w:val="center"/>
          </w:tcPr>
          <w:p w14:paraId="682A1E60" w14:textId="77777777" w:rsidR="006C5E4A" w:rsidRPr="00901D86" w:rsidRDefault="006C5E4A" w:rsidP="006C5E4A">
            <w:pPr>
              <w:keepNext/>
              <w:jc w:val="center"/>
              <w:rPr>
                <w:rFonts w:ascii="Arial Narrow" w:hAnsi="Arial Narrow"/>
                <w:sz w:val="20"/>
              </w:rPr>
            </w:pPr>
            <w:r w:rsidRPr="00901D86">
              <w:rPr>
                <w:rFonts w:ascii="Arial Narrow" w:hAnsi="Arial Narrow"/>
                <w:sz w:val="20"/>
              </w:rPr>
              <w:t>2</w:t>
            </w:r>
          </w:p>
        </w:tc>
        <w:tc>
          <w:tcPr>
            <w:tcW w:w="1017" w:type="pct"/>
            <w:tcBorders>
              <w:top w:val="single" w:sz="4" w:space="0" w:color="auto"/>
            </w:tcBorders>
            <w:vAlign w:val="center"/>
          </w:tcPr>
          <w:p w14:paraId="32DC374D" w14:textId="77777777" w:rsidR="006C5E4A" w:rsidRPr="00901D86" w:rsidRDefault="006C5E4A" w:rsidP="006C5E4A">
            <w:pPr>
              <w:keepNext/>
              <w:jc w:val="center"/>
              <w:rPr>
                <w:rFonts w:ascii="Arial Narrow" w:hAnsi="Arial Narrow"/>
                <w:sz w:val="20"/>
              </w:rPr>
            </w:pPr>
            <w:r w:rsidRPr="00901D86">
              <w:rPr>
                <w:rFonts w:ascii="Arial Narrow" w:hAnsi="Arial Narrow"/>
                <w:sz w:val="20"/>
              </w:rPr>
              <w:t>$3,</w:t>
            </w:r>
            <w:r w:rsidR="00B867EB" w:rsidRPr="00901D86">
              <w:rPr>
                <w:rFonts w:ascii="Arial Narrow" w:hAnsi="Arial Narrow"/>
                <w:sz w:val="20"/>
              </w:rPr>
              <w:t>811.58</w:t>
            </w:r>
            <w:r w:rsidRPr="00901D86">
              <w:rPr>
                <w:rFonts w:ascii="Arial Narrow" w:hAnsi="Arial Narrow"/>
                <w:sz w:val="20"/>
              </w:rPr>
              <w:t xml:space="preserve"> (published)</w:t>
            </w:r>
          </w:p>
          <w:p w14:paraId="45425CA4" w14:textId="77777777" w:rsidR="006C5E4A" w:rsidRPr="00901D86" w:rsidRDefault="005C1F93" w:rsidP="006C5E4A">
            <w:pPr>
              <w:keepNext/>
              <w:jc w:val="center"/>
              <w:rPr>
                <w:rFonts w:ascii="Arial Narrow" w:hAnsi="Arial Narrow"/>
                <w:sz w:val="20"/>
              </w:rPr>
            </w:pPr>
            <w:r w:rsidRPr="00901D86">
              <w:rPr>
                <w:rFonts w:ascii="Arial Narrow" w:hAnsi="Arial Narrow"/>
                <w:sz w:val="20"/>
              </w:rPr>
              <w:t>$</w:t>
            </w:r>
            <w:r w:rsidR="0031616A">
              <w:rPr>
                <w:rFonts w:ascii="Arial Narrow" w:hAnsi="Arial Narrow"/>
                <w:noProof/>
                <w:color w:val="000000"/>
                <w:sz w:val="20"/>
                <w:highlight w:val="black"/>
              </w:rPr>
              <w:t>''''''''''''''''''</w:t>
            </w:r>
            <w:r w:rsidRPr="00901D86">
              <w:rPr>
                <w:rFonts w:ascii="Arial Narrow" w:hAnsi="Arial Narrow"/>
                <w:sz w:val="20"/>
              </w:rPr>
              <w:t xml:space="preserve"> (effective)</w:t>
            </w:r>
            <w:r w:rsidRPr="00901D86">
              <w:rPr>
                <w:rFonts w:ascii="Arial Narrow" w:hAnsi="Arial Narrow"/>
                <w:sz w:val="20"/>
                <w:vertAlign w:val="superscript"/>
              </w:rPr>
              <w:t>a</w:t>
            </w:r>
          </w:p>
        </w:tc>
        <w:tc>
          <w:tcPr>
            <w:tcW w:w="1071" w:type="pct"/>
            <w:tcBorders>
              <w:top w:val="single" w:sz="4" w:space="0" w:color="auto"/>
              <w:bottom w:val="single" w:sz="4" w:space="0" w:color="auto"/>
            </w:tcBorders>
            <w:vAlign w:val="center"/>
          </w:tcPr>
          <w:p w14:paraId="1DE8C6FD" w14:textId="77777777" w:rsidR="006C5E4A" w:rsidRPr="00901D86" w:rsidRDefault="006C5E4A" w:rsidP="006C5E4A">
            <w:pPr>
              <w:keepNext/>
              <w:jc w:val="center"/>
              <w:rPr>
                <w:rFonts w:ascii="Arial Narrow" w:hAnsi="Arial Narrow"/>
                <w:sz w:val="20"/>
              </w:rPr>
            </w:pPr>
            <w:r w:rsidRPr="00901D86">
              <w:rPr>
                <w:rFonts w:ascii="Arial Narrow" w:hAnsi="Arial Narrow"/>
                <w:sz w:val="20"/>
              </w:rPr>
              <w:t>Tremfya®, Janssen-Cilag Pty Ltd</w:t>
            </w:r>
          </w:p>
        </w:tc>
      </w:tr>
    </w:tbl>
    <w:p w14:paraId="06854A2C" w14:textId="77777777" w:rsidR="00E3279B" w:rsidRDefault="00E3279B">
      <w:r>
        <w:br w:type="page"/>
      </w:r>
    </w:p>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1"/>
        <w:gridCol w:w="7314"/>
      </w:tblGrid>
      <w:tr w:rsidR="006C5E4A" w:rsidRPr="00901D86" w14:paraId="4738E748"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hideMark/>
          </w:tcPr>
          <w:p w14:paraId="10567FC9" w14:textId="74A20421" w:rsidR="006C5E4A" w:rsidRPr="00901D86" w:rsidRDefault="006C5E4A" w:rsidP="006C5E4A">
            <w:pPr>
              <w:pStyle w:val="Tabletext"/>
            </w:pPr>
            <w:r w:rsidRPr="00901D86">
              <w:lastRenderedPageBreak/>
              <w:t>Category/Program:</w:t>
            </w:r>
          </w:p>
        </w:tc>
        <w:tc>
          <w:tcPr>
            <w:tcW w:w="4070" w:type="pct"/>
            <w:tcBorders>
              <w:top w:val="single" w:sz="4" w:space="0" w:color="auto"/>
              <w:left w:val="single" w:sz="4" w:space="0" w:color="auto"/>
              <w:bottom w:val="single" w:sz="4" w:space="0" w:color="auto"/>
              <w:right w:val="single" w:sz="4" w:space="0" w:color="auto"/>
            </w:tcBorders>
          </w:tcPr>
          <w:p w14:paraId="617100CF" w14:textId="77777777" w:rsidR="006C5E4A" w:rsidRPr="00901D86" w:rsidRDefault="006C5E4A" w:rsidP="006C5E4A">
            <w:pPr>
              <w:pStyle w:val="Tabletext"/>
            </w:pPr>
            <w:r w:rsidRPr="00901D86">
              <w:t>General Schedule</w:t>
            </w:r>
          </w:p>
        </w:tc>
      </w:tr>
      <w:tr w:rsidR="006C5E4A" w:rsidRPr="00901D86" w14:paraId="6091DD2C"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hideMark/>
          </w:tcPr>
          <w:p w14:paraId="6D0D8614" w14:textId="77777777" w:rsidR="006C5E4A" w:rsidRPr="00901D86" w:rsidRDefault="006C5E4A" w:rsidP="006C5E4A">
            <w:pPr>
              <w:pStyle w:val="Tabletext"/>
            </w:pPr>
            <w:r w:rsidRPr="00901D86">
              <w:t>PBS indication:</w:t>
            </w:r>
          </w:p>
        </w:tc>
        <w:tc>
          <w:tcPr>
            <w:tcW w:w="4070" w:type="pct"/>
            <w:tcBorders>
              <w:top w:val="single" w:sz="4" w:space="0" w:color="auto"/>
              <w:left w:val="single" w:sz="4" w:space="0" w:color="auto"/>
              <w:bottom w:val="single" w:sz="4" w:space="0" w:color="auto"/>
              <w:right w:val="single" w:sz="4" w:space="0" w:color="auto"/>
            </w:tcBorders>
          </w:tcPr>
          <w:p w14:paraId="3ADD8DB3" w14:textId="77777777" w:rsidR="006C5E4A" w:rsidRPr="00901D86" w:rsidRDefault="006C5E4A" w:rsidP="006C5E4A">
            <w:pPr>
              <w:pStyle w:val="Tabletext"/>
            </w:pPr>
            <w:r w:rsidRPr="00901D86">
              <w:t>Severe psoriatic arthritis</w:t>
            </w:r>
          </w:p>
        </w:tc>
      </w:tr>
      <w:tr w:rsidR="005C1F93" w:rsidRPr="00901D86" w14:paraId="1401D16B"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tcPr>
          <w:p w14:paraId="56DED652" w14:textId="77777777" w:rsidR="005C1F93" w:rsidRPr="00901D86" w:rsidRDefault="005C1F93" w:rsidP="005C1F93">
            <w:pPr>
              <w:pStyle w:val="Tabletext"/>
            </w:pPr>
            <w:r w:rsidRPr="00901D86">
              <w:t>Restriction:</w:t>
            </w:r>
          </w:p>
        </w:tc>
        <w:tc>
          <w:tcPr>
            <w:tcW w:w="4070" w:type="pct"/>
            <w:tcBorders>
              <w:top w:val="single" w:sz="4" w:space="0" w:color="auto"/>
              <w:left w:val="single" w:sz="4" w:space="0" w:color="auto"/>
              <w:bottom w:val="single" w:sz="4" w:space="0" w:color="auto"/>
              <w:right w:val="single" w:sz="4" w:space="0" w:color="auto"/>
            </w:tcBorders>
          </w:tcPr>
          <w:p w14:paraId="3DD0F2DD" w14:textId="77777777" w:rsidR="005C1F93" w:rsidRPr="00901D86" w:rsidRDefault="005C1F93" w:rsidP="005C1F93">
            <w:pPr>
              <w:pStyle w:val="Tabletext"/>
            </w:pPr>
            <w:r w:rsidRPr="00901D86">
              <w:t>Authority required</w:t>
            </w:r>
          </w:p>
        </w:tc>
      </w:tr>
      <w:tr w:rsidR="005C1F93" w:rsidRPr="00901D86" w14:paraId="33C5C902"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hideMark/>
          </w:tcPr>
          <w:p w14:paraId="24CBB423" w14:textId="77777777" w:rsidR="005C1F93" w:rsidRPr="00901D86" w:rsidRDefault="005C1F93" w:rsidP="005C1F93">
            <w:pPr>
              <w:pStyle w:val="Tabletext"/>
            </w:pPr>
            <w:r w:rsidRPr="00901D86">
              <w:t>Treatment phase:</w:t>
            </w:r>
          </w:p>
        </w:tc>
        <w:tc>
          <w:tcPr>
            <w:tcW w:w="4070" w:type="pct"/>
            <w:tcBorders>
              <w:top w:val="single" w:sz="4" w:space="0" w:color="auto"/>
              <w:left w:val="single" w:sz="4" w:space="0" w:color="auto"/>
              <w:bottom w:val="single" w:sz="4" w:space="0" w:color="auto"/>
              <w:right w:val="single" w:sz="4" w:space="0" w:color="auto"/>
            </w:tcBorders>
          </w:tcPr>
          <w:p w14:paraId="35CA7A62" w14:textId="77777777" w:rsidR="005C1F93" w:rsidRPr="00901D86" w:rsidRDefault="005C1F93" w:rsidP="005C1F93">
            <w:pPr>
              <w:pStyle w:val="Tabletext"/>
            </w:pPr>
            <w:r w:rsidRPr="00901D86">
              <w:t xml:space="preserve">Initial treatment – initial 1 (new patient) </w:t>
            </w:r>
          </w:p>
        </w:tc>
      </w:tr>
      <w:tr w:rsidR="005C1F93" w:rsidRPr="00901D86" w14:paraId="173D4A96"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hideMark/>
          </w:tcPr>
          <w:p w14:paraId="45BD2F89" w14:textId="77777777" w:rsidR="005C1F93" w:rsidRPr="00901D86" w:rsidRDefault="005C1F93" w:rsidP="005C1F93">
            <w:pPr>
              <w:pStyle w:val="Tabletext"/>
            </w:pPr>
            <w:r w:rsidRPr="00901D86">
              <w:t>Clinical criteria:</w:t>
            </w:r>
          </w:p>
        </w:tc>
        <w:tc>
          <w:tcPr>
            <w:tcW w:w="4070" w:type="pct"/>
            <w:tcBorders>
              <w:top w:val="single" w:sz="4" w:space="0" w:color="auto"/>
              <w:left w:val="single" w:sz="4" w:space="0" w:color="auto"/>
              <w:bottom w:val="single" w:sz="4" w:space="0" w:color="auto"/>
              <w:right w:val="single" w:sz="4" w:space="0" w:color="auto"/>
            </w:tcBorders>
          </w:tcPr>
          <w:p w14:paraId="05D5847F" w14:textId="77777777" w:rsidR="005C1F93" w:rsidRPr="00901D86" w:rsidRDefault="005C1F93" w:rsidP="005C1F93">
            <w:pPr>
              <w:pStyle w:val="TableText0"/>
              <w:keepNext w:val="0"/>
              <w:rPr>
                <w:rFonts w:cs="Arial"/>
              </w:rPr>
            </w:pPr>
            <w:r w:rsidRPr="00901D86">
              <w:rPr>
                <w:rFonts w:cs="Arial"/>
              </w:rPr>
              <w:t>Patient must not have received PBS-subsidised treatment with a biological medicine for this condition,</w:t>
            </w:r>
          </w:p>
          <w:p w14:paraId="6B48BAED" w14:textId="77777777" w:rsidR="005C1F93" w:rsidRPr="00901D86" w:rsidRDefault="005C1F93" w:rsidP="005C1F93">
            <w:pPr>
              <w:pStyle w:val="TableText0"/>
              <w:keepNext w:val="0"/>
              <w:rPr>
                <w:rFonts w:cs="Arial"/>
              </w:rPr>
            </w:pPr>
            <w:r w:rsidRPr="00901D86">
              <w:rPr>
                <w:rFonts w:cs="Arial"/>
              </w:rPr>
              <w:t>AND</w:t>
            </w:r>
          </w:p>
          <w:p w14:paraId="6037F82D" w14:textId="77777777" w:rsidR="005C1F93" w:rsidRPr="00901D86" w:rsidRDefault="005C1F93" w:rsidP="005C1F93">
            <w:pPr>
              <w:pStyle w:val="TableText0"/>
              <w:keepNext w:val="0"/>
              <w:rPr>
                <w:rFonts w:cs="Arial"/>
              </w:rPr>
            </w:pPr>
            <w:r w:rsidRPr="00901D86">
              <w:rPr>
                <w:rFonts w:cs="Arial"/>
              </w:rPr>
              <w:t>Patient must have failed to achieve an adequate response to methotrexate at a dose of at least 20 mg weekly for a minimum period of 3 months,</w:t>
            </w:r>
          </w:p>
          <w:p w14:paraId="5E38CDB5" w14:textId="77777777" w:rsidR="005C1F93" w:rsidRPr="00901D86" w:rsidRDefault="005C1F93" w:rsidP="005C1F93">
            <w:pPr>
              <w:pStyle w:val="TableText0"/>
              <w:keepNext w:val="0"/>
              <w:rPr>
                <w:rFonts w:cs="Arial"/>
              </w:rPr>
            </w:pPr>
            <w:r w:rsidRPr="00901D86">
              <w:rPr>
                <w:rFonts w:cs="Arial"/>
              </w:rPr>
              <w:t>AND</w:t>
            </w:r>
          </w:p>
          <w:p w14:paraId="44388028" w14:textId="77777777" w:rsidR="005C1F93" w:rsidRPr="00901D86" w:rsidRDefault="005C1F93" w:rsidP="005C1F93">
            <w:pPr>
              <w:pStyle w:val="TableText0"/>
              <w:keepNext w:val="0"/>
              <w:rPr>
                <w:rFonts w:cs="Arial"/>
              </w:rPr>
            </w:pPr>
            <w:r w:rsidRPr="00901D86">
              <w:rPr>
                <w:rFonts w:cs="Arial"/>
              </w:rPr>
              <w:t>Patient must have failed to achieve an adequate response to sulfasalazine at a dose of at least 2 g per day for a minimum period of 3 months; OR</w:t>
            </w:r>
          </w:p>
          <w:p w14:paraId="46994B7C" w14:textId="77777777" w:rsidR="005C1F93" w:rsidRPr="00901D86" w:rsidRDefault="005C1F93" w:rsidP="005C1F93">
            <w:pPr>
              <w:pStyle w:val="TableText0"/>
              <w:keepNext w:val="0"/>
              <w:rPr>
                <w:rFonts w:cs="Arial"/>
              </w:rPr>
            </w:pPr>
            <w:r w:rsidRPr="00901D86">
              <w:rPr>
                <w:rFonts w:cs="Arial"/>
              </w:rPr>
              <w:t>Patient must have failed to achieve an adequate response to leflunomide at a dose of up to 20 mg daily for a minimum period of 3 months,</w:t>
            </w:r>
          </w:p>
          <w:p w14:paraId="01F19C6F" w14:textId="77777777" w:rsidR="005C1F93" w:rsidRPr="00901D86" w:rsidRDefault="005C1F93" w:rsidP="005C1F93">
            <w:pPr>
              <w:pStyle w:val="TableText0"/>
              <w:keepNext w:val="0"/>
              <w:rPr>
                <w:rFonts w:cs="Arial"/>
              </w:rPr>
            </w:pPr>
            <w:r w:rsidRPr="00901D86">
              <w:rPr>
                <w:rFonts w:cs="Arial"/>
              </w:rPr>
              <w:t>AND</w:t>
            </w:r>
          </w:p>
          <w:p w14:paraId="2D0AED45" w14:textId="77777777" w:rsidR="005C1F93" w:rsidRPr="00901D86" w:rsidRDefault="005C1F93" w:rsidP="005C1F93">
            <w:pPr>
              <w:pStyle w:val="Tabletext"/>
            </w:pPr>
            <w:r w:rsidRPr="00901D86">
              <w:rPr>
                <w:rFonts w:cs="Arial"/>
              </w:rPr>
              <w:t>Patient must not receive more than 20 weeks of treatment under this restriction.</w:t>
            </w:r>
          </w:p>
        </w:tc>
      </w:tr>
      <w:tr w:rsidR="005C1F93" w:rsidRPr="00901D86" w14:paraId="5274BB64"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tcPr>
          <w:p w14:paraId="256310CB" w14:textId="77777777" w:rsidR="005C1F93" w:rsidRPr="00901D86" w:rsidRDefault="005C1F93" w:rsidP="005C1F93">
            <w:pPr>
              <w:pStyle w:val="Tabletext"/>
              <w:rPr>
                <w:bCs/>
              </w:rPr>
            </w:pPr>
            <w:r w:rsidRPr="00901D86">
              <w:rPr>
                <w:bCs/>
              </w:rPr>
              <w:t>Treatment phase:</w:t>
            </w:r>
          </w:p>
        </w:tc>
        <w:tc>
          <w:tcPr>
            <w:tcW w:w="4070" w:type="pct"/>
            <w:tcBorders>
              <w:top w:val="single" w:sz="4" w:space="0" w:color="auto"/>
              <w:left w:val="single" w:sz="4" w:space="0" w:color="auto"/>
              <w:bottom w:val="single" w:sz="4" w:space="0" w:color="auto"/>
              <w:right w:val="single" w:sz="4" w:space="0" w:color="auto"/>
            </w:tcBorders>
          </w:tcPr>
          <w:p w14:paraId="64880D57" w14:textId="77777777" w:rsidR="005C1F93" w:rsidRPr="00901D86" w:rsidRDefault="005C1F93" w:rsidP="005C1F93">
            <w:pPr>
              <w:pStyle w:val="TableText0"/>
              <w:keepNext w:val="0"/>
              <w:rPr>
                <w:rFonts w:cs="Arial"/>
              </w:rPr>
            </w:pPr>
            <w:r w:rsidRPr="00901D86">
              <w:t>Initial 2 (change or recommencement of treatment after a break in biological medicine of less than 5 years)</w:t>
            </w:r>
          </w:p>
        </w:tc>
      </w:tr>
      <w:tr w:rsidR="005C1F93" w:rsidRPr="00901D86" w14:paraId="77F148AE"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tcPr>
          <w:p w14:paraId="6345BDAC" w14:textId="77777777" w:rsidR="005C1F93" w:rsidRPr="00901D86" w:rsidRDefault="005C1F93" w:rsidP="005C1F93">
            <w:pPr>
              <w:pStyle w:val="Tabletext"/>
            </w:pPr>
            <w:r w:rsidRPr="00901D86">
              <w:t>Clinical criteria:</w:t>
            </w:r>
          </w:p>
        </w:tc>
        <w:tc>
          <w:tcPr>
            <w:tcW w:w="4070" w:type="pct"/>
            <w:tcBorders>
              <w:top w:val="single" w:sz="4" w:space="0" w:color="auto"/>
              <w:left w:val="single" w:sz="4" w:space="0" w:color="auto"/>
              <w:bottom w:val="single" w:sz="4" w:space="0" w:color="auto"/>
              <w:right w:val="single" w:sz="4" w:space="0" w:color="auto"/>
            </w:tcBorders>
          </w:tcPr>
          <w:p w14:paraId="058A613B" w14:textId="77777777" w:rsidR="005C1F93" w:rsidRPr="00901D86" w:rsidRDefault="005C1F93" w:rsidP="005C1F93">
            <w:pPr>
              <w:pStyle w:val="TableText0"/>
              <w:keepNext w:val="0"/>
            </w:pPr>
            <w:r w:rsidRPr="00901D86">
              <w:t>Patient must have received prior PBS-subsidised treatment with a biological medicine for this condition in this treatment cycle,</w:t>
            </w:r>
          </w:p>
          <w:p w14:paraId="28C0BD92" w14:textId="77777777" w:rsidR="005C1F93" w:rsidRPr="00901D86" w:rsidRDefault="005C1F93" w:rsidP="005C1F93">
            <w:pPr>
              <w:pStyle w:val="TableText0"/>
              <w:keepNext w:val="0"/>
            </w:pPr>
            <w:r w:rsidRPr="00901D86">
              <w:t>AND</w:t>
            </w:r>
          </w:p>
          <w:p w14:paraId="0535592B" w14:textId="77777777" w:rsidR="005C1F93" w:rsidRPr="00901D86" w:rsidRDefault="005C1F93" w:rsidP="005C1F93">
            <w:pPr>
              <w:pStyle w:val="TableText0"/>
              <w:keepNext w:val="0"/>
            </w:pPr>
            <w:r w:rsidRPr="00901D86">
              <w:t>Patient must not have already failed, or ceased to respond to, PBS-subsidised treatment with 3 biological medicines for this condition within this treatment cycle,</w:t>
            </w:r>
          </w:p>
          <w:p w14:paraId="6AAA72E7" w14:textId="77777777" w:rsidR="005C1F93" w:rsidRPr="00901D86" w:rsidRDefault="005C1F93" w:rsidP="005C1F93">
            <w:pPr>
              <w:pStyle w:val="TableText0"/>
              <w:keepNext w:val="0"/>
            </w:pPr>
            <w:r w:rsidRPr="00901D86">
              <w:t>AND</w:t>
            </w:r>
          </w:p>
          <w:p w14:paraId="2806EF2C" w14:textId="77777777" w:rsidR="005C1F93" w:rsidRPr="00901D86" w:rsidRDefault="005C1F93" w:rsidP="005C1F93">
            <w:pPr>
              <w:pStyle w:val="TableText0"/>
              <w:keepNext w:val="0"/>
            </w:pPr>
            <w:r w:rsidRPr="00901D86">
              <w:t>Patient must not have already failed, or ceased to respond to, PBS-subsidised treatment with this drug for this condition during the current treatment cycle,</w:t>
            </w:r>
          </w:p>
          <w:p w14:paraId="2D122A00" w14:textId="77777777" w:rsidR="005C1F93" w:rsidRPr="00901D86" w:rsidRDefault="005C1F93" w:rsidP="005C1F93">
            <w:pPr>
              <w:pStyle w:val="TableText0"/>
              <w:keepNext w:val="0"/>
            </w:pPr>
            <w:r w:rsidRPr="00901D86">
              <w:t>AND</w:t>
            </w:r>
          </w:p>
          <w:p w14:paraId="2CE212A0" w14:textId="77777777" w:rsidR="005C1F93" w:rsidRPr="00901D86" w:rsidRDefault="005C1F93" w:rsidP="005C1F93">
            <w:pPr>
              <w:pStyle w:val="TableText0"/>
              <w:keepNext w:val="0"/>
              <w:rPr>
                <w:rFonts w:cs="Arial"/>
              </w:rPr>
            </w:pPr>
            <w:r w:rsidRPr="00901D86">
              <w:t>Patient must not receive more than 20 weeks of treatment under this restriction.</w:t>
            </w:r>
          </w:p>
        </w:tc>
      </w:tr>
      <w:tr w:rsidR="005C1F93" w:rsidRPr="00901D86" w14:paraId="1D3ECFA8"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tcPr>
          <w:p w14:paraId="7E7E4321" w14:textId="77777777" w:rsidR="005C1F93" w:rsidRPr="00901D86" w:rsidRDefault="005C1F93" w:rsidP="005C1F93">
            <w:pPr>
              <w:pStyle w:val="Tabletext"/>
            </w:pPr>
            <w:r w:rsidRPr="00901D86">
              <w:t>Treatment phase:</w:t>
            </w:r>
          </w:p>
        </w:tc>
        <w:tc>
          <w:tcPr>
            <w:tcW w:w="4070" w:type="pct"/>
            <w:tcBorders>
              <w:top w:val="single" w:sz="4" w:space="0" w:color="auto"/>
              <w:left w:val="single" w:sz="4" w:space="0" w:color="auto"/>
              <w:bottom w:val="single" w:sz="4" w:space="0" w:color="auto"/>
              <w:right w:val="single" w:sz="4" w:space="0" w:color="auto"/>
            </w:tcBorders>
          </w:tcPr>
          <w:p w14:paraId="4CE23602" w14:textId="77777777" w:rsidR="005C1F93" w:rsidRPr="00901D86" w:rsidRDefault="005C1F93" w:rsidP="005C1F93">
            <w:pPr>
              <w:pStyle w:val="TableText0"/>
              <w:keepNext w:val="0"/>
              <w:rPr>
                <w:rFonts w:cs="Arial"/>
              </w:rPr>
            </w:pPr>
            <w:r w:rsidRPr="00901D86">
              <w:t>Initial 3 (recommencement of treatment after a break in biological medicine of more than 5 years)</w:t>
            </w:r>
          </w:p>
        </w:tc>
      </w:tr>
      <w:tr w:rsidR="005C1F93" w:rsidRPr="00901D86" w14:paraId="568EDEF6"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tcPr>
          <w:p w14:paraId="0DB12D36" w14:textId="77777777" w:rsidR="005C1F93" w:rsidRPr="00901D86" w:rsidRDefault="005C1F93" w:rsidP="005C1F93">
            <w:pPr>
              <w:pStyle w:val="Tabletext"/>
            </w:pPr>
            <w:r w:rsidRPr="00901D86">
              <w:t>Clinical criteria:</w:t>
            </w:r>
          </w:p>
        </w:tc>
        <w:tc>
          <w:tcPr>
            <w:tcW w:w="4070" w:type="pct"/>
            <w:tcBorders>
              <w:top w:val="single" w:sz="4" w:space="0" w:color="auto"/>
              <w:left w:val="single" w:sz="4" w:space="0" w:color="auto"/>
              <w:bottom w:val="single" w:sz="4" w:space="0" w:color="auto"/>
              <w:right w:val="single" w:sz="4" w:space="0" w:color="auto"/>
            </w:tcBorders>
          </w:tcPr>
          <w:p w14:paraId="6120278A" w14:textId="77777777" w:rsidR="005C1F93" w:rsidRPr="00901D86" w:rsidRDefault="005C1F93" w:rsidP="005C1F93">
            <w:pPr>
              <w:pStyle w:val="TableText0"/>
              <w:keepNext w:val="0"/>
            </w:pPr>
            <w:r w:rsidRPr="00901D86">
              <w:t>Patient must have previously received PBS-subsidised treatment with a biological medicine for this condition,</w:t>
            </w:r>
          </w:p>
          <w:p w14:paraId="2999B871" w14:textId="77777777" w:rsidR="005C1F93" w:rsidRPr="00901D86" w:rsidRDefault="005C1F93" w:rsidP="005C1F93">
            <w:pPr>
              <w:pStyle w:val="TableText0"/>
              <w:keepNext w:val="0"/>
            </w:pPr>
            <w:r w:rsidRPr="00901D86">
              <w:t>AND</w:t>
            </w:r>
          </w:p>
          <w:p w14:paraId="0945A2B1" w14:textId="77777777" w:rsidR="005C1F93" w:rsidRPr="00901D86" w:rsidRDefault="005C1F93" w:rsidP="005C1F93">
            <w:pPr>
              <w:pStyle w:val="TableText0"/>
              <w:keepNext w:val="0"/>
            </w:pPr>
            <w:r w:rsidRPr="00901D86">
              <w:t>Patient must have a break in treatment of 5 years or more from the most recently approved PBS-subsidised biological medicine for this condition,</w:t>
            </w:r>
          </w:p>
          <w:p w14:paraId="4F7F1965" w14:textId="77777777" w:rsidR="005C1F93" w:rsidRPr="00901D86" w:rsidRDefault="005C1F93" w:rsidP="005C1F93">
            <w:pPr>
              <w:pStyle w:val="TableText0"/>
              <w:keepNext w:val="0"/>
            </w:pPr>
            <w:r w:rsidRPr="00901D86">
              <w:t>AND</w:t>
            </w:r>
          </w:p>
          <w:p w14:paraId="59FE2144" w14:textId="77777777" w:rsidR="005C1F93" w:rsidRPr="00901D86" w:rsidRDefault="005C1F93" w:rsidP="005C1F93">
            <w:pPr>
              <w:pStyle w:val="TableText0"/>
              <w:keepNext w:val="0"/>
            </w:pPr>
            <w:r w:rsidRPr="00901D86">
              <w:t xml:space="preserve">The condition must have an elevated erythrocyte sedimentation rate (ESR) greater than 25 mm per hour; OR </w:t>
            </w:r>
          </w:p>
          <w:p w14:paraId="054F04EC" w14:textId="77777777" w:rsidR="005C1F93" w:rsidRPr="00901D86" w:rsidRDefault="005C1F93" w:rsidP="005C1F93">
            <w:pPr>
              <w:pStyle w:val="TableText0"/>
              <w:keepNext w:val="0"/>
            </w:pPr>
            <w:r w:rsidRPr="00901D86">
              <w:t>The condition must have a C-reactive protein (CRP) level greater than 15 mg per L,</w:t>
            </w:r>
          </w:p>
          <w:p w14:paraId="437C95B2" w14:textId="77777777" w:rsidR="005C1F93" w:rsidRPr="00901D86" w:rsidRDefault="005C1F93" w:rsidP="005C1F93">
            <w:pPr>
              <w:pStyle w:val="TableText0"/>
              <w:keepNext w:val="0"/>
            </w:pPr>
            <w:r w:rsidRPr="00901D86">
              <w:t>AND</w:t>
            </w:r>
          </w:p>
          <w:p w14:paraId="1D879DD7" w14:textId="77777777" w:rsidR="005C1F93" w:rsidRPr="00901D86" w:rsidRDefault="005C1F93" w:rsidP="005C1F93">
            <w:pPr>
              <w:pStyle w:val="TableText0"/>
              <w:keepNext w:val="0"/>
            </w:pPr>
            <w:r w:rsidRPr="00901D86">
              <w:t>The condition must have either (a) a total active joint count of at least 20 active (swollen and tender) joints; or (b) at least 4 active major joints,</w:t>
            </w:r>
          </w:p>
          <w:p w14:paraId="76BF0237" w14:textId="77777777" w:rsidR="005C1F93" w:rsidRPr="00901D86" w:rsidRDefault="005C1F93" w:rsidP="005C1F93">
            <w:pPr>
              <w:pStyle w:val="TableText0"/>
              <w:keepNext w:val="0"/>
            </w:pPr>
            <w:r w:rsidRPr="00901D86">
              <w:t>AND</w:t>
            </w:r>
          </w:p>
          <w:p w14:paraId="18C4F244" w14:textId="77777777" w:rsidR="005C1F93" w:rsidRPr="00901D86" w:rsidRDefault="005C1F93" w:rsidP="005C1F93">
            <w:pPr>
              <w:pStyle w:val="TableText0"/>
              <w:keepNext w:val="0"/>
              <w:rPr>
                <w:rFonts w:cs="Arial"/>
              </w:rPr>
            </w:pPr>
            <w:r w:rsidRPr="00901D86">
              <w:t>Patient must not receive more than 20 weeks of treatment under this restriction.</w:t>
            </w:r>
          </w:p>
        </w:tc>
      </w:tr>
      <w:tr w:rsidR="005C1F93" w:rsidRPr="00901D86" w14:paraId="12BB5FEC"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tcPr>
          <w:p w14:paraId="420C6F6A" w14:textId="77777777" w:rsidR="005C1F93" w:rsidRPr="00901D86" w:rsidRDefault="005C1F93" w:rsidP="005C1F93">
            <w:pPr>
              <w:pStyle w:val="Tabletext"/>
            </w:pPr>
            <w:r w:rsidRPr="00901D86">
              <w:t>Treatment phase:</w:t>
            </w:r>
          </w:p>
        </w:tc>
        <w:tc>
          <w:tcPr>
            <w:tcW w:w="4070" w:type="pct"/>
            <w:tcBorders>
              <w:top w:val="single" w:sz="4" w:space="0" w:color="auto"/>
              <w:left w:val="single" w:sz="4" w:space="0" w:color="auto"/>
              <w:bottom w:val="single" w:sz="4" w:space="0" w:color="auto"/>
              <w:right w:val="single" w:sz="4" w:space="0" w:color="auto"/>
            </w:tcBorders>
          </w:tcPr>
          <w:p w14:paraId="721B0C7F" w14:textId="77777777" w:rsidR="005C1F93" w:rsidRPr="00901D86" w:rsidRDefault="005C1F93" w:rsidP="005C1F93">
            <w:pPr>
              <w:pStyle w:val="Tabletext"/>
              <w:rPr>
                <w:color w:val="000000"/>
              </w:rPr>
            </w:pPr>
            <w:r w:rsidRPr="00901D86">
              <w:rPr>
                <w:color w:val="000000"/>
              </w:rPr>
              <w:t>Continuing treatment</w:t>
            </w:r>
          </w:p>
        </w:tc>
      </w:tr>
      <w:tr w:rsidR="005C1F93" w:rsidRPr="00901D86" w14:paraId="0529673C" w14:textId="77777777" w:rsidTr="00E3279B">
        <w:trPr>
          <w:trHeight w:val="20"/>
        </w:trPr>
        <w:tc>
          <w:tcPr>
            <w:tcW w:w="930" w:type="pct"/>
            <w:tcBorders>
              <w:top w:val="single" w:sz="4" w:space="0" w:color="auto"/>
              <w:left w:val="single" w:sz="4" w:space="0" w:color="auto"/>
              <w:bottom w:val="single" w:sz="4" w:space="0" w:color="auto"/>
              <w:right w:val="single" w:sz="4" w:space="0" w:color="auto"/>
            </w:tcBorders>
            <w:hideMark/>
          </w:tcPr>
          <w:p w14:paraId="395B96E9" w14:textId="77777777" w:rsidR="005C1F93" w:rsidRPr="00901D86" w:rsidRDefault="005C1F93" w:rsidP="005C1F93">
            <w:pPr>
              <w:pStyle w:val="Tabletext"/>
            </w:pPr>
            <w:r w:rsidRPr="00901D86">
              <w:t>Clinical criteria:</w:t>
            </w:r>
          </w:p>
        </w:tc>
        <w:tc>
          <w:tcPr>
            <w:tcW w:w="4070" w:type="pct"/>
            <w:tcBorders>
              <w:top w:val="single" w:sz="4" w:space="0" w:color="auto"/>
              <w:left w:val="single" w:sz="4" w:space="0" w:color="auto"/>
              <w:bottom w:val="single" w:sz="4" w:space="0" w:color="auto"/>
              <w:right w:val="single" w:sz="4" w:space="0" w:color="auto"/>
            </w:tcBorders>
          </w:tcPr>
          <w:p w14:paraId="09B928A3" w14:textId="77777777" w:rsidR="005C1F93" w:rsidRPr="00901D86" w:rsidRDefault="005C1F93" w:rsidP="005C1F93">
            <w:pPr>
              <w:pStyle w:val="TableText0"/>
              <w:keepNext w:val="0"/>
            </w:pPr>
            <w:r w:rsidRPr="00901D86">
              <w:t>Patient must have received this drug as their most recent course of PBS-subsidised biological medicine treatment for this condition,</w:t>
            </w:r>
          </w:p>
          <w:p w14:paraId="1F58AD57" w14:textId="77777777" w:rsidR="005C1F93" w:rsidRPr="00901D86" w:rsidRDefault="005C1F93" w:rsidP="005C1F93">
            <w:pPr>
              <w:pStyle w:val="TableText0"/>
              <w:keepNext w:val="0"/>
            </w:pPr>
            <w:r w:rsidRPr="00901D86">
              <w:t>AND</w:t>
            </w:r>
          </w:p>
          <w:p w14:paraId="27FE97F5" w14:textId="77777777" w:rsidR="005C1F93" w:rsidRPr="00901D86" w:rsidRDefault="005C1F93" w:rsidP="005C1F93">
            <w:pPr>
              <w:pStyle w:val="TableText0"/>
              <w:keepNext w:val="0"/>
            </w:pPr>
            <w:r w:rsidRPr="00901D86">
              <w:t>Patient must have demonstrated an adequate response to treatment with this drug,</w:t>
            </w:r>
          </w:p>
          <w:p w14:paraId="6D185211" w14:textId="77777777" w:rsidR="005C1F93" w:rsidRPr="00901D86" w:rsidRDefault="005C1F93" w:rsidP="005C1F93">
            <w:pPr>
              <w:pStyle w:val="TableText0"/>
              <w:keepNext w:val="0"/>
            </w:pPr>
            <w:r w:rsidRPr="00901D86">
              <w:t>AND</w:t>
            </w:r>
          </w:p>
          <w:p w14:paraId="59113BA1" w14:textId="77777777" w:rsidR="005C1F93" w:rsidRPr="00901D86" w:rsidRDefault="005C1F93" w:rsidP="005C1F93">
            <w:pPr>
              <w:pStyle w:val="Tabletext"/>
              <w:rPr>
                <w:color w:val="000000"/>
              </w:rPr>
            </w:pPr>
            <w:r w:rsidRPr="00901D86">
              <w:t>Patient must not receive more than 24 weeks of treatment under this restriction.</w:t>
            </w:r>
          </w:p>
        </w:tc>
      </w:tr>
    </w:tbl>
    <w:p w14:paraId="206A10D0" w14:textId="77777777" w:rsidR="005C1F93" w:rsidRPr="00901D86" w:rsidRDefault="005C1F93" w:rsidP="005C1F93">
      <w:pPr>
        <w:pStyle w:val="TableFooter"/>
        <w:tabs>
          <w:tab w:val="left" w:pos="284"/>
        </w:tabs>
      </w:pPr>
      <w:r w:rsidRPr="00901D86">
        <w:rPr>
          <w:vertAlign w:val="superscript"/>
        </w:rPr>
        <w:t>a</w:t>
      </w:r>
      <w:r w:rsidRPr="00901D86">
        <w:tab/>
      </w:r>
      <w:r w:rsidRPr="00901D86">
        <w:rPr>
          <w:iCs/>
          <w:szCs w:val="18"/>
        </w:rPr>
        <w:t>based on ex-manufacturer price of $</w:t>
      </w:r>
      <w:r w:rsidR="0031616A">
        <w:rPr>
          <w:iCs/>
          <w:noProof/>
          <w:color w:val="000000"/>
          <w:szCs w:val="18"/>
          <w:highlight w:val="black"/>
        </w:rPr>
        <w:t>''''''''''''''''''''</w:t>
      </w:r>
      <w:r w:rsidRPr="00901D86">
        <w:rPr>
          <w:iCs/>
          <w:szCs w:val="18"/>
        </w:rPr>
        <w:t xml:space="preserve"> (adding $</w:t>
      </w:r>
      <w:r w:rsidRPr="00440C8A">
        <w:rPr>
          <w:iCs/>
          <w:szCs w:val="18"/>
        </w:rPr>
        <w:t>69.94</w:t>
      </w:r>
      <w:r w:rsidRPr="00901D86">
        <w:rPr>
          <w:iCs/>
          <w:szCs w:val="18"/>
        </w:rPr>
        <w:t xml:space="preserve"> wholesale mark-up, $</w:t>
      </w:r>
      <w:r w:rsidRPr="00440C8A">
        <w:rPr>
          <w:iCs/>
          <w:szCs w:val="18"/>
        </w:rPr>
        <w:t>99.28</w:t>
      </w:r>
      <w:r w:rsidRPr="00901D86">
        <w:rPr>
          <w:iCs/>
          <w:szCs w:val="18"/>
        </w:rPr>
        <w:t xml:space="preserve"> AHI s85 mark-up and $</w:t>
      </w:r>
      <w:r w:rsidRPr="00440C8A">
        <w:rPr>
          <w:iCs/>
          <w:szCs w:val="18"/>
        </w:rPr>
        <w:t>7.74</w:t>
      </w:r>
      <w:r w:rsidRPr="00901D86">
        <w:rPr>
          <w:iCs/>
          <w:szCs w:val="18"/>
        </w:rPr>
        <w:t xml:space="preserve"> dispensing fee)</w:t>
      </w:r>
    </w:p>
    <w:p w14:paraId="2013AEE4" w14:textId="77777777" w:rsidR="00B60939" w:rsidRPr="00901D86" w:rsidRDefault="00B60939" w:rsidP="004B1CB4"/>
    <w:p w14:paraId="2E292491" w14:textId="77777777" w:rsidR="006C5E4A" w:rsidRPr="00901D86" w:rsidRDefault="005C1F93" w:rsidP="00C14DCB">
      <w:pPr>
        <w:pStyle w:val="3-BodyText"/>
      </w:pPr>
      <w:r w:rsidRPr="00901D86">
        <w:t xml:space="preserve">The draft PI </w:t>
      </w:r>
      <w:r w:rsidR="001B49A5" w:rsidRPr="00901D86">
        <w:t xml:space="preserve">included </w:t>
      </w:r>
      <w:r w:rsidRPr="00901D86">
        <w:t xml:space="preserve">two recommended dosing regimens for guselkumab; one with administration of guselkumab 100 mg at Weeks 0, 4 and every 8 weeks thereafter </w:t>
      </w:r>
      <w:r w:rsidRPr="00901D86">
        <w:lastRenderedPageBreak/>
        <w:t xml:space="preserve">(q8w) and another with administration of guselkumab 100 mg at Week 0, 4 and every 4 weeks thereafter (q4w). The submission </w:t>
      </w:r>
      <w:r w:rsidR="0087346B" w:rsidRPr="00901D86">
        <w:t>requested</w:t>
      </w:r>
      <w:r w:rsidRPr="00901D86">
        <w:t xml:space="preserve"> the PBS listing of the guselkumab 100 mg q8w dose only.</w:t>
      </w:r>
      <w:r w:rsidR="00C14DCB" w:rsidRPr="00901D86">
        <w:t xml:space="preserve"> The TGA</w:t>
      </w:r>
      <w:r w:rsidR="008E4F9A" w:rsidRPr="00901D86">
        <w:t xml:space="preserve"> </w:t>
      </w:r>
      <w:r w:rsidR="00C14DCB" w:rsidRPr="00901D86">
        <w:t>Delegate</w:t>
      </w:r>
      <w:r w:rsidR="008E4F9A" w:rsidRPr="00901D86">
        <w:t xml:space="preserve"> stated</w:t>
      </w:r>
      <w:r w:rsidR="00C14DCB" w:rsidRPr="00901D86">
        <w:t xml:space="preserve"> that </w:t>
      </w:r>
      <w:r w:rsidR="00306407" w:rsidRPr="00901D86">
        <w:t>“</w:t>
      </w:r>
      <w:r w:rsidR="0031616A">
        <w:rPr>
          <w:noProof/>
          <w:color w:val="000000"/>
          <w:highlight w:val="black"/>
        </w:rPr>
        <w:t>'''''' '''''''''''''' '''' ''''''' ''' ''''''''''''''' '''''''''''''''' ''' '''''''''''''''' '''''''''''''''''''' ''''' ''''''' ''''''''''''' ''''' '''''' ''' ''''''''''''' ''''''''''''''''' ''''''''' ''' ''''''''''' ''''' '''''''''''' ''''''''''''''' '''''''''' ''''''''''''''</w:t>
      </w:r>
      <w:r w:rsidR="00C14DCB" w:rsidRPr="00901D86">
        <w:t>.”</w:t>
      </w:r>
      <w:r w:rsidRPr="00901D86">
        <w:t xml:space="preserve"> The requested listing for guselkumab would provide a sufficient quantity for initial (20 weeks) and continuing (24 weeks) treatment for patients who meet the specified clinical criteria according to the q8w regimen (which </w:t>
      </w:r>
      <w:r w:rsidR="0087346B" w:rsidRPr="00901D86">
        <w:t xml:space="preserve">was </w:t>
      </w:r>
      <w:r w:rsidRPr="00901D86">
        <w:t xml:space="preserve">the basis of the </w:t>
      </w:r>
      <w:r w:rsidR="00566BB2" w:rsidRPr="00901D86">
        <w:t>CMA</w:t>
      </w:r>
      <w:r w:rsidRPr="00901D86">
        <w:t xml:space="preserve"> presented).</w:t>
      </w:r>
      <w:r w:rsidR="0087346B" w:rsidRPr="00901D86">
        <w:t xml:space="preserve"> The PBAC considered that a Note specifying “No increase in the maximum quantity or number of units may be authorised” is required to ensure the cost-effective dosing regimen</w:t>
      </w:r>
      <w:r w:rsidR="00306407" w:rsidRPr="00901D86">
        <w:t>, q8w,</w:t>
      </w:r>
      <w:r w:rsidR="0087346B" w:rsidRPr="00901D86">
        <w:t xml:space="preserve"> is adhered to.</w:t>
      </w:r>
    </w:p>
    <w:p w14:paraId="7B6C89F1" w14:textId="77777777" w:rsidR="00434E42" w:rsidRPr="00901D86" w:rsidRDefault="006C5E4A" w:rsidP="00434E42">
      <w:pPr>
        <w:pStyle w:val="3-BodyText"/>
      </w:pPr>
      <w:r w:rsidRPr="00901D86">
        <w:t>A special pricing arrangement was proposed</w:t>
      </w:r>
      <w:r w:rsidR="00434E42" w:rsidRPr="00901D86">
        <w:t xml:space="preserve"> with a published and effective DPMQ provided in the submission</w:t>
      </w:r>
      <w:r w:rsidRPr="00901D86">
        <w:t xml:space="preserve">. </w:t>
      </w:r>
    </w:p>
    <w:p w14:paraId="0DF4D665" w14:textId="77777777" w:rsidR="005C1F93" w:rsidRPr="00901D86" w:rsidRDefault="006C5E4A" w:rsidP="00642745">
      <w:pPr>
        <w:pStyle w:val="3-BodyText"/>
      </w:pPr>
      <w:r w:rsidRPr="00901D86">
        <w:t xml:space="preserve">The requested price was based on a </w:t>
      </w:r>
      <w:r w:rsidR="00566BB2" w:rsidRPr="00901D86">
        <w:t xml:space="preserve">CMA versus </w:t>
      </w:r>
      <w:r w:rsidRPr="00901D86">
        <w:t>ust</w:t>
      </w:r>
      <w:r w:rsidR="005C1F93" w:rsidRPr="00901D86">
        <w:t>e</w:t>
      </w:r>
      <w:r w:rsidRPr="00901D86">
        <w:t>kinumab. The submission adopted the pre-anniversary price cut price of ustekinumab of $</w:t>
      </w:r>
      <w:r w:rsidR="0031616A">
        <w:rPr>
          <w:noProof/>
          <w:color w:val="000000"/>
          <w:highlight w:val="black"/>
        </w:rPr>
        <w:t>''''''''''''''''</w:t>
      </w:r>
      <w:r w:rsidRPr="00901D86">
        <w:t xml:space="preserve"> instead of the current effective </w:t>
      </w:r>
      <w:r w:rsidR="005C1F93" w:rsidRPr="00901D86">
        <w:t xml:space="preserve">ex-manufacturer price </w:t>
      </w:r>
      <w:r w:rsidRPr="00901D86">
        <w:t>of $</w:t>
      </w:r>
      <w:r w:rsidR="0031616A">
        <w:rPr>
          <w:noProof/>
          <w:color w:val="000000"/>
          <w:highlight w:val="black"/>
        </w:rPr>
        <w:t>''''''''''''''''</w:t>
      </w:r>
      <w:r w:rsidRPr="00901D86">
        <w:t xml:space="preserve">. </w:t>
      </w:r>
      <w:r w:rsidR="00685CDD" w:rsidRPr="00901D86">
        <w:t>The</w:t>
      </w:r>
      <w:r w:rsidR="0087346B" w:rsidRPr="00901D86">
        <w:t xml:space="preserve"> sponsor requested the</w:t>
      </w:r>
      <w:r w:rsidR="00685CDD" w:rsidRPr="00901D86">
        <w:t xml:space="preserve"> application of Clause 5.7 of the Strategic Agreement </w:t>
      </w:r>
      <w:r w:rsidR="0087346B" w:rsidRPr="00901D86">
        <w:t xml:space="preserve">which </w:t>
      </w:r>
      <w:r w:rsidR="00685CDD" w:rsidRPr="00901D86">
        <w:t>is determined by the Minister (or Delegate), and is not a matter for</w:t>
      </w:r>
      <w:r w:rsidR="0087346B" w:rsidRPr="00901D86">
        <w:t xml:space="preserve"> the</w:t>
      </w:r>
      <w:r w:rsidR="00685CDD" w:rsidRPr="00901D86">
        <w:t xml:space="preserve"> PBAC.</w:t>
      </w:r>
    </w:p>
    <w:p w14:paraId="04D18D47" w14:textId="77777777" w:rsidR="00314313" w:rsidRPr="00901D86" w:rsidRDefault="00314313" w:rsidP="00367CB9">
      <w:pPr>
        <w:pStyle w:val="3-BodyText"/>
      </w:pPr>
      <w:r w:rsidRPr="00901D86">
        <w:rPr>
          <w:iCs/>
        </w:rPr>
        <w:t xml:space="preserve">The wording of the restrictions </w:t>
      </w:r>
      <w:r w:rsidR="008E4F9A" w:rsidRPr="00901D86">
        <w:rPr>
          <w:iCs/>
        </w:rPr>
        <w:t xml:space="preserve">is </w:t>
      </w:r>
      <w:r w:rsidRPr="00901D86">
        <w:rPr>
          <w:iCs/>
        </w:rPr>
        <w:t>consistent with the currently PBS-listed biologic</w:t>
      </w:r>
      <w:r w:rsidR="00A6679B" w:rsidRPr="00901D86">
        <w:rPr>
          <w:iCs/>
        </w:rPr>
        <w:t>al medicines</w:t>
      </w:r>
      <w:r w:rsidRPr="00901D86">
        <w:rPr>
          <w:iCs/>
        </w:rPr>
        <w:t>.</w:t>
      </w:r>
      <w:r w:rsidR="008E4F9A" w:rsidRPr="00901D86">
        <w:rPr>
          <w:iCs/>
        </w:rPr>
        <w:t xml:space="preserve"> N</w:t>
      </w:r>
      <w:r w:rsidRPr="00901D86">
        <w:rPr>
          <w:iCs/>
        </w:rPr>
        <w:t xml:space="preserve">o grandfather restriction </w:t>
      </w:r>
      <w:r w:rsidR="008E4F9A" w:rsidRPr="00901D86">
        <w:rPr>
          <w:iCs/>
        </w:rPr>
        <w:t xml:space="preserve">was </w:t>
      </w:r>
      <w:r w:rsidRPr="00901D86">
        <w:rPr>
          <w:iCs/>
        </w:rPr>
        <w:t>requested</w:t>
      </w:r>
      <w:r w:rsidR="008E4F9A" w:rsidRPr="00901D86">
        <w:t xml:space="preserve"> in the submission and </w:t>
      </w:r>
      <w:r w:rsidR="008E4F9A" w:rsidRPr="00901D86">
        <w:rPr>
          <w:iCs/>
        </w:rPr>
        <w:t>t</w:t>
      </w:r>
      <w:r w:rsidRPr="00901D86">
        <w:rPr>
          <w:iCs/>
        </w:rPr>
        <w:t xml:space="preserve">he sponsor </w:t>
      </w:r>
      <w:r w:rsidR="008E4F9A" w:rsidRPr="00901D86">
        <w:rPr>
          <w:iCs/>
        </w:rPr>
        <w:t xml:space="preserve">confirmed </w:t>
      </w:r>
      <w:r w:rsidR="00367CB9" w:rsidRPr="00901D86">
        <w:rPr>
          <w:iCs/>
        </w:rPr>
        <w:t>in the</w:t>
      </w:r>
      <w:r w:rsidRPr="00901D86">
        <w:rPr>
          <w:iCs/>
        </w:rPr>
        <w:t xml:space="preserve"> </w:t>
      </w:r>
      <w:r w:rsidR="0040072D">
        <w:rPr>
          <w:iCs/>
        </w:rPr>
        <w:t>pre-sub-committee response (</w:t>
      </w:r>
      <w:r w:rsidRPr="00901D86">
        <w:rPr>
          <w:iCs/>
        </w:rPr>
        <w:t>PSCR</w:t>
      </w:r>
      <w:r w:rsidR="0040072D">
        <w:rPr>
          <w:iCs/>
        </w:rPr>
        <w:t>)</w:t>
      </w:r>
      <w:r w:rsidRPr="00901D86">
        <w:rPr>
          <w:iCs/>
        </w:rPr>
        <w:t xml:space="preserve"> that no grandfather restriction </w:t>
      </w:r>
      <w:r w:rsidR="008E4F9A" w:rsidRPr="00901D86">
        <w:rPr>
          <w:iCs/>
        </w:rPr>
        <w:t>was</w:t>
      </w:r>
      <w:r w:rsidRPr="00901D86">
        <w:rPr>
          <w:iCs/>
        </w:rPr>
        <w:t xml:space="preserve"> required.</w:t>
      </w:r>
    </w:p>
    <w:p w14:paraId="76259330" w14:textId="77777777" w:rsidR="001B4222" w:rsidRPr="00901D86" w:rsidRDefault="001B4222" w:rsidP="008E4F9A">
      <w:pPr>
        <w:pStyle w:val="3-BodyText"/>
        <w:numPr>
          <w:ilvl w:val="0"/>
          <w:numId w:val="0"/>
        </w:numPr>
        <w:ind w:firstLine="720"/>
        <w:rPr>
          <w:i/>
        </w:rPr>
      </w:pPr>
      <w:r w:rsidRPr="00901D86">
        <w:rPr>
          <w:i/>
        </w:rPr>
        <w:t>For more detail on PBAC’s view, see section 7 PBAC outcome.</w:t>
      </w:r>
    </w:p>
    <w:p w14:paraId="1A8C93B2" w14:textId="77777777" w:rsidR="00B50DB8" w:rsidRPr="00901D86" w:rsidRDefault="00203181" w:rsidP="004E18E9">
      <w:pPr>
        <w:pStyle w:val="2-SectionHeading"/>
      </w:pPr>
      <w:bookmarkStart w:id="7" w:name="_Toc50643114"/>
      <w:r w:rsidRPr="00901D86">
        <w:t xml:space="preserve">Population and </w:t>
      </w:r>
      <w:r w:rsidR="008E0D3C" w:rsidRPr="00901D86">
        <w:t>d</w:t>
      </w:r>
      <w:r w:rsidRPr="00901D86">
        <w:t>isease</w:t>
      </w:r>
      <w:bookmarkEnd w:id="7"/>
    </w:p>
    <w:p w14:paraId="1E0AE5DD" w14:textId="77777777" w:rsidR="006C5E4A" w:rsidRPr="00901D86" w:rsidRDefault="006C5E4A" w:rsidP="006C5E4A">
      <w:pPr>
        <w:pStyle w:val="3-BodyText"/>
      </w:pPr>
      <w:r w:rsidRPr="00901D86">
        <w:t xml:space="preserve">PsA is a clinically heterogeneous, progressive, and chronic inflammatory condition that causes irreversible joint damage. The Group for Research and Assessment of Psoriasis and Psoriatic Arthritis (GRAPPA), identifies 6 common areas of disease involvement in PsA: peripheral arthritis; axial disease enthesitis; dactylitis; skin and nail psoriasis (PsO). </w:t>
      </w:r>
    </w:p>
    <w:p w14:paraId="23210CBA" w14:textId="77777777" w:rsidR="006C5E4A" w:rsidRPr="00901D86" w:rsidRDefault="006C5E4A" w:rsidP="006C5E4A">
      <w:pPr>
        <w:pStyle w:val="3-BodyText"/>
      </w:pPr>
      <w:r w:rsidRPr="00901D86">
        <w:t xml:space="preserve">Guselkumab is a human IgG1λ monoclonal antibody that selectively binds to the p19 subunit of </w:t>
      </w:r>
      <w:r w:rsidR="005C1F93" w:rsidRPr="00901D86">
        <w:t>interleukin (</w:t>
      </w:r>
      <w:r w:rsidRPr="00901D86">
        <w:t>IL</w:t>
      </w:r>
      <w:r w:rsidR="005C1F93" w:rsidRPr="00901D86">
        <w:t>)</w:t>
      </w:r>
      <w:r w:rsidRPr="00901D86">
        <w:t>-23 and inhibits its interaction with the IL-23 receptor. Guselkumab may be administered alone or in combination with a conventional synthetic disease-modifying anti</w:t>
      </w:r>
      <w:r w:rsidR="00642745" w:rsidRPr="00901D86">
        <w:t>-</w:t>
      </w:r>
      <w:r w:rsidRPr="00901D86">
        <w:t xml:space="preserve">rheumatic drug (csDMARD). By inhibiting IL-23, guselkumab provides a different mechanism of action to the </w:t>
      </w:r>
      <w:r w:rsidR="005C6B07" w:rsidRPr="00901D86">
        <w:t>tumour necrosis factor alpha (</w:t>
      </w:r>
      <w:r w:rsidRPr="00901D86">
        <w:t>TNFα</w:t>
      </w:r>
      <w:r w:rsidR="005C6B07" w:rsidRPr="00901D86">
        <w:t>)</w:t>
      </w:r>
      <w:r w:rsidRPr="00901D86">
        <w:t xml:space="preserve"> inhibitors and provides an additional treatment option to the range of interleukin inhibitors currently listed on the PBS for severe PsA which target IL-17 or IL12/23</w:t>
      </w:r>
      <w:r w:rsidR="00BA5C4F" w:rsidRPr="00901D86">
        <w:t>,</w:t>
      </w:r>
      <w:r w:rsidRPr="00901D86">
        <w:t xml:space="preserve"> or that inhibit </w:t>
      </w:r>
      <w:r w:rsidR="00BA6289" w:rsidRPr="00901D86">
        <w:t>Janus kinase (</w:t>
      </w:r>
      <w:r w:rsidRPr="00901D86">
        <w:t>JAK</w:t>
      </w:r>
      <w:r w:rsidR="00BA6289" w:rsidRPr="00901D86">
        <w:t>)</w:t>
      </w:r>
      <w:r w:rsidRPr="00901D86">
        <w:t>.</w:t>
      </w:r>
    </w:p>
    <w:p w14:paraId="45F21350" w14:textId="77777777" w:rsidR="007627BE" w:rsidRPr="00901D86" w:rsidRDefault="006C5E4A" w:rsidP="006C5E4A">
      <w:pPr>
        <w:pStyle w:val="3-BodyText"/>
      </w:pPr>
      <w:r w:rsidRPr="00901D86">
        <w:t>Currently, there are nine biologics listed on the PBS for the treatment of patients with severe PsA who have failed to achieve an adequate response to non-biologic DMARD</w:t>
      </w:r>
      <w:r w:rsidR="00515DAC" w:rsidRPr="00901D86">
        <w:t>s</w:t>
      </w:r>
      <w:r w:rsidRPr="00901D86">
        <w:t>.</w:t>
      </w:r>
    </w:p>
    <w:p w14:paraId="72DBB26F" w14:textId="77777777" w:rsidR="00B50DB8" w:rsidRPr="00901D86" w:rsidRDefault="00B50DB8" w:rsidP="004E18E9">
      <w:pPr>
        <w:pStyle w:val="2-SectionHeading"/>
      </w:pPr>
      <w:bookmarkStart w:id="8" w:name="_Toc50643115"/>
      <w:r w:rsidRPr="00901D86">
        <w:lastRenderedPageBreak/>
        <w:t>Comparator</w:t>
      </w:r>
      <w:bookmarkEnd w:id="8"/>
    </w:p>
    <w:p w14:paraId="71594C60" w14:textId="77777777" w:rsidR="006C5E4A" w:rsidRPr="00901D86" w:rsidRDefault="006C5E4A" w:rsidP="00FE2B75">
      <w:pPr>
        <w:pStyle w:val="3-BodyText"/>
      </w:pPr>
      <w:r w:rsidRPr="00901D86">
        <w:t xml:space="preserve">The submission nominated ustekinumab as the </w:t>
      </w:r>
      <w:r w:rsidR="007566A9" w:rsidRPr="00901D86">
        <w:t xml:space="preserve">primary </w:t>
      </w:r>
      <w:r w:rsidRPr="00901D86">
        <w:t xml:space="preserve">comparator as it has the most similar pharmacological mechanism of action to guselkumab of the current PBS-listed biologics and similar expected patterns of use. In addition, secukinumab, certolizumab pegol, tofacitinib and adalimumab (the most commonly used biologic) were nominated as secondary comparators. Although ustekinumab </w:t>
      </w:r>
      <w:r w:rsidR="007566A9" w:rsidRPr="00901D86">
        <w:t>wa</w:t>
      </w:r>
      <w:r w:rsidRPr="00901D86">
        <w:t xml:space="preserve">s considered a reasonable comparator, </w:t>
      </w:r>
      <w:r w:rsidR="003558D7" w:rsidRPr="00901D86">
        <w:t xml:space="preserve">guselkumab </w:t>
      </w:r>
      <w:r w:rsidR="007566A9" w:rsidRPr="00901D86">
        <w:t xml:space="preserve">could </w:t>
      </w:r>
      <w:r w:rsidR="003558D7" w:rsidRPr="00901D86">
        <w:t xml:space="preserve">replace </w:t>
      </w:r>
      <w:r w:rsidR="005C1F93" w:rsidRPr="00901D86">
        <w:t>any of the current PBS-listed b</w:t>
      </w:r>
      <w:r w:rsidR="00E96E7B">
        <w:t>iological disease modifying anti-rheumatic drugs (bDMA</w:t>
      </w:r>
      <w:r w:rsidR="005C1F93" w:rsidRPr="00901D86">
        <w:t>RDs</w:t>
      </w:r>
      <w:r w:rsidR="00E96E7B">
        <w:t>)</w:t>
      </w:r>
      <w:r w:rsidRPr="00901D86">
        <w:t>.</w:t>
      </w:r>
      <w:r w:rsidR="00F85DDB" w:rsidRPr="00901D86">
        <w:t xml:space="preserve"> The PSCR disagreed with </w:t>
      </w:r>
      <w:r w:rsidR="00566BB2" w:rsidRPr="00901D86">
        <w:t xml:space="preserve">the evaluation and </w:t>
      </w:r>
      <w:r w:rsidR="007B1AD5" w:rsidRPr="00901D86">
        <w:t>argu</w:t>
      </w:r>
      <w:r w:rsidR="00566BB2" w:rsidRPr="00901D86">
        <w:t>ed</w:t>
      </w:r>
      <w:r w:rsidR="003558D7" w:rsidRPr="00901D86">
        <w:t xml:space="preserve"> </w:t>
      </w:r>
      <w:r w:rsidR="00F85DDB" w:rsidRPr="00901D86">
        <w:t>that</w:t>
      </w:r>
      <w:r w:rsidR="00C91A69" w:rsidRPr="00901D86">
        <w:t>, in clinical practice,</w:t>
      </w:r>
      <w:r w:rsidR="00F85DDB" w:rsidRPr="00901D86">
        <w:t xml:space="preserve"> </w:t>
      </w:r>
      <w:r w:rsidR="003558D7" w:rsidRPr="00901D86">
        <w:t xml:space="preserve">guselkumab would be unlikely to replace </w:t>
      </w:r>
      <w:r w:rsidR="007B1AD5" w:rsidRPr="00901D86">
        <w:t xml:space="preserve">IV </w:t>
      </w:r>
      <w:r w:rsidR="00F85DDB" w:rsidRPr="00901D86">
        <w:t>infliximab</w:t>
      </w:r>
      <w:r w:rsidR="003558D7" w:rsidRPr="00901D86">
        <w:t xml:space="preserve"> as it is generally reserved as a last line therapy</w:t>
      </w:r>
      <w:r w:rsidR="00566BB2" w:rsidRPr="00901D86">
        <w:t>.</w:t>
      </w:r>
      <w:r w:rsidR="007566A9" w:rsidRPr="00901D86">
        <w:t xml:space="preserve"> </w:t>
      </w:r>
    </w:p>
    <w:p w14:paraId="09D3E90D" w14:textId="77777777" w:rsidR="002C2775" w:rsidRPr="00901D86" w:rsidRDefault="006C5E4A" w:rsidP="00FE2B75">
      <w:pPr>
        <w:pStyle w:val="3-BodyText"/>
        <w:numPr>
          <w:ilvl w:val="1"/>
          <w:numId w:val="5"/>
        </w:numPr>
      </w:pPr>
      <w:r w:rsidRPr="00901D86">
        <w:t xml:space="preserve">The </w:t>
      </w:r>
      <w:r w:rsidR="00EE3695" w:rsidRPr="00901D86">
        <w:t>PBAC noted</w:t>
      </w:r>
      <w:r w:rsidR="007742BD" w:rsidRPr="00901D86">
        <w:t xml:space="preserve"> ustekinumab, secukinumab, certolizumab pegol and tofacit</w:t>
      </w:r>
      <w:r w:rsidR="002F30B4" w:rsidRPr="00901D86">
        <w:t>i</w:t>
      </w:r>
      <w:r w:rsidR="007742BD" w:rsidRPr="00901D86">
        <w:t>nib are considered ‘lower tier’ medicines (i.e., less effective) and etanercept, adalimumab, infliximab, ixekizumab and golimumab are considered ‘higher tier’ medicines (i.e., more effective) for the treatment of PsA.</w:t>
      </w:r>
    </w:p>
    <w:p w14:paraId="21A05A09" w14:textId="77777777" w:rsidR="00FE2B75" w:rsidRPr="00901D86" w:rsidRDefault="005C1F93" w:rsidP="00FE2B75">
      <w:pPr>
        <w:pStyle w:val="3-BodyText"/>
        <w:rPr>
          <w:iCs/>
        </w:rPr>
      </w:pPr>
      <w:r w:rsidRPr="00901D86">
        <w:t xml:space="preserve">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r w:rsidR="00FE2B75" w:rsidRPr="00BC1D35">
        <w:rPr>
          <w:iCs/>
        </w:rPr>
        <w:t>The PBAC noted the sponsors claim in the PSCR that guselkumab was unlikely to replace infliximab in clinical practice but considered infliximab was an alternative therapy as it could be replaced by guselkumab.</w:t>
      </w:r>
      <w:r w:rsidR="00FE2B75" w:rsidRPr="00901D86">
        <w:rPr>
          <w:iCs/>
        </w:rPr>
        <w:t xml:space="preserve"> </w:t>
      </w:r>
    </w:p>
    <w:p w14:paraId="1FAADB98" w14:textId="77777777" w:rsidR="006C5E4A" w:rsidRPr="00901D86" w:rsidRDefault="001B4222" w:rsidP="001B49A5">
      <w:pPr>
        <w:pStyle w:val="3-BodyText"/>
        <w:numPr>
          <w:ilvl w:val="0"/>
          <w:numId w:val="0"/>
        </w:numPr>
        <w:ind w:firstLine="720"/>
        <w:rPr>
          <w:i/>
        </w:rPr>
      </w:pPr>
      <w:r w:rsidRPr="00901D86">
        <w:rPr>
          <w:i/>
        </w:rPr>
        <w:t>For more detail on PBAC’s view, see section 7 PBAC outcome.</w:t>
      </w:r>
    </w:p>
    <w:p w14:paraId="78B72544" w14:textId="77777777" w:rsidR="00223D5A" w:rsidRPr="00901D86" w:rsidRDefault="00223D5A" w:rsidP="00FE2B75">
      <w:pPr>
        <w:pStyle w:val="2-SectionHeading"/>
      </w:pPr>
      <w:bookmarkStart w:id="9" w:name="_Toc50433637"/>
      <w:bookmarkStart w:id="10" w:name="_Toc50643116"/>
      <w:bookmarkStart w:id="11" w:name="_Toc22897640"/>
      <w:bookmarkEnd w:id="9"/>
      <w:r w:rsidRPr="00901D86">
        <w:t>Consideration of the evidence</w:t>
      </w:r>
      <w:bookmarkEnd w:id="10"/>
    </w:p>
    <w:p w14:paraId="251D93BF" w14:textId="77777777" w:rsidR="001B4222" w:rsidRPr="00901D86" w:rsidRDefault="001B4222" w:rsidP="002E4F02">
      <w:pPr>
        <w:pStyle w:val="4-SubsectionHeading"/>
      </w:pPr>
      <w:bookmarkStart w:id="12" w:name="_Toc50643117"/>
      <w:r w:rsidRPr="00901D86">
        <w:t>Sponsor hearing</w:t>
      </w:r>
    </w:p>
    <w:p w14:paraId="7AB9CB8B" w14:textId="77777777" w:rsidR="001B4222" w:rsidRPr="00901D86" w:rsidRDefault="001B4222" w:rsidP="00FE2B75">
      <w:pPr>
        <w:pStyle w:val="3-BodyText"/>
        <w:numPr>
          <w:ilvl w:val="1"/>
          <w:numId w:val="5"/>
        </w:numPr>
      </w:pPr>
      <w:r w:rsidRPr="00901D86">
        <w:rPr>
          <w:bCs/>
        </w:rPr>
        <w:t>There was no hearing for this item.</w:t>
      </w:r>
    </w:p>
    <w:p w14:paraId="44C28670" w14:textId="77777777" w:rsidR="001B4222" w:rsidRPr="00901D86" w:rsidRDefault="001B4222" w:rsidP="001B4222">
      <w:pPr>
        <w:pStyle w:val="4-SubsectionHeading"/>
      </w:pPr>
      <w:r w:rsidRPr="00901D86">
        <w:t>Consumer comments</w:t>
      </w:r>
    </w:p>
    <w:p w14:paraId="75AC42BD" w14:textId="77777777" w:rsidR="001B4222" w:rsidRPr="00901D86" w:rsidRDefault="001B4222" w:rsidP="00FE2B75">
      <w:pPr>
        <w:pStyle w:val="3-BodyText"/>
        <w:numPr>
          <w:ilvl w:val="1"/>
          <w:numId w:val="5"/>
        </w:numPr>
        <w:rPr>
          <w:bCs/>
        </w:rPr>
      </w:pPr>
      <w:r w:rsidRPr="00901D86">
        <w:rPr>
          <w:bCs/>
        </w:rPr>
        <w:t>The PBAC noted and welcomed the input from individuals (</w:t>
      </w:r>
      <w:r w:rsidR="009D640A" w:rsidRPr="00901D86">
        <w:rPr>
          <w:bCs/>
        </w:rPr>
        <w:t>1</w:t>
      </w:r>
      <w:r w:rsidRPr="00901D86">
        <w:rPr>
          <w:bCs/>
        </w:rPr>
        <w:t>), health care professionals (</w:t>
      </w:r>
      <w:r w:rsidR="009D640A" w:rsidRPr="00901D86">
        <w:rPr>
          <w:bCs/>
        </w:rPr>
        <w:t>2</w:t>
      </w:r>
      <w:r w:rsidRPr="00901D86">
        <w:rPr>
          <w:bCs/>
        </w:rPr>
        <w:t xml:space="preserve">) and organisations (1) via the Consumer Comments facility on the PBS website. The comments described a range of benefits of treatment with </w:t>
      </w:r>
      <w:r w:rsidR="009D640A" w:rsidRPr="00901D86">
        <w:rPr>
          <w:bCs/>
        </w:rPr>
        <w:t>guselkumab</w:t>
      </w:r>
      <w:r w:rsidRPr="00901D86">
        <w:rPr>
          <w:bCs/>
        </w:rPr>
        <w:t xml:space="preserve"> including</w:t>
      </w:r>
      <w:r w:rsidR="009D640A" w:rsidRPr="00901D86">
        <w:rPr>
          <w:bCs/>
        </w:rPr>
        <w:t xml:space="preserve"> a lower risk of infections or complications </w:t>
      </w:r>
      <w:r w:rsidR="00D84674" w:rsidRPr="00901D86">
        <w:rPr>
          <w:bCs/>
        </w:rPr>
        <w:t xml:space="preserve">compared to currently available </w:t>
      </w:r>
      <w:r w:rsidR="009D640A" w:rsidRPr="00901D86">
        <w:rPr>
          <w:bCs/>
        </w:rPr>
        <w:t>treatment</w:t>
      </w:r>
      <w:r w:rsidR="00D84674" w:rsidRPr="00901D86">
        <w:rPr>
          <w:bCs/>
        </w:rPr>
        <w:t xml:space="preserve">s </w:t>
      </w:r>
      <w:r w:rsidR="009D640A" w:rsidRPr="00901D86">
        <w:rPr>
          <w:bCs/>
        </w:rPr>
        <w:t xml:space="preserve">and easy </w:t>
      </w:r>
      <w:r w:rsidR="00D84674" w:rsidRPr="00901D86">
        <w:rPr>
          <w:bCs/>
        </w:rPr>
        <w:t>self-</w:t>
      </w:r>
      <w:r w:rsidR="009D640A" w:rsidRPr="00901D86">
        <w:rPr>
          <w:bCs/>
        </w:rPr>
        <w:t>administration.</w:t>
      </w:r>
    </w:p>
    <w:p w14:paraId="6C893482" w14:textId="77777777" w:rsidR="001B4222" w:rsidRPr="00901D86" w:rsidRDefault="001B4222" w:rsidP="00FE2B75">
      <w:pPr>
        <w:pStyle w:val="3-BodyText"/>
        <w:numPr>
          <w:ilvl w:val="1"/>
          <w:numId w:val="5"/>
        </w:numPr>
        <w:rPr>
          <w:bCs/>
        </w:rPr>
      </w:pPr>
      <w:r w:rsidRPr="00901D86">
        <w:rPr>
          <w:bCs/>
        </w:rPr>
        <w:t xml:space="preserve">The PBAC noted the </w:t>
      </w:r>
      <w:r w:rsidR="008D32F8" w:rsidRPr="00901D86">
        <w:rPr>
          <w:bCs/>
        </w:rPr>
        <w:t xml:space="preserve">comments </w:t>
      </w:r>
      <w:r w:rsidRPr="00901D86">
        <w:rPr>
          <w:bCs/>
        </w:rPr>
        <w:t xml:space="preserve">received from </w:t>
      </w:r>
      <w:r w:rsidR="009D640A" w:rsidRPr="00901D86">
        <w:rPr>
          <w:bCs/>
        </w:rPr>
        <w:t>Creaky Joints Australia</w:t>
      </w:r>
      <w:r w:rsidRPr="00901D86">
        <w:rPr>
          <w:bCs/>
        </w:rPr>
        <w:t xml:space="preserve"> </w:t>
      </w:r>
      <w:r w:rsidR="008D32F8" w:rsidRPr="00901D86">
        <w:rPr>
          <w:bCs/>
        </w:rPr>
        <w:t xml:space="preserve">describing the debilitating symptoms of PSA and </w:t>
      </w:r>
      <w:r w:rsidRPr="00901D86">
        <w:rPr>
          <w:bCs/>
        </w:rPr>
        <w:t xml:space="preserve">clarifying the likely use of </w:t>
      </w:r>
      <w:r w:rsidR="009D640A" w:rsidRPr="00901D86">
        <w:rPr>
          <w:bCs/>
        </w:rPr>
        <w:t>guselkumab</w:t>
      </w:r>
      <w:r w:rsidRPr="00901D86">
        <w:rPr>
          <w:bCs/>
        </w:rPr>
        <w:t xml:space="preserve"> in clinical practice. The PBAC specifically noted the advice that </w:t>
      </w:r>
      <w:r w:rsidR="009D640A" w:rsidRPr="00901D86">
        <w:rPr>
          <w:bCs/>
        </w:rPr>
        <w:t>guselkumab</w:t>
      </w:r>
      <w:r w:rsidRPr="00901D86">
        <w:rPr>
          <w:bCs/>
        </w:rPr>
        <w:t xml:space="preserve"> </w:t>
      </w:r>
      <w:r w:rsidR="00D84674" w:rsidRPr="00901D86">
        <w:rPr>
          <w:bCs/>
        </w:rPr>
        <w:t xml:space="preserve">would provide </w:t>
      </w:r>
      <w:r w:rsidR="00A62C75" w:rsidRPr="00901D86">
        <w:rPr>
          <w:bCs/>
        </w:rPr>
        <w:t>an</w:t>
      </w:r>
      <w:r w:rsidR="00D84674" w:rsidRPr="00901D86">
        <w:rPr>
          <w:bCs/>
          <w:vertAlign w:val="subscript"/>
        </w:rPr>
        <w:t xml:space="preserve"> </w:t>
      </w:r>
      <w:r w:rsidR="00D84674" w:rsidRPr="00901D86">
        <w:rPr>
          <w:bCs/>
        </w:rPr>
        <w:t xml:space="preserve">additional treatment option for </w:t>
      </w:r>
      <w:r w:rsidR="008D32F8" w:rsidRPr="00901D86">
        <w:rPr>
          <w:bCs/>
        </w:rPr>
        <w:t xml:space="preserve">patients with PsA. </w:t>
      </w:r>
    </w:p>
    <w:p w14:paraId="66B05623" w14:textId="77777777" w:rsidR="00B60939" w:rsidRPr="00901D86" w:rsidRDefault="00B60939" w:rsidP="002E4F02">
      <w:pPr>
        <w:pStyle w:val="4-SubsectionHeading"/>
      </w:pPr>
      <w:r w:rsidRPr="00901D86">
        <w:lastRenderedPageBreak/>
        <w:t>Clinical trials</w:t>
      </w:r>
      <w:bookmarkEnd w:id="11"/>
      <w:bookmarkEnd w:id="12"/>
    </w:p>
    <w:p w14:paraId="15E560BF" w14:textId="77777777" w:rsidR="007F1017" w:rsidRPr="00901D86" w:rsidRDefault="006C5E4A" w:rsidP="00FE2B75">
      <w:pPr>
        <w:pStyle w:val="3-BodyText"/>
        <w:numPr>
          <w:ilvl w:val="1"/>
          <w:numId w:val="5"/>
        </w:numPr>
        <w:rPr>
          <w:snapToGrid/>
        </w:rPr>
      </w:pPr>
      <w:r w:rsidRPr="00901D86">
        <w:rPr>
          <w:snapToGrid/>
        </w:rPr>
        <w:t>The submission was based on eleven placebo-controlled trials comparing guselkumab to ustekinumab,</w:t>
      </w:r>
      <w:r w:rsidRPr="00901D86">
        <w:t xml:space="preserve"> </w:t>
      </w:r>
      <w:r w:rsidRPr="00901D86">
        <w:rPr>
          <w:snapToGrid/>
        </w:rPr>
        <w:t xml:space="preserve">secukinumab, certolizumab pegol, tofacitinib and adalimumab. Details of the trials presented in the submission are provided in </w:t>
      </w:r>
      <w:r w:rsidR="00205DEE">
        <w:rPr>
          <w:snapToGrid/>
        </w:rPr>
        <w:t>Table 2</w:t>
      </w:r>
      <w:r w:rsidRPr="00901D86">
        <w:rPr>
          <w:snapToGrid/>
        </w:rPr>
        <w:t>.</w:t>
      </w:r>
    </w:p>
    <w:p w14:paraId="1BBD45AC" w14:textId="77777777" w:rsidR="006C5E4A" w:rsidRPr="00901D86" w:rsidRDefault="006C5E4A" w:rsidP="00642745">
      <w:pPr>
        <w:pStyle w:val="Caption"/>
        <w:keepNext/>
        <w:spacing w:after="0"/>
        <w:rPr>
          <w:rFonts w:ascii="Arial Narrow" w:hAnsi="Arial Narrow"/>
          <w:color w:val="auto"/>
          <w:sz w:val="20"/>
          <w:szCs w:val="20"/>
        </w:rPr>
      </w:pPr>
      <w:bookmarkStart w:id="13" w:name="_Ref50431141"/>
      <w:r w:rsidRPr="00901D86">
        <w:rPr>
          <w:rFonts w:ascii="Arial Narrow" w:hAnsi="Arial Narrow"/>
          <w:color w:val="auto"/>
          <w:sz w:val="20"/>
          <w:szCs w:val="20"/>
        </w:rPr>
        <w:t xml:space="preserve">Table </w:t>
      </w:r>
      <w:bookmarkEnd w:id="13"/>
      <w:r w:rsidR="00205DEE">
        <w:rPr>
          <w:rFonts w:ascii="Arial Narrow" w:hAnsi="Arial Narrow"/>
          <w:color w:val="auto"/>
          <w:sz w:val="20"/>
          <w:szCs w:val="20"/>
        </w:rPr>
        <w:t>2</w:t>
      </w:r>
      <w:r w:rsidRPr="00901D86">
        <w:rPr>
          <w:rStyle w:val="CommentReference"/>
          <w:b/>
          <w:color w:val="auto"/>
          <w:szCs w:val="20"/>
        </w:rPr>
        <w:t>: Trials and key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6C5E4A" w:rsidRPr="00901D86" w14:paraId="6714E9BD" w14:textId="77777777" w:rsidTr="006C5E4A">
        <w:trPr>
          <w:tblHeader/>
        </w:trPr>
        <w:tc>
          <w:tcPr>
            <w:tcW w:w="796" w:type="pct"/>
            <w:tcBorders>
              <w:bottom w:val="single" w:sz="4" w:space="0" w:color="auto"/>
            </w:tcBorders>
            <w:vAlign w:val="center"/>
          </w:tcPr>
          <w:p w14:paraId="4726997F" w14:textId="77777777" w:rsidR="006C5E4A" w:rsidRPr="00901D86" w:rsidRDefault="006C5E4A" w:rsidP="00642745">
            <w:pPr>
              <w:pStyle w:val="In-tableHeading"/>
              <w:rPr>
                <w:lang w:val="en-AU"/>
              </w:rPr>
            </w:pPr>
            <w:r w:rsidRPr="00901D86">
              <w:rPr>
                <w:lang w:val="en-AU"/>
              </w:rPr>
              <w:t>Trial</w:t>
            </w:r>
          </w:p>
        </w:tc>
        <w:tc>
          <w:tcPr>
            <w:tcW w:w="3027" w:type="pct"/>
            <w:vAlign w:val="center"/>
          </w:tcPr>
          <w:p w14:paraId="2EDB77F4" w14:textId="77777777" w:rsidR="006C5E4A" w:rsidRPr="00901D86" w:rsidRDefault="006C5E4A" w:rsidP="00642745">
            <w:pPr>
              <w:pStyle w:val="In-tableHeading"/>
              <w:jc w:val="center"/>
              <w:rPr>
                <w:lang w:val="en-AU"/>
              </w:rPr>
            </w:pPr>
            <w:r w:rsidRPr="00901D86">
              <w:rPr>
                <w:lang w:val="en-AU"/>
              </w:rPr>
              <w:t>Protocol title/ Publication title</w:t>
            </w:r>
          </w:p>
        </w:tc>
        <w:tc>
          <w:tcPr>
            <w:tcW w:w="1177" w:type="pct"/>
            <w:vAlign w:val="center"/>
          </w:tcPr>
          <w:p w14:paraId="349584D0" w14:textId="77777777" w:rsidR="006C5E4A" w:rsidRPr="00901D86" w:rsidRDefault="006C5E4A" w:rsidP="00642745">
            <w:pPr>
              <w:pStyle w:val="In-tableHeading"/>
              <w:jc w:val="center"/>
              <w:rPr>
                <w:lang w:val="en-AU"/>
              </w:rPr>
            </w:pPr>
            <w:r w:rsidRPr="00901D86">
              <w:rPr>
                <w:lang w:val="en-AU"/>
              </w:rPr>
              <w:t>Publication citation</w:t>
            </w:r>
          </w:p>
        </w:tc>
      </w:tr>
      <w:tr w:rsidR="006C5E4A" w:rsidRPr="00901D86" w14:paraId="50C9F698" w14:textId="77777777" w:rsidTr="006C5E4A">
        <w:tc>
          <w:tcPr>
            <w:tcW w:w="5000" w:type="pct"/>
            <w:gridSpan w:val="3"/>
            <w:tcBorders>
              <w:top w:val="single" w:sz="4" w:space="0" w:color="auto"/>
              <w:left w:val="single" w:sz="4" w:space="0" w:color="auto"/>
              <w:bottom w:val="single" w:sz="4" w:space="0" w:color="auto"/>
            </w:tcBorders>
            <w:vAlign w:val="center"/>
          </w:tcPr>
          <w:p w14:paraId="2857F11F" w14:textId="77777777" w:rsidR="006C5E4A" w:rsidRPr="00901D86" w:rsidRDefault="006C5E4A" w:rsidP="00642745">
            <w:pPr>
              <w:pStyle w:val="TableText0"/>
              <w:rPr>
                <w:b/>
                <w:bCs w:val="0"/>
              </w:rPr>
            </w:pPr>
            <w:r w:rsidRPr="00901D86">
              <w:rPr>
                <w:b/>
                <w:bCs w:val="0"/>
              </w:rPr>
              <w:t>Guselkumab versus placebo</w:t>
            </w:r>
          </w:p>
        </w:tc>
      </w:tr>
      <w:tr w:rsidR="006C5E4A" w:rsidRPr="00901D86" w14:paraId="0EE012B6" w14:textId="77777777" w:rsidTr="006C5E4A">
        <w:tc>
          <w:tcPr>
            <w:tcW w:w="796" w:type="pct"/>
            <w:vMerge w:val="restart"/>
            <w:tcBorders>
              <w:top w:val="single" w:sz="4" w:space="0" w:color="auto"/>
              <w:left w:val="single" w:sz="4" w:space="0" w:color="auto"/>
              <w:bottom w:val="single" w:sz="4" w:space="0" w:color="auto"/>
              <w:right w:val="single" w:sz="4" w:space="0" w:color="auto"/>
            </w:tcBorders>
            <w:vAlign w:val="center"/>
          </w:tcPr>
          <w:p w14:paraId="6F06183B" w14:textId="77777777" w:rsidR="006C5E4A" w:rsidRPr="00901D86" w:rsidRDefault="006C5E4A" w:rsidP="00642745">
            <w:pPr>
              <w:pStyle w:val="TableText0"/>
            </w:pPr>
            <w:r w:rsidRPr="00901D86">
              <w:t>DISCOVER 1</w:t>
            </w:r>
          </w:p>
        </w:tc>
        <w:tc>
          <w:tcPr>
            <w:tcW w:w="3027" w:type="pct"/>
            <w:tcBorders>
              <w:left w:val="single" w:sz="4" w:space="0" w:color="auto"/>
              <w:bottom w:val="nil"/>
            </w:tcBorders>
            <w:vAlign w:val="center"/>
          </w:tcPr>
          <w:p w14:paraId="57DC88AB" w14:textId="4B7576B1" w:rsidR="006C5E4A" w:rsidRPr="00901D86" w:rsidRDefault="006C5E4A" w:rsidP="00642745">
            <w:pPr>
              <w:pStyle w:val="TableText0"/>
              <w:rPr>
                <w:szCs w:val="18"/>
              </w:rPr>
            </w:pPr>
            <w:r w:rsidRPr="00901D86">
              <w:rPr>
                <w:szCs w:val="18"/>
              </w:rPr>
              <w:t xml:space="preserve">Janssen. A Phase 3, </w:t>
            </w:r>
            <w:r w:rsidR="00E3279B" w:rsidRPr="00901D86">
              <w:rPr>
                <w:szCs w:val="18"/>
              </w:rPr>
              <w:t>Multicentre</w:t>
            </w:r>
            <w:r w:rsidRPr="00901D86">
              <w:rPr>
                <w:szCs w:val="18"/>
              </w:rPr>
              <w:t>, Randomized, Double-blind, placebo-controlled Study Evaluating the Efficacy and Safety of Guselkumab Administered Subcutaneously in Subjects With Active Psoriatic Arthritis Including Those Previously Treated With Biologic Anti-TNFα Agent(s).</w:t>
            </w:r>
          </w:p>
        </w:tc>
        <w:tc>
          <w:tcPr>
            <w:tcW w:w="1177" w:type="pct"/>
            <w:tcBorders>
              <w:bottom w:val="nil"/>
            </w:tcBorders>
            <w:vAlign w:val="center"/>
          </w:tcPr>
          <w:p w14:paraId="4273DE10" w14:textId="77777777" w:rsidR="006C5E4A" w:rsidRPr="00901D86" w:rsidRDefault="006C5E4A" w:rsidP="00642745">
            <w:pPr>
              <w:pStyle w:val="TableText0"/>
            </w:pPr>
            <w:r w:rsidRPr="00901D86">
              <w:t>CSR Induction 2019</w:t>
            </w:r>
          </w:p>
          <w:p w14:paraId="721AF2C3" w14:textId="77777777" w:rsidR="006C5E4A" w:rsidRPr="00901D86" w:rsidRDefault="006C5E4A" w:rsidP="00642745">
            <w:pPr>
              <w:pStyle w:val="TableText0"/>
            </w:pPr>
            <w:r w:rsidRPr="00901D86">
              <w:t>CSR Maintenance 2020</w:t>
            </w:r>
          </w:p>
        </w:tc>
      </w:tr>
      <w:tr w:rsidR="006C5E4A" w:rsidRPr="00901D86" w14:paraId="409F4184" w14:textId="77777777" w:rsidTr="006C5E4A">
        <w:tc>
          <w:tcPr>
            <w:tcW w:w="796" w:type="pct"/>
            <w:vMerge/>
            <w:tcBorders>
              <w:top w:val="single" w:sz="4" w:space="0" w:color="auto"/>
              <w:left w:val="single" w:sz="4" w:space="0" w:color="auto"/>
              <w:bottom w:val="single" w:sz="4" w:space="0" w:color="auto"/>
              <w:right w:val="single" w:sz="4" w:space="0" w:color="auto"/>
            </w:tcBorders>
            <w:vAlign w:val="center"/>
          </w:tcPr>
          <w:p w14:paraId="453A8AF0" w14:textId="77777777" w:rsidR="006C5E4A" w:rsidRPr="00901D86" w:rsidRDefault="006C5E4A" w:rsidP="00642745">
            <w:pPr>
              <w:pStyle w:val="TableText0"/>
            </w:pPr>
          </w:p>
        </w:tc>
        <w:tc>
          <w:tcPr>
            <w:tcW w:w="3027" w:type="pct"/>
            <w:tcBorders>
              <w:left w:val="single" w:sz="4" w:space="0" w:color="auto"/>
              <w:bottom w:val="nil"/>
            </w:tcBorders>
            <w:vAlign w:val="center"/>
          </w:tcPr>
          <w:p w14:paraId="71F0E337" w14:textId="77777777" w:rsidR="006C5E4A" w:rsidRPr="00901D86" w:rsidRDefault="006C5E4A" w:rsidP="00642745">
            <w:pPr>
              <w:pStyle w:val="TableText0"/>
              <w:rPr>
                <w:szCs w:val="18"/>
              </w:rPr>
            </w:pPr>
            <w:r w:rsidRPr="00901D86">
              <w:rPr>
                <w:szCs w:val="18"/>
              </w:rPr>
              <w:t>Deodhar, Atul, et al. Guselkumab in patients with active psoriatic arthritis who were biologic-naive or had previously received TNFα inhibitor treatment (DISCOVER-1): a double-blind, randomised, placebo-controlled phase 3 trial.</w:t>
            </w:r>
          </w:p>
        </w:tc>
        <w:tc>
          <w:tcPr>
            <w:tcW w:w="1177" w:type="pct"/>
            <w:tcBorders>
              <w:bottom w:val="nil"/>
            </w:tcBorders>
            <w:vAlign w:val="center"/>
          </w:tcPr>
          <w:p w14:paraId="4149A081" w14:textId="77777777" w:rsidR="006C5E4A" w:rsidRPr="00901D86" w:rsidRDefault="006C5E4A" w:rsidP="00642745">
            <w:pPr>
              <w:pStyle w:val="TableText0"/>
            </w:pPr>
            <w:r w:rsidRPr="00901D86">
              <w:rPr>
                <w:i/>
              </w:rPr>
              <w:t>The Lancet</w:t>
            </w:r>
            <w:r w:rsidRPr="00901D86">
              <w:t xml:space="preserve"> 2020; 395(10230); 1115-1125</w:t>
            </w:r>
          </w:p>
        </w:tc>
      </w:tr>
      <w:tr w:rsidR="006C5E4A" w:rsidRPr="00901D86" w14:paraId="1AAE021D" w14:textId="77777777" w:rsidTr="006C5E4A">
        <w:tc>
          <w:tcPr>
            <w:tcW w:w="796" w:type="pct"/>
            <w:vMerge w:val="restart"/>
            <w:tcBorders>
              <w:top w:val="single" w:sz="4" w:space="0" w:color="auto"/>
              <w:left w:val="single" w:sz="4" w:space="0" w:color="auto"/>
              <w:bottom w:val="single" w:sz="4" w:space="0" w:color="auto"/>
              <w:right w:val="single" w:sz="4" w:space="0" w:color="auto"/>
            </w:tcBorders>
            <w:vAlign w:val="center"/>
          </w:tcPr>
          <w:p w14:paraId="38A137D3" w14:textId="77777777" w:rsidR="006C5E4A" w:rsidRPr="00901D86" w:rsidRDefault="006C5E4A" w:rsidP="00642745">
            <w:pPr>
              <w:pStyle w:val="TableText0"/>
            </w:pPr>
            <w:r w:rsidRPr="00901D86">
              <w:t>DISCOVER 2</w:t>
            </w:r>
          </w:p>
        </w:tc>
        <w:tc>
          <w:tcPr>
            <w:tcW w:w="3027" w:type="pct"/>
            <w:tcBorders>
              <w:left w:val="single" w:sz="4" w:space="0" w:color="auto"/>
              <w:bottom w:val="single" w:sz="4" w:space="0" w:color="auto"/>
            </w:tcBorders>
            <w:vAlign w:val="center"/>
          </w:tcPr>
          <w:p w14:paraId="1BE76F73" w14:textId="2F39F6C5" w:rsidR="006C5E4A" w:rsidRPr="00901D86" w:rsidRDefault="006C5E4A" w:rsidP="00642745">
            <w:pPr>
              <w:pStyle w:val="TableText0"/>
              <w:rPr>
                <w:szCs w:val="18"/>
              </w:rPr>
            </w:pPr>
            <w:r w:rsidRPr="00901D86">
              <w:rPr>
                <w:szCs w:val="18"/>
              </w:rPr>
              <w:t xml:space="preserve">Janssen. A Phase 3, </w:t>
            </w:r>
            <w:r w:rsidR="00E3279B" w:rsidRPr="00901D86">
              <w:rPr>
                <w:szCs w:val="18"/>
              </w:rPr>
              <w:t>Multicentre</w:t>
            </w:r>
            <w:r w:rsidRPr="00901D86">
              <w:rPr>
                <w:szCs w:val="18"/>
              </w:rPr>
              <w:t>, Randomized, Double-blind, Placebo-controlled Study Evaluating the Efficacy and Safety of Guselkumab Administered Subcutaneously in Subjects with Active Psoriatic Arthritis.</w:t>
            </w:r>
          </w:p>
        </w:tc>
        <w:tc>
          <w:tcPr>
            <w:tcW w:w="1177" w:type="pct"/>
            <w:tcBorders>
              <w:bottom w:val="single" w:sz="4" w:space="0" w:color="auto"/>
            </w:tcBorders>
            <w:vAlign w:val="center"/>
          </w:tcPr>
          <w:p w14:paraId="18AB416E" w14:textId="77777777" w:rsidR="006C5E4A" w:rsidRPr="00901D86" w:rsidRDefault="006C5E4A" w:rsidP="00642745">
            <w:pPr>
              <w:pStyle w:val="TableText0"/>
            </w:pPr>
            <w:r w:rsidRPr="00901D86">
              <w:t>CSR Induction 2019</w:t>
            </w:r>
          </w:p>
          <w:p w14:paraId="7CF9EAB4" w14:textId="77777777" w:rsidR="006C5E4A" w:rsidRPr="00901D86" w:rsidRDefault="006C5E4A" w:rsidP="00642745">
            <w:pPr>
              <w:pStyle w:val="TableText0"/>
            </w:pPr>
            <w:r w:rsidRPr="00901D86">
              <w:t>CSR Maintenance 2020</w:t>
            </w:r>
          </w:p>
        </w:tc>
      </w:tr>
      <w:tr w:rsidR="006C5E4A" w:rsidRPr="00901D86" w14:paraId="2EDAAF4D" w14:textId="77777777" w:rsidTr="006C5E4A">
        <w:tc>
          <w:tcPr>
            <w:tcW w:w="796" w:type="pct"/>
            <w:vMerge/>
            <w:tcBorders>
              <w:top w:val="single" w:sz="4" w:space="0" w:color="auto"/>
              <w:left w:val="single" w:sz="4" w:space="0" w:color="auto"/>
              <w:bottom w:val="single" w:sz="4" w:space="0" w:color="auto"/>
              <w:right w:val="single" w:sz="4" w:space="0" w:color="auto"/>
            </w:tcBorders>
            <w:vAlign w:val="center"/>
          </w:tcPr>
          <w:p w14:paraId="2093DCCB" w14:textId="77777777" w:rsidR="006C5E4A" w:rsidRPr="00901D86" w:rsidRDefault="006C5E4A" w:rsidP="00642745">
            <w:pPr>
              <w:pStyle w:val="TableText0"/>
            </w:pPr>
          </w:p>
        </w:tc>
        <w:tc>
          <w:tcPr>
            <w:tcW w:w="3027" w:type="pct"/>
            <w:tcBorders>
              <w:left w:val="single" w:sz="4" w:space="0" w:color="auto"/>
              <w:bottom w:val="single" w:sz="4" w:space="0" w:color="auto"/>
            </w:tcBorders>
            <w:vAlign w:val="center"/>
          </w:tcPr>
          <w:p w14:paraId="638A0B72" w14:textId="77777777" w:rsidR="006C5E4A" w:rsidRPr="00901D86" w:rsidRDefault="006C5E4A" w:rsidP="00642745">
            <w:pPr>
              <w:pStyle w:val="TableText0"/>
              <w:rPr>
                <w:szCs w:val="18"/>
              </w:rPr>
            </w:pPr>
            <w:r w:rsidRPr="00901D86">
              <w:rPr>
                <w:szCs w:val="18"/>
              </w:rPr>
              <w:t xml:space="preserve">Mease, Philip J., et al. Guselkumab in biologic-naive patients with active psoriatic arthritis (DISCOVER-2): a double-blind, randomised, placebo-controlled phase 3 trial. </w:t>
            </w:r>
          </w:p>
        </w:tc>
        <w:tc>
          <w:tcPr>
            <w:tcW w:w="1177" w:type="pct"/>
            <w:tcBorders>
              <w:bottom w:val="single" w:sz="4" w:space="0" w:color="auto"/>
            </w:tcBorders>
            <w:vAlign w:val="center"/>
          </w:tcPr>
          <w:p w14:paraId="41E5FAFE" w14:textId="77777777" w:rsidR="006C5E4A" w:rsidRPr="00901D86" w:rsidRDefault="006C5E4A" w:rsidP="00642745">
            <w:pPr>
              <w:pStyle w:val="TableText0"/>
            </w:pPr>
            <w:r w:rsidRPr="00901D86">
              <w:rPr>
                <w:i/>
              </w:rPr>
              <w:t>The Lancet</w:t>
            </w:r>
            <w:r w:rsidRPr="00901D86">
              <w:t xml:space="preserve"> 2020; 395 (10230); 1126-1136</w:t>
            </w:r>
          </w:p>
        </w:tc>
      </w:tr>
      <w:tr w:rsidR="006C5E4A" w:rsidRPr="00901D86" w14:paraId="5E0DED57" w14:textId="77777777" w:rsidTr="006C5E4A">
        <w:tc>
          <w:tcPr>
            <w:tcW w:w="5000" w:type="pct"/>
            <w:gridSpan w:val="3"/>
            <w:tcBorders>
              <w:top w:val="single" w:sz="4" w:space="0" w:color="auto"/>
              <w:left w:val="single" w:sz="4" w:space="0" w:color="auto"/>
            </w:tcBorders>
            <w:vAlign w:val="center"/>
          </w:tcPr>
          <w:p w14:paraId="1683EC53" w14:textId="77777777" w:rsidR="006C5E4A" w:rsidRPr="00901D86" w:rsidRDefault="006C5E4A" w:rsidP="00642745">
            <w:pPr>
              <w:pStyle w:val="TableText0"/>
              <w:rPr>
                <w:b/>
                <w:bCs w:val="0"/>
              </w:rPr>
            </w:pPr>
            <w:r w:rsidRPr="00901D86">
              <w:rPr>
                <w:b/>
                <w:bCs w:val="0"/>
              </w:rPr>
              <w:t>Ustekinumab versus placebo</w:t>
            </w:r>
          </w:p>
        </w:tc>
      </w:tr>
      <w:tr w:rsidR="006C5E4A" w:rsidRPr="00901D86" w14:paraId="183B9CAB" w14:textId="77777777" w:rsidTr="006C5E4A">
        <w:tc>
          <w:tcPr>
            <w:tcW w:w="796" w:type="pct"/>
            <w:vMerge w:val="restart"/>
            <w:tcBorders>
              <w:top w:val="single" w:sz="4" w:space="0" w:color="auto"/>
              <w:left w:val="single" w:sz="4" w:space="0" w:color="auto"/>
              <w:right w:val="single" w:sz="4" w:space="0" w:color="auto"/>
            </w:tcBorders>
            <w:vAlign w:val="center"/>
          </w:tcPr>
          <w:p w14:paraId="5756FD7E" w14:textId="77777777" w:rsidR="006C5E4A" w:rsidRPr="00901D86" w:rsidRDefault="006C5E4A" w:rsidP="00642745">
            <w:pPr>
              <w:pStyle w:val="TableText0"/>
            </w:pPr>
            <w:r w:rsidRPr="00901D86">
              <w:t>PSUMMIT-1</w:t>
            </w:r>
          </w:p>
        </w:tc>
        <w:tc>
          <w:tcPr>
            <w:tcW w:w="3027" w:type="pct"/>
            <w:tcBorders>
              <w:left w:val="single" w:sz="4" w:space="0" w:color="auto"/>
              <w:bottom w:val="single" w:sz="4" w:space="0" w:color="auto"/>
            </w:tcBorders>
            <w:vAlign w:val="center"/>
          </w:tcPr>
          <w:p w14:paraId="3F47B147" w14:textId="768B5BF6" w:rsidR="006C5E4A" w:rsidRPr="00901D86" w:rsidRDefault="006C5E4A" w:rsidP="00642745">
            <w:pPr>
              <w:pStyle w:val="TableText0"/>
              <w:rPr>
                <w:szCs w:val="18"/>
              </w:rPr>
            </w:pPr>
            <w:r w:rsidRPr="00901D86">
              <w:rPr>
                <w:szCs w:val="18"/>
              </w:rPr>
              <w:t xml:space="preserve">Janssen. A Phase 3 </w:t>
            </w:r>
            <w:r w:rsidR="00E3279B" w:rsidRPr="00901D86">
              <w:rPr>
                <w:szCs w:val="18"/>
              </w:rPr>
              <w:t>Multicentre</w:t>
            </w:r>
            <w:r w:rsidRPr="00901D86">
              <w:rPr>
                <w:szCs w:val="18"/>
              </w:rPr>
              <w:t>, Randomized, Double-blind, Placebo-controlled Trial of Ustekinumab, a Fully Human Anti-IL-12/23p40 Monoclonal Antibody, Administered Subcutaneously, in Subjects with Active Psoriatic Arthritis.</w:t>
            </w:r>
          </w:p>
        </w:tc>
        <w:tc>
          <w:tcPr>
            <w:tcW w:w="1177" w:type="pct"/>
            <w:tcBorders>
              <w:bottom w:val="single" w:sz="4" w:space="0" w:color="auto"/>
            </w:tcBorders>
            <w:vAlign w:val="center"/>
          </w:tcPr>
          <w:p w14:paraId="3C68B6DA" w14:textId="77777777" w:rsidR="006C5E4A" w:rsidRPr="00901D86" w:rsidRDefault="006C5E4A" w:rsidP="00642745">
            <w:pPr>
              <w:pStyle w:val="TableText0"/>
            </w:pPr>
            <w:r w:rsidRPr="00901D86">
              <w:t>CSR 2013</w:t>
            </w:r>
          </w:p>
        </w:tc>
      </w:tr>
      <w:tr w:rsidR="006C5E4A" w:rsidRPr="00901D86" w14:paraId="71D585AE" w14:textId="77777777" w:rsidTr="006C5E4A">
        <w:tc>
          <w:tcPr>
            <w:tcW w:w="796" w:type="pct"/>
            <w:vMerge/>
            <w:tcBorders>
              <w:left w:val="single" w:sz="4" w:space="0" w:color="auto"/>
              <w:right w:val="single" w:sz="4" w:space="0" w:color="auto"/>
            </w:tcBorders>
            <w:vAlign w:val="center"/>
          </w:tcPr>
          <w:p w14:paraId="41F60CEF" w14:textId="77777777" w:rsidR="006C5E4A" w:rsidRPr="00901D86" w:rsidRDefault="006C5E4A" w:rsidP="00642745">
            <w:pPr>
              <w:pStyle w:val="TableText0"/>
            </w:pPr>
          </w:p>
        </w:tc>
        <w:tc>
          <w:tcPr>
            <w:tcW w:w="3027" w:type="pct"/>
            <w:tcBorders>
              <w:top w:val="single" w:sz="4" w:space="0" w:color="auto"/>
              <w:left w:val="single" w:sz="4" w:space="0" w:color="auto"/>
              <w:bottom w:val="single" w:sz="4" w:space="0" w:color="auto"/>
            </w:tcBorders>
            <w:vAlign w:val="center"/>
          </w:tcPr>
          <w:p w14:paraId="175B0B3D" w14:textId="77777777" w:rsidR="006C5E4A" w:rsidRPr="00901D86" w:rsidRDefault="006C5E4A" w:rsidP="00642745">
            <w:pPr>
              <w:pStyle w:val="TableText0"/>
              <w:rPr>
                <w:szCs w:val="18"/>
              </w:rPr>
            </w:pPr>
            <w:r w:rsidRPr="00901D86">
              <w:rPr>
                <w:szCs w:val="18"/>
              </w:rPr>
              <w:t>McInnes I.B., et al. Efficacy and safety of ustekinumab in patients with active psoriatic arthritis: 1 year results of the phase 3, multicentre, double-blind, placebo-controlled PSUMMIT-1 trial.</w:t>
            </w:r>
          </w:p>
        </w:tc>
        <w:tc>
          <w:tcPr>
            <w:tcW w:w="1177" w:type="pct"/>
            <w:tcBorders>
              <w:top w:val="single" w:sz="4" w:space="0" w:color="auto"/>
              <w:bottom w:val="single" w:sz="4" w:space="0" w:color="auto"/>
            </w:tcBorders>
            <w:vAlign w:val="center"/>
          </w:tcPr>
          <w:p w14:paraId="1ACAD18B" w14:textId="77777777" w:rsidR="006C5E4A" w:rsidRPr="00901D86" w:rsidRDefault="006C5E4A" w:rsidP="00642745">
            <w:pPr>
              <w:pStyle w:val="TableText0"/>
              <w:rPr>
                <w:szCs w:val="18"/>
              </w:rPr>
            </w:pPr>
            <w:r w:rsidRPr="00901D86">
              <w:rPr>
                <w:i/>
                <w:szCs w:val="18"/>
              </w:rPr>
              <w:t xml:space="preserve">Lancet </w:t>
            </w:r>
            <w:r w:rsidRPr="00901D86">
              <w:rPr>
                <w:szCs w:val="18"/>
              </w:rPr>
              <w:t>2013; 382; 780-789</w:t>
            </w:r>
          </w:p>
        </w:tc>
      </w:tr>
      <w:tr w:rsidR="006C5E4A" w:rsidRPr="00901D86" w14:paraId="19AB022A" w14:textId="77777777" w:rsidTr="006C5E4A">
        <w:tc>
          <w:tcPr>
            <w:tcW w:w="796" w:type="pct"/>
            <w:vMerge/>
            <w:tcBorders>
              <w:left w:val="single" w:sz="4" w:space="0" w:color="auto"/>
              <w:bottom w:val="single" w:sz="4" w:space="0" w:color="auto"/>
              <w:right w:val="single" w:sz="4" w:space="0" w:color="auto"/>
            </w:tcBorders>
            <w:vAlign w:val="center"/>
          </w:tcPr>
          <w:p w14:paraId="2776494B" w14:textId="77777777" w:rsidR="006C5E4A" w:rsidRPr="00901D86" w:rsidRDefault="006C5E4A" w:rsidP="00642745">
            <w:pPr>
              <w:pStyle w:val="TableText0"/>
            </w:pPr>
          </w:p>
        </w:tc>
        <w:tc>
          <w:tcPr>
            <w:tcW w:w="3027" w:type="pct"/>
            <w:tcBorders>
              <w:top w:val="single" w:sz="4" w:space="0" w:color="auto"/>
              <w:left w:val="single" w:sz="4" w:space="0" w:color="auto"/>
              <w:bottom w:val="single" w:sz="4" w:space="0" w:color="auto"/>
            </w:tcBorders>
            <w:vAlign w:val="center"/>
          </w:tcPr>
          <w:p w14:paraId="7FE67711" w14:textId="77777777" w:rsidR="006C5E4A" w:rsidRPr="00901D86" w:rsidRDefault="006C5E4A" w:rsidP="00642745">
            <w:pPr>
              <w:pStyle w:val="TableText0"/>
              <w:rPr>
                <w:szCs w:val="18"/>
              </w:rPr>
            </w:pPr>
            <w:r w:rsidRPr="00901D86">
              <w:rPr>
                <w:szCs w:val="18"/>
              </w:rPr>
              <w:t>Kavanaugh, A., Puig, L., Gottlieb, A.B., Ritchlin, C., Li, S., Wang, Y., Mendelsohn, A.M., Song, M., Zhu, Y., Rahman, P. and McInnes, I.B. Maintenance of clinical efficacy and radiographic benefit through two years of ustekinumab therapy in patients with active psoriatic arthritis: results from a randomized, placebo</w:t>
            </w:r>
            <w:r w:rsidRPr="00901D86">
              <w:rPr>
                <w:rFonts w:ascii="Cambria Math" w:hAnsi="Cambria Math" w:cs="Cambria Math"/>
                <w:szCs w:val="18"/>
              </w:rPr>
              <w:t>‐</w:t>
            </w:r>
            <w:r w:rsidRPr="00901D86">
              <w:rPr>
                <w:szCs w:val="18"/>
              </w:rPr>
              <w:t xml:space="preserve">controlled Phase III trial. </w:t>
            </w:r>
          </w:p>
        </w:tc>
        <w:tc>
          <w:tcPr>
            <w:tcW w:w="1177" w:type="pct"/>
            <w:tcBorders>
              <w:top w:val="single" w:sz="4" w:space="0" w:color="auto"/>
              <w:bottom w:val="single" w:sz="4" w:space="0" w:color="auto"/>
            </w:tcBorders>
            <w:vAlign w:val="center"/>
          </w:tcPr>
          <w:p w14:paraId="4772C98D" w14:textId="77777777" w:rsidR="006C5E4A" w:rsidRPr="00901D86" w:rsidRDefault="006C5E4A" w:rsidP="00642745">
            <w:pPr>
              <w:pStyle w:val="TableText0"/>
              <w:rPr>
                <w:i/>
                <w:szCs w:val="18"/>
              </w:rPr>
            </w:pPr>
            <w:r w:rsidRPr="00901D86">
              <w:rPr>
                <w:i/>
                <w:szCs w:val="18"/>
              </w:rPr>
              <w:t xml:space="preserve">Arthritis Care &amp; Research </w:t>
            </w:r>
            <w:r w:rsidRPr="00901D86">
              <w:rPr>
                <w:szCs w:val="18"/>
              </w:rPr>
              <w:t>2015; 67(12); 1739-1749</w:t>
            </w:r>
          </w:p>
        </w:tc>
      </w:tr>
      <w:tr w:rsidR="006C5E4A" w:rsidRPr="00901D86" w14:paraId="258D5A18" w14:textId="77777777" w:rsidTr="006C5E4A">
        <w:tc>
          <w:tcPr>
            <w:tcW w:w="796" w:type="pct"/>
            <w:vMerge w:val="restart"/>
            <w:tcBorders>
              <w:top w:val="single" w:sz="4" w:space="0" w:color="auto"/>
            </w:tcBorders>
            <w:vAlign w:val="center"/>
          </w:tcPr>
          <w:p w14:paraId="507EB3DD" w14:textId="77777777" w:rsidR="006C5E4A" w:rsidRPr="00901D86" w:rsidRDefault="006C5E4A" w:rsidP="006C5E4A">
            <w:pPr>
              <w:pStyle w:val="TableText0"/>
              <w:keepNext w:val="0"/>
            </w:pPr>
            <w:r w:rsidRPr="00901D86">
              <w:t>PSUMMT-2</w:t>
            </w:r>
          </w:p>
        </w:tc>
        <w:tc>
          <w:tcPr>
            <w:tcW w:w="3027" w:type="pct"/>
            <w:tcBorders>
              <w:top w:val="single" w:sz="4" w:space="0" w:color="auto"/>
              <w:bottom w:val="single" w:sz="4" w:space="0" w:color="auto"/>
            </w:tcBorders>
            <w:vAlign w:val="center"/>
          </w:tcPr>
          <w:p w14:paraId="27C6FE60" w14:textId="755587EB" w:rsidR="006C5E4A" w:rsidRPr="00901D86" w:rsidRDefault="006C5E4A" w:rsidP="006C5E4A">
            <w:pPr>
              <w:pStyle w:val="TableText0"/>
              <w:keepNext w:val="0"/>
            </w:pPr>
            <w:r w:rsidRPr="00901D86">
              <w:t xml:space="preserve">Janssen A Phase 3, </w:t>
            </w:r>
            <w:r w:rsidR="00E3279B" w:rsidRPr="00901D86">
              <w:t>Multicentre</w:t>
            </w:r>
            <w:r w:rsidRPr="00901D86">
              <w:t>, Randomized, Double-blind, Placebo-controlled Trial of Ustekinumab, a Fully Human Anti-IL-12/23 p40 Monoclonal Antibody, Administered Subcutaneously, in Subjects With Active Psoriatic Arthritis Including Those Previously Treated With Biologic Anti-TNFα Agent(s).</w:t>
            </w:r>
          </w:p>
        </w:tc>
        <w:tc>
          <w:tcPr>
            <w:tcW w:w="1177" w:type="pct"/>
            <w:tcBorders>
              <w:top w:val="single" w:sz="4" w:space="0" w:color="auto"/>
              <w:bottom w:val="single" w:sz="4" w:space="0" w:color="auto"/>
            </w:tcBorders>
            <w:vAlign w:val="center"/>
          </w:tcPr>
          <w:p w14:paraId="18198198" w14:textId="77777777" w:rsidR="006C5E4A" w:rsidRPr="00901D86" w:rsidRDefault="006C5E4A" w:rsidP="006C5E4A">
            <w:pPr>
              <w:pStyle w:val="TableText0"/>
              <w:keepNext w:val="0"/>
            </w:pPr>
            <w:r w:rsidRPr="00901D86">
              <w:t>CSR 2013</w:t>
            </w:r>
          </w:p>
        </w:tc>
      </w:tr>
      <w:tr w:rsidR="006C5E4A" w:rsidRPr="00901D86" w14:paraId="7A5C70D3" w14:textId="77777777" w:rsidTr="006C5E4A">
        <w:tc>
          <w:tcPr>
            <w:tcW w:w="796" w:type="pct"/>
            <w:vMerge/>
            <w:tcBorders>
              <w:bottom w:val="single" w:sz="4" w:space="0" w:color="auto"/>
            </w:tcBorders>
            <w:vAlign w:val="center"/>
          </w:tcPr>
          <w:p w14:paraId="3AC61533" w14:textId="77777777" w:rsidR="006C5E4A" w:rsidRPr="00901D86" w:rsidRDefault="006C5E4A" w:rsidP="006C5E4A">
            <w:pPr>
              <w:pStyle w:val="TableText0"/>
              <w:keepNext w:val="0"/>
            </w:pPr>
          </w:p>
        </w:tc>
        <w:tc>
          <w:tcPr>
            <w:tcW w:w="3027" w:type="pct"/>
            <w:tcBorders>
              <w:top w:val="single" w:sz="4" w:space="0" w:color="auto"/>
              <w:bottom w:val="single" w:sz="4" w:space="0" w:color="auto"/>
            </w:tcBorders>
            <w:vAlign w:val="center"/>
          </w:tcPr>
          <w:p w14:paraId="5C280E22" w14:textId="77777777" w:rsidR="006C5E4A" w:rsidRPr="00901D86" w:rsidRDefault="006C5E4A" w:rsidP="006C5E4A">
            <w:pPr>
              <w:pStyle w:val="TableText0"/>
              <w:keepNext w:val="0"/>
              <w:rPr>
                <w:szCs w:val="18"/>
              </w:rPr>
            </w:pPr>
            <w:r w:rsidRPr="00901D86">
              <w:rPr>
                <w:szCs w:val="18"/>
              </w:rPr>
              <w:t xml:space="preserve">Ritchlin C., et al. Efficacy and safety of the anti-IL-12/23 p40 monoclonal antibody, ustekinumab, in patients with active psoriatic arthritis despite conventional non-biological and biological tumour necrosis factor therapy: 6-month and 1-year results of the phase 3, multicentre, double-blind, placebo-controlled, randomised PSUMMIT-2 trial. </w:t>
            </w:r>
          </w:p>
        </w:tc>
        <w:tc>
          <w:tcPr>
            <w:tcW w:w="1177" w:type="pct"/>
            <w:tcBorders>
              <w:top w:val="single" w:sz="4" w:space="0" w:color="auto"/>
              <w:bottom w:val="single" w:sz="4" w:space="0" w:color="auto"/>
            </w:tcBorders>
            <w:vAlign w:val="center"/>
          </w:tcPr>
          <w:p w14:paraId="07B30892" w14:textId="77777777" w:rsidR="006C5E4A" w:rsidRPr="00901D86" w:rsidRDefault="006C5E4A" w:rsidP="006C5E4A">
            <w:pPr>
              <w:pStyle w:val="TableText0"/>
              <w:keepNext w:val="0"/>
              <w:rPr>
                <w:i/>
              </w:rPr>
            </w:pPr>
            <w:r w:rsidRPr="00901D86">
              <w:rPr>
                <w:i/>
              </w:rPr>
              <w:t xml:space="preserve">Annals of Rheumatic Disease </w:t>
            </w:r>
            <w:r w:rsidRPr="00901D86">
              <w:t>2014; 73 (6); 990-999</w:t>
            </w:r>
          </w:p>
        </w:tc>
      </w:tr>
      <w:tr w:rsidR="006C5E4A" w:rsidRPr="00901D86" w14:paraId="77F33DB8" w14:textId="77777777" w:rsidTr="006C5E4A">
        <w:tc>
          <w:tcPr>
            <w:tcW w:w="5000" w:type="pct"/>
            <w:gridSpan w:val="3"/>
            <w:tcBorders>
              <w:top w:val="single" w:sz="4" w:space="0" w:color="auto"/>
              <w:bottom w:val="single" w:sz="4" w:space="0" w:color="auto"/>
            </w:tcBorders>
            <w:vAlign w:val="center"/>
          </w:tcPr>
          <w:p w14:paraId="476139CD" w14:textId="77777777" w:rsidR="006C5E4A" w:rsidRPr="00901D86" w:rsidRDefault="006C5E4A" w:rsidP="006C5E4A">
            <w:pPr>
              <w:pStyle w:val="TableText0"/>
              <w:keepNext w:val="0"/>
              <w:rPr>
                <w:b/>
                <w:bCs w:val="0"/>
                <w:iCs/>
              </w:rPr>
            </w:pPr>
            <w:r w:rsidRPr="00901D86">
              <w:rPr>
                <w:b/>
                <w:bCs w:val="0"/>
                <w:iCs/>
              </w:rPr>
              <w:t>Adalimumab versus placebo</w:t>
            </w:r>
          </w:p>
        </w:tc>
      </w:tr>
      <w:tr w:rsidR="006C5E4A" w:rsidRPr="00901D86" w14:paraId="0DC3DB90" w14:textId="77777777" w:rsidTr="006C5E4A">
        <w:tc>
          <w:tcPr>
            <w:tcW w:w="796" w:type="pct"/>
            <w:tcBorders>
              <w:top w:val="single" w:sz="4" w:space="0" w:color="auto"/>
              <w:bottom w:val="single" w:sz="4" w:space="0" w:color="auto"/>
            </w:tcBorders>
            <w:vAlign w:val="center"/>
          </w:tcPr>
          <w:p w14:paraId="4993AA4A" w14:textId="77777777" w:rsidR="006C5E4A" w:rsidRPr="00901D86" w:rsidRDefault="006C5E4A" w:rsidP="006C5E4A">
            <w:pPr>
              <w:pStyle w:val="TableText0"/>
              <w:keepNext w:val="0"/>
            </w:pPr>
            <w:r w:rsidRPr="00901D86">
              <w:t>Genovese 2007</w:t>
            </w:r>
          </w:p>
        </w:tc>
        <w:tc>
          <w:tcPr>
            <w:tcW w:w="3027" w:type="pct"/>
            <w:tcBorders>
              <w:top w:val="single" w:sz="4" w:space="0" w:color="auto"/>
              <w:bottom w:val="single" w:sz="4" w:space="0" w:color="auto"/>
            </w:tcBorders>
            <w:vAlign w:val="center"/>
          </w:tcPr>
          <w:p w14:paraId="40F8A8D5" w14:textId="77777777" w:rsidR="006C5E4A" w:rsidRPr="00901D86" w:rsidRDefault="006C5E4A" w:rsidP="006C5E4A">
            <w:pPr>
              <w:pStyle w:val="TableText0"/>
              <w:keepNext w:val="0"/>
              <w:rPr>
                <w:szCs w:val="18"/>
              </w:rPr>
            </w:pPr>
            <w:r w:rsidRPr="00901D86">
              <w:rPr>
                <w:szCs w:val="18"/>
              </w:rPr>
              <w:t>Genovese M.C., et al. Safety and Efficacy of Adalimumab in Treatment of Patients with Psoriatic Arthritis Who Had Failed Disease Modifying Antirheumatic Drug Therapy.</w:t>
            </w:r>
          </w:p>
        </w:tc>
        <w:tc>
          <w:tcPr>
            <w:tcW w:w="1177" w:type="pct"/>
            <w:tcBorders>
              <w:top w:val="single" w:sz="4" w:space="0" w:color="auto"/>
              <w:bottom w:val="single" w:sz="4" w:space="0" w:color="auto"/>
            </w:tcBorders>
            <w:vAlign w:val="center"/>
          </w:tcPr>
          <w:p w14:paraId="1E71C5F4" w14:textId="77777777" w:rsidR="006C5E4A" w:rsidRPr="00901D86" w:rsidRDefault="006C5E4A" w:rsidP="006C5E4A">
            <w:pPr>
              <w:pStyle w:val="TableText0"/>
              <w:keepNext w:val="0"/>
              <w:rPr>
                <w:i/>
              </w:rPr>
            </w:pPr>
            <w:r w:rsidRPr="00901D86">
              <w:rPr>
                <w:i/>
              </w:rPr>
              <w:t>The Journal of Rheumatology</w:t>
            </w:r>
            <w:r w:rsidRPr="00901D86">
              <w:t xml:space="preserve"> 2007; 34(5); 1040-1050</w:t>
            </w:r>
          </w:p>
        </w:tc>
      </w:tr>
      <w:tr w:rsidR="006C5E4A" w:rsidRPr="00901D86" w14:paraId="64BCB7EC" w14:textId="77777777" w:rsidTr="006C5E4A">
        <w:tc>
          <w:tcPr>
            <w:tcW w:w="796" w:type="pct"/>
            <w:vMerge w:val="restart"/>
            <w:tcBorders>
              <w:top w:val="single" w:sz="4" w:space="0" w:color="auto"/>
            </w:tcBorders>
            <w:vAlign w:val="center"/>
          </w:tcPr>
          <w:p w14:paraId="2DCAE673" w14:textId="77777777" w:rsidR="006C5E4A" w:rsidRPr="00901D86" w:rsidRDefault="006C5E4A" w:rsidP="006C5E4A">
            <w:pPr>
              <w:pStyle w:val="TableText0"/>
              <w:keepNext w:val="0"/>
            </w:pPr>
            <w:r w:rsidRPr="00901D86">
              <w:t>ADEPT</w:t>
            </w:r>
          </w:p>
        </w:tc>
        <w:tc>
          <w:tcPr>
            <w:tcW w:w="3027" w:type="pct"/>
            <w:tcBorders>
              <w:top w:val="single" w:sz="4" w:space="0" w:color="auto"/>
              <w:bottom w:val="single" w:sz="4" w:space="0" w:color="auto"/>
            </w:tcBorders>
            <w:vAlign w:val="center"/>
          </w:tcPr>
          <w:p w14:paraId="5BF79A06" w14:textId="77777777" w:rsidR="006C5E4A" w:rsidRPr="00901D86" w:rsidRDefault="006C5E4A" w:rsidP="006C5E4A">
            <w:pPr>
              <w:pStyle w:val="TableText0"/>
              <w:keepNext w:val="0"/>
              <w:rPr>
                <w:szCs w:val="18"/>
              </w:rPr>
            </w:pPr>
            <w:r w:rsidRPr="00901D86">
              <w:rPr>
                <w:szCs w:val="18"/>
              </w:rPr>
              <w:t xml:space="preserve">Mease P.J et al. Adalimumab for the Treatment of Patients With Moderately to Severely Active Psoriatic Arthritis. </w:t>
            </w:r>
          </w:p>
        </w:tc>
        <w:tc>
          <w:tcPr>
            <w:tcW w:w="1177" w:type="pct"/>
            <w:tcBorders>
              <w:top w:val="single" w:sz="4" w:space="0" w:color="auto"/>
              <w:bottom w:val="single" w:sz="4" w:space="0" w:color="auto"/>
            </w:tcBorders>
            <w:vAlign w:val="center"/>
          </w:tcPr>
          <w:p w14:paraId="44DCC6A0" w14:textId="77777777" w:rsidR="006C5E4A" w:rsidRPr="00901D86" w:rsidRDefault="006C5E4A" w:rsidP="006C5E4A">
            <w:pPr>
              <w:pStyle w:val="TableText0"/>
              <w:keepNext w:val="0"/>
              <w:rPr>
                <w:i/>
              </w:rPr>
            </w:pPr>
            <w:r w:rsidRPr="00901D86">
              <w:rPr>
                <w:i/>
              </w:rPr>
              <w:t>Arthritis and Rheumatism</w:t>
            </w:r>
            <w:r w:rsidRPr="00901D86">
              <w:t xml:space="preserve"> 2005; 52(10); 3279-3289</w:t>
            </w:r>
          </w:p>
        </w:tc>
      </w:tr>
      <w:tr w:rsidR="006C5E4A" w:rsidRPr="00901D86" w14:paraId="3AA84EE8" w14:textId="77777777" w:rsidTr="006C5E4A">
        <w:tc>
          <w:tcPr>
            <w:tcW w:w="796" w:type="pct"/>
            <w:vMerge/>
            <w:tcBorders>
              <w:bottom w:val="single" w:sz="4" w:space="0" w:color="auto"/>
            </w:tcBorders>
            <w:vAlign w:val="center"/>
          </w:tcPr>
          <w:p w14:paraId="36E8C3BC" w14:textId="77777777" w:rsidR="006C5E4A" w:rsidRPr="00901D86" w:rsidRDefault="006C5E4A" w:rsidP="006C5E4A">
            <w:pPr>
              <w:pStyle w:val="TableText0"/>
              <w:keepNext w:val="0"/>
            </w:pPr>
          </w:p>
        </w:tc>
        <w:tc>
          <w:tcPr>
            <w:tcW w:w="3027" w:type="pct"/>
            <w:tcBorders>
              <w:top w:val="single" w:sz="4" w:space="0" w:color="auto"/>
              <w:bottom w:val="single" w:sz="4" w:space="0" w:color="auto"/>
            </w:tcBorders>
            <w:vAlign w:val="center"/>
          </w:tcPr>
          <w:p w14:paraId="1AA9C576" w14:textId="77777777" w:rsidR="006C5E4A" w:rsidRPr="00901D86" w:rsidRDefault="006C5E4A" w:rsidP="006C5E4A">
            <w:pPr>
              <w:pStyle w:val="TableText0"/>
              <w:keepNext w:val="0"/>
              <w:rPr>
                <w:szCs w:val="18"/>
              </w:rPr>
            </w:pPr>
            <w:r w:rsidRPr="00901D86">
              <w:rPr>
                <w:szCs w:val="18"/>
              </w:rPr>
              <w:t xml:space="preserve">Mease, Philip J., et al. Adalimumab for long-term treatment of psoriatic arthritis: 2-year data from the Adalimumab Effectiveness in Psoriatic Arthritis Trial (ADEPT). </w:t>
            </w:r>
          </w:p>
        </w:tc>
        <w:tc>
          <w:tcPr>
            <w:tcW w:w="1177" w:type="pct"/>
            <w:tcBorders>
              <w:top w:val="single" w:sz="4" w:space="0" w:color="auto"/>
              <w:bottom w:val="single" w:sz="4" w:space="0" w:color="auto"/>
            </w:tcBorders>
            <w:vAlign w:val="center"/>
          </w:tcPr>
          <w:p w14:paraId="7E090240" w14:textId="77777777" w:rsidR="006C5E4A" w:rsidRPr="00901D86" w:rsidRDefault="006C5E4A" w:rsidP="006C5E4A">
            <w:pPr>
              <w:pStyle w:val="TableText0"/>
              <w:keepNext w:val="0"/>
              <w:rPr>
                <w:i/>
              </w:rPr>
            </w:pPr>
            <w:r w:rsidRPr="00901D86">
              <w:rPr>
                <w:i/>
              </w:rPr>
              <w:t>Annals of the Rheumatic Diseases 2009; 68(5); 702-709</w:t>
            </w:r>
          </w:p>
        </w:tc>
      </w:tr>
      <w:tr w:rsidR="006C5E4A" w:rsidRPr="00901D86" w14:paraId="26F4300F" w14:textId="77777777" w:rsidTr="006C5E4A">
        <w:tc>
          <w:tcPr>
            <w:tcW w:w="796" w:type="pct"/>
            <w:tcBorders>
              <w:bottom w:val="single" w:sz="4" w:space="0" w:color="auto"/>
            </w:tcBorders>
            <w:vAlign w:val="center"/>
          </w:tcPr>
          <w:p w14:paraId="65E7E548" w14:textId="77777777" w:rsidR="006C5E4A" w:rsidRPr="00901D86" w:rsidRDefault="006C5E4A" w:rsidP="006C5E4A">
            <w:pPr>
              <w:pStyle w:val="TableText0"/>
              <w:keepNext w:val="0"/>
            </w:pPr>
            <w:r w:rsidRPr="00901D86">
              <w:lastRenderedPageBreak/>
              <w:t>OPAL-Broaden</w:t>
            </w:r>
          </w:p>
        </w:tc>
        <w:tc>
          <w:tcPr>
            <w:tcW w:w="3027" w:type="pct"/>
            <w:tcBorders>
              <w:top w:val="single" w:sz="4" w:space="0" w:color="auto"/>
              <w:bottom w:val="single" w:sz="4" w:space="0" w:color="auto"/>
            </w:tcBorders>
            <w:vAlign w:val="center"/>
          </w:tcPr>
          <w:p w14:paraId="0C53F48B" w14:textId="77777777" w:rsidR="006C5E4A" w:rsidRPr="00901D86" w:rsidRDefault="006C5E4A" w:rsidP="006C5E4A">
            <w:pPr>
              <w:pStyle w:val="TableText0"/>
              <w:keepNext w:val="0"/>
              <w:rPr>
                <w:szCs w:val="18"/>
              </w:rPr>
            </w:pPr>
            <w:r w:rsidRPr="00901D86">
              <w:rPr>
                <w:szCs w:val="18"/>
              </w:rPr>
              <w:t xml:space="preserve">Mease, Philip, et al. Tofacitinib or adalimumab versus placebo for psoriatic arthritis. </w:t>
            </w:r>
          </w:p>
        </w:tc>
        <w:tc>
          <w:tcPr>
            <w:tcW w:w="1177" w:type="pct"/>
            <w:tcBorders>
              <w:top w:val="single" w:sz="4" w:space="0" w:color="auto"/>
              <w:bottom w:val="single" w:sz="4" w:space="0" w:color="auto"/>
            </w:tcBorders>
            <w:vAlign w:val="center"/>
          </w:tcPr>
          <w:p w14:paraId="0BD935DE" w14:textId="77777777" w:rsidR="006C5E4A" w:rsidRPr="00901D86" w:rsidRDefault="006C5E4A" w:rsidP="006C5E4A">
            <w:pPr>
              <w:pStyle w:val="TableText0"/>
              <w:keepNext w:val="0"/>
              <w:rPr>
                <w:i/>
              </w:rPr>
            </w:pPr>
            <w:r w:rsidRPr="00901D86">
              <w:rPr>
                <w:i/>
              </w:rPr>
              <w:t>New England Journal of Medicine 2017; 377(16); 1537-1550.</w:t>
            </w:r>
          </w:p>
        </w:tc>
      </w:tr>
      <w:tr w:rsidR="006C5E4A" w:rsidRPr="00901D86" w14:paraId="5959FA3A" w14:textId="77777777" w:rsidTr="006C5E4A">
        <w:tc>
          <w:tcPr>
            <w:tcW w:w="5000" w:type="pct"/>
            <w:gridSpan w:val="3"/>
            <w:tcBorders>
              <w:top w:val="single" w:sz="4" w:space="0" w:color="auto"/>
            </w:tcBorders>
            <w:vAlign w:val="center"/>
          </w:tcPr>
          <w:p w14:paraId="00E481F3" w14:textId="77777777" w:rsidR="006C5E4A" w:rsidRPr="00901D86" w:rsidRDefault="006C5E4A" w:rsidP="006C5E4A">
            <w:pPr>
              <w:pStyle w:val="TableText0"/>
              <w:keepNext w:val="0"/>
              <w:rPr>
                <w:b/>
                <w:bCs w:val="0"/>
                <w:iCs/>
              </w:rPr>
            </w:pPr>
            <w:r w:rsidRPr="00901D86">
              <w:rPr>
                <w:b/>
                <w:bCs w:val="0"/>
                <w:iCs/>
              </w:rPr>
              <w:t>Secukinumab versus placebo</w:t>
            </w:r>
          </w:p>
        </w:tc>
      </w:tr>
      <w:tr w:rsidR="006C5E4A" w:rsidRPr="00901D86" w14:paraId="50FFF2D3" w14:textId="77777777" w:rsidTr="006C5E4A">
        <w:tc>
          <w:tcPr>
            <w:tcW w:w="796" w:type="pct"/>
            <w:vMerge w:val="restart"/>
            <w:tcBorders>
              <w:top w:val="single" w:sz="4" w:space="0" w:color="auto"/>
            </w:tcBorders>
            <w:vAlign w:val="center"/>
          </w:tcPr>
          <w:p w14:paraId="6BE170B0" w14:textId="77777777" w:rsidR="006C5E4A" w:rsidRPr="00901D86" w:rsidRDefault="006C5E4A" w:rsidP="006C5E4A">
            <w:pPr>
              <w:pStyle w:val="TableText0"/>
              <w:keepNext w:val="0"/>
            </w:pPr>
            <w:r w:rsidRPr="00901D86">
              <w:t>FUTURE 2</w:t>
            </w:r>
          </w:p>
        </w:tc>
        <w:tc>
          <w:tcPr>
            <w:tcW w:w="3027" w:type="pct"/>
            <w:tcBorders>
              <w:top w:val="single" w:sz="4" w:space="0" w:color="auto"/>
              <w:bottom w:val="single" w:sz="4" w:space="0" w:color="auto"/>
            </w:tcBorders>
            <w:vAlign w:val="center"/>
          </w:tcPr>
          <w:p w14:paraId="42AD11A3" w14:textId="77777777" w:rsidR="006C5E4A" w:rsidRPr="00901D86" w:rsidRDefault="006C5E4A" w:rsidP="006C5E4A">
            <w:pPr>
              <w:pStyle w:val="TableText0"/>
              <w:keepNext w:val="0"/>
              <w:rPr>
                <w:szCs w:val="18"/>
              </w:rPr>
            </w:pPr>
            <w:r w:rsidRPr="00901D86">
              <w:rPr>
                <w:szCs w:val="18"/>
              </w:rPr>
              <w:t xml:space="preserve">McInnes, Iain B., et al. Secukinumab, a human anti-interleukin-17A monoclonal antibody, in patients with psoriatic arthritis (FUTURE 2): a randomised, double-blind, placebo-controlled, phase 3 trial. </w:t>
            </w:r>
          </w:p>
        </w:tc>
        <w:tc>
          <w:tcPr>
            <w:tcW w:w="1177" w:type="pct"/>
            <w:tcBorders>
              <w:top w:val="single" w:sz="4" w:space="0" w:color="auto"/>
              <w:bottom w:val="single" w:sz="4" w:space="0" w:color="auto"/>
            </w:tcBorders>
            <w:vAlign w:val="center"/>
          </w:tcPr>
          <w:p w14:paraId="048A843E" w14:textId="77777777" w:rsidR="006C5E4A" w:rsidRPr="00901D86" w:rsidRDefault="006C5E4A" w:rsidP="006C5E4A">
            <w:pPr>
              <w:pStyle w:val="TableText0"/>
              <w:keepNext w:val="0"/>
              <w:rPr>
                <w:i/>
              </w:rPr>
            </w:pPr>
            <w:r w:rsidRPr="00901D86">
              <w:rPr>
                <w:i/>
              </w:rPr>
              <w:t>The Lancet</w:t>
            </w:r>
            <w:r w:rsidRPr="00901D86">
              <w:t xml:space="preserve"> 2015; 386(9999); 1137-1146</w:t>
            </w:r>
          </w:p>
        </w:tc>
      </w:tr>
      <w:tr w:rsidR="006C5E4A" w:rsidRPr="00901D86" w14:paraId="449021C2" w14:textId="77777777" w:rsidTr="006C5E4A">
        <w:tc>
          <w:tcPr>
            <w:tcW w:w="796" w:type="pct"/>
            <w:vMerge/>
            <w:tcBorders>
              <w:bottom w:val="single" w:sz="4" w:space="0" w:color="auto"/>
            </w:tcBorders>
            <w:vAlign w:val="center"/>
          </w:tcPr>
          <w:p w14:paraId="06135A41" w14:textId="77777777" w:rsidR="006C5E4A" w:rsidRPr="00901D86" w:rsidRDefault="006C5E4A" w:rsidP="006C5E4A">
            <w:pPr>
              <w:pStyle w:val="TableText0"/>
              <w:keepNext w:val="0"/>
            </w:pPr>
          </w:p>
        </w:tc>
        <w:tc>
          <w:tcPr>
            <w:tcW w:w="3027" w:type="pct"/>
            <w:tcBorders>
              <w:top w:val="single" w:sz="4" w:space="0" w:color="auto"/>
              <w:bottom w:val="single" w:sz="4" w:space="0" w:color="auto"/>
            </w:tcBorders>
            <w:vAlign w:val="center"/>
          </w:tcPr>
          <w:p w14:paraId="2F7A1BAC" w14:textId="77777777" w:rsidR="006C5E4A" w:rsidRPr="00901D86" w:rsidRDefault="006C5E4A" w:rsidP="006C5E4A">
            <w:pPr>
              <w:pStyle w:val="TableText0"/>
              <w:keepNext w:val="0"/>
              <w:rPr>
                <w:szCs w:val="18"/>
              </w:rPr>
            </w:pPr>
            <w:r w:rsidRPr="00901D86">
              <w:rPr>
                <w:szCs w:val="18"/>
              </w:rPr>
              <w:t>McInnes, I.B., Mease, P.J., Ritchlin, C.T., Rahman, P., Gottlieb, A.B., Kirkham, B., Kajekar, R., Delicha, E.M., Pricop, L. and Mpofu, S. Secukinumab sustains improvement in signs and symptoms of psoriatic arthritis: 2 year results from the phase 3 FUTURE 2 study.</w:t>
            </w:r>
          </w:p>
        </w:tc>
        <w:tc>
          <w:tcPr>
            <w:tcW w:w="1177" w:type="pct"/>
            <w:tcBorders>
              <w:top w:val="single" w:sz="4" w:space="0" w:color="auto"/>
              <w:bottom w:val="single" w:sz="4" w:space="0" w:color="auto"/>
            </w:tcBorders>
            <w:vAlign w:val="center"/>
          </w:tcPr>
          <w:p w14:paraId="7A8467D4" w14:textId="77777777" w:rsidR="006C5E4A" w:rsidRPr="00901D86" w:rsidRDefault="006C5E4A" w:rsidP="006C5E4A">
            <w:pPr>
              <w:pStyle w:val="TableText0"/>
              <w:keepNext w:val="0"/>
              <w:rPr>
                <w:i/>
              </w:rPr>
            </w:pPr>
            <w:r w:rsidRPr="00901D86">
              <w:rPr>
                <w:i/>
              </w:rPr>
              <w:t>Rheumatology 2017; 56(11), 1993-2003</w:t>
            </w:r>
          </w:p>
        </w:tc>
      </w:tr>
      <w:tr w:rsidR="006C5E4A" w:rsidRPr="00901D86" w14:paraId="07C8769C" w14:textId="77777777" w:rsidTr="006C5E4A">
        <w:tc>
          <w:tcPr>
            <w:tcW w:w="796" w:type="pct"/>
            <w:tcBorders>
              <w:top w:val="single" w:sz="4" w:space="0" w:color="auto"/>
              <w:bottom w:val="single" w:sz="4" w:space="0" w:color="auto"/>
            </w:tcBorders>
            <w:vAlign w:val="center"/>
          </w:tcPr>
          <w:p w14:paraId="686BDF20" w14:textId="77777777" w:rsidR="006C5E4A" w:rsidRPr="00901D86" w:rsidRDefault="006C5E4A" w:rsidP="006C5E4A">
            <w:pPr>
              <w:pStyle w:val="TableText0"/>
              <w:keepNext w:val="0"/>
            </w:pPr>
            <w:r w:rsidRPr="00901D86">
              <w:t>FUTURE 3</w:t>
            </w:r>
          </w:p>
        </w:tc>
        <w:tc>
          <w:tcPr>
            <w:tcW w:w="3027" w:type="pct"/>
            <w:tcBorders>
              <w:top w:val="single" w:sz="4" w:space="0" w:color="auto"/>
              <w:bottom w:val="single" w:sz="4" w:space="0" w:color="auto"/>
            </w:tcBorders>
            <w:vAlign w:val="center"/>
          </w:tcPr>
          <w:p w14:paraId="0D5BABB0" w14:textId="77777777" w:rsidR="006C5E4A" w:rsidRPr="00901D86" w:rsidRDefault="006C5E4A" w:rsidP="006C5E4A">
            <w:pPr>
              <w:pStyle w:val="TableText0"/>
              <w:keepNext w:val="0"/>
              <w:rPr>
                <w:szCs w:val="18"/>
              </w:rPr>
            </w:pPr>
            <w:r w:rsidRPr="00901D86">
              <w:rPr>
                <w:szCs w:val="18"/>
              </w:rPr>
              <w:t xml:space="preserve">Nash, P., Mease, P.J., McInnes, I.B., Rahman, P., Ritchlin, C.T., Blanco, R., Dokoupilova, E., Andersson, M., Kajekar, R., Mpofu, S. and Pricop, L. Efficacy and safety of secukinumab administration by autoinjector in patients with psoriatic arthritis: results from a randomized, placebo-controlled trial (FUTURE 3). </w:t>
            </w:r>
          </w:p>
        </w:tc>
        <w:tc>
          <w:tcPr>
            <w:tcW w:w="1177" w:type="pct"/>
            <w:tcBorders>
              <w:top w:val="single" w:sz="4" w:space="0" w:color="auto"/>
              <w:bottom w:val="single" w:sz="4" w:space="0" w:color="auto"/>
            </w:tcBorders>
            <w:vAlign w:val="center"/>
          </w:tcPr>
          <w:p w14:paraId="10D64958" w14:textId="77777777" w:rsidR="006C5E4A" w:rsidRPr="00901D86" w:rsidRDefault="006C5E4A" w:rsidP="006C5E4A">
            <w:pPr>
              <w:pStyle w:val="TableText0"/>
              <w:keepNext w:val="0"/>
              <w:rPr>
                <w:i/>
              </w:rPr>
            </w:pPr>
            <w:r w:rsidRPr="00901D86">
              <w:rPr>
                <w:i/>
              </w:rPr>
              <w:t xml:space="preserve">Arthritis Research &amp; Therapy </w:t>
            </w:r>
            <w:r w:rsidRPr="00901D86">
              <w:t>2018; 20(1); 47</w:t>
            </w:r>
          </w:p>
        </w:tc>
      </w:tr>
      <w:tr w:rsidR="006C5E4A" w:rsidRPr="00901D86" w14:paraId="78F67295" w14:textId="77777777" w:rsidTr="006C5E4A">
        <w:tc>
          <w:tcPr>
            <w:tcW w:w="796" w:type="pct"/>
            <w:vMerge w:val="restart"/>
            <w:tcBorders>
              <w:top w:val="single" w:sz="4" w:space="0" w:color="auto"/>
            </w:tcBorders>
            <w:vAlign w:val="center"/>
          </w:tcPr>
          <w:p w14:paraId="307AF6A5" w14:textId="77777777" w:rsidR="006C5E4A" w:rsidRPr="00901D86" w:rsidRDefault="006C5E4A" w:rsidP="006C5E4A">
            <w:pPr>
              <w:pStyle w:val="TableText0"/>
              <w:keepNext w:val="0"/>
            </w:pPr>
            <w:r w:rsidRPr="00901D86">
              <w:t>FUTURE 5</w:t>
            </w:r>
          </w:p>
        </w:tc>
        <w:tc>
          <w:tcPr>
            <w:tcW w:w="3027" w:type="pct"/>
            <w:tcBorders>
              <w:top w:val="single" w:sz="4" w:space="0" w:color="auto"/>
              <w:bottom w:val="single" w:sz="4" w:space="0" w:color="auto"/>
            </w:tcBorders>
            <w:vAlign w:val="center"/>
          </w:tcPr>
          <w:p w14:paraId="7854E5B7" w14:textId="77777777" w:rsidR="006C5E4A" w:rsidRPr="00901D86" w:rsidRDefault="006C5E4A" w:rsidP="006C5E4A">
            <w:pPr>
              <w:pStyle w:val="TableText0"/>
              <w:keepNext w:val="0"/>
              <w:rPr>
                <w:szCs w:val="18"/>
              </w:rPr>
            </w:pPr>
            <w:r w:rsidRPr="00901D86">
              <w:rPr>
                <w:szCs w:val="18"/>
              </w:rPr>
              <w:t xml:space="preserve">Mease, Philip, et al. Secukinumab improves active psoriatic arthritis symptoms and inhibits radiographic progression: primary results from the randomised, double-blind, phase III FUTURE 5 study. </w:t>
            </w:r>
          </w:p>
        </w:tc>
        <w:tc>
          <w:tcPr>
            <w:tcW w:w="1177" w:type="pct"/>
            <w:tcBorders>
              <w:top w:val="single" w:sz="4" w:space="0" w:color="auto"/>
              <w:bottom w:val="single" w:sz="4" w:space="0" w:color="auto"/>
            </w:tcBorders>
            <w:vAlign w:val="center"/>
          </w:tcPr>
          <w:p w14:paraId="6BFD8C26" w14:textId="77777777" w:rsidR="006C5E4A" w:rsidRPr="00901D86" w:rsidRDefault="006C5E4A" w:rsidP="006C5E4A">
            <w:pPr>
              <w:pStyle w:val="TableText0"/>
              <w:keepNext w:val="0"/>
              <w:rPr>
                <w:i/>
              </w:rPr>
            </w:pPr>
            <w:r w:rsidRPr="00901D86">
              <w:rPr>
                <w:i/>
              </w:rPr>
              <w:t>Annals of the Rheumatic Diseases</w:t>
            </w:r>
            <w:r w:rsidRPr="00901D86">
              <w:t xml:space="preserve"> 2018; 77(6); 890-897</w:t>
            </w:r>
          </w:p>
        </w:tc>
      </w:tr>
      <w:tr w:rsidR="006C5E4A" w:rsidRPr="00901D86" w14:paraId="7D9FDD5E" w14:textId="77777777" w:rsidTr="006C5E4A">
        <w:tc>
          <w:tcPr>
            <w:tcW w:w="796" w:type="pct"/>
            <w:vMerge/>
            <w:tcBorders>
              <w:bottom w:val="single" w:sz="4" w:space="0" w:color="auto"/>
            </w:tcBorders>
            <w:vAlign w:val="center"/>
          </w:tcPr>
          <w:p w14:paraId="2196A3CF" w14:textId="77777777" w:rsidR="006C5E4A" w:rsidRPr="00901D86" w:rsidRDefault="006C5E4A" w:rsidP="006C5E4A">
            <w:pPr>
              <w:pStyle w:val="TableText0"/>
              <w:keepNext w:val="0"/>
            </w:pPr>
          </w:p>
        </w:tc>
        <w:tc>
          <w:tcPr>
            <w:tcW w:w="3027" w:type="pct"/>
            <w:tcBorders>
              <w:top w:val="single" w:sz="4" w:space="0" w:color="auto"/>
              <w:bottom w:val="single" w:sz="4" w:space="0" w:color="auto"/>
            </w:tcBorders>
            <w:vAlign w:val="center"/>
          </w:tcPr>
          <w:p w14:paraId="2B170269" w14:textId="77777777" w:rsidR="006C5E4A" w:rsidRPr="00901D86" w:rsidRDefault="006C5E4A" w:rsidP="006C5E4A">
            <w:pPr>
              <w:pStyle w:val="TableText0"/>
              <w:keepNext w:val="0"/>
              <w:rPr>
                <w:szCs w:val="18"/>
              </w:rPr>
            </w:pPr>
            <w:r w:rsidRPr="00901D86">
              <w:rPr>
                <w:szCs w:val="18"/>
              </w:rPr>
              <w:t xml:space="preserve">van der Heijde, D., Mease, P.J., Landewé, R.B., Rahman, P., Tahir, H., Singhal, A., Boettcher, E., Navarra, S., Zhu, X., Ligozio, G. and Readie, A. Secukinumab provides sustained low rates of radiographic progression in psoriatic arthritis: 52-week results from a phase 3 study, FUTURE 5. </w:t>
            </w:r>
          </w:p>
        </w:tc>
        <w:tc>
          <w:tcPr>
            <w:tcW w:w="1177" w:type="pct"/>
            <w:tcBorders>
              <w:top w:val="single" w:sz="4" w:space="0" w:color="auto"/>
              <w:bottom w:val="single" w:sz="4" w:space="0" w:color="auto"/>
            </w:tcBorders>
            <w:vAlign w:val="center"/>
          </w:tcPr>
          <w:p w14:paraId="2CC43131" w14:textId="77777777" w:rsidR="006C5E4A" w:rsidRPr="00901D86" w:rsidRDefault="006C5E4A" w:rsidP="006C5E4A">
            <w:pPr>
              <w:pStyle w:val="TableText0"/>
              <w:keepNext w:val="0"/>
              <w:rPr>
                <w:i/>
              </w:rPr>
            </w:pPr>
            <w:r w:rsidRPr="00901D86">
              <w:rPr>
                <w:i/>
              </w:rPr>
              <w:t>Rheumatology</w:t>
            </w:r>
            <w:r w:rsidRPr="00901D86">
              <w:t xml:space="preserve"> 2020; 59(6); 1325-1334</w:t>
            </w:r>
          </w:p>
        </w:tc>
      </w:tr>
      <w:tr w:rsidR="006C5E4A" w:rsidRPr="00901D86" w14:paraId="05AEE857" w14:textId="77777777" w:rsidTr="006C5E4A">
        <w:tc>
          <w:tcPr>
            <w:tcW w:w="5000" w:type="pct"/>
            <w:gridSpan w:val="3"/>
            <w:tcBorders>
              <w:top w:val="single" w:sz="4" w:space="0" w:color="auto"/>
            </w:tcBorders>
            <w:vAlign w:val="center"/>
          </w:tcPr>
          <w:p w14:paraId="78FC64AB" w14:textId="77777777" w:rsidR="006C5E4A" w:rsidRPr="00901D86" w:rsidRDefault="006C5E4A" w:rsidP="006C5E4A">
            <w:pPr>
              <w:pStyle w:val="TableText0"/>
              <w:keepNext w:val="0"/>
              <w:rPr>
                <w:b/>
                <w:bCs w:val="0"/>
                <w:iCs/>
              </w:rPr>
            </w:pPr>
            <w:r w:rsidRPr="00901D86">
              <w:rPr>
                <w:b/>
                <w:bCs w:val="0"/>
                <w:iCs/>
              </w:rPr>
              <w:t>Certolizumab pegol versus placebo</w:t>
            </w:r>
          </w:p>
        </w:tc>
      </w:tr>
      <w:tr w:rsidR="006C5E4A" w:rsidRPr="00901D86" w14:paraId="031CE0B4" w14:textId="77777777" w:rsidTr="006C5E4A">
        <w:tc>
          <w:tcPr>
            <w:tcW w:w="796" w:type="pct"/>
            <w:vMerge w:val="restart"/>
            <w:tcBorders>
              <w:top w:val="single" w:sz="4" w:space="0" w:color="auto"/>
            </w:tcBorders>
            <w:vAlign w:val="center"/>
          </w:tcPr>
          <w:p w14:paraId="2213FA98" w14:textId="77777777" w:rsidR="006C5E4A" w:rsidRPr="00901D86" w:rsidRDefault="006C5E4A" w:rsidP="006C5E4A">
            <w:pPr>
              <w:pStyle w:val="TableText0"/>
              <w:keepNext w:val="0"/>
            </w:pPr>
            <w:r w:rsidRPr="00901D86">
              <w:t>RAPID-PsA</w:t>
            </w:r>
          </w:p>
        </w:tc>
        <w:tc>
          <w:tcPr>
            <w:tcW w:w="3027" w:type="pct"/>
            <w:tcBorders>
              <w:top w:val="single" w:sz="4" w:space="0" w:color="auto"/>
              <w:bottom w:val="single" w:sz="4" w:space="0" w:color="auto"/>
            </w:tcBorders>
            <w:vAlign w:val="center"/>
          </w:tcPr>
          <w:p w14:paraId="73815A67" w14:textId="77777777" w:rsidR="006C5E4A" w:rsidRPr="00901D86" w:rsidRDefault="006C5E4A" w:rsidP="006C5E4A">
            <w:pPr>
              <w:pStyle w:val="TableText0"/>
              <w:keepNext w:val="0"/>
              <w:rPr>
                <w:szCs w:val="18"/>
              </w:rPr>
            </w:pPr>
            <w:r w:rsidRPr="00901D86">
              <w:rPr>
                <w:szCs w:val="18"/>
              </w:rPr>
              <w:t>Mease, P. J., et al. Effect of certolizumab pegol on signs and symptoms in patients with psoriatic arthritis: 24-week results of a Phase 3 double-blind randomised placebo-controlled study (RAPID-PsA).</w:t>
            </w:r>
          </w:p>
        </w:tc>
        <w:tc>
          <w:tcPr>
            <w:tcW w:w="1177" w:type="pct"/>
            <w:tcBorders>
              <w:top w:val="single" w:sz="4" w:space="0" w:color="auto"/>
              <w:bottom w:val="single" w:sz="4" w:space="0" w:color="auto"/>
            </w:tcBorders>
            <w:vAlign w:val="center"/>
          </w:tcPr>
          <w:p w14:paraId="447622AB" w14:textId="77777777" w:rsidR="006C5E4A" w:rsidRPr="00901D86" w:rsidRDefault="006C5E4A" w:rsidP="006C5E4A">
            <w:pPr>
              <w:pStyle w:val="TableText0"/>
              <w:keepNext w:val="0"/>
              <w:rPr>
                <w:i/>
              </w:rPr>
            </w:pPr>
            <w:r w:rsidRPr="00901D86">
              <w:rPr>
                <w:i/>
              </w:rPr>
              <w:t>Annals of the Rheumatic Diseases 2014; 73(1); 48-55</w:t>
            </w:r>
          </w:p>
        </w:tc>
      </w:tr>
      <w:tr w:rsidR="006C5E4A" w:rsidRPr="00901D86" w14:paraId="3826758D" w14:textId="77777777" w:rsidTr="006C5E4A">
        <w:tc>
          <w:tcPr>
            <w:tcW w:w="796" w:type="pct"/>
            <w:vMerge/>
            <w:tcBorders>
              <w:bottom w:val="single" w:sz="4" w:space="0" w:color="auto"/>
            </w:tcBorders>
            <w:vAlign w:val="center"/>
          </w:tcPr>
          <w:p w14:paraId="05E5000F" w14:textId="77777777" w:rsidR="006C5E4A" w:rsidRPr="00901D86" w:rsidRDefault="006C5E4A" w:rsidP="006C5E4A">
            <w:pPr>
              <w:pStyle w:val="TableText0"/>
              <w:keepNext w:val="0"/>
            </w:pPr>
          </w:p>
        </w:tc>
        <w:tc>
          <w:tcPr>
            <w:tcW w:w="3027" w:type="pct"/>
            <w:tcBorders>
              <w:top w:val="single" w:sz="4" w:space="0" w:color="auto"/>
              <w:bottom w:val="single" w:sz="4" w:space="0" w:color="auto"/>
            </w:tcBorders>
            <w:vAlign w:val="center"/>
          </w:tcPr>
          <w:p w14:paraId="3D3FE870" w14:textId="77777777" w:rsidR="006C5E4A" w:rsidRPr="00901D86" w:rsidRDefault="006C5E4A" w:rsidP="006C5E4A">
            <w:pPr>
              <w:pStyle w:val="TableText0"/>
              <w:keepNext w:val="0"/>
              <w:rPr>
                <w:szCs w:val="18"/>
              </w:rPr>
            </w:pPr>
            <w:r w:rsidRPr="00901D86">
              <w:rPr>
                <w:szCs w:val="18"/>
              </w:rPr>
              <w:t xml:space="preserve">Van Der Heijde, D., Deodhar, A., FitzGerald, O., Fleischmann, R., Gladman, D., Gottlieb, A.B., Hoepken, B., Bauer, L., Irvin-Sellers, O., Khraishi, M. and Peterson, L. 4-year results from the RAPID-PsA phase 3 randomised placebo-controlled trial of certolizumab pegol in psoriatic arthritis. </w:t>
            </w:r>
          </w:p>
        </w:tc>
        <w:tc>
          <w:tcPr>
            <w:tcW w:w="1177" w:type="pct"/>
            <w:tcBorders>
              <w:top w:val="single" w:sz="4" w:space="0" w:color="auto"/>
              <w:bottom w:val="single" w:sz="4" w:space="0" w:color="auto"/>
            </w:tcBorders>
            <w:vAlign w:val="center"/>
          </w:tcPr>
          <w:p w14:paraId="57C4E8DE" w14:textId="77777777" w:rsidR="006C5E4A" w:rsidRPr="00901D86" w:rsidRDefault="006C5E4A" w:rsidP="006C5E4A">
            <w:pPr>
              <w:pStyle w:val="TableText0"/>
              <w:keepNext w:val="0"/>
              <w:rPr>
                <w:i/>
              </w:rPr>
            </w:pPr>
            <w:r w:rsidRPr="00901D86">
              <w:rPr>
                <w:i/>
              </w:rPr>
              <w:t>RMD Open 2018; 4(1); e000582.</w:t>
            </w:r>
          </w:p>
        </w:tc>
      </w:tr>
      <w:tr w:rsidR="006C5E4A" w:rsidRPr="00901D86" w14:paraId="4331720B" w14:textId="77777777" w:rsidTr="006C5E4A">
        <w:tc>
          <w:tcPr>
            <w:tcW w:w="5000" w:type="pct"/>
            <w:gridSpan w:val="3"/>
            <w:tcBorders>
              <w:top w:val="single" w:sz="4" w:space="0" w:color="auto"/>
              <w:bottom w:val="single" w:sz="4" w:space="0" w:color="auto"/>
            </w:tcBorders>
            <w:vAlign w:val="center"/>
          </w:tcPr>
          <w:p w14:paraId="36786117" w14:textId="77777777" w:rsidR="006C5E4A" w:rsidRPr="00901D86" w:rsidRDefault="006C5E4A" w:rsidP="006C5E4A">
            <w:pPr>
              <w:pStyle w:val="TableText0"/>
              <w:keepNext w:val="0"/>
              <w:rPr>
                <w:b/>
                <w:bCs w:val="0"/>
                <w:iCs/>
              </w:rPr>
            </w:pPr>
            <w:r w:rsidRPr="00901D86">
              <w:rPr>
                <w:b/>
                <w:bCs w:val="0"/>
                <w:iCs/>
              </w:rPr>
              <w:t>Tofacitinib versus placebo</w:t>
            </w:r>
          </w:p>
        </w:tc>
      </w:tr>
      <w:tr w:rsidR="006C5E4A" w:rsidRPr="00901D86" w14:paraId="5914797F" w14:textId="77777777" w:rsidTr="006C5E4A">
        <w:tc>
          <w:tcPr>
            <w:tcW w:w="796" w:type="pct"/>
            <w:tcBorders>
              <w:top w:val="single" w:sz="4" w:space="0" w:color="auto"/>
              <w:bottom w:val="single" w:sz="4" w:space="0" w:color="auto"/>
            </w:tcBorders>
            <w:vAlign w:val="center"/>
          </w:tcPr>
          <w:p w14:paraId="5AF0DCCC" w14:textId="77777777" w:rsidR="006C5E4A" w:rsidRPr="00901D86" w:rsidRDefault="006C5E4A" w:rsidP="006C5E4A">
            <w:pPr>
              <w:pStyle w:val="TableText0"/>
              <w:keepNext w:val="0"/>
            </w:pPr>
            <w:r w:rsidRPr="00901D86">
              <w:t>OPAL-Broaden</w:t>
            </w:r>
          </w:p>
        </w:tc>
        <w:tc>
          <w:tcPr>
            <w:tcW w:w="3027" w:type="pct"/>
            <w:tcBorders>
              <w:top w:val="single" w:sz="4" w:space="0" w:color="auto"/>
              <w:bottom w:val="single" w:sz="4" w:space="0" w:color="auto"/>
            </w:tcBorders>
            <w:vAlign w:val="center"/>
          </w:tcPr>
          <w:p w14:paraId="65535EEA" w14:textId="77777777" w:rsidR="006C5E4A" w:rsidRPr="00901D86" w:rsidRDefault="006C5E4A" w:rsidP="006C5E4A">
            <w:pPr>
              <w:pStyle w:val="TableText0"/>
              <w:keepNext w:val="0"/>
              <w:rPr>
                <w:szCs w:val="18"/>
              </w:rPr>
            </w:pPr>
            <w:r w:rsidRPr="00901D86">
              <w:rPr>
                <w:szCs w:val="18"/>
              </w:rPr>
              <w:t xml:space="preserve">Mease, Philip, et al. Tofacitinib or adalimumab versus placebo for psoriatic arthritis. </w:t>
            </w:r>
          </w:p>
        </w:tc>
        <w:tc>
          <w:tcPr>
            <w:tcW w:w="1177" w:type="pct"/>
            <w:tcBorders>
              <w:top w:val="single" w:sz="4" w:space="0" w:color="auto"/>
              <w:bottom w:val="single" w:sz="4" w:space="0" w:color="auto"/>
            </w:tcBorders>
            <w:vAlign w:val="center"/>
          </w:tcPr>
          <w:p w14:paraId="4A6D2AEC" w14:textId="77777777" w:rsidR="006C5E4A" w:rsidRPr="00901D86" w:rsidRDefault="006C5E4A" w:rsidP="006C5E4A">
            <w:pPr>
              <w:pStyle w:val="TableText0"/>
              <w:keepNext w:val="0"/>
              <w:rPr>
                <w:i/>
              </w:rPr>
            </w:pPr>
            <w:r w:rsidRPr="00901D86">
              <w:rPr>
                <w:i/>
              </w:rPr>
              <w:t>New England Journal of Medicine 2017; 377(16); 1537-1550.</w:t>
            </w:r>
          </w:p>
        </w:tc>
      </w:tr>
    </w:tbl>
    <w:p w14:paraId="0185EE35" w14:textId="77777777" w:rsidR="006C5E4A" w:rsidRPr="00901D86" w:rsidRDefault="006C5E4A" w:rsidP="006C5E4A">
      <w:pPr>
        <w:spacing w:after="120"/>
        <w:rPr>
          <w:rFonts w:ascii="Arial Narrow" w:hAnsi="Arial Narrow"/>
          <w:sz w:val="14"/>
          <w:szCs w:val="18"/>
        </w:rPr>
      </w:pPr>
      <w:r w:rsidRPr="00901D86">
        <w:rPr>
          <w:rFonts w:ascii="Arial Narrow" w:hAnsi="Arial Narrow"/>
          <w:sz w:val="18"/>
          <w:szCs w:val="18"/>
        </w:rPr>
        <w:t>Source: Table 2.5, p66 of the submission.</w:t>
      </w:r>
    </w:p>
    <w:p w14:paraId="0A101E68" w14:textId="77777777" w:rsidR="00862502" w:rsidRPr="00901D86" w:rsidRDefault="006C5E4A" w:rsidP="00FE2B75">
      <w:pPr>
        <w:pStyle w:val="3-BodyText"/>
        <w:numPr>
          <w:ilvl w:val="1"/>
          <w:numId w:val="5"/>
        </w:numPr>
      </w:pPr>
      <w:r w:rsidRPr="00901D86">
        <w:t xml:space="preserve">The key features of the trials included in the indirect comparisons are summarised in </w:t>
      </w:r>
      <w:r w:rsidR="00205DEE">
        <w:t>Table 3</w:t>
      </w:r>
      <w:r w:rsidRPr="00901D86">
        <w:t>.</w:t>
      </w:r>
    </w:p>
    <w:p w14:paraId="276B2345" w14:textId="77777777" w:rsidR="006C5E4A" w:rsidRPr="00901D86" w:rsidRDefault="00251D64" w:rsidP="00642745">
      <w:pPr>
        <w:pStyle w:val="Caption"/>
        <w:keepNext/>
        <w:spacing w:after="0"/>
        <w:rPr>
          <w:rFonts w:ascii="Arial Narrow" w:hAnsi="Arial Narrow"/>
          <w:color w:val="auto"/>
          <w:sz w:val="20"/>
          <w:szCs w:val="20"/>
        </w:rPr>
      </w:pPr>
      <w:bookmarkStart w:id="14" w:name="_Ref50431161"/>
      <w:r w:rsidRPr="00901D86">
        <w:rPr>
          <w:rFonts w:ascii="Arial Narrow" w:hAnsi="Arial Narrow"/>
          <w:color w:val="auto"/>
          <w:sz w:val="20"/>
          <w:szCs w:val="20"/>
        </w:rPr>
        <w:lastRenderedPageBreak/>
        <w:t>Table</w:t>
      </w:r>
      <w:bookmarkEnd w:id="14"/>
      <w:r w:rsidR="00205DEE">
        <w:rPr>
          <w:rFonts w:ascii="Arial Narrow" w:hAnsi="Arial Narrow"/>
          <w:color w:val="auto"/>
          <w:sz w:val="20"/>
          <w:szCs w:val="20"/>
        </w:rPr>
        <w:t xml:space="preserve"> 3</w:t>
      </w:r>
      <w:r w:rsidR="006C5E4A" w:rsidRPr="00901D86">
        <w:rPr>
          <w:rFonts w:ascii="Arial Narrow" w:hAnsi="Arial Narrow"/>
          <w:color w:val="auto"/>
          <w:sz w:val="20"/>
          <w:szCs w:val="20"/>
        </w:rPr>
        <w:t>: Key features of the included trials</w:t>
      </w:r>
    </w:p>
    <w:tbl>
      <w:tblPr>
        <w:tblStyle w:val="TableGrid"/>
        <w:tblW w:w="0" w:type="auto"/>
        <w:tblCellMar>
          <w:left w:w="28" w:type="dxa"/>
          <w:right w:w="28" w:type="dxa"/>
        </w:tblCellMar>
        <w:tblLook w:val="04A0" w:firstRow="1" w:lastRow="0" w:firstColumn="1" w:lastColumn="0" w:noHBand="0" w:noVBand="1"/>
        <w:tblCaption w:val="Table 4: Key features of the included trials"/>
        <w:tblDescription w:val="Table 4: Key features of the included trials"/>
      </w:tblPr>
      <w:tblGrid>
        <w:gridCol w:w="1402"/>
        <w:gridCol w:w="1712"/>
        <w:gridCol w:w="3402"/>
        <w:gridCol w:w="1276"/>
        <w:gridCol w:w="1225"/>
      </w:tblGrid>
      <w:tr w:rsidR="006C5E4A" w:rsidRPr="00901D86" w14:paraId="310C6569" w14:textId="77777777" w:rsidTr="006C5E4A">
        <w:trPr>
          <w:cantSplit/>
          <w:tblHeader/>
        </w:trPr>
        <w:tc>
          <w:tcPr>
            <w:tcW w:w="1402" w:type="dxa"/>
          </w:tcPr>
          <w:p w14:paraId="5434E8D7" w14:textId="77777777" w:rsidR="006C5E4A" w:rsidRPr="00901D86" w:rsidRDefault="006C5E4A" w:rsidP="00642745">
            <w:pPr>
              <w:keepNext/>
              <w:jc w:val="left"/>
              <w:rPr>
                <w:rFonts w:ascii="Arial Narrow" w:hAnsi="Arial Narrow"/>
                <w:b/>
                <w:sz w:val="20"/>
                <w:szCs w:val="20"/>
              </w:rPr>
            </w:pPr>
            <w:r w:rsidRPr="00901D86">
              <w:rPr>
                <w:rFonts w:ascii="Arial Narrow" w:hAnsi="Arial Narrow"/>
                <w:b/>
                <w:sz w:val="20"/>
                <w:szCs w:val="20"/>
              </w:rPr>
              <w:t xml:space="preserve">Trial (Biologic) </w:t>
            </w:r>
          </w:p>
          <w:p w14:paraId="0CD56F57" w14:textId="77777777" w:rsidR="006C5E4A" w:rsidRPr="00901D86" w:rsidRDefault="006C5E4A" w:rsidP="00642745">
            <w:pPr>
              <w:keepNext/>
              <w:jc w:val="left"/>
              <w:rPr>
                <w:rFonts w:ascii="Arial Narrow" w:hAnsi="Arial Narrow"/>
                <w:b/>
                <w:sz w:val="20"/>
                <w:szCs w:val="20"/>
              </w:rPr>
            </w:pPr>
            <w:r w:rsidRPr="00901D86">
              <w:rPr>
                <w:rFonts w:ascii="Arial Narrow" w:hAnsi="Arial Narrow"/>
                <w:b/>
                <w:sz w:val="20"/>
                <w:szCs w:val="20"/>
              </w:rPr>
              <w:t>N</w:t>
            </w:r>
          </w:p>
        </w:tc>
        <w:tc>
          <w:tcPr>
            <w:tcW w:w="1712" w:type="dxa"/>
            <w:vAlign w:val="center"/>
          </w:tcPr>
          <w:p w14:paraId="731D15B3" w14:textId="77777777" w:rsidR="006C5E4A" w:rsidRPr="00901D86" w:rsidRDefault="006C5E4A" w:rsidP="00642745">
            <w:pPr>
              <w:keepNext/>
              <w:jc w:val="center"/>
              <w:rPr>
                <w:rFonts w:ascii="Arial Narrow" w:hAnsi="Arial Narrow"/>
                <w:b/>
                <w:sz w:val="20"/>
                <w:szCs w:val="20"/>
              </w:rPr>
            </w:pPr>
            <w:r w:rsidRPr="00901D86">
              <w:rPr>
                <w:rFonts w:ascii="Arial Narrow" w:hAnsi="Arial Narrow"/>
                <w:b/>
                <w:sz w:val="20"/>
                <w:szCs w:val="20"/>
              </w:rPr>
              <w:t>Design / Duration</w:t>
            </w:r>
          </w:p>
        </w:tc>
        <w:tc>
          <w:tcPr>
            <w:tcW w:w="3402" w:type="dxa"/>
            <w:vAlign w:val="center"/>
          </w:tcPr>
          <w:p w14:paraId="3DD65D9A" w14:textId="77777777" w:rsidR="006C5E4A" w:rsidRPr="00901D86" w:rsidRDefault="006C5E4A" w:rsidP="00642745">
            <w:pPr>
              <w:keepNext/>
              <w:jc w:val="center"/>
              <w:rPr>
                <w:rFonts w:ascii="Arial Narrow" w:hAnsi="Arial Narrow"/>
                <w:b/>
                <w:sz w:val="20"/>
                <w:szCs w:val="20"/>
              </w:rPr>
            </w:pPr>
            <w:r w:rsidRPr="00901D86">
              <w:rPr>
                <w:rFonts w:ascii="Arial Narrow" w:hAnsi="Arial Narrow"/>
                <w:b/>
                <w:sz w:val="20"/>
                <w:szCs w:val="20"/>
              </w:rPr>
              <w:t>Interventions</w:t>
            </w:r>
          </w:p>
        </w:tc>
        <w:tc>
          <w:tcPr>
            <w:tcW w:w="1276" w:type="dxa"/>
            <w:vAlign w:val="center"/>
          </w:tcPr>
          <w:p w14:paraId="63D1B43C" w14:textId="77777777" w:rsidR="006C5E4A" w:rsidRPr="00901D86" w:rsidRDefault="006C5E4A" w:rsidP="00642745">
            <w:pPr>
              <w:keepNext/>
              <w:jc w:val="center"/>
              <w:rPr>
                <w:rFonts w:ascii="Arial Narrow" w:hAnsi="Arial Narrow"/>
                <w:b/>
                <w:sz w:val="20"/>
                <w:szCs w:val="20"/>
              </w:rPr>
            </w:pPr>
            <w:r w:rsidRPr="00901D86">
              <w:rPr>
                <w:rFonts w:ascii="Arial Narrow" w:hAnsi="Arial Narrow"/>
                <w:b/>
                <w:sz w:val="20"/>
                <w:szCs w:val="20"/>
              </w:rPr>
              <w:t>Population</w:t>
            </w:r>
          </w:p>
        </w:tc>
        <w:tc>
          <w:tcPr>
            <w:tcW w:w="1225" w:type="dxa"/>
            <w:vAlign w:val="center"/>
          </w:tcPr>
          <w:p w14:paraId="7EFC5316" w14:textId="77777777" w:rsidR="006C5E4A" w:rsidRPr="00901D86" w:rsidRDefault="006C5E4A" w:rsidP="00642745">
            <w:pPr>
              <w:keepNext/>
              <w:jc w:val="center"/>
              <w:rPr>
                <w:rFonts w:ascii="Arial Narrow" w:hAnsi="Arial Narrow"/>
                <w:b/>
                <w:sz w:val="20"/>
                <w:szCs w:val="20"/>
              </w:rPr>
            </w:pPr>
            <w:r w:rsidRPr="00901D86">
              <w:rPr>
                <w:rFonts w:ascii="Arial Narrow" w:hAnsi="Arial Narrow"/>
                <w:b/>
                <w:sz w:val="20"/>
                <w:szCs w:val="20"/>
              </w:rPr>
              <w:t>Main Outcomes</w:t>
            </w:r>
          </w:p>
        </w:tc>
      </w:tr>
      <w:tr w:rsidR="006C5E4A" w:rsidRPr="00901D86" w14:paraId="0EC6B17B" w14:textId="77777777" w:rsidTr="006C5E4A">
        <w:trPr>
          <w:cantSplit/>
        </w:trPr>
        <w:tc>
          <w:tcPr>
            <w:tcW w:w="1402" w:type="dxa"/>
          </w:tcPr>
          <w:p w14:paraId="439B2EB5" w14:textId="77777777" w:rsidR="006C5E4A" w:rsidRPr="00901D86" w:rsidRDefault="006C5E4A" w:rsidP="00642745">
            <w:pPr>
              <w:keepNext/>
              <w:spacing w:after="40"/>
              <w:jc w:val="left"/>
              <w:rPr>
                <w:rFonts w:ascii="Arial Narrow" w:hAnsi="Arial Narrow"/>
                <w:b/>
                <w:sz w:val="20"/>
                <w:szCs w:val="20"/>
              </w:rPr>
            </w:pPr>
            <w:r w:rsidRPr="00901D86">
              <w:rPr>
                <w:rFonts w:ascii="Arial Narrow" w:hAnsi="Arial Narrow"/>
                <w:sz w:val="20"/>
                <w:szCs w:val="20"/>
              </w:rPr>
              <w:t>DISCOVER 1 (Guselkumab</w:t>
            </w:r>
            <w:r w:rsidRPr="00901D86">
              <w:rPr>
                <w:rFonts w:ascii="Arial Narrow" w:hAnsi="Arial Narrow"/>
                <w:b/>
                <w:sz w:val="20"/>
                <w:szCs w:val="20"/>
              </w:rPr>
              <w:t>)</w:t>
            </w:r>
          </w:p>
          <w:p w14:paraId="335BAD1F" w14:textId="77777777" w:rsidR="006C5E4A" w:rsidRPr="00901D86" w:rsidRDefault="006C5E4A" w:rsidP="00642745">
            <w:pPr>
              <w:keepNext/>
              <w:jc w:val="left"/>
              <w:rPr>
                <w:rFonts w:ascii="Arial Narrow" w:hAnsi="Arial Narrow"/>
                <w:sz w:val="20"/>
                <w:szCs w:val="20"/>
              </w:rPr>
            </w:pPr>
            <w:r w:rsidRPr="00901D86">
              <w:rPr>
                <w:rFonts w:ascii="Arial Narrow" w:hAnsi="Arial Narrow"/>
                <w:sz w:val="20"/>
                <w:szCs w:val="20"/>
              </w:rPr>
              <w:t>N=253</w:t>
            </w:r>
            <w:r w:rsidRPr="00901D86">
              <w:rPr>
                <w:rFonts w:ascii="Arial Narrow" w:hAnsi="Arial Narrow"/>
                <w:b/>
                <w:sz w:val="20"/>
                <w:szCs w:val="20"/>
                <w:vertAlign w:val="superscript"/>
              </w:rPr>
              <w:t>a</w:t>
            </w:r>
          </w:p>
        </w:tc>
        <w:tc>
          <w:tcPr>
            <w:tcW w:w="1712" w:type="dxa"/>
          </w:tcPr>
          <w:p w14:paraId="5F0D5028"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 xml:space="preserve">Phase 3, MC, R, PC, DB study up to 52 weeks. </w:t>
            </w:r>
          </w:p>
          <w:p w14:paraId="1CC8FCD4" w14:textId="77777777" w:rsidR="006C5E4A" w:rsidRPr="00901D86" w:rsidRDefault="006C5E4A" w:rsidP="00642745">
            <w:pPr>
              <w:keepNext/>
              <w:jc w:val="left"/>
              <w:rPr>
                <w:rFonts w:ascii="Arial Narrow" w:hAnsi="Arial Narrow"/>
                <w:sz w:val="20"/>
                <w:szCs w:val="20"/>
              </w:rPr>
            </w:pPr>
            <w:r w:rsidRPr="00901D86">
              <w:rPr>
                <w:rFonts w:ascii="Arial Narrow" w:hAnsi="Arial Narrow"/>
                <w:sz w:val="20"/>
                <w:szCs w:val="20"/>
              </w:rPr>
              <w:t xml:space="preserve">Safety follow-up up to 60 Weeks. </w:t>
            </w:r>
          </w:p>
        </w:tc>
        <w:tc>
          <w:tcPr>
            <w:tcW w:w="3402" w:type="dxa"/>
          </w:tcPr>
          <w:p w14:paraId="659812E0" w14:textId="77777777" w:rsidR="006C5E4A" w:rsidRPr="00901D86" w:rsidRDefault="006C5E4A" w:rsidP="00642745">
            <w:pPr>
              <w:pStyle w:val="ListParagraph"/>
              <w:keepNext/>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SC guselkumab 100 mg at Week 0, 4, and: </w:t>
            </w:r>
          </w:p>
          <w:p w14:paraId="16190E9E" w14:textId="77777777" w:rsidR="006C5E4A" w:rsidRPr="00901D86" w:rsidRDefault="006C5E4A" w:rsidP="00642745">
            <w:pPr>
              <w:pStyle w:val="ListParagraph"/>
              <w:keepNext/>
              <w:numPr>
                <w:ilvl w:val="0"/>
                <w:numId w:val="18"/>
              </w:numPr>
              <w:spacing w:after="0"/>
              <w:ind w:left="253" w:hanging="141"/>
              <w:jc w:val="left"/>
              <w:rPr>
                <w:rFonts w:ascii="Arial Narrow" w:hAnsi="Arial Narrow"/>
                <w:sz w:val="20"/>
                <w:szCs w:val="20"/>
              </w:rPr>
            </w:pPr>
            <w:r w:rsidRPr="00901D86">
              <w:rPr>
                <w:rFonts w:ascii="Arial Narrow" w:hAnsi="Arial Narrow"/>
                <w:sz w:val="20"/>
                <w:szCs w:val="20"/>
              </w:rPr>
              <w:t xml:space="preserve">every 4 weeks thereafter, or </w:t>
            </w:r>
          </w:p>
          <w:p w14:paraId="5A5284CF" w14:textId="77777777" w:rsidR="006C5E4A" w:rsidRPr="00901D86" w:rsidRDefault="006C5E4A" w:rsidP="00642745">
            <w:pPr>
              <w:pStyle w:val="ListParagraph"/>
              <w:keepNext/>
              <w:numPr>
                <w:ilvl w:val="0"/>
                <w:numId w:val="18"/>
              </w:numPr>
              <w:spacing w:after="0"/>
              <w:ind w:left="255" w:hanging="142"/>
              <w:jc w:val="left"/>
              <w:rPr>
                <w:rFonts w:ascii="Arial Narrow" w:hAnsi="Arial Narrow"/>
                <w:sz w:val="20"/>
                <w:szCs w:val="20"/>
              </w:rPr>
            </w:pPr>
            <w:r w:rsidRPr="00901D86">
              <w:rPr>
                <w:rFonts w:ascii="Arial Narrow" w:hAnsi="Arial Narrow"/>
                <w:sz w:val="20"/>
                <w:szCs w:val="20"/>
              </w:rPr>
              <w:t>every 8 weeks thereafter</w:t>
            </w:r>
          </w:p>
          <w:p w14:paraId="2ABDE8FE" w14:textId="77777777" w:rsidR="006C5E4A" w:rsidRPr="00901D86" w:rsidRDefault="006C5E4A" w:rsidP="00642745">
            <w:pPr>
              <w:pStyle w:val="ListParagraph"/>
              <w:keepNext/>
              <w:numPr>
                <w:ilvl w:val="0"/>
                <w:numId w:val="17"/>
              </w:numPr>
              <w:spacing w:after="40"/>
              <w:ind w:left="113" w:hanging="113"/>
              <w:jc w:val="left"/>
              <w:rPr>
                <w:rFonts w:ascii="Arial Narrow" w:hAnsi="Arial Narrow"/>
                <w:sz w:val="20"/>
                <w:szCs w:val="20"/>
              </w:rPr>
            </w:pPr>
            <w:r w:rsidRPr="00901D86">
              <w:rPr>
                <w:rFonts w:ascii="Arial Narrow" w:hAnsi="Arial Narrow"/>
                <w:sz w:val="20"/>
                <w:szCs w:val="20"/>
              </w:rPr>
              <w:t>PBO at Week 0, 4 and every 4 weeks thereafter</w:t>
            </w:r>
          </w:p>
          <w:p w14:paraId="52A03269"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At Week 24, PBO-treated patients crossed over to receive guselkumab 100 mg q4w.</w:t>
            </w:r>
          </w:p>
        </w:tc>
        <w:tc>
          <w:tcPr>
            <w:tcW w:w="1276" w:type="dxa"/>
          </w:tcPr>
          <w:p w14:paraId="66BAD3B0"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 xml:space="preserve">Adults (≥18 years) with active PsA. </w:t>
            </w:r>
          </w:p>
          <w:p w14:paraId="2857F635"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Anti-TNFα naïve and experienced patients.</w:t>
            </w:r>
          </w:p>
        </w:tc>
        <w:tc>
          <w:tcPr>
            <w:tcW w:w="1225" w:type="dxa"/>
          </w:tcPr>
          <w:p w14:paraId="518D1EFA"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ACR20, ACR50, at Week 24 and 52.</w:t>
            </w:r>
          </w:p>
          <w:p w14:paraId="2DEA40DA"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Safety</w:t>
            </w:r>
          </w:p>
        </w:tc>
      </w:tr>
      <w:tr w:rsidR="006C5E4A" w:rsidRPr="00901D86" w14:paraId="5260AB65" w14:textId="77777777" w:rsidTr="006C5E4A">
        <w:trPr>
          <w:cantSplit/>
        </w:trPr>
        <w:tc>
          <w:tcPr>
            <w:tcW w:w="1402" w:type="dxa"/>
          </w:tcPr>
          <w:p w14:paraId="77937DB1"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DISCOVER 2 (Guselkumab)</w:t>
            </w:r>
          </w:p>
          <w:p w14:paraId="7049F079"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N=494</w:t>
            </w:r>
            <w:r w:rsidRPr="00901D86">
              <w:rPr>
                <w:rFonts w:ascii="Arial Narrow" w:hAnsi="Arial Narrow"/>
                <w:b/>
                <w:sz w:val="20"/>
                <w:szCs w:val="20"/>
                <w:vertAlign w:val="superscript"/>
              </w:rPr>
              <w:t>a</w:t>
            </w:r>
          </w:p>
        </w:tc>
        <w:tc>
          <w:tcPr>
            <w:tcW w:w="1712" w:type="dxa"/>
          </w:tcPr>
          <w:p w14:paraId="5F9B57DA"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Phase 3, MC, R, PC, DB study up to 52 weeks.</w:t>
            </w:r>
          </w:p>
          <w:p w14:paraId="658636D0"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Study has treatment phase to Week 100, but to date, efficacy and safety results are available through Week 52.</w:t>
            </w:r>
          </w:p>
        </w:tc>
        <w:tc>
          <w:tcPr>
            <w:tcW w:w="3402" w:type="dxa"/>
          </w:tcPr>
          <w:p w14:paraId="68F1A3A0" w14:textId="77777777" w:rsidR="006C5E4A" w:rsidRPr="00901D86" w:rsidRDefault="006C5E4A" w:rsidP="00642745">
            <w:pPr>
              <w:pStyle w:val="ListParagraph"/>
              <w:keepNext/>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SC guselkumab 100 mg at Week 0, 4, and:</w:t>
            </w:r>
          </w:p>
          <w:p w14:paraId="191F17B4" w14:textId="77777777" w:rsidR="006C5E4A" w:rsidRPr="00901D86" w:rsidRDefault="006C5E4A" w:rsidP="00642745">
            <w:pPr>
              <w:pStyle w:val="ListParagraph"/>
              <w:keepNext/>
              <w:numPr>
                <w:ilvl w:val="0"/>
                <w:numId w:val="18"/>
              </w:numPr>
              <w:spacing w:after="0"/>
              <w:ind w:left="253" w:hanging="141"/>
              <w:jc w:val="left"/>
              <w:rPr>
                <w:rFonts w:ascii="Arial Narrow" w:hAnsi="Arial Narrow"/>
                <w:sz w:val="20"/>
                <w:szCs w:val="20"/>
              </w:rPr>
            </w:pPr>
            <w:r w:rsidRPr="00901D86">
              <w:rPr>
                <w:rFonts w:ascii="Arial Narrow" w:hAnsi="Arial Narrow"/>
                <w:sz w:val="20"/>
                <w:szCs w:val="20"/>
              </w:rPr>
              <w:t xml:space="preserve">every 4 weeks thereafter, or </w:t>
            </w:r>
          </w:p>
          <w:p w14:paraId="58DD216A" w14:textId="77777777" w:rsidR="006C5E4A" w:rsidRPr="00901D86" w:rsidRDefault="006C5E4A" w:rsidP="00642745">
            <w:pPr>
              <w:pStyle w:val="ListParagraph"/>
              <w:keepNext/>
              <w:numPr>
                <w:ilvl w:val="0"/>
                <w:numId w:val="18"/>
              </w:numPr>
              <w:spacing w:after="0"/>
              <w:ind w:left="255" w:hanging="142"/>
              <w:jc w:val="left"/>
              <w:rPr>
                <w:rFonts w:ascii="Arial Narrow" w:hAnsi="Arial Narrow"/>
                <w:sz w:val="20"/>
                <w:szCs w:val="20"/>
              </w:rPr>
            </w:pPr>
            <w:r w:rsidRPr="00901D86">
              <w:rPr>
                <w:rFonts w:ascii="Arial Narrow" w:hAnsi="Arial Narrow"/>
                <w:sz w:val="20"/>
                <w:szCs w:val="20"/>
              </w:rPr>
              <w:t>every 8 weeks thereafter</w:t>
            </w:r>
          </w:p>
          <w:p w14:paraId="3657D539" w14:textId="77777777" w:rsidR="006C5E4A" w:rsidRPr="00901D86" w:rsidRDefault="006C5E4A" w:rsidP="00642745">
            <w:pPr>
              <w:pStyle w:val="ListParagraph"/>
              <w:keepNext/>
              <w:numPr>
                <w:ilvl w:val="0"/>
                <w:numId w:val="17"/>
              </w:numPr>
              <w:spacing w:after="40"/>
              <w:ind w:left="113" w:hanging="113"/>
              <w:jc w:val="left"/>
              <w:rPr>
                <w:rFonts w:ascii="Arial Narrow" w:hAnsi="Arial Narrow"/>
                <w:b/>
                <w:sz w:val="20"/>
                <w:szCs w:val="20"/>
              </w:rPr>
            </w:pPr>
            <w:r w:rsidRPr="00901D86">
              <w:rPr>
                <w:rFonts w:ascii="Arial Narrow" w:hAnsi="Arial Narrow"/>
                <w:sz w:val="20"/>
                <w:szCs w:val="20"/>
              </w:rPr>
              <w:t xml:space="preserve">PBO at Week 0, 4 and every 4 weeks thereafter. </w:t>
            </w:r>
          </w:p>
          <w:p w14:paraId="629BACE5"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 xml:space="preserve">At Week 24, PBO-treated patients crossed over to receive guselkumab 100 mg q4w. </w:t>
            </w:r>
          </w:p>
        </w:tc>
        <w:tc>
          <w:tcPr>
            <w:tcW w:w="1276" w:type="dxa"/>
          </w:tcPr>
          <w:p w14:paraId="0944A815"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Adults (≥18 years) with active PsA.</w:t>
            </w:r>
          </w:p>
          <w:p w14:paraId="29F0EDC5"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Anti-TNFα naïve patients.</w:t>
            </w:r>
          </w:p>
        </w:tc>
        <w:tc>
          <w:tcPr>
            <w:tcW w:w="1225" w:type="dxa"/>
          </w:tcPr>
          <w:p w14:paraId="1ADE64A1"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ACR20, ACR50, at Week 24 and 52.</w:t>
            </w:r>
          </w:p>
          <w:p w14:paraId="60C72198"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Safety</w:t>
            </w:r>
          </w:p>
        </w:tc>
      </w:tr>
      <w:tr w:rsidR="006C5E4A" w:rsidRPr="00901D86" w14:paraId="2935DA67" w14:textId="77777777" w:rsidTr="006C5E4A">
        <w:trPr>
          <w:cantSplit/>
        </w:trPr>
        <w:tc>
          <w:tcPr>
            <w:tcW w:w="1402" w:type="dxa"/>
          </w:tcPr>
          <w:p w14:paraId="619C2019"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PSUMMIT-1 (Ustekinumab)</w:t>
            </w:r>
          </w:p>
          <w:p w14:paraId="3D885A31" w14:textId="77777777" w:rsidR="006C5E4A" w:rsidRPr="00901D86" w:rsidRDefault="006C5E4A" w:rsidP="00642745">
            <w:pPr>
              <w:keepNext/>
              <w:jc w:val="left"/>
              <w:rPr>
                <w:rFonts w:ascii="Arial Narrow" w:hAnsi="Arial Narrow"/>
                <w:sz w:val="20"/>
                <w:szCs w:val="20"/>
              </w:rPr>
            </w:pPr>
            <w:r w:rsidRPr="00901D86">
              <w:rPr>
                <w:rFonts w:ascii="Arial Narrow" w:hAnsi="Arial Narrow"/>
                <w:sz w:val="20"/>
                <w:szCs w:val="20"/>
              </w:rPr>
              <w:t>N=411</w:t>
            </w:r>
            <w:r w:rsidRPr="00901D86">
              <w:rPr>
                <w:rFonts w:ascii="Arial Narrow" w:hAnsi="Arial Narrow"/>
                <w:b/>
                <w:sz w:val="20"/>
                <w:szCs w:val="20"/>
                <w:vertAlign w:val="superscript"/>
              </w:rPr>
              <w:t>a</w:t>
            </w:r>
          </w:p>
        </w:tc>
        <w:tc>
          <w:tcPr>
            <w:tcW w:w="1712" w:type="dxa"/>
          </w:tcPr>
          <w:p w14:paraId="32F8CDFD"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Phase 3, MC, R, PC, DB study up to 100 weeks.</w:t>
            </w:r>
          </w:p>
          <w:p w14:paraId="0E0321A1"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Safety follow-up up to 108 Weeks.</w:t>
            </w:r>
          </w:p>
        </w:tc>
        <w:tc>
          <w:tcPr>
            <w:tcW w:w="3402" w:type="dxa"/>
          </w:tcPr>
          <w:p w14:paraId="292DD23D" w14:textId="77777777" w:rsidR="006C5E4A" w:rsidRPr="00901D86" w:rsidRDefault="006C5E4A" w:rsidP="00642745">
            <w:pPr>
              <w:pStyle w:val="ListParagraph"/>
              <w:keepNext/>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SC ustekinumab 45 mg, ustekinumab 90 mg </w:t>
            </w:r>
          </w:p>
          <w:p w14:paraId="5DE74334" w14:textId="77777777" w:rsidR="006C5E4A" w:rsidRPr="00901D86" w:rsidRDefault="006C5E4A" w:rsidP="00642745">
            <w:pPr>
              <w:pStyle w:val="ListParagraph"/>
              <w:keepNext/>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PBO </w:t>
            </w:r>
          </w:p>
          <w:p w14:paraId="0C0A01F4"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 xml:space="preserve">at Week 0, 4 and every 12 weeks thereafter. </w:t>
            </w:r>
          </w:p>
          <w:p w14:paraId="76F99BDE"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 xml:space="preserve">At Week 24 or 28, PBO-treated patients crossed over to receive ustekinumab 45 mg. </w:t>
            </w:r>
          </w:p>
        </w:tc>
        <w:tc>
          <w:tcPr>
            <w:tcW w:w="1276" w:type="dxa"/>
          </w:tcPr>
          <w:p w14:paraId="60DD969F"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 xml:space="preserve">Adults (≥18 years) with active PsA. </w:t>
            </w:r>
          </w:p>
          <w:p w14:paraId="2FE83F15"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Anti-TNFα naïve patients only.</w:t>
            </w:r>
          </w:p>
        </w:tc>
        <w:tc>
          <w:tcPr>
            <w:tcW w:w="1225" w:type="dxa"/>
          </w:tcPr>
          <w:p w14:paraId="7BC8E2FD" w14:textId="77777777" w:rsidR="006C5E4A" w:rsidRPr="00901D86" w:rsidRDefault="006C5E4A" w:rsidP="00642745">
            <w:pPr>
              <w:keepNext/>
              <w:spacing w:after="40"/>
              <w:jc w:val="left"/>
              <w:rPr>
                <w:rFonts w:ascii="Arial Narrow" w:hAnsi="Arial Narrow"/>
                <w:sz w:val="20"/>
                <w:szCs w:val="20"/>
              </w:rPr>
            </w:pPr>
            <w:r w:rsidRPr="00901D86">
              <w:rPr>
                <w:rFonts w:ascii="Arial Narrow" w:hAnsi="Arial Narrow"/>
                <w:sz w:val="20"/>
                <w:szCs w:val="20"/>
              </w:rPr>
              <w:t>ACR20, ACR50, response at Wk 24, 60 and 108.</w:t>
            </w:r>
          </w:p>
          <w:p w14:paraId="64B9065C" w14:textId="77777777" w:rsidR="006C5E4A" w:rsidRPr="00901D86" w:rsidRDefault="006C5E4A" w:rsidP="00642745">
            <w:pPr>
              <w:keepNext/>
              <w:jc w:val="left"/>
              <w:rPr>
                <w:rFonts w:ascii="Arial Narrow" w:hAnsi="Arial Narrow"/>
                <w:b/>
                <w:sz w:val="20"/>
                <w:szCs w:val="20"/>
              </w:rPr>
            </w:pPr>
            <w:r w:rsidRPr="00901D86">
              <w:rPr>
                <w:rFonts w:ascii="Arial Narrow" w:hAnsi="Arial Narrow"/>
                <w:sz w:val="20"/>
                <w:szCs w:val="20"/>
              </w:rPr>
              <w:t>Safety</w:t>
            </w:r>
          </w:p>
        </w:tc>
      </w:tr>
      <w:tr w:rsidR="006C5E4A" w:rsidRPr="00901D86" w14:paraId="33821865" w14:textId="77777777" w:rsidTr="006C5E4A">
        <w:trPr>
          <w:cantSplit/>
        </w:trPr>
        <w:tc>
          <w:tcPr>
            <w:tcW w:w="1402" w:type="dxa"/>
          </w:tcPr>
          <w:p w14:paraId="1208793D"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PSUMMIT-2 (Ustekinumab)</w:t>
            </w:r>
          </w:p>
          <w:p w14:paraId="6A1FC823"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N=207</w:t>
            </w:r>
            <w:r w:rsidRPr="00901D86">
              <w:rPr>
                <w:rFonts w:ascii="Arial Narrow" w:hAnsi="Arial Narrow"/>
                <w:b/>
                <w:sz w:val="20"/>
                <w:szCs w:val="20"/>
                <w:vertAlign w:val="superscript"/>
              </w:rPr>
              <w:t>a</w:t>
            </w:r>
          </w:p>
        </w:tc>
        <w:tc>
          <w:tcPr>
            <w:tcW w:w="1712" w:type="dxa"/>
          </w:tcPr>
          <w:p w14:paraId="604DE2A5"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 xml:space="preserve">Phase 3, MC, R, PC, DB study up to 52 weeks. </w:t>
            </w:r>
          </w:p>
          <w:p w14:paraId="26FCBE6B" w14:textId="77777777" w:rsidR="006C5E4A" w:rsidRPr="00901D86" w:rsidRDefault="006C5E4A" w:rsidP="006C5E4A">
            <w:pPr>
              <w:jc w:val="left"/>
              <w:rPr>
                <w:rFonts w:ascii="Arial Narrow" w:hAnsi="Arial Narrow"/>
                <w:b/>
                <w:sz w:val="20"/>
                <w:szCs w:val="20"/>
              </w:rPr>
            </w:pPr>
            <w:r w:rsidRPr="00901D86">
              <w:rPr>
                <w:rFonts w:ascii="Arial Narrow" w:hAnsi="Arial Narrow"/>
                <w:sz w:val="20"/>
                <w:szCs w:val="20"/>
              </w:rPr>
              <w:t>Safety follow-up up to 60 Weeks.</w:t>
            </w:r>
          </w:p>
        </w:tc>
        <w:tc>
          <w:tcPr>
            <w:tcW w:w="3402" w:type="dxa"/>
          </w:tcPr>
          <w:p w14:paraId="4921C69E"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SC ustekinumab 45 mg, ustekinumab 90 mg</w:t>
            </w:r>
          </w:p>
          <w:p w14:paraId="2FCD7AA2"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PBO </w:t>
            </w:r>
          </w:p>
          <w:p w14:paraId="78E66D84"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 xml:space="preserve">at Week 0, 4 and every 12 weeks thereafter. </w:t>
            </w:r>
          </w:p>
          <w:p w14:paraId="3B046AE6" w14:textId="77777777" w:rsidR="006C5E4A" w:rsidRPr="00901D86" w:rsidRDefault="006C5E4A" w:rsidP="00844D00">
            <w:pPr>
              <w:jc w:val="left"/>
              <w:rPr>
                <w:rFonts w:ascii="Arial Narrow" w:hAnsi="Arial Narrow"/>
                <w:b/>
                <w:sz w:val="20"/>
                <w:szCs w:val="20"/>
              </w:rPr>
            </w:pPr>
            <w:r w:rsidRPr="00901D86">
              <w:rPr>
                <w:rFonts w:ascii="Arial Narrow" w:hAnsi="Arial Narrow"/>
                <w:sz w:val="20"/>
                <w:szCs w:val="20"/>
              </w:rPr>
              <w:t xml:space="preserve">At Week 24 or 28, PBO-treated patients crossed over to receive ustekinumab 45 mg. </w:t>
            </w:r>
          </w:p>
        </w:tc>
        <w:tc>
          <w:tcPr>
            <w:tcW w:w="1276" w:type="dxa"/>
          </w:tcPr>
          <w:p w14:paraId="3385BC77"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Adults (≥18 years) with active PsA.</w:t>
            </w:r>
          </w:p>
          <w:p w14:paraId="2C9C02F0" w14:textId="77777777" w:rsidR="006C5E4A" w:rsidRPr="00901D86" w:rsidRDefault="006C5E4A" w:rsidP="006C5E4A">
            <w:pPr>
              <w:jc w:val="left"/>
              <w:rPr>
                <w:rFonts w:ascii="Arial Narrow" w:hAnsi="Arial Narrow"/>
                <w:b/>
                <w:sz w:val="20"/>
                <w:szCs w:val="20"/>
              </w:rPr>
            </w:pPr>
            <w:r w:rsidRPr="00901D86">
              <w:rPr>
                <w:rFonts w:ascii="Arial Narrow" w:hAnsi="Arial Narrow"/>
                <w:sz w:val="20"/>
                <w:szCs w:val="20"/>
              </w:rPr>
              <w:t>Anti-TNFα naïve and experienced patients.</w:t>
            </w:r>
          </w:p>
        </w:tc>
        <w:tc>
          <w:tcPr>
            <w:tcW w:w="1225" w:type="dxa"/>
          </w:tcPr>
          <w:p w14:paraId="782985A1"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ACR20, ACR50, response at Week 24 and 52</w:t>
            </w:r>
          </w:p>
          <w:p w14:paraId="6BF86686" w14:textId="77777777" w:rsidR="006C5E4A" w:rsidRPr="00901D86" w:rsidRDefault="006C5E4A" w:rsidP="006C5E4A">
            <w:pPr>
              <w:jc w:val="left"/>
              <w:rPr>
                <w:rFonts w:ascii="Arial Narrow" w:hAnsi="Arial Narrow"/>
                <w:b/>
                <w:sz w:val="20"/>
                <w:szCs w:val="20"/>
              </w:rPr>
            </w:pPr>
            <w:r w:rsidRPr="00901D86">
              <w:rPr>
                <w:rFonts w:ascii="Arial Narrow" w:hAnsi="Arial Narrow"/>
                <w:sz w:val="20"/>
                <w:szCs w:val="20"/>
              </w:rPr>
              <w:t>Safety</w:t>
            </w:r>
          </w:p>
        </w:tc>
      </w:tr>
      <w:tr w:rsidR="006C5E4A" w:rsidRPr="00901D86" w14:paraId="2C32E5AA" w14:textId="77777777" w:rsidTr="006C5E4A">
        <w:trPr>
          <w:cantSplit/>
        </w:trPr>
        <w:tc>
          <w:tcPr>
            <w:tcW w:w="1402" w:type="dxa"/>
          </w:tcPr>
          <w:p w14:paraId="20EE9BF5"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ADEPT (Adalimumab)</w:t>
            </w:r>
          </w:p>
          <w:p w14:paraId="7CE1C17E"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N=313</w:t>
            </w:r>
          </w:p>
        </w:tc>
        <w:tc>
          <w:tcPr>
            <w:tcW w:w="1712" w:type="dxa"/>
          </w:tcPr>
          <w:p w14:paraId="7BC90784"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Phase 3, MC, R, PC, DB study up to 24 weeks.</w:t>
            </w:r>
          </w:p>
          <w:p w14:paraId="6A323FD2"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OL extension additional 120 weeks</w:t>
            </w:r>
          </w:p>
        </w:tc>
        <w:tc>
          <w:tcPr>
            <w:tcW w:w="3402" w:type="dxa"/>
          </w:tcPr>
          <w:p w14:paraId="24C758A5"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SC adalimumab 40 mg </w:t>
            </w:r>
          </w:p>
          <w:p w14:paraId="0EA0875D"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PBO </w:t>
            </w:r>
          </w:p>
          <w:p w14:paraId="3F75B0F5"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 xml:space="preserve">every other week. </w:t>
            </w:r>
          </w:p>
        </w:tc>
        <w:tc>
          <w:tcPr>
            <w:tcW w:w="1276" w:type="dxa"/>
          </w:tcPr>
          <w:p w14:paraId="21128D5C"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Adults (≥18 years) with moderate to severe active PsA.</w:t>
            </w:r>
          </w:p>
          <w:p w14:paraId="5FC5BA8B"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Anti-TNFα naïve patients.</w:t>
            </w:r>
          </w:p>
        </w:tc>
        <w:tc>
          <w:tcPr>
            <w:tcW w:w="1225" w:type="dxa"/>
          </w:tcPr>
          <w:p w14:paraId="3F924235"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ACR20, ACR50, at Week 12 and 24</w:t>
            </w:r>
          </w:p>
          <w:p w14:paraId="6902D1AE"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Safety</w:t>
            </w:r>
          </w:p>
        </w:tc>
      </w:tr>
      <w:tr w:rsidR="006C5E4A" w:rsidRPr="00901D86" w14:paraId="664A4D0E" w14:textId="77777777" w:rsidTr="006C5E4A">
        <w:trPr>
          <w:cantSplit/>
        </w:trPr>
        <w:tc>
          <w:tcPr>
            <w:tcW w:w="1402" w:type="dxa"/>
          </w:tcPr>
          <w:p w14:paraId="37A1825A"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 xml:space="preserve">Genovese 2007 </w:t>
            </w:r>
          </w:p>
          <w:p w14:paraId="4A127722"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(Adalimumab)</w:t>
            </w:r>
          </w:p>
          <w:p w14:paraId="41713548"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N=100</w:t>
            </w:r>
          </w:p>
        </w:tc>
        <w:tc>
          <w:tcPr>
            <w:tcW w:w="1712" w:type="dxa"/>
          </w:tcPr>
          <w:p w14:paraId="2F15F482"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 xml:space="preserve">Phase 3, MC, R, PC, DB study up to 24 weeks. </w:t>
            </w:r>
          </w:p>
          <w:p w14:paraId="7851E189"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 xml:space="preserve">After Week 12, OL provided. </w:t>
            </w:r>
          </w:p>
        </w:tc>
        <w:tc>
          <w:tcPr>
            <w:tcW w:w="3402" w:type="dxa"/>
          </w:tcPr>
          <w:p w14:paraId="78463B74"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SC adalimumab 40 mg</w:t>
            </w:r>
          </w:p>
          <w:p w14:paraId="3963C68E"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PBO </w:t>
            </w:r>
          </w:p>
          <w:p w14:paraId="43C50157"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 xml:space="preserve">every other week. </w:t>
            </w:r>
          </w:p>
          <w:p w14:paraId="77D13294" w14:textId="77777777" w:rsidR="006C5E4A" w:rsidRPr="00901D86" w:rsidRDefault="006C5E4A" w:rsidP="00844D00">
            <w:pPr>
              <w:jc w:val="left"/>
              <w:rPr>
                <w:rFonts w:ascii="Arial Narrow" w:hAnsi="Arial Narrow"/>
                <w:sz w:val="20"/>
                <w:szCs w:val="20"/>
              </w:rPr>
            </w:pPr>
            <w:r w:rsidRPr="00901D86">
              <w:rPr>
                <w:rFonts w:ascii="Arial Narrow" w:hAnsi="Arial Narrow"/>
                <w:sz w:val="20"/>
                <w:szCs w:val="20"/>
              </w:rPr>
              <w:t xml:space="preserve">At Week 12, all patients (adalimumab or PBO) cross over to receive open-label adalimumab. </w:t>
            </w:r>
          </w:p>
        </w:tc>
        <w:tc>
          <w:tcPr>
            <w:tcW w:w="1276" w:type="dxa"/>
          </w:tcPr>
          <w:p w14:paraId="2F8E5F03"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Adults (≥18 years) with moderate to severe active PsA.</w:t>
            </w:r>
          </w:p>
          <w:p w14:paraId="03DFCAB0"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Anti-TNFα naïve patients.</w:t>
            </w:r>
          </w:p>
        </w:tc>
        <w:tc>
          <w:tcPr>
            <w:tcW w:w="1225" w:type="dxa"/>
          </w:tcPr>
          <w:p w14:paraId="3B6F7830"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ACR20, ACR50, at Week 12 and 24.</w:t>
            </w:r>
          </w:p>
          <w:p w14:paraId="3E629065"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Safety</w:t>
            </w:r>
          </w:p>
        </w:tc>
      </w:tr>
      <w:tr w:rsidR="006C5E4A" w:rsidRPr="00901D86" w14:paraId="27A848D5" w14:textId="77777777" w:rsidTr="006C5E4A">
        <w:trPr>
          <w:cantSplit/>
        </w:trPr>
        <w:tc>
          <w:tcPr>
            <w:tcW w:w="1402" w:type="dxa"/>
          </w:tcPr>
          <w:p w14:paraId="4B7AEE2C"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FUTURE 2 (Secukinumab)</w:t>
            </w:r>
          </w:p>
          <w:p w14:paraId="460FF0E4"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N=298</w:t>
            </w:r>
            <w:r w:rsidRPr="00901D86">
              <w:rPr>
                <w:rFonts w:ascii="Arial Narrow" w:hAnsi="Arial Narrow"/>
                <w:b/>
                <w:sz w:val="20"/>
                <w:szCs w:val="20"/>
                <w:vertAlign w:val="superscript"/>
              </w:rPr>
              <w:t>a</w:t>
            </w:r>
          </w:p>
        </w:tc>
        <w:tc>
          <w:tcPr>
            <w:tcW w:w="1712" w:type="dxa"/>
          </w:tcPr>
          <w:p w14:paraId="6C992BAC"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 xml:space="preserve">Phase 3, MC, R, PC, DB study up to 52 weeks. </w:t>
            </w:r>
          </w:p>
          <w:p w14:paraId="4B2D6550"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 xml:space="preserve">OL extension up to 256 weeks. </w:t>
            </w:r>
          </w:p>
        </w:tc>
        <w:tc>
          <w:tcPr>
            <w:tcW w:w="3402" w:type="dxa"/>
          </w:tcPr>
          <w:p w14:paraId="27948368"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SC secukinumab 75 mg, 150 mg or 300 mg</w:t>
            </w:r>
          </w:p>
          <w:p w14:paraId="0782025A"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PBO </w:t>
            </w:r>
          </w:p>
          <w:p w14:paraId="21A0FACF" w14:textId="77777777" w:rsidR="006C5E4A" w:rsidRPr="00901D86" w:rsidRDefault="006C5E4A" w:rsidP="006C5E4A">
            <w:pPr>
              <w:pStyle w:val="ListParagraph"/>
              <w:jc w:val="left"/>
            </w:pPr>
            <w:r w:rsidRPr="00901D86">
              <w:rPr>
                <w:rFonts w:ascii="Arial Narrow" w:hAnsi="Arial Narrow"/>
                <w:sz w:val="20"/>
                <w:szCs w:val="20"/>
              </w:rPr>
              <w:t xml:space="preserve">at Week 0, 1, 2, 3 and 4 then every 4 weeks thereafter. </w:t>
            </w:r>
          </w:p>
          <w:p w14:paraId="37C28EF2"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PBO arm re-randomised to 150 mg or 300 mg secukinumab at Week 16 (non-responders)/24 (responders).</w:t>
            </w:r>
          </w:p>
        </w:tc>
        <w:tc>
          <w:tcPr>
            <w:tcW w:w="1276" w:type="dxa"/>
          </w:tcPr>
          <w:p w14:paraId="3DF2B926"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 xml:space="preserve">Adults (≥18 years) who had moderately to severely active PsA. </w:t>
            </w:r>
          </w:p>
          <w:p w14:paraId="23B5BB7A"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Anti-TNFα naïve and experienced patients.</w:t>
            </w:r>
          </w:p>
        </w:tc>
        <w:tc>
          <w:tcPr>
            <w:tcW w:w="1225" w:type="dxa"/>
          </w:tcPr>
          <w:p w14:paraId="0DE5F48A"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ACR20, ACR50 at Week 24 and 52.</w:t>
            </w:r>
          </w:p>
          <w:p w14:paraId="49E314F8"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Safety</w:t>
            </w:r>
          </w:p>
        </w:tc>
      </w:tr>
      <w:tr w:rsidR="006C5E4A" w:rsidRPr="00901D86" w14:paraId="05450C65" w14:textId="77777777" w:rsidTr="006C5E4A">
        <w:trPr>
          <w:cantSplit/>
        </w:trPr>
        <w:tc>
          <w:tcPr>
            <w:tcW w:w="1402" w:type="dxa"/>
          </w:tcPr>
          <w:p w14:paraId="7DFEEBF1"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lastRenderedPageBreak/>
              <w:t>FUTURE 3 (Secukinumab)</w:t>
            </w:r>
          </w:p>
          <w:p w14:paraId="37AE7137"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N=414</w:t>
            </w:r>
          </w:p>
        </w:tc>
        <w:tc>
          <w:tcPr>
            <w:tcW w:w="1712" w:type="dxa"/>
          </w:tcPr>
          <w:p w14:paraId="3A3A1DC7"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Phase 3, MC, R, PC, DB study up to 52 weeks.</w:t>
            </w:r>
          </w:p>
          <w:p w14:paraId="62952A1E"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Study design is up to Week 156, but efficacy and safety results are available through Week 52.</w:t>
            </w:r>
          </w:p>
        </w:tc>
        <w:tc>
          <w:tcPr>
            <w:tcW w:w="3402" w:type="dxa"/>
          </w:tcPr>
          <w:p w14:paraId="0F7D9E0A"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SC 150 mg, SC 300 mg secukinumab</w:t>
            </w:r>
          </w:p>
          <w:p w14:paraId="612490A4"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PBO </w:t>
            </w:r>
          </w:p>
          <w:p w14:paraId="52CDC775"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 xml:space="preserve">at Week 0, 1, 2, 3 and 4, and every 4 weeks thereafter. </w:t>
            </w:r>
          </w:p>
          <w:p w14:paraId="3B69B237"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PBO arm re-randomised to 150 mg or 300 mg secukinumab at Week 16 (non-responders)/24 (responders).</w:t>
            </w:r>
          </w:p>
        </w:tc>
        <w:tc>
          <w:tcPr>
            <w:tcW w:w="1276" w:type="dxa"/>
          </w:tcPr>
          <w:p w14:paraId="60E6B23C"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Adults (≥18 years) who had a diagnosis of PsA.</w:t>
            </w:r>
          </w:p>
          <w:p w14:paraId="0D5081DD"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Anti-TNFα naïve and experienced patients.</w:t>
            </w:r>
          </w:p>
        </w:tc>
        <w:tc>
          <w:tcPr>
            <w:tcW w:w="1225" w:type="dxa"/>
          </w:tcPr>
          <w:p w14:paraId="6492BB7F"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ACR20, ACR50 at Week 24 and 52.</w:t>
            </w:r>
          </w:p>
          <w:p w14:paraId="6C2FEA86"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Safety</w:t>
            </w:r>
          </w:p>
        </w:tc>
      </w:tr>
      <w:tr w:rsidR="006C5E4A" w:rsidRPr="00901D86" w14:paraId="64991F29" w14:textId="77777777" w:rsidTr="006C5E4A">
        <w:trPr>
          <w:cantSplit/>
        </w:trPr>
        <w:tc>
          <w:tcPr>
            <w:tcW w:w="1402" w:type="dxa"/>
          </w:tcPr>
          <w:p w14:paraId="44F93FF4"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FUTURE 5 (Secukinumab)</w:t>
            </w:r>
          </w:p>
          <w:p w14:paraId="29175580"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N=774</w:t>
            </w:r>
            <w:r w:rsidRPr="00901D86">
              <w:rPr>
                <w:rFonts w:ascii="Arial Narrow" w:hAnsi="Arial Narrow"/>
                <w:b/>
                <w:sz w:val="20"/>
                <w:szCs w:val="20"/>
                <w:vertAlign w:val="superscript"/>
              </w:rPr>
              <w:t>a</w:t>
            </w:r>
          </w:p>
        </w:tc>
        <w:tc>
          <w:tcPr>
            <w:tcW w:w="1712" w:type="dxa"/>
          </w:tcPr>
          <w:p w14:paraId="7F37CB84"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Phase 3, MC, R, PC, DB study up to 52 weeks.</w:t>
            </w:r>
          </w:p>
          <w:p w14:paraId="1A8773C0"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Study design is up to Week 104 but efficacy and safety results are available through Week 52.</w:t>
            </w:r>
          </w:p>
        </w:tc>
        <w:tc>
          <w:tcPr>
            <w:tcW w:w="3402" w:type="dxa"/>
          </w:tcPr>
          <w:p w14:paraId="59705CB2"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SC secukinumab 300 mg (with LD), </w:t>
            </w:r>
          </w:p>
          <w:p w14:paraId="46A11199"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SC secukinumab 150 mg (with LD), </w:t>
            </w:r>
          </w:p>
          <w:p w14:paraId="2C2CFADE"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SC secukinumab 150 mg (without LD) </w:t>
            </w:r>
          </w:p>
          <w:p w14:paraId="54A0D9C9"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 xml:space="preserve">PBO </w:t>
            </w:r>
          </w:p>
          <w:p w14:paraId="39CFC445"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 xml:space="preserve">at Week 0, 1, 2, 3 and every 4 weeks thereafter. </w:t>
            </w:r>
          </w:p>
          <w:p w14:paraId="72A95325"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PBO arm re-randomised to 150 mg or 300 mg secukinumab at Week 16 (non-responders)/24 (responders).</w:t>
            </w:r>
          </w:p>
        </w:tc>
        <w:tc>
          <w:tcPr>
            <w:tcW w:w="1276" w:type="dxa"/>
          </w:tcPr>
          <w:p w14:paraId="64E7A89A"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Adults (≥18 years) who had moderately to severely active PsA.</w:t>
            </w:r>
          </w:p>
          <w:p w14:paraId="263C0705"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Anti-TNFα naïve and experienced patients.</w:t>
            </w:r>
          </w:p>
        </w:tc>
        <w:tc>
          <w:tcPr>
            <w:tcW w:w="1225" w:type="dxa"/>
          </w:tcPr>
          <w:p w14:paraId="67E613F2"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ACR20, ACR50 at Week 16, 24 and 52.</w:t>
            </w:r>
          </w:p>
          <w:p w14:paraId="00980F8C"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Safety</w:t>
            </w:r>
          </w:p>
        </w:tc>
      </w:tr>
      <w:tr w:rsidR="006C5E4A" w:rsidRPr="00901D86" w14:paraId="07E025CD" w14:textId="77777777" w:rsidTr="006C5E4A">
        <w:trPr>
          <w:cantSplit/>
        </w:trPr>
        <w:tc>
          <w:tcPr>
            <w:tcW w:w="1402" w:type="dxa"/>
          </w:tcPr>
          <w:p w14:paraId="614D55AA"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RAPID-PsA</w:t>
            </w:r>
          </w:p>
          <w:p w14:paraId="6EDC4408"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N=409</w:t>
            </w:r>
          </w:p>
        </w:tc>
        <w:tc>
          <w:tcPr>
            <w:tcW w:w="1712" w:type="dxa"/>
          </w:tcPr>
          <w:p w14:paraId="132AC89E"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 xml:space="preserve">Phase 3, MC, R, DB, PC study up to 216 weeks. </w:t>
            </w:r>
          </w:p>
          <w:p w14:paraId="6B5F037A"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After Week 48, OL provided.</w:t>
            </w:r>
          </w:p>
        </w:tc>
        <w:tc>
          <w:tcPr>
            <w:tcW w:w="3402" w:type="dxa"/>
          </w:tcPr>
          <w:p w14:paraId="3715545C"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SC certolizumab pegol 400 mg at Week 0, 2 and 4, followed by:</w:t>
            </w:r>
          </w:p>
          <w:p w14:paraId="48521CC5" w14:textId="77777777" w:rsidR="006C5E4A" w:rsidRPr="00901D86" w:rsidRDefault="006C5E4A" w:rsidP="005608AC">
            <w:pPr>
              <w:pStyle w:val="ListParagraph"/>
              <w:numPr>
                <w:ilvl w:val="0"/>
                <w:numId w:val="18"/>
              </w:numPr>
              <w:spacing w:after="0"/>
              <w:ind w:left="255" w:hanging="142"/>
              <w:jc w:val="left"/>
              <w:rPr>
                <w:rFonts w:ascii="Arial Narrow" w:hAnsi="Arial Narrow"/>
                <w:sz w:val="20"/>
                <w:szCs w:val="20"/>
              </w:rPr>
            </w:pPr>
            <w:r w:rsidRPr="00901D86">
              <w:rPr>
                <w:rFonts w:ascii="Arial Narrow" w:hAnsi="Arial Narrow"/>
                <w:sz w:val="20"/>
                <w:szCs w:val="20"/>
              </w:rPr>
              <w:t>Certolizumab pegol 200 mg every 2 weeks, or</w:t>
            </w:r>
          </w:p>
          <w:p w14:paraId="1126991F" w14:textId="77777777" w:rsidR="006C5E4A" w:rsidRPr="00901D86" w:rsidRDefault="006C5E4A" w:rsidP="005608AC">
            <w:pPr>
              <w:pStyle w:val="ListParagraph"/>
              <w:numPr>
                <w:ilvl w:val="0"/>
                <w:numId w:val="18"/>
              </w:numPr>
              <w:spacing w:after="0"/>
              <w:ind w:left="255" w:hanging="142"/>
              <w:jc w:val="left"/>
              <w:rPr>
                <w:rFonts w:ascii="Arial Narrow" w:hAnsi="Arial Narrow"/>
                <w:sz w:val="20"/>
                <w:szCs w:val="20"/>
              </w:rPr>
            </w:pPr>
            <w:r w:rsidRPr="00901D86">
              <w:rPr>
                <w:rFonts w:ascii="Arial Narrow" w:hAnsi="Arial Narrow"/>
                <w:sz w:val="20"/>
                <w:szCs w:val="20"/>
              </w:rPr>
              <w:t>Certolizumab pegol 400 mg every 4 weeks</w:t>
            </w:r>
          </w:p>
          <w:p w14:paraId="10CCEECA" w14:textId="77777777" w:rsidR="006C5E4A" w:rsidRPr="00901D86" w:rsidRDefault="006C5E4A" w:rsidP="005608AC">
            <w:pPr>
              <w:pStyle w:val="ListParagraph"/>
              <w:numPr>
                <w:ilvl w:val="0"/>
                <w:numId w:val="17"/>
              </w:numPr>
              <w:spacing w:after="40"/>
              <w:ind w:left="113" w:hanging="113"/>
              <w:jc w:val="left"/>
              <w:rPr>
                <w:rFonts w:ascii="Arial Narrow" w:hAnsi="Arial Narrow"/>
                <w:sz w:val="20"/>
                <w:szCs w:val="20"/>
              </w:rPr>
            </w:pPr>
            <w:r w:rsidRPr="00901D86">
              <w:rPr>
                <w:rFonts w:ascii="Arial Narrow" w:hAnsi="Arial Narrow"/>
                <w:sz w:val="20"/>
                <w:szCs w:val="20"/>
              </w:rPr>
              <w:t>PBO at Week 0, 2 and 4 and every 2 weeks thereafter.</w:t>
            </w:r>
          </w:p>
          <w:p w14:paraId="20F17B86"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PBO arm re-randomised to 200 mg or 400 mg certolizumab pegol with loading dose at Week 16 (non-responders) /24 (responders).</w:t>
            </w:r>
          </w:p>
        </w:tc>
        <w:tc>
          <w:tcPr>
            <w:tcW w:w="1276" w:type="dxa"/>
          </w:tcPr>
          <w:p w14:paraId="6B1C89BC"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 xml:space="preserve">Adults (≥18 years) who had a diagnosis of active PsA of ≥6 months' duration. </w:t>
            </w:r>
          </w:p>
          <w:p w14:paraId="40DCEB21"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Anti-TNFα naïve and experienced patients.</w:t>
            </w:r>
          </w:p>
        </w:tc>
        <w:tc>
          <w:tcPr>
            <w:tcW w:w="1225" w:type="dxa"/>
          </w:tcPr>
          <w:p w14:paraId="76353850"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ACR20, ACR50, at Week 12, 24 and 48 through Week 216.</w:t>
            </w:r>
          </w:p>
          <w:p w14:paraId="72BE4168"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Safety</w:t>
            </w:r>
          </w:p>
        </w:tc>
      </w:tr>
      <w:tr w:rsidR="006C5E4A" w:rsidRPr="00901D86" w14:paraId="2BB56249" w14:textId="77777777" w:rsidTr="006C5E4A">
        <w:trPr>
          <w:cantSplit/>
        </w:trPr>
        <w:tc>
          <w:tcPr>
            <w:tcW w:w="1402" w:type="dxa"/>
          </w:tcPr>
          <w:p w14:paraId="3D16D60E"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OPAL Broaden</w:t>
            </w:r>
          </w:p>
          <w:p w14:paraId="301EB3D9"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N=318</w:t>
            </w:r>
          </w:p>
        </w:tc>
        <w:tc>
          <w:tcPr>
            <w:tcW w:w="1712" w:type="dxa"/>
          </w:tcPr>
          <w:p w14:paraId="24E660BA"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Phase 3, R, DB, PC study up to 52 weeks.</w:t>
            </w:r>
          </w:p>
        </w:tc>
        <w:tc>
          <w:tcPr>
            <w:tcW w:w="3402" w:type="dxa"/>
          </w:tcPr>
          <w:p w14:paraId="351991B1"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Oral tofacitinib 5 mg or 10 mg twice daily</w:t>
            </w:r>
          </w:p>
          <w:p w14:paraId="30F71023" w14:textId="77777777" w:rsidR="006C5E4A" w:rsidRPr="00901D86" w:rsidRDefault="006C5E4A" w:rsidP="005608AC">
            <w:pPr>
              <w:pStyle w:val="ListParagraph"/>
              <w:numPr>
                <w:ilvl w:val="0"/>
                <w:numId w:val="17"/>
              </w:numPr>
              <w:spacing w:after="0"/>
              <w:ind w:left="113" w:hanging="113"/>
              <w:jc w:val="left"/>
              <w:rPr>
                <w:rFonts w:ascii="Arial Narrow" w:hAnsi="Arial Narrow"/>
                <w:sz w:val="20"/>
                <w:szCs w:val="20"/>
              </w:rPr>
            </w:pPr>
            <w:r w:rsidRPr="00901D86">
              <w:rPr>
                <w:rFonts w:ascii="Arial Narrow" w:hAnsi="Arial Narrow"/>
                <w:sz w:val="20"/>
                <w:szCs w:val="20"/>
              </w:rPr>
              <w:t>SC adalimumab 40 mg every 2 weeks,</w:t>
            </w:r>
          </w:p>
          <w:p w14:paraId="1132EA95" w14:textId="77777777" w:rsidR="006C5E4A" w:rsidRPr="00901D86" w:rsidRDefault="006C5E4A" w:rsidP="005608AC">
            <w:pPr>
              <w:pStyle w:val="ListParagraph"/>
              <w:numPr>
                <w:ilvl w:val="0"/>
                <w:numId w:val="17"/>
              </w:numPr>
              <w:spacing w:after="40"/>
              <w:ind w:left="113" w:hanging="113"/>
              <w:jc w:val="left"/>
              <w:rPr>
                <w:rFonts w:ascii="Arial Narrow" w:hAnsi="Arial Narrow"/>
                <w:sz w:val="20"/>
                <w:szCs w:val="20"/>
              </w:rPr>
            </w:pPr>
            <w:r w:rsidRPr="00901D86">
              <w:rPr>
                <w:rFonts w:ascii="Arial Narrow" w:hAnsi="Arial Narrow"/>
                <w:sz w:val="20"/>
                <w:szCs w:val="20"/>
              </w:rPr>
              <w:t xml:space="preserve">PBO. </w:t>
            </w:r>
          </w:p>
          <w:p w14:paraId="695DFDC4"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At Week 12, PBO-treated patients were re-randomised to receive oral tofacitinib 5 mg or 10 mg.</w:t>
            </w:r>
          </w:p>
        </w:tc>
        <w:tc>
          <w:tcPr>
            <w:tcW w:w="1276" w:type="dxa"/>
          </w:tcPr>
          <w:p w14:paraId="55DD256A"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Adults (≥18 years) who had a diagnosis of PsA of ≥6 months.</w:t>
            </w:r>
          </w:p>
          <w:p w14:paraId="1FF12BDA"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Anti-TNFα naïve patients.</w:t>
            </w:r>
          </w:p>
        </w:tc>
        <w:tc>
          <w:tcPr>
            <w:tcW w:w="1225" w:type="dxa"/>
          </w:tcPr>
          <w:p w14:paraId="022C0398" w14:textId="77777777" w:rsidR="006C5E4A" w:rsidRPr="00901D86" w:rsidRDefault="006C5E4A" w:rsidP="006C5E4A">
            <w:pPr>
              <w:spacing w:after="40"/>
              <w:jc w:val="left"/>
              <w:rPr>
                <w:rFonts w:ascii="Arial Narrow" w:hAnsi="Arial Narrow"/>
                <w:sz w:val="20"/>
                <w:szCs w:val="20"/>
              </w:rPr>
            </w:pPr>
            <w:r w:rsidRPr="00901D86">
              <w:rPr>
                <w:rFonts w:ascii="Arial Narrow" w:hAnsi="Arial Narrow"/>
                <w:sz w:val="20"/>
                <w:szCs w:val="20"/>
              </w:rPr>
              <w:t>ACR20, ACR50, at Week 12 and 52.</w:t>
            </w:r>
          </w:p>
          <w:p w14:paraId="6D9296F0" w14:textId="77777777" w:rsidR="006C5E4A" w:rsidRPr="00901D86" w:rsidRDefault="006C5E4A" w:rsidP="006C5E4A">
            <w:pPr>
              <w:jc w:val="left"/>
              <w:rPr>
                <w:rFonts w:ascii="Arial Narrow" w:hAnsi="Arial Narrow"/>
                <w:sz w:val="20"/>
                <w:szCs w:val="20"/>
              </w:rPr>
            </w:pPr>
            <w:r w:rsidRPr="00901D86">
              <w:rPr>
                <w:rFonts w:ascii="Arial Narrow" w:hAnsi="Arial Narrow"/>
                <w:sz w:val="20"/>
                <w:szCs w:val="20"/>
              </w:rPr>
              <w:t>Safety</w:t>
            </w:r>
          </w:p>
        </w:tc>
      </w:tr>
    </w:tbl>
    <w:p w14:paraId="6888670E" w14:textId="77777777" w:rsidR="006C5E4A" w:rsidRPr="00901D86" w:rsidRDefault="006C5E4A" w:rsidP="006C5E4A">
      <w:pPr>
        <w:pStyle w:val="TableFooter"/>
        <w:rPr>
          <w:szCs w:val="18"/>
        </w:rPr>
      </w:pPr>
      <w:r w:rsidRPr="00901D86">
        <w:t xml:space="preserve">ACR20/50 = ≥20% /50% improvement on the American College of Rheumatology Criteria DB= double-blind; LD = loading dose; MC = multicentre; OL = open-label; PBO = placebo; PsA = psoriatic arthritis; PC = placebo-controlled; R= randomised, SC = subcutaneous; </w:t>
      </w:r>
      <w:r w:rsidRPr="00901D86">
        <w:rPr>
          <w:szCs w:val="18"/>
        </w:rPr>
        <w:t>TNFα-= tumour necrosis factor alpha</w:t>
      </w:r>
    </w:p>
    <w:p w14:paraId="53E66A70" w14:textId="77777777" w:rsidR="006C5E4A" w:rsidRPr="00901D86" w:rsidRDefault="006C5E4A" w:rsidP="006C5E4A">
      <w:pPr>
        <w:pStyle w:val="TableFooter"/>
      </w:pPr>
      <w:r w:rsidRPr="00901D86">
        <w:t xml:space="preserve">Source: Table 2.6, p71 of the submission </w:t>
      </w:r>
    </w:p>
    <w:p w14:paraId="498E292C" w14:textId="77777777" w:rsidR="006C5E4A" w:rsidRPr="00901D86" w:rsidRDefault="006C5E4A" w:rsidP="00251D64">
      <w:pPr>
        <w:pStyle w:val="TableFooter"/>
        <w:tabs>
          <w:tab w:val="left" w:pos="284"/>
        </w:tabs>
        <w:spacing w:after="120"/>
      </w:pPr>
      <w:r w:rsidRPr="00901D86">
        <w:rPr>
          <w:vertAlign w:val="superscript"/>
        </w:rPr>
        <w:t>a</w:t>
      </w:r>
      <w:r w:rsidRPr="00901D86">
        <w:tab/>
        <w:t>excluding patients randomised to arms which were not relevant to the ITC in the submission.</w:t>
      </w:r>
    </w:p>
    <w:p w14:paraId="6DCE58B2" w14:textId="77777777" w:rsidR="00251D64" w:rsidRPr="00901D86" w:rsidRDefault="00251D64" w:rsidP="00FE2B75">
      <w:pPr>
        <w:pStyle w:val="3-BodyText"/>
        <w:numPr>
          <w:ilvl w:val="1"/>
          <w:numId w:val="5"/>
        </w:numPr>
      </w:pPr>
      <w:r w:rsidRPr="00901D86">
        <w:t xml:space="preserve">Discontinuation rates were generally higher in the placebo arms of </w:t>
      </w:r>
      <w:r w:rsidR="00431785" w:rsidRPr="00901D86">
        <w:t xml:space="preserve">the </w:t>
      </w:r>
      <w:r w:rsidRPr="00901D86">
        <w:t>trials. However, the overall risk of bias was considered low as the potential for unblinding related to discontinuation would likely affect all of the included trials equally.</w:t>
      </w:r>
    </w:p>
    <w:p w14:paraId="202D8B18" w14:textId="77777777" w:rsidR="00251D64" w:rsidRPr="00901D86" w:rsidRDefault="00251D64" w:rsidP="00FE2B75">
      <w:pPr>
        <w:pStyle w:val="3-BodyText"/>
        <w:numPr>
          <w:ilvl w:val="1"/>
          <w:numId w:val="5"/>
        </w:numPr>
      </w:pPr>
      <w:r w:rsidRPr="00901D86">
        <w:t xml:space="preserve">The clinical criteria for meeting early escape and dose escalation varied between </w:t>
      </w:r>
      <w:r w:rsidR="00431785" w:rsidRPr="00901D86">
        <w:t xml:space="preserve">the </w:t>
      </w:r>
      <w:r w:rsidRPr="00901D86">
        <w:t xml:space="preserve">trials (ranging from &lt;5% improvement – 20% improvement in both tender and swollen joint counts) and there were differences in the timing of placebo crossover. However, comparisons at earlier time points should not be affected by these differences. </w:t>
      </w:r>
    </w:p>
    <w:p w14:paraId="0E3DD6E3" w14:textId="77777777" w:rsidR="00620C25" w:rsidRPr="00901D86" w:rsidRDefault="00251D64" w:rsidP="00FE2B75">
      <w:pPr>
        <w:pStyle w:val="3-BodyText"/>
        <w:numPr>
          <w:ilvl w:val="1"/>
          <w:numId w:val="5"/>
        </w:numPr>
        <w:rPr>
          <w:szCs w:val="18"/>
        </w:rPr>
      </w:pPr>
      <w:r w:rsidRPr="00901D86">
        <w:t xml:space="preserve">Though eligibility criteria for the included trials were less severe than the requested restriction of severe PsA (for example, at least ≥3 swollen joints and ≥3 tender joints </w:t>
      </w:r>
      <w:r w:rsidRPr="00901D86">
        <w:lastRenderedPageBreak/>
        <w:t xml:space="preserve">at screening and baseline, or C-reactive protein (CRP) ≥0.3 mg/dL at screening), it </w:t>
      </w:r>
      <w:r w:rsidR="00431785" w:rsidRPr="00901D86">
        <w:t>wa</w:t>
      </w:r>
      <w:r w:rsidRPr="00901D86">
        <w:t xml:space="preserve">s noted that at baseline, the observed mean number of swollen/tender joints and CRP were higher and more comparable to </w:t>
      </w:r>
      <w:r w:rsidR="00504C6D" w:rsidRPr="00901D86">
        <w:t xml:space="preserve">the </w:t>
      </w:r>
      <w:r w:rsidRPr="00901D86">
        <w:t>requested restriction. The guselkumab trials accounted for TNFα inhibitor naïve and TNFα inhibitor experienced participants, which aligns with the proposed PBS listing that does not preclude prior TNF inhibitor therapy.</w:t>
      </w:r>
    </w:p>
    <w:p w14:paraId="75697AA8" w14:textId="77777777" w:rsidR="00B60939" w:rsidRPr="00901D86" w:rsidRDefault="00B60939" w:rsidP="00EC5836">
      <w:pPr>
        <w:pStyle w:val="4-SubsectionHeading"/>
      </w:pPr>
      <w:bookmarkStart w:id="15" w:name="_Toc22897641"/>
      <w:bookmarkStart w:id="16" w:name="_Toc50643118"/>
      <w:r w:rsidRPr="00901D86">
        <w:t>Comparative effectiveness</w:t>
      </w:r>
      <w:bookmarkEnd w:id="15"/>
      <w:bookmarkEnd w:id="16"/>
    </w:p>
    <w:p w14:paraId="6A938813" w14:textId="77777777" w:rsidR="00251D64" w:rsidRPr="00901D86" w:rsidRDefault="00251D64" w:rsidP="00FE2B75">
      <w:pPr>
        <w:pStyle w:val="3-BodyText"/>
        <w:numPr>
          <w:ilvl w:val="1"/>
          <w:numId w:val="5"/>
        </w:numPr>
      </w:pPr>
      <w:r w:rsidRPr="00901D86">
        <w:rPr>
          <w:snapToGrid/>
        </w:rPr>
        <w:t xml:space="preserve">The clinically relevant outcomes presented in the submission include the American College of Rheumatology response criteria of an improvement of ≥20% (ACR20) as the primary outcome, and ACR50 as the secondary outcome. </w:t>
      </w:r>
      <w:r w:rsidR="00D655DC" w:rsidRPr="00901D86">
        <w:rPr>
          <w:iCs/>
          <w:snapToGrid/>
        </w:rPr>
        <w:t xml:space="preserve">The </w:t>
      </w:r>
      <w:r w:rsidRPr="00901D86">
        <w:rPr>
          <w:snapToGrid/>
        </w:rPr>
        <w:t>PBAC ha</w:t>
      </w:r>
      <w:r w:rsidR="00D655DC" w:rsidRPr="00901D86">
        <w:rPr>
          <w:snapToGrid/>
        </w:rPr>
        <w:t>s</w:t>
      </w:r>
      <w:r w:rsidRPr="00901D86">
        <w:rPr>
          <w:snapToGrid/>
        </w:rPr>
        <w:t xml:space="preserve"> previously considered that “ACR50 was more relevant than ACR20 because it better reflected the current PBS criteria for response to initial therapy. However, ACR20 has also been used to support non-inferiority” (</w:t>
      </w:r>
      <w:r w:rsidR="00B856E6" w:rsidRPr="00901D86">
        <w:rPr>
          <w:snapToGrid/>
        </w:rPr>
        <w:t>p</w:t>
      </w:r>
      <w:r w:rsidRPr="00901D86">
        <w:rPr>
          <w:snapToGrid/>
        </w:rPr>
        <w:t>aragraph 6.8</w:t>
      </w:r>
      <w:r w:rsidR="00B856E6" w:rsidRPr="00901D86">
        <w:rPr>
          <w:snapToGrid/>
        </w:rPr>
        <w:t>,</w:t>
      </w:r>
      <w:r w:rsidRPr="00901D86">
        <w:rPr>
          <w:snapToGrid/>
        </w:rPr>
        <w:t xml:space="preserve"> </w:t>
      </w:r>
      <w:r w:rsidR="00B856E6" w:rsidRPr="00901D86">
        <w:rPr>
          <w:snapToGrid/>
        </w:rPr>
        <w:t>t</w:t>
      </w:r>
      <w:r w:rsidRPr="00901D86">
        <w:rPr>
          <w:snapToGrid/>
        </w:rPr>
        <w:t xml:space="preserve">ofacitinib </w:t>
      </w:r>
      <w:r w:rsidR="0040072D">
        <w:rPr>
          <w:snapToGrid/>
        </w:rPr>
        <w:t>Public Summary Document (</w:t>
      </w:r>
      <w:r w:rsidRPr="00901D86">
        <w:rPr>
          <w:snapToGrid/>
        </w:rPr>
        <w:t>PSD</w:t>
      </w:r>
      <w:r w:rsidR="0040072D">
        <w:rPr>
          <w:snapToGrid/>
        </w:rPr>
        <w:t>)</w:t>
      </w:r>
      <w:r w:rsidRPr="00901D86">
        <w:rPr>
          <w:snapToGrid/>
        </w:rPr>
        <w:t>, November 2018).</w:t>
      </w:r>
    </w:p>
    <w:p w14:paraId="38D82349" w14:textId="77777777" w:rsidR="00251D64" w:rsidRPr="00901D86" w:rsidRDefault="00251D64" w:rsidP="00FE2B75">
      <w:pPr>
        <w:pStyle w:val="3-BodyText"/>
        <w:numPr>
          <w:ilvl w:val="1"/>
          <w:numId w:val="5"/>
        </w:numPr>
      </w:pPr>
      <w:r w:rsidRPr="00901D86">
        <w:rPr>
          <w:snapToGrid/>
        </w:rPr>
        <w:t xml:space="preserve">The non-inferiority margins nominated </w:t>
      </w:r>
      <w:r w:rsidR="007368AF" w:rsidRPr="00901D86">
        <w:rPr>
          <w:snapToGrid/>
        </w:rPr>
        <w:t xml:space="preserve">by the submission </w:t>
      </w:r>
      <w:r w:rsidRPr="00901D86">
        <w:rPr>
          <w:snapToGrid/>
        </w:rPr>
        <w:t>for ACR50 and ACR20 are consistent with the PBAC’s previous consideration of biologics in PsA. As outlined in the tofacitinib PSD, “</w:t>
      </w:r>
      <w:r w:rsidR="00431785" w:rsidRPr="00901D86">
        <w:rPr>
          <w:snapToGrid/>
        </w:rPr>
        <w:t>f</w:t>
      </w:r>
      <w:r w:rsidRPr="00901D86">
        <w:rPr>
          <w:snapToGrid/>
        </w:rPr>
        <w:t>or non-inferiority to be demonstrated, the submission stated that the lower bound of the 95% confidence interval (CI) around the relative risk (RR) must exceed 0.29 for ACR50 and 0.46 for ACR20” (</w:t>
      </w:r>
      <w:r w:rsidR="00B856E6" w:rsidRPr="00901D86">
        <w:rPr>
          <w:snapToGrid/>
        </w:rPr>
        <w:t>p</w:t>
      </w:r>
      <w:r w:rsidRPr="00901D86">
        <w:rPr>
          <w:snapToGrid/>
        </w:rPr>
        <w:t xml:space="preserve">aragraph 6.9, </w:t>
      </w:r>
      <w:r w:rsidR="00B856E6" w:rsidRPr="00901D86">
        <w:rPr>
          <w:snapToGrid/>
        </w:rPr>
        <w:t>t</w:t>
      </w:r>
      <w:r w:rsidRPr="00901D86">
        <w:rPr>
          <w:snapToGrid/>
        </w:rPr>
        <w:t>ofacitinib PSD</w:t>
      </w:r>
      <w:r w:rsidR="00B856E6" w:rsidRPr="00901D86">
        <w:rPr>
          <w:snapToGrid/>
        </w:rPr>
        <w:t>,</w:t>
      </w:r>
      <w:r w:rsidRPr="00901D86">
        <w:rPr>
          <w:snapToGrid/>
        </w:rPr>
        <w:t xml:space="preserve"> November 2018).</w:t>
      </w:r>
    </w:p>
    <w:p w14:paraId="56CE6DF3" w14:textId="77777777" w:rsidR="00251D64" w:rsidRPr="00901D86" w:rsidRDefault="00251D64" w:rsidP="00FE2B75">
      <w:pPr>
        <w:pStyle w:val="3-BodyText"/>
        <w:numPr>
          <w:ilvl w:val="1"/>
          <w:numId w:val="5"/>
        </w:numPr>
      </w:pPr>
      <w:r w:rsidRPr="00901D86">
        <w:rPr>
          <w:snapToGrid/>
        </w:rPr>
        <w:t>Indirect comparison</w:t>
      </w:r>
      <w:r w:rsidR="00D655DC" w:rsidRPr="00901D86">
        <w:rPr>
          <w:snapToGrid/>
        </w:rPr>
        <w:t>s</w:t>
      </w:r>
      <w:r w:rsidRPr="00901D86">
        <w:rPr>
          <w:snapToGrid/>
        </w:rPr>
        <w:t xml:space="preserve"> of outcomes were assessed at time points consistent with the timing of</w:t>
      </w:r>
      <w:r w:rsidR="002D693A" w:rsidRPr="00901D86">
        <w:rPr>
          <w:snapToGrid/>
        </w:rPr>
        <w:t xml:space="preserve"> </w:t>
      </w:r>
      <w:r w:rsidRPr="00901D86">
        <w:rPr>
          <w:snapToGrid/>
        </w:rPr>
        <w:t xml:space="preserve">assessment for response on the PBS, </w:t>
      </w:r>
      <w:r w:rsidRPr="00901D86">
        <w:rPr>
          <w:iCs/>
          <w:snapToGrid/>
        </w:rPr>
        <w:t>with the exception of ustekinumab</w:t>
      </w:r>
      <w:r w:rsidRPr="00901D86">
        <w:rPr>
          <w:snapToGrid/>
        </w:rPr>
        <w:t>. The submission used an earlier time point claiming results would be confounded due to early escape. However,</w:t>
      </w:r>
      <w:r w:rsidRPr="00901D86">
        <w:t xml:space="preserve"> </w:t>
      </w:r>
      <w:r w:rsidRPr="00901D86">
        <w:rPr>
          <w:snapToGrid/>
        </w:rPr>
        <w:t>it is also important to consider which time points are the most informative and align with the review of response to initial treatment</w:t>
      </w:r>
      <w:r w:rsidR="00192FE3" w:rsidRPr="00901D86">
        <w:rPr>
          <w:snapToGrid/>
        </w:rPr>
        <w:t xml:space="preserve"> on the PBS</w:t>
      </w:r>
      <w:r w:rsidRPr="00901D86">
        <w:rPr>
          <w:snapToGrid/>
        </w:rPr>
        <w:t>. Given ustekinumab was previously considered by the PBAC as assessed at the 24 week time point</w:t>
      </w:r>
      <w:r w:rsidR="00A525BA" w:rsidRPr="00901D86">
        <w:rPr>
          <w:snapToGrid/>
        </w:rPr>
        <w:t xml:space="preserve"> in the same trials</w:t>
      </w:r>
      <w:r w:rsidRPr="00901D86">
        <w:rPr>
          <w:snapToGrid/>
        </w:rPr>
        <w:t xml:space="preserve"> </w:t>
      </w:r>
      <w:r w:rsidR="00EB0450" w:rsidRPr="00901D86">
        <w:rPr>
          <w:snapToGrid/>
        </w:rPr>
        <w:t xml:space="preserve">(paragraph 6.8, </w:t>
      </w:r>
      <w:r w:rsidR="00B856E6" w:rsidRPr="00901D86">
        <w:rPr>
          <w:snapToGrid/>
        </w:rPr>
        <w:t>u</w:t>
      </w:r>
      <w:r w:rsidR="00EB0450" w:rsidRPr="00901D86">
        <w:rPr>
          <w:snapToGrid/>
        </w:rPr>
        <w:t>stekinumab PSD, November 2014)</w:t>
      </w:r>
      <w:r w:rsidR="000530B8" w:rsidRPr="00901D86">
        <w:rPr>
          <w:snapToGrid/>
        </w:rPr>
        <w:t>,</w:t>
      </w:r>
      <w:r w:rsidR="00EB0450" w:rsidRPr="00901D86">
        <w:rPr>
          <w:snapToGrid/>
        </w:rPr>
        <w:t xml:space="preserve"> </w:t>
      </w:r>
      <w:r w:rsidRPr="00901D86">
        <w:rPr>
          <w:snapToGrid/>
        </w:rPr>
        <w:t xml:space="preserve">and this is in line with ustekinumab’s initial treatment period, it may be more appropriate to compare guselkumab with ustekinumab assessed at Week 24 (instead of Week 16 as performed in the submission). The </w:t>
      </w:r>
      <w:r w:rsidR="005D32FB" w:rsidRPr="00901D86">
        <w:rPr>
          <w:snapToGrid/>
        </w:rPr>
        <w:t xml:space="preserve">evaluation noted the </w:t>
      </w:r>
      <w:r w:rsidRPr="00901D86">
        <w:rPr>
          <w:snapToGrid/>
        </w:rPr>
        <w:t>submission’s claim that ustekinumab’s results at Week 24 are confounded by non-responders crossing over. However, the clinical criteria for early escape was relatively low (&lt;5% improvement) in the ustekinumab trials</w:t>
      </w:r>
      <w:r w:rsidR="000530B8" w:rsidRPr="00901D86">
        <w:rPr>
          <w:snapToGrid/>
        </w:rPr>
        <w:t>,</w:t>
      </w:r>
      <w:r w:rsidRPr="00901D86">
        <w:rPr>
          <w:snapToGrid/>
        </w:rPr>
        <w:t xml:space="preserve"> though it is unknown what proportion of participants who entered early escape may have developed a response by Week 24 or remained as non-responders. In the ustekinumab trials, the “data at or prior to Week 16 were carried forward to Week 20 and Week 24” for participants who qualified for early escape at Week 16 (PSUMMIT-1 CSR p 51; PSUMMIT-2 CSR p49). That is, these participants were in effect treated as non-responders at Week 24 (PSUMMIT-1 table attachment 3.24, p 287; PSUMMIT-2 table attachment 3.24, p299). </w:t>
      </w:r>
      <w:r w:rsidR="000530B8" w:rsidRPr="00901D86">
        <w:rPr>
          <w:snapToGrid/>
        </w:rPr>
        <w:t xml:space="preserve">The </w:t>
      </w:r>
      <w:r w:rsidR="007368AF" w:rsidRPr="00901D86">
        <w:rPr>
          <w:snapToGrid/>
        </w:rPr>
        <w:t xml:space="preserve">evaluation noted the </w:t>
      </w:r>
      <w:r w:rsidR="000530B8" w:rsidRPr="00901D86">
        <w:rPr>
          <w:snapToGrid/>
        </w:rPr>
        <w:t>r</w:t>
      </w:r>
      <w:r w:rsidRPr="00901D86">
        <w:rPr>
          <w:snapToGrid/>
        </w:rPr>
        <w:t xml:space="preserve">esults of ustekinumab assessed at Week 24 </w:t>
      </w:r>
      <w:r w:rsidR="007368AF" w:rsidRPr="00901D86">
        <w:rPr>
          <w:snapToGrid/>
        </w:rPr>
        <w:t xml:space="preserve">should be considered </w:t>
      </w:r>
      <w:r w:rsidRPr="00901D86">
        <w:rPr>
          <w:snapToGrid/>
        </w:rPr>
        <w:t>with the potential risk of bias in mind.</w:t>
      </w:r>
    </w:p>
    <w:p w14:paraId="485CF997" w14:textId="77777777" w:rsidR="00251D64" w:rsidRPr="00901D86" w:rsidRDefault="00251D64" w:rsidP="00FE2B75">
      <w:pPr>
        <w:pStyle w:val="3-BodyText"/>
        <w:numPr>
          <w:ilvl w:val="1"/>
          <w:numId w:val="5"/>
        </w:numPr>
      </w:pPr>
      <w:r w:rsidRPr="00901D86">
        <w:rPr>
          <w:snapToGrid/>
        </w:rPr>
        <w:lastRenderedPageBreak/>
        <w:t xml:space="preserve">The guselkumab DISCOVER 1 and DISCOVER 2 trials had two active treatment arms – 100 mg at Week 0, Week 4, and every 8 weeks thereafter (q8w), and 100 mg at Week 0 and every 4 weeks thereafter (q4w). </w:t>
      </w:r>
      <w:r w:rsidR="00D655DC" w:rsidRPr="00901D86">
        <w:rPr>
          <w:snapToGrid/>
        </w:rPr>
        <w:t>Although t</w:t>
      </w:r>
      <w:r w:rsidRPr="00901D86">
        <w:rPr>
          <w:snapToGrid/>
        </w:rPr>
        <w:t xml:space="preserve">he submission </w:t>
      </w:r>
      <w:r w:rsidR="000530B8" w:rsidRPr="00901D86">
        <w:rPr>
          <w:snapToGrid/>
        </w:rPr>
        <w:t>wa</w:t>
      </w:r>
      <w:r w:rsidRPr="00901D86">
        <w:rPr>
          <w:snapToGrid/>
        </w:rPr>
        <w:t>s requesting the PBS listing of guselkumab q8w dose only</w:t>
      </w:r>
      <w:r w:rsidR="00D655DC" w:rsidRPr="00901D86">
        <w:rPr>
          <w:snapToGrid/>
        </w:rPr>
        <w:t xml:space="preserve">, </w:t>
      </w:r>
      <w:r w:rsidR="000530B8" w:rsidRPr="00901D86">
        <w:rPr>
          <w:snapToGrid/>
        </w:rPr>
        <w:t xml:space="preserve">the </w:t>
      </w:r>
      <w:r w:rsidR="00D655DC" w:rsidRPr="00901D86">
        <w:rPr>
          <w:snapToGrid/>
        </w:rPr>
        <w:t xml:space="preserve">results for the q4w regimen </w:t>
      </w:r>
      <w:r w:rsidR="000530B8" w:rsidRPr="00901D86">
        <w:rPr>
          <w:snapToGrid/>
        </w:rPr>
        <w:t>we</w:t>
      </w:r>
      <w:r w:rsidR="00D655DC" w:rsidRPr="00901D86">
        <w:rPr>
          <w:snapToGrid/>
        </w:rPr>
        <w:t>re provided for completeness</w:t>
      </w:r>
      <w:r w:rsidRPr="00901D86">
        <w:rPr>
          <w:snapToGrid/>
        </w:rPr>
        <w:t>.</w:t>
      </w:r>
    </w:p>
    <w:p w14:paraId="31DFE86D" w14:textId="77777777" w:rsidR="00251D64" w:rsidRPr="00901D86" w:rsidRDefault="000530B8" w:rsidP="00FE2B75">
      <w:pPr>
        <w:pStyle w:val="3-BodyText"/>
        <w:numPr>
          <w:ilvl w:val="1"/>
          <w:numId w:val="5"/>
        </w:numPr>
      </w:pPr>
      <w:r w:rsidRPr="00901D86">
        <w:rPr>
          <w:snapToGrid/>
        </w:rPr>
        <w:t>The r</w:t>
      </w:r>
      <w:r w:rsidR="00251D64" w:rsidRPr="00901D86">
        <w:rPr>
          <w:snapToGrid/>
        </w:rPr>
        <w:t xml:space="preserve">esults for ACR20 and ACR50 </w:t>
      </w:r>
      <w:r w:rsidR="00D655DC" w:rsidRPr="00901D86">
        <w:rPr>
          <w:snapToGrid/>
        </w:rPr>
        <w:t>(</w:t>
      </w:r>
      <w:r w:rsidR="00D655DC" w:rsidRPr="00901D86">
        <w:t>from the individual trials, meta-analyses and indirect comparisons</w:t>
      </w:r>
      <w:r w:rsidR="00D655DC" w:rsidRPr="00901D86">
        <w:rPr>
          <w:snapToGrid/>
        </w:rPr>
        <w:t xml:space="preserve">) </w:t>
      </w:r>
      <w:r w:rsidR="00251D64" w:rsidRPr="00901D86">
        <w:rPr>
          <w:snapToGrid/>
        </w:rPr>
        <w:t xml:space="preserve">are </w:t>
      </w:r>
      <w:r w:rsidRPr="00901D86">
        <w:rPr>
          <w:snapToGrid/>
        </w:rPr>
        <w:t xml:space="preserve">shown </w:t>
      </w:r>
      <w:r w:rsidR="00251D64" w:rsidRPr="00901D86">
        <w:rPr>
          <w:snapToGrid/>
        </w:rPr>
        <w:t xml:space="preserve">in </w:t>
      </w:r>
      <w:r w:rsidR="00205DEE">
        <w:rPr>
          <w:snapToGrid/>
        </w:rPr>
        <w:t xml:space="preserve">Table 4 </w:t>
      </w:r>
      <w:r w:rsidR="00251D64" w:rsidRPr="00901D86">
        <w:rPr>
          <w:snapToGrid/>
        </w:rPr>
        <w:t>and</w:t>
      </w:r>
      <w:r w:rsidR="00205DEE">
        <w:rPr>
          <w:snapToGrid/>
        </w:rPr>
        <w:t xml:space="preserve"> Table 5</w:t>
      </w:r>
      <w:r w:rsidR="00D655DC" w:rsidRPr="00901D86">
        <w:rPr>
          <w:snapToGrid/>
        </w:rPr>
        <w:t>,</w:t>
      </w:r>
      <w:r w:rsidR="00251D64" w:rsidRPr="00901D86">
        <w:rPr>
          <w:snapToGrid/>
        </w:rPr>
        <w:t xml:space="preserve"> respectively.</w:t>
      </w:r>
    </w:p>
    <w:p w14:paraId="75E47DE1" w14:textId="77777777" w:rsidR="00251D64" w:rsidRPr="00901D86" w:rsidRDefault="00251D64" w:rsidP="00D655DC">
      <w:pPr>
        <w:pStyle w:val="Caption"/>
        <w:keepNext/>
        <w:spacing w:after="0"/>
        <w:jc w:val="left"/>
        <w:rPr>
          <w:rStyle w:val="CommentReference"/>
          <w:rFonts w:eastAsiaTheme="majorEastAsia" w:cstheme="majorBidi"/>
          <w:b/>
          <w:color w:val="auto"/>
          <w:szCs w:val="24"/>
        </w:rPr>
      </w:pPr>
      <w:bookmarkStart w:id="17" w:name="_Ref50431441"/>
      <w:r w:rsidRPr="00901D86">
        <w:rPr>
          <w:rStyle w:val="CommentReference"/>
          <w:rFonts w:eastAsiaTheme="majorEastAsia" w:cstheme="majorBidi"/>
          <w:b/>
          <w:color w:val="auto"/>
          <w:szCs w:val="24"/>
        </w:rPr>
        <w:lastRenderedPageBreak/>
        <w:t>Table</w:t>
      </w:r>
      <w:bookmarkEnd w:id="17"/>
      <w:r w:rsidR="00205DEE">
        <w:rPr>
          <w:rStyle w:val="CommentReference"/>
          <w:rFonts w:eastAsiaTheme="majorEastAsia" w:cstheme="majorBidi"/>
          <w:b/>
          <w:color w:val="auto"/>
          <w:szCs w:val="24"/>
        </w:rPr>
        <w:t xml:space="preserve"> 4</w:t>
      </w:r>
      <w:r w:rsidRPr="00901D86">
        <w:rPr>
          <w:rStyle w:val="CommentReference"/>
          <w:rFonts w:eastAsiaTheme="majorEastAsia" w:cstheme="majorBidi"/>
          <w:b/>
          <w:color w:val="auto"/>
          <w:szCs w:val="24"/>
        </w:rPr>
        <w:t>: Results of ACR20 at induction phase (non-inferiority margin of 0.46 for RR)</w:t>
      </w:r>
    </w:p>
    <w:tbl>
      <w:tblPr>
        <w:tblStyle w:val="TableGrid"/>
        <w:tblW w:w="0" w:type="auto"/>
        <w:tblCellMar>
          <w:left w:w="28" w:type="dxa"/>
          <w:right w:w="28" w:type="dxa"/>
        </w:tblCellMar>
        <w:tblLook w:val="04A0" w:firstRow="1" w:lastRow="0" w:firstColumn="1" w:lastColumn="0" w:noHBand="0" w:noVBand="1"/>
        <w:tblCaption w:val="Table 5: Results of ACR20 at induction phase (non-inferiority margin of 0.46 for RR)"/>
        <w:tblDescription w:val="Table 5: Results of ACR20 at induction phase (non-inferiority margin of 0.46 for RR)"/>
      </w:tblPr>
      <w:tblGrid>
        <w:gridCol w:w="1413"/>
        <w:gridCol w:w="1346"/>
        <w:gridCol w:w="1347"/>
        <w:gridCol w:w="1637"/>
        <w:gridCol w:w="1637"/>
        <w:gridCol w:w="1637"/>
      </w:tblGrid>
      <w:tr w:rsidR="00251D64" w:rsidRPr="00901D86" w14:paraId="54140ADF" w14:textId="77777777" w:rsidTr="00D655DC">
        <w:trPr>
          <w:tblHeader/>
        </w:trPr>
        <w:tc>
          <w:tcPr>
            <w:tcW w:w="1413" w:type="dxa"/>
          </w:tcPr>
          <w:p w14:paraId="59BE0A3C" w14:textId="77777777" w:rsidR="00251D64" w:rsidRPr="00901D86" w:rsidRDefault="00251D64" w:rsidP="00D655DC">
            <w:pPr>
              <w:keepNext/>
              <w:rPr>
                <w:rFonts w:ascii="Arial Narrow" w:hAnsi="Arial Narrow"/>
                <w:b/>
                <w:sz w:val="20"/>
                <w:szCs w:val="20"/>
              </w:rPr>
            </w:pPr>
            <w:r w:rsidRPr="00901D86">
              <w:rPr>
                <w:rFonts w:ascii="Arial Narrow" w:hAnsi="Arial Narrow"/>
                <w:b/>
                <w:sz w:val="20"/>
                <w:szCs w:val="20"/>
              </w:rPr>
              <w:t xml:space="preserve">Trial </w:t>
            </w:r>
          </w:p>
        </w:tc>
        <w:tc>
          <w:tcPr>
            <w:tcW w:w="1346" w:type="dxa"/>
            <w:vAlign w:val="center"/>
          </w:tcPr>
          <w:p w14:paraId="6A9B9668"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bDMARD</w:t>
            </w:r>
          </w:p>
        </w:tc>
        <w:tc>
          <w:tcPr>
            <w:tcW w:w="1347" w:type="dxa"/>
            <w:vAlign w:val="center"/>
          </w:tcPr>
          <w:p w14:paraId="6DE6023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Placebo</w:t>
            </w:r>
          </w:p>
        </w:tc>
        <w:tc>
          <w:tcPr>
            <w:tcW w:w="1637" w:type="dxa"/>
            <w:vAlign w:val="center"/>
          </w:tcPr>
          <w:p w14:paraId="2BF03ADF"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RD (95% CI)</w:t>
            </w:r>
          </w:p>
        </w:tc>
        <w:tc>
          <w:tcPr>
            <w:tcW w:w="1637" w:type="dxa"/>
            <w:vAlign w:val="center"/>
          </w:tcPr>
          <w:p w14:paraId="3A0F41B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RR (95%CI)</w:t>
            </w:r>
          </w:p>
        </w:tc>
        <w:tc>
          <w:tcPr>
            <w:tcW w:w="1637" w:type="dxa"/>
            <w:vAlign w:val="center"/>
          </w:tcPr>
          <w:p w14:paraId="76591F56"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OR (95%CI)</w:t>
            </w:r>
          </w:p>
        </w:tc>
      </w:tr>
      <w:tr w:rsidR="00251D64" w:rsidRPr="00901D86" w14:paraId="1DE18E7E" w14:textId="77777777" w:rsidTr="00D655DC">
        <w:tc>
          <w:tcPr>
            <w:tcW w:w="9017" w:type="dxa"/>
            <w:gridSpan w:val="6"/>
          </w:tcPr>
          <w:p w14:paraId="1FF1E4C1" w14:textId="77777777" w:rsidR="00251D64" w:rsidRPr="00901D86" w:rsidRDefault="00251D64" w:rsidP="00D655DC">
            <w:pPr>
              <w:keepNext/>
              <w:rPr>
                <w:rFonts w:ascii="Arial Narrow" w:hAnsi="Arial Narrow"/>
                <w:b/>
                <w:sz w:val="20"/>
                <w:szCs w:val="20"/>
              </w:rPr>
            </w:pPr>
            <w:r w:rsidRPr="00901D86">
              <w:rPr>
                <w:rFonts w:ascii="Arial Narrow" w:hAnsi="Arial Narrow"/>
                <w:b/>
                <w:sz w:val="20"/>
                <w:szCs w:val="20"/>
              </w:rPr>
              <w:t>Guselkumab 100mg q8w vs placebo (Week 16)</w:t>
            </w:r>
          </w:p>
        </w:tc>
      </w:tr>
      <w:tr w:rsidR="00251D64" w:rsidRPr="00901D86" w14:paraId="1D98A10F" w14:textId="77777777" w:rsidTr="00D655DC">
        <w:tc>
          <w:tcPr>
            <w:tcW w:w="1413" w:type="dxa"/>
          </w:tcPr>
          <w:p w14:paraId="71242B19"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DISCOVER 1</w:t>
            </w:r>
          </w:p>
        </w:tc>
        <w:tc>
          <w:tcPr>
            <w:tcW w:w="1346" w:type="dxa"/>
            <w:vAlign w:val="center"/>
          </w:tcPr>
          <w:p w14:paraId="1396482F"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66/127 (52)</w:t>
            </w:r>
          </w:p>
        </w:tc>
        <w:tc>
          <w:tcPr>
            <w:tcW w:w="1347" w:type="dxa"/>
            <w:vAlign w:val="center"/>
          </w:tcPr>
          <w:p w14:paraId="075BEE59"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32/126 (25)</w:t>
            </w:r>
          </w:p>
        </w:tc>
        <w:tc>
          <w:tcPr>
            <w:tcW w:w="1637" w:type="dxa"/>
            <w:vAlign w:val="center"/>
          </w:tcPr>
          <w:p w14:paraId="6CD37371"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0.27 (0.15, 0.38)</w:t>
            </w:r>
          </w:p>
        </w:tc>
        <w:tc>
          <w:tcPr>
            <w:tcW w:w="1637" w:type="dxa"/>
            <w:vAlign w:val="center"/>
          </w:tcPr>
          <w:p w14:paraId="0700AF3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2.05 (1.45, 2.</w:t>
            </w:r>
            <w:r w:rsidRPr="00901D86">
              <w:rPr>
                <w:rFonts w:ascii="Arial Narrow" w:hAnsi="Arial Narrow"/>
                <w:b/>
                <w:iCs/>
                <w:sz w:val="20"/>
                <w:szCs w:val="20"/>
              </w:rPr>
              <w:t>90</w:t>
            </w:r>
            <w:r w:rsidRPr="00901D86">
              <w:rPr>
                <w:rFonts w:ascii="Arial Narrow" w:hAnsi="Arial Narrow"/>
                <w:b/>
                <w:sz w:val="20"/>
                <w:szCs w:val="20"/>
              </w:rPr>
              <w:t>)</w:t>
            </w:r>
          </w:p>
        </w:tc>
        <w:tc>
          <w:tcPr>
            <w:tcW w:w="1637" w:type="dxa"/>
            <w:vAlign w:val="center"/>
          </w:tcPr>
          <w:p w14:paraId="404E7984"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3.18 (1.87, 5.41)</w:t>
            </w:r>
          </w:p>
        </w:tc>
      </w:tr>
      <w:tr w:rsidR="00251D64" w:rsidRPr="00901D86" w14:paraId="71E0C706" w14:textId="77777777" w:rsidTr="00D655DC">
        <w:tc>
          <w:tcPr>
            <w:tcW w:w="1413" w:type="dxa"/>
          </w:tcPr>
          <w:p w14:paraId="036789B4"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DISCOVER 2</w:t>
            </w:r>
          </w:p>
        </w:tc>
        <w:tc>
          <w:tcPr>
            <w:tcW w:w="1346" w:type="dxa"/>
            <w:vAlign w:val="center"/>
          </w:tcPr>
          <w:p w14:paraId="361A7C4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137/248 (55)</w:t>
            </w:r>
          </w:p>
        </w:tc>
        <w:tc>
          <w:tcPr>
            <w:tcW w:w="1347" w:type="dxa"/>
            <w:vAlign w:val="center"/>
          </w:tcPr>
          <w:p w14:paraId="311EB15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83/246 (34)</w:t>
            </w:r>
          </w:p>
        </w:tc>
        <w:tc>
          <w:tcPr>
            <w:tcW w:w="1637" w:type="dxa"/>
            <w:vAlign w:val="center"/>
          </w:tcPr>
          <w:p w14:paraId="018658F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0.22 (0.13, 0.30)</w:t>
            </w:r>
          </w:p>
        </w:tc>
        <w:tc>
          <w:tcPr>
            <w:tcW w:w="1637" w:type="dxa"/>
            <w:vAlign w:val="center"/>
          </w:tcPr>
          <w:p w14:paraId="1A107120"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1.64 (1.33, 2.02)</w:t>
            </w:r>
          </w:p>
        </w:tc>
        <w:tc>
          <w:tcPr>
            <w:tcW w:w="1637" w:type="dxa"/>
            <w:vAlign w:val="center"/>
          </w:tcPr>
          <w:p w14:paraId="03D0873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2.42 (1.68, 3.49)</w:t>
            </w:r>
          </w:p>
        </w:tc>
      </w:tr>
      <w:tr w:rsidR="00251D64" w:rsidRPr="00901D86" w14:paraId="5BF5C911" w14:textId="77777777" w:rsidTr="00D655DC">
        <w:tc>
          <w:tcPr>
            <w:tcW w:w="1413" w:type="dxa"/>
            <w:shd w:val="clear" w:color="auto" w:fill="F2F2F2" w:themeFill="background1" w:themeFillShade="F2"/>
          </w:tcPr>
          <w:p w14:paraId="5740188B"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vAlign w:val="center"/>
          </w:tcPr>
          <w:p w14:paraId="50FA692F"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203/375 (54)</w:t>
            </w:r>
          </w:p>
        </w:tc>
        <w:tc>
          <w:tcPr>
            <w:tcW w:w="1347" w:type="dxa"/>
            <w:shd w:val="clear" w:color="auto" w:fill="F2F2F2" w:themeFill="background1" w:themeFillShade="F2"/>
            <w:vAlign w:val="center"/>
          </w:tcPr>
          <w:p w14:paraId="31A1FE00"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115/372 (31)</w:t>
            </w:r>
          </w:p>
        </w:tc>
        <w:tc>
          <w:tcPr>
            <w:tcW w:w="1637" w:type="dxa"/>
            <w:shd w:val="clear" w:color="auto" w:fill="F2F2F2" w:themeFill="background1" w:themeFillShade="F2"/>
            <w:vAlign w:val="center"/>
          </w:tcPr>
          <w:p w14:paraId="2E9A1C3E"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0.23 (0.16, 0.30)</w:t>
            </w:r>
          </w:p>
        </w:tc>
        <w:tc>
          <w:tcPr>
            <w:tcW w:w="1637" w:type="dxa"/>
            <w:shd w:val="clear" w:color="auto" w:fill="F2F2F2" w:themeFill="background1" w:themeFillShade="F2"/>
            <w:vAlign w:val="center"/>
          </w:tcPr>
          <w:p w14:paraId="693A52F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1.75 (1.43, 2.15)</w:t>
            </w:r>
          </w:p>
        </w:tc>
        <w:tc>
          <w:tcPr>
            <w:tcW w:w="1637" w:type="dxa"/>
            <w:shd w:val="clear" w:color="auto" w:fill="F2F2F2" w:themeFill="background1" w:themeFillShade="F2"/>
            <w:vAlign w:val="center"/>
          </w:tcPr>
          <w:p w14:paraId="7D8E6CED"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2.64 (1.96, 3.57)</w:t>
            </w:r>
          </w:p>
        </w:tc>
      </w:tr>
      <w:tr w:rsidR="00251D64" w:rsidRPr="00901D86" w14:paraId="5962C78A" w14:textId="77777777" w:rsidTr="00D655DC">
        <w:tc>
          <w:tcPr>
            <w:tcW w:w="9017" w:type="dxa"/>
            <w:gridSpan w:val="6"/>
          </w:tcPr>
          <w:p w14:paraId="7F2F6C83" w14:textId="77777777" w:rsidR="00251D64" w:rsidRPr="00901D86" w:rsidRDefault="00251D64" w:rsidP="00D655DC">
            <w:pPr>
              <w:keepNext/>
              <w:rPr>
                <w:rFonts w:ascii="Arial Narrow" w:hAnsi="Arial Narrow"/>
                <w:b/>
                <w:sz w:val="20"/>
                <w:szCs w:val="20"/>
              </w:rPr>
            </w:pPr>
            <w:r w:rsidRPr="00901D86">
              <w:rPr>
                <w:rFonts w:ascii="Arial Narrow" w:hAnsi="Arial Narrow"/>
                <w:b/>
                <w:sz w:val="20"/>
                <w:szCs w:val="20"/>
              </w:rPr>
              <w:t>Guselkumab 100mg q4w vs placebo (Week 16)</w:t>
            </w:r>
          </w:p>
        </w:tc>
      </w:tr>
      <w:tr w:rsidR="00251D64" w:rsidRPr="00901D86" w14:paraId="7AF7E634" w14:textId="77777777" w:rsidTr="00D655DC">
        <w:tc>
          <w:tcPr>
            <w:tcW w:w="1413" w:type="dxa"/>
          </w:tcPr>
          <w:p w14:paraId="3D8DCCFA"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DISCOVER 1</w:t>
            </w:r>
          </w:p>
        </w:tc>
        <w:tc>
          <w:tcPr>
            <w:tcW w:w="1346" w:type="dxa"/>
            <w:vAlign w:val="center"/>
          </w:tcPr>
          <w:p w14:paraId="03FD767B"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77/128 (60)</w:t>
            </w:r>
          </w:p>
        </w:tc>
        <w:tc>
          <w:tcPr>
            <w:tcW w:w="1347" w:type="dxa"/>
            <w:vAlign w:val="center"/>
          </w:tcPr>
          <w:p w14:paraId="2DB6F020"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32/126 (25)</w:t>
            </w:r>
          </w:p>
        </w:tc>
        <w:tc>
          <w:tcPr>
            <w:tcW w:w="1637" w:type="dxa"/>
            <w:vAlign w:val="center"/>
          </w:tcPr>
          <w:p w14:paraId="5E26D23E"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0.35 (0.23, 0.46)</w:t>
            </w:r>
          </w:p>
        </w:tc>
        <w:tc>
          <w:tcPr>
            <w:tcW w:w="1637" w:type="dxa"/>
            <w:vAlign w:val="center"/>
          </w:tcPr>
          <w:p w14:paraId="125C6D7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2.35 (1.69, 3.27)</w:t>
            </w:r>
          </w:p>
        </w:tc>
        <w:tc>
          <w:tcPr>
            <w:tcW w:w="1637" w:type="dxa"/>
            <w:vAlign w:val="center"/>
          </w:tcPr>
          <w:p w14:paraId="7EE03901"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4.39 (2.57, 7.49)</w:t>
            </w:r>
          </w:p>
        </w:tc>
      </w:tr>
      <w:tr w:rsidR="00251D64" w:rsidRPr="00901D86" w14:paraId="54B3DD84" w14:textId="77777777" w:rsidTr="00D655DC">
        <w:tc>
          <w:tcPr>
            <w:tcW w:w="1413" w:type="dxa"/>
          </w:tcPr>
          <w:p w14:paraId="13474910"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DISCOVER 2</w:t>
            </w:r>
          </w:p>
        </w:tc>
        <w:tc>
          <w:tcPr>
            <w:tcW w:w="1346" w:type="dxa"/>
            <w:vAlign w:val="center"/>
          </w:tcPr>
          <w:p w14:paraId="30CA9B24"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137/245 (56)</w:t>
            </w:r>
          </w:p>
        </w:tc>
        <w:tc>
          <w:tcPr>
            <w:tcW w:w="1347" w:type="dxa"/>
            <w:vAlign w:val="center"/>
          </w:tcPr>
          <w:p w14:paraId="67AE93FC"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83/246 (34)</w:t>
            </w:r>
          </w:p>
        </w:tc>
        <w:tc>
          <w:tcPr>
            <w:tcW w:w="1637" w:type="dxa"/>
            <w:vAlign w:val="center"/>
          </w:tcPr>
          <w:p w14:paraId="2F701792"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0.22 (0.14, 0.31)</w:t>
            </w:r>
          </w:p>
        </w:tc>
        <w:tc>
          <w:tcPr>
            <w:tcW w:w="1637" w:type="dxa"/>
            <w:vAlign w:val="center"/>
          </w:tcPr>
          <w:p w14:paraId="7A44FA8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1.66 (1.35, 2.04)</w:t>
            </w:r>
          </w:p>
        </w:tc>
        <w:tc>
          <w:tcPr>
            <w:tcW w:w="1637" w:type="dxa"/>
            <w:vAlign w:val="center"/>
          </w:tcPr>
          <w:p w14:paraId="434BF99D"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2.49 (1.73, 3.59)</w:t>
            </w:r>
          </w:p>
        </w:tc>
      </w:tr>
      <w:tr w:rsidR="00251D64" w:rsidRPr="00901D86" w14:paraId="0A8E1F2A" w14:textId="77777777" w:rsidTr="00D655DC">
        <w:tc>
          <w:tcPr>
            <w:tcW w:w="1413" w:type="dxa"/>
            <w:shd w:val="clear" w:color="auto" w:fill="F2F2F2" w:themeFill="background1" w:themeFillShade="F2"/>
          </w:tcPr>
          <w:p w14:paraId="1345F6DC" w14:textId="77777777" w:rsidR="00251D64" w:rsidRPr="00901D86" w:rsidRDefault="00251D64" w:rsidP="00D655DC">
            <w:pPr>
              <w:keepNext/>
              <w:rPr>
                <w:rFonts w:ascii="Arial Narrow" w:hAnsi="Arial Narrow"/>
                <w:iCs/>
                <w:sz w:val="20"/>
                <w:szCs w:val="20"/>
              </w:rPr>
            </w:pPr>
            <w:r w:rsidRPr="00901D86">
              <w:rPr>
                <w:rFonts w:ascii="Arial Narrow" w:hAnsi="Arial Narrow"/>
                <w:iCs/>
                <w:sz w:val="20"/>
                <w:szCs w:val="20"/>
              </w:rPr>
              <w:t>Meta-analysis</w:t>
            </w:r>
          </w:p>
        </w:tc>
        <w:tc>
          <w:tcPr>
            <w:tcW w:w="1346" w:type="dxa"/>
            <w:shd w:val="clear" w:color="auto" w:fill="F2F2F2" w:themeFill="background1" w:themeFillShade="F2"/>
            <w:vAlign w:val="center"/>
          </w:tcPr>
          <w:p w14:paraId="7E1C0A98"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214/373 (57)</w:t>
            </w:r>
          </w:p>
        </w:tc>
        <w:tc>
          <w:tcPr>
            <w:tcW w:w="1347" w:type="dxa"/>
            <w:shd w:val="clear" w:color="auto" w:fill="F2F2F2" w:themeFill="background1" w:themeFillShade="F2"/>
            <w:vAlign w:val="center"/>
          </w:tcPr>
          <w:p w14:paraId="14CF5DA9"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115/372 (31)</w:t>
            </w:r>
          </w:p>
        </w:tc>
        <w:tc>
          <w:tcPr>
            <w:tcW w:w="1637" w:type="dxa"/>
            <w:shd w:val="clear" w:color="auto" w:fill="F2F2F2" w:themeFill="background1" w:themeFillShade="F2"/>
            <w:vAlign w:val="center"/>
          </w:tcPr>
          <w:p w14:paraId="7248DA5C"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0.28 (0.16, 0.40)</w:t>
            </w:r>
          </w:p>
        </w:tc>
        <w:tc>
          <w:tcPr>
            <w:tcW w:w="1637" w:type="dxa"/>
            <w:shd w:val="clear" w:color="auto" w:fill="F2F2F2" w:themeFill="background1" w:themeFillShade="F2"/>
            <w:vAlign w:val="center"/>
          </w:tcPr>
          <w:p w14:paraId="6FEDDD93"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iCs/>
                <w:sz w:val="20"/>
                <w:szCs w:val="20"/>
              </w:rPr>
              <w:t>1.93 (1.37, 2.74)</w:t>
            </w:r>
          </w:p>
        </w:tc>
        <w:tc>
          <w:tcPr>
            <w:tcW w:w="1637" w:type="dxa"/>
            <w:shd w:val="clear" w:color="auto" w:fill="F2F2F2" w:themeFill="background1" w:themeFillShade="F2"/>
            <w:vAlign w:val="center"/>
          </w:tcPr>
          <w:p w14:paraId="135A4ECF"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3.21 (1.83, 5.63)</w:t>
            </w:r>
          </w:p>
        </w:tc>
      </w:tr>
      <w:tr w:rsidR="00251D64" w:rsidRPr="00901D86" w14:paraId="18C9CBA8" w14:textId="77777777" w:rsidTr="00D655DC">
        <w:tc>
          <w:tcPr>
            <w:tcW w:w="9017" w:type="dxa"/>
            <w:gridSpan w:val="6"/>
          </w:tcPr>
          <w:p w14:paraId="094E3812" w14:textId="77777777" w:rsidR="00251D64" w:rsidRPr="00901D86" w:rsidRDefault="00251D64" w:rsidP="00D655DC">
            <w:pPr>
              <w:keepNext/>
              <w:rPr>
                <w:rFonts w:ascii="Arial Narrow" w:hAnsi="Arial Narrow"/>
                <w:b/>
                <w:sz w:val="20"/>
                <w:szCs w:val="20"/>
              </w:rPr>
            </w:pPr>
            <w:r w:rsidRPr="00901D86">
              <w:rPr>
                <w:rFonts w:ascii="Arial Narrow" w:hAnsi="Arial Narrow"/>
                <w:b/>
                <w:sz w:val="20"/>
                <w:szCs w:val="20"/>
              </w:rPr>
              <w:t>Ustekinumab 45mg vs placebo (Week 16)</w:t>
            </w:r>
          </w:p>
        </w:tc>
      </w:tr>
      <w:tr w:rsidR="00251D64" w:rsidRPr="00901D86" w14:paraId="2DDD9025" w14:textId="77777777" w:rsidTr="00D655DC">
        <w:tc>
          <w:tcPr>
            <w:tcW w:w="1413" w:type="dxa"/>
          </w:tcPr>
          <w:p w14:paraId="10969997"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PSUMMIT-1</w:t>
            </w:r>
          </w:p>
        </w:tc>
        <w:tc>
          <w:tcPr>
            <w:tcW w:w="1346" w:type="dxa"/>
            <w:vAlign w:val="center"/>
          </w:tcPr>
          <w:p w14:paraId="7C8EFA1D"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70/205 (34)</w:t>
            </w:r>
          </w:p>
        </w:tc>
        <w:tc>
          <w:tcPr>
            <w:tcW w:w="1347" w:type="dxa"/>
            <w:vAlign w:val="center"/>
          </w:tcPr>
          <w:p w14:paraId="141E1696"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44/206 (21)</w:t>
            </w:r>
          </w:p>
        </w:tc>
        <w:tc>
          <w:tcPr>
            <w:tcW w:w="1637" w:type="dxa"/>
            <w:vAlign w:val="center"/>
          </w:tcPr>
          <w:p w14:paraId="61552945"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0.13 (0.04, 0.21)</w:t>
            </w:r>
          </w:p>
        </w:tc>
        <w:tc>
          <w:tcPr>
            <w:tcW w:w="1637" w:type="dxa"/>
            <w:vAlign w:val="center"/>
          </w:tcPr>
          <w:p w14:paraId="1B1D1F6D"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1.60 (1.16, 2.21)</w:t>
            </w:r>
          </w:p>
        </w:tc>
        <w:tc>
          <w:tcPr>
            <w:tcW w:w="1637" w:type="dxa"/>
            <w:vAlign w:val="center"/>
          </w:tcPr>
          <w:p w14:paraId="474B468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1.91 (1.23, 2.97)</w:t>
            </w:r>
          </w:p>
        </w:tc>
      </w:tr>
      <w:tr w:rsidR="00251D64" w:rsidRPr="00901D86" w14:paraId="01563757" w14:textId="77777777" w:rsidTr="00D655DC">
        <w:tc>
          <w:tcPr>
            <w:tcW w:w="1413" w:type="dxa"/>
          </w:tcPr>
          <w:p w14:paraId="27EFB2E2"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PSUMMIT-2</w:t>
            </w:r>
          </w:p>
        </w:tc>
        <w:tc>
          <w:tcPr>
            <w:tcW w:w="1346" w:type="dxa"/>
            <w:vAlign w:val="center"/>
          </w:tcPr>
          <w:p w14:paraId="31AE60F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31/103 (30)</w:t>
            </w:r>
          </w:p>
        </w:tc>
        <w:tc>
          <w:tcPr>
            <w:tcW w:w="1347" w:type="dxa"/>
            <w:vAlign w:val="center"/>
          </w:tcPr>
          <w:p w14:paraId="09CACDE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13/104 (13)</w:t>
            </w:r>
          </w:p>
        </w:tc>
        <w:tc>
          <w:tcPr>
            <w:tcW w:w="1637" w:type="dxa"/>
            <w:vAlign w:val="center"/>
          </w:tcPr>
          <w:p w14:paraId="4449FF85"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0.18 (0.07, 0.28)</w:t>
            </w:r>
          </w:p>
        </w:tc>
        <w:tc>
          <w:tcPr>
            <w:tcW w:w="1637" w:type="dxa"/>
            <w:vAlign w:val="center"/>
          </w:tcPr>
          <w:p w14:paraId="65DC5AAB"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2.41 (1.34, 4.33)</w:t>
            </w:r>
          </w:p>
        </w:tc>
        <w:tc>
          <w:tcPr>
            <w:tcW w:w="1637" w:type="dxa"/>
            <w:vAlign w:val="center"/>
          </w:tcPr>
          <w:p w14:paraId="518F4BA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3.01 (1.47, 6.18)</w:t>
            </w:r>
          </w:p>
        </w:tc>
      </w:tr>
      <w:tr w:rsidR="00251D64" w:rsidRPr="00901D86" w14:paraId="53A57604" w14:textId="77777777" w:rsidTr="00D655DC">
        <w:tc>
          <w:tcPr>
            <w:tcW w:w="1413" w:type="dxa"/>
            <w:shd w:val="clear" w:color="auto" w:fill="F2F2F2" w:themeFill="background1" w:themeFillShade="F2"/>
          </w:tcPr>
          <w:p w14:paraId="6395A6C5"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vAlign w:val="center"/>
          </w:tcPr>
          <w:p w14:paraId="7F2BCD2C"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101/308 (33)</w:t>
            </w:r>
          </w:p>
        </w:tc>
        <w:tc>
          <w:tcPr>
            <w:tcW w:w="1347" w:type="dxa"/>
            <w:shd w:val="clear" w:color="auto" w:fill="F2F2F2" w:themeFill="background1" w:themeFillShade="F2"/>
            <w:vAlign w:val="center"/>
          </w:tcPr>
          <w:p w14:paraId="4E6B1515"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57/310 (18)</w:t>
            </w:r>
          </w:p>
        </w:tc>
        <w:tc>
          <w:tcPr>
            <w:tcW w:w="1637" w:type="dxa"/>
            <w:shd w:val="clear" w:color="auto" w:fill="F2F2F2" w:themeFill="background1" w:themeFillShade="F2"/>
            <w:vAlign w:val="center"/>
          </w:tcPr>
          <w:p w14:paraId="7D14A975"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0.15 (0.08, 0.21)</w:t>
            </w:r>
          </w:p>
        </w:tc>
        <w:tc>
          <w:tcPr>
            <w:tcW w:w="1637" w:type="dxa"/>
            <w:shd w:val="clear" w:color="auto" w:fill="F2F2F2" w:themeFill="background1" w:themeFillShade="F2"/>
            <w:vAlign w:val="center"/>
          </w:tcPr>
          <w:p w14:paraId="1CB5DDC0"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1.82 (1.25, 2.64)</w:t>
            </w:r>
          </w:p>
        </w:tc>
        <w:tc>
          <w:tcPr>
            <w:tcW w:w="1637" w:type="dxa"/>
            <w:shd w:val="clear" w:color="auto" w:fill="F2F2F2" w:themeFill="background1" w:themeFillShade="F2"/>
            <w:vAlign w:val="center"/>
          </w:tcPr>
          <w:p w14:paraId="0808C620"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2.19 (1.45, 3.30)</w:t>
            </w:r>
          </w:p>
        </w:tc>
      </w:tr>
      <w:tr w:rsidR="00251D64" w:rsidRPr="00901D86" w14:paraId="32D627F1" w14:textId="77777777" w:rsidTr="00D655DC">
        <w:tc>
          <w:tcPr>
            <w:tcW w:w="4106" w:type="dxa"/>
            <w:gridSpan w:val="3"/>
            <w:shd w:val="clear" w:color="auto" w:fill="BFBFBF" w:themeFill="background1" w:themeFillShade="BF"/>
            <w:vAlign w:val="center"/>
          </w:tcPr>
          <w:p w14:paraId="0DAD60BB" w14:textId="26D7FDE3"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Indirect analysis (GUS q8w vs UST [16] meta-analyses)</w:t>
            </w:r>
            <w:r w:rsidR="00BD583F">
              <w:rPr>
                <w:rFonts w:ascii="Arial Narrow" w:hAnsi="Arial Narrow"/>
                <w:sz w:val="20"/>
                <w:szCs w:val="20"/>
              </w:rPr>
              <w:t>*</w:t>
            </w:r>
          </w:p>
        </w:tc>
        <w:tc>
          <w:tcPr>
            <w:tcW w:w="1637" w:type="dxa"/>
            <w:shd w:val="clear" w:color="auto" w:fill="BFBFBF" w:themeFill="background1" w:themeFillShade="BF"/>
            <w:vAlign w:val="center"/>
          </w:tcPr>
          <w:p w14:paraId="4F64A147"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0.09 (-0.01, 0.18)</w:t>
            </w:r>
          </w:p>
        </w:tc>
        <w:tc>
          <w:tcPr>
            <w:tcW w:w="1637" w:type="dxa"/>
            <w:shd w:val="clear" w:color="auto" w:fill="BFBFBF" w:themeFill="background1" w:themeFillShade="BF"/>
            <w:vAlign w:val="center"/>
          </w:tcPr>
          <w:p w14:paraId="628BF53C"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0.96 (0.63, 1.47)</w:t>
            </w:r>
          </w:p>
        </w:tc>
        <w:tc>
          <w:tcPr>
            <w:tcW w:w="1637" w:type="dxa"/>
            <w:shd w:val="clear" w:color="auto" w:fill="BFBFBF" w:themeFill="background1" w:themeFillShade="BF"/>
            <w:vAlign w:val="center"/>
          </w:tcPr>
          <w:p w14:paraId="2E4BF3D6"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1.21 (0.73, 2.01)</w:t>
            </w:r>
          </w:p>
        </w:tc>
      </w:tr>
      <w:tr w:rsidR="00251D64" w:rsidRPr="00901D86" w14:paraId="485B183B" w14:textId="77777777" w:rsidTr="00D655DC">
        <w:tc>
          <w:tcPr>
            <w:tcW w:w="4106" w:type="dxa"/>
            <w:gridSpan w:val="3"/>
            <w:shd w:val="clear" w:color="auto" w:fill="BFBFBF" w:themeFill="background1" w:themeFillShade="BF"/>
            <w:vAlign w:val="center"/>
          </w:tcPr>
          <w:p w14:paraId="5CC7222A" w14:textId="7A0C46C7" w:rsidR="00251D64" w:rsidRPr="00901D86" w:rsidRDefault="00251D64" w:rsidP="00D655DC">
            <w:pPr>
              <w:keepNext/>
              <w:jc w:val="left"/>
              <w:rPr>
                <w:rFonts w:ascii="Arial Narrow" w:hAnsi="Arial Narrow"/>
                <w:iCs/>
                <w:sz w:val="20"/>
                <w:szCs w:val="20"/>
              </w:rPr>
            </w:pPr>
            <w:r w:rsidRPr="00901D86">
              <w:rPr>
                <w:rFonts w:ascii="Arial Narrow" w:hAnsi="Arial Narrow"/>
                <w:iCs/>
                <w:sz w:val="20"/>
                <w:szCs w:val="20"/>
              </w:rPr>
              <w:t>Indirect analysis (GUS q4w vs UST [16] meta-analyses)</w:t>
            </w:r>
            <w:r w:rsidR="00BD583F">
              <w:rPr>
                <w:rFonts w:ascii="Arial Narrow" w:hAnsi="Arial Narrow"/>
                <w:iCs/>
                <w:sz w:val="20"/>
                <w:szCs w:val="20"/>
              </w:rPr>
              <w:t>*</w:t>
            </w:r>
          </w:p>
        </w:tc>
        <w:tc>
          <w:tcPr>
            <w:tcW w:w="1637" w:type="dxa"/>
            <w:shd w:val="clear" w:color="auto" w:fill="BFBFBF" w:themeFill="background1" w:themeFillShade="BF"/>
            <w:vAlign w:val="center"/>
          </w:tcPr>
          <w:p w14:paraId="5E768863"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0.13 (-0.01, 0.27)</w:t>
            </w:r>
          </w:p>
        </w:tc>
        <w:tc>
          <w:tcPr>
            <w:tcW w:w="1637" w:type="dxa"/>
            <w:shd w:val="clear" w:color="auto" w:fill="BFBFBF" w:themeFill="background1" w:themeFillShade="BF"/>
            <w:vAlign w:val="center"/>
          </w:tcPr>
          <w:p w14:paraId="045B23B9"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1.06 (0.64, 1.77)</w:t>
            </w:r>
          </w:p>
        </w:tc>
        <w:tc>
          <w:tcPr>
            <w:tcW w:w="1637" w:type="dxa"/>
            <w:shd w:val="clear" w:color="auto" w:fill="BFBFBF" w:themeFill="background1" w:themeFillShade="BF"/>
            <w:vAlign w:val="center"/>
          </w:tcPr>
          <w:p w14:paraId="377616F2"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1.47 (0.73, 2.91)</w:t>
            </w:r>
          </w:p>
        </w:tc>
      </w:tr>
      <w:tr w:rsidR="00251D64" w:rsidRPr="00901D86" w14:paraId="23EC638D" w14:textId="77777777" w:rsidTr="00D655DC">
        <w:tc>
          <w:tcPr>
            <w:tcW w:w="9017" w:type="dxa"/>
            <w:gridSpan w:val="6"/>
          </w:tcPr>
          <w:p w14:paraId="69BD72DC" w14:textId="77777777" w:rsidR="00251D64" w:rsidRPr="00901D86" w:rsidRDefault="00251D64" w:rsidP="00D655DC">
            <w:pPr>
              <w:keepNext/>
              <w:rPr>
                <w:rFonts w:ascii="Arial Narrow" w:hAnsi="Arial Narrow"/>
                <w:b/>
                <w:sz w:val="20"/>
                <w:szCs w:val="20"/>
              </w:rPr>
            </w:pPr>
            <w:r w:rsidRPr="00901D86">
              <w:rPr>
                <w:rFonts w:ascii="Arial Narrow" w:hAnsi="Arial Narrow"/>
                <w:b/>
                <w:sz w:val="20"/>
                <w:szCs w:val="20"/>
              </w:rPr>
              <w:t>Ustekinumab 45mg vs placebo (Week 24)</w:t>
            </w:r>
          </w:p>
        </w:tc>
      </w:tr>
      <w:tr w:rsidR="00251D64" w:rsidRPr="00901D86" w14:paraId="00C5EF93" w14:textId="77777777" w:rsidTr="00D655DC">
        <w:tc>
          <w:tcPr>
            <w:tcW w:w="1413" w:type="dxa"/>
          </w:tcPr>
          <w:p w14:paraId="3EB3D4D7"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PSUMMIT-1</w:t>
            </w:r>
          </w:p>
        </w:tc>
        <w:tc>
          <w:tcPr>
            <w:tcW w:w="1346" w:type="dxa"/>
            <w:vAlign w:val="center"/>
          </w:tcPr>
          <w:p w14:paraId="13F913ED"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87/205 (42)</w:t>
            </w:r>
          </w:p>
        </w:tc>
        <w:tc>
          <w:tcPr>
            <w:tcW w:w="1347" w:type="dxa"/>
            <w:vAlign w:val="center"/>
          </w:tcPr>
          <w:p w14:paraId="557E1A14"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47/206 (23)</w:t>
            </w:r>
          </w:p>
        </w:tc>
        <w:tc>
          <w:tcPr>
            <w:tcW w:w="1637" w:type="dxa"/>
            <w:vAlign w:val="center"/>
          </w:tcPr>
          <w:p w14:paraId="61BB46D5"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0.20 (0.11,0.28)</w:t>
            </w:r>
          </w:p>
        </w:tc>
        <w:tc>
          <w:tcPr>
            <w:tcW w:w="1637" w:type="dxa"/>
            <w:vAlign w:val="center"/>
          </w:tcPr>
          <w:p w14:paraId="689943D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1.86 (1.39, 2.51)</w:t>
            </w:r>
          </w:p>
        </w:tc>
        <w:tc>
          <w:tcPr>
            <w:tcW w:w="1637" w:type="dxa"/>
            <w:vAlign w:val="center"/>
          </w:tcPr>
          <w:p w14:paraId="5ACCE04E"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2.49 (1.59, 3.92)</w:t>
            </w:r>
          </w:p>
        </w:tc>
      </w:tr>
      <w:tr w:rsidR="00251D64" w:rsidRPr="00901D86" w14:paraId="5B79A004" w14:textId="77777777" w:rsidTr="00D655DC">
        <w:tc>
          <w:tcPr>
            <w:tcW w:w="1413" w:type="dxa"/>
          </w:tcPr>
          <w:p w14:paraId="448488B5"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PSUMMIT-2</w:t>
            </w:r>
          </w:p>
        </w:tc>
        <w:tc>
          <w:tcPr>
            <w:tcW w:w="1346" w:type="dxa"/>
            <w:vAlign w:val="center"/>
          </w:tcPr>
          <w:p w14:paraId="2B7D6B56"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45/103 (44)</w:t>
            </w:r>
          </w:p>
        </w:tc>
        <w:tc>
          <w:tcPr>
            <w:tcW w:w="1347" w:type="dxa"/>
            <w:vAlign w:val="center"/>
          </w:tcPr>
          <w:p w14:paraId="058B908C"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21/104 (20)</w:t>
            </w:r>
          </w:p>
        </w:tc>
        <w:tc>
          <w:tcPr>
            <w:tcW w:w="1637" w:type="dxa"/>
            <w:vAlign w:val="center"/>
          </w:tcPr>
          <w:p w14:paraId="5634F73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0.23 (0.11, 0.35)</w:t>
            </w:r>
          </w:p>
        </w:tc>
        <w:tc>
          <w:tcPr>
            <w:tcW w:w="1637" w:type="dxa"/>
            <w:vAlign w:val="center"/>
          </w:tcPr>
          <w:p w14:paraId="48FCE733"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2.16 (1.41, 3.38)</w:t>
            </w:r>
          </w:p>
        </w:tc>
        <w:tc>
          <w:tcPr>
            <w:tcW w:w="1637" w:type="dxa"/>
            <w:vAlign w:val="center"/>
          </w:tcPr>
          <w:p w14:paraId="293E70C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3.07 (1.59, 6.00)</w:t>
            </w:r>
          </w:p>
        </w:tc>
      </w:tr>
      <w:tr w:rsidR="00251D64" w:rsidRPr="00901D86" w14:paraId="7D65D6EE" w14:textId="77777777" w:rsidTr="00D655DC">
        <w:tc>
          <w:tcPr>
            <w:tcW w:w="1413" w:type="dxa"/>
          </w:tcPr>
          <w:p w14:paraId="63FCA0DA"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Meta-analysis</w:t>
            </w:r>
          </w:p>
        </w:tc>
        <w:tc>
          <w:tcPr>
            <w:tcW w:w="1346" w:type="dxa"/>
            <w:vAlign w:val="center"/>
          </w:tcPr>
          <w:p w14:paraId="6DB3BE82"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132/308 (43)</w:t>
            </w:r>
          </w:p>
        </w:tc>
        <w:tc>
          <w:tcPr>
            <w:tcW w:w="1347" w:type="dxa"/>
            <w:vAlign w:val="center"/>
          </w:tcPr>
          <w:p w14:paraId="23A06FF9"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68/310 (22)</w:t>
            </w:r>
          </w:p>
        </w:tc>
        <w:tc>
          <w:tcPr>
            <w:tcW w:w="1637" w:type="dxa"/>
            <w:vAlign w:val="center"/>
          </w:tcPr>
          <w:p w14:paraId="5CF468E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0.21 (0.14, 0.28)</w:t>
            </w:r>
          </w:p>
        </w:tc>
        <w:tc>
          <w:tcPr>
            <w:tcW w:w="1637" w:type="dxa"/>
            <w:vAlign w:val="center"/>
          </w:tcPr>
          <w:p w14:paraId="2769C176"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1.95 (1.52, 2.50)</w:t>
            </w:r>
          </w:p>
        </w:tc>
        <w:tc>
          <w:tcPr>
            <w:tcW w:w="1637" w:type="dxa"/>
            <w:vAlign w:val="center"/>
          </w:tcPr>
          <w:p w14:paraId="1F2F874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2.67 (1.88, 3.79)</w:t>
            </w:r>
          </w:p>
        </w:tc>
      </w:tr>
      <w:tr w:rsidR="00251D64" w:rsidRPr="00901D86" w14:paraId="1189E3E2" w14:textId="77777777" w:rsidTr="00D655DC">
        <w:tc>
          <w:tcPr>
            <w:tcW w:w="4106" w:type="dxa"/>
            <w:gridSpan w:val="3"/>
            <w:shd w:val="clear" w:color="auto" w:fill="BFBFBF" w:themeFill="background1" w:themeFillShade="BF"/>
          </w:tcPr>
          <w:p w14:paraId="46F35961" w14:textId="0DDE871C" w:rsidR="00251D64" w:rsidRPr="00901D86" w:rsidRDefault="00251D64" w:rsidP="00D655DC">
            <w:pPr>
              <w:keepNext/>
              <w:rPr>
                <w:rFonts w:ascii="Arial Narrow" w:hAnsi="Arial Narrow"/>
                <w:iCs/>
                <w:color w:val="FF0000"/>
                <w:sz w:val="20"/>
                <w:szCs w:val="20"/>
              </w:rPr>
            </w:pPr>
            <w:r w:rsidRPr="00901D86">
              <w:rPr>
                <w:rFonts w:ascii="Arial Narrow" w:hAnsi="Arial Narrow"/>
                <w:iCs/>
                <w:sz w:val="20"/>
                <w:szCs w:val="20"/>
              </w:rPr>
              <w:t>Indirect analysis (GUS q8w vs UST [24] meta-analyses)</w:t>
            </w:r>
            <w:r w:rsidR="00BD583F">
              <w:rPr>
                <w:rFonts w:ascii="Arial Narrow" w:hAnsi="Arial Narrow"/>
                <w:iCs/>
                <w:sz w:val="20"/>
                <w:szCs w:val="20"/>
              </w:rPr>
              <w:t>*</w:t>
            </w:r>
          </w:p>
        </w:tc>
        <w:tc>
          <w:tcPr>
            <w:tcW w:w="1637" w:type="dxa"/>
            <w:shd w:val="clear" w:color="auto" w:fill="BFBFBF" w:themeFill="background1" w:themeFillShade="BF"/>
            <w:vAlign w:val="center"/>
          </w:tcPr>
          <w:p w14:paraId="00B8ADE4"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0.02 (-0.08, 0.12)</w:t>
            </w:r>
          </w:p>
        </w:tc>
        <w:tc>
          <w:tcPr>
            <w:tcW w:w="1637" w:type="dxa"/>
            <w:shd w:val="clear" w:color="auto" w:fill="BFBFBF" w:themeFill="background1" w:themeFillShade="BF"/>
            <w:vAlign w:val="center"/>
          </w:tcPr>
          <w:p w14:paraId="47F3BA87"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0.90 (0.65, 1.24)</w:t>
            </w:r>
          </w:p>
        </w:tc>
        <w:tc>
          <w:tcPr>
            <w:tcW w:w="1637" w:type="dxa"/>
            <w:shd w:val="clear" w:color="auto" w:fill="BFBFBF" w:themeFill="background1" w:themeFillShade="BF"/>
            <w:vAlign w:val="center"/>
          </w:tcPr>
          <w:p w14:paraId="6C479772"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0.99 (0.62, 1.57)</w:t>
            </w:r>
          </w:p>
        </w:tc>
      </w:tr>
      <w:tr w:rsidR="00251D64" w:rsidRPr="00901D86" w14:paraId="02E0288E" w14:textId="77777777" w:rsidTr="00CB0FA7">
        <w:tc>
          <w:tcPr>
            <w:tcW w:w="4106" w:type="dxa"/>
            <w:gridSpan w:val="3"/>
            <w:shd w:val="clear" w:color="auto" w:fill="BFBFBF" w:themeFill="background1" w:themeFillShade="BF"/>
            <w:vAlign w:val="center"/>
          </w:tcPr>
          <w:p w14:paraId="71F80521" w14:textId="7DDBD9F6" w:rsidR="00251D64" w:rsidRPr="00901D86" w:rsidRDefault="00251D64" w:rsidP="00D655DC">
            <w:pPr>
              <w:keepNext/>
              <w:rPr>
                <w:rFonts w:ascii="Arial Narrow" w:hAnsi="Arial Narrow"/>
                <w:sz w:val="20"/>
                <w:szCs w:val="20"/>
              </w:rPr>
            </w:pPr>
            <w:r w:rsidRPr="00901D86">
              <w:rPr>
                <w:rFonts w:ascii="Arial Narrow" w:hAnsi="Arial Narrow"/>
                <w:iCs/>
                <w:sz w:val="20"/>
                <w:szCs w:val="20"/>
              </w:rPr>
              <w:t>Indirect analysis (GUS q4w vs UST [24] meta-analyses)</w:t>
            </w:r>
            <w:r w:rsidR="00BD583F">
              <w:rPr>
                <w:rFonts w:ascii="Arial Narrow" w:hAnsi="Arial Narrow"/>
                <w:iCs/>
                <w:sz w:val="20"/>
                <w:szCs w:val="20"/>
              </w:rPr>
              <w:t>*</w:t>
            </w:r>
          </w:p>
        </w:tc>
        <w:tc>
          <w:tcPr>
            <w:tcW w:w="1637" w:type="dxa"/>
            <w:shd w:val="clear" w:color="auto" w:fill="BFBFBF" w:themeFill="background1" w:themeFillShade="BF"/>
            <w:vAlign w:val="center"/>
          </w:tcPr>
          <w:p w14:paraId="52E9AD63"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0.07 (-0.07, 0.21)</w:t>
            </w:r>
          </w:p>
        </w:tc>
        <w:tc>
          <w:tcPr>
            <w:tcW w:w="1637" w:type="dxa"/>
            <w:shd w:val="clear" w:color="auto" w:fill="BFBFBF" w:themeFill="background1" w:themeFillShade="BF"/>
            <w:vAlign w:val="center"/>
          </w:tcPr>
          <w:p w14:paraId="69AD861B"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0.99 (0.65, 1.52)</w:t>
            </w:r>
          </w:p>
        </w:tc>
        <w:tc>
          <w:tcPr>
            <w:tcW w:w="1637" w:type="dxa"/>
            <w:shd w:val="clear" w:color="auto" w:fill="BFBFBF" w:themeFill="background1" w:themeFillShade="BF"/>
            <w:vAlign w:val="center"/>
          </w:tcPr>
          <w:p w14:paraId="40FE9D2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1.20 (0.62, 2.33)</w:t>
            </w:r>
          </w:p>
        </w:tc>
      </w:tr>
      <w:tr w:rsidR="00251D64" w:rsidRPr="00901D86" w14:paraId="1B2D9799" w14:textId="77777777" w:rsidTr="00D655DC">
        <w:tc>
          <w:tcPr>
            <w:tcW w:w="9017" w:type="dxa"/>
            <w:gridSpan w:val="6"/>
          </w:tcPr>
          <w:p w14:paraId="6C809052" w14:textId="77777777" w:rsidR="00251D64" w:rsidRPr="00901D86" w:rsidRDefault="00251D64" w:rsidP="00D655DC">
            <w:pPr>
              <w:keepNext/>
              <w:rPr>
                <w:rFonts w:ascii="Arial Narrow" w:hAnsi="Arial Narrow"/>
                <w:sz w:val="20"/>
                <w:szCs w:val="20"/>
              </w:rPr>
            </w:pPr>
            <w:r w:rsidRPr="00901D86">
              <w:rPr>
                <w:rFonts w:ascii="Arial Narrow" w:hAnsi="Arial Narrow"/>
                <w:b/>
                <w:sz w:val="20"/>
                <w:szCs w:val="20"/>
              </w:rPr>
              <w:t>Certolizumab pegol 200/400 mg pooled vs placebo (Week 12)</w:t>
            </w:r>
          </w:p>
        </w:tc>
      </w:tr>
      <w:tr w:rsidR="00251D64" w:rsidRPr="00901D86" w14:paraId="0F6C5354" w14:textId="77777777" w:rsidTr="00D655DC">
        <w:tc>
          <w:tcPr>
            <w:tcW w:w="1413" w:type="dxa"/>
          </w:tcPr>
          <w:p w14:paraId="3F1D9216"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RAPID PsA</w:t>
            </w:r>
          </w:p>
        </w:tc>
        <w:tc>
          <w:tcPr>
            <w:tcW w:w="1346" w:type="dxa"/>
            <w:vAlign w:val="center"/>
          </w:tcPr>
          <w:p w14:paraId="6C7A3719"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150/273 (55)</w:t>
            </w:r>
          </w:p>
        </w:tc>
        <w:tc>
          <w:tcPr>
            <w:tcW w:w="1347" w:type="dxa"/>
            <w:vAlign w:val="center"/>
          </w:tcPr>
          <w:p w14:paraId="27A0A382"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33/136 (24)</w:t>
            </w:r>
          </w:p>
        </w:tc>
        <w:tc>
          <w:tcPr>
            <w:tcW w:w="1637" w:type="dxa"/>
            <w:vAlign w:val="center"/>
          </w:tcPr>
          <w:p w14:paraId="58AD7B95"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0.31 (0.21, 0.40)</w:t>
            </w:r>
          </w:p>
        </w:tc>
        <w:tc>
          <w:tcPr>
            <w:tcW w:w="1637" w:type="dxa"/>
            <w:vAlign w:val="center"/>
          </w:tcPr>
          <w:p w14:paraId="126AD64D"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2.26 (1.65, 3.11)</w:t>
            </w:r>
          </w:p>
        </w:tc>
        <w:tc>
          <w:tcPr>
            <w:tcW w:w="1637" w:type="dxa"/>
            <w:vAlign w:val="center"/>
          </w:tcPr>
          <w:p w14:paraId="27AC134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3.81 (2.41, 6.02)</w:t>
            </w:r>
          </w:p>
        </w:tc>
      </w:tr>
      <w:tr w:rsidR="00251D64" w:rsidRPr="00901D86" w14:paraId="7271B797" w14:textId="77777777" w:rsidTr="00D655DC">
        <w:tc>
          <w:tcPr>
            <w:tcW w:w="4106" w:type="dxa"/>
            <w:gridSpan w:val="3"/>
            <w:shd w:val="clear" w:color="auto" w:fill="BFBFBF" w:themeFill="background1" w:themeFillShade="BF"/>
            <w:vAlign w:val="center"/>
          </w:tcPr>
          <w:p w14:paraId="49C56A66" w14:textId="5AF8EE84"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Indirect analysis (GUS q8w vs CZP meta-analyses)</w:t>
            </w:r>
            <w:r w:rsidR="00BD583F">
              <w:rPr>
                <w:rFonts w:ascii="Arial Narrow" w:hAnsi="Arial Narrow"/>
                <w:sz w:val="20"/>
                <w:szCs w:val="20"/>
              </w:rPr>
              <w:t>*</w:t>
            </w:r>
          </w:p>
        </w:tc>
        <w:tc>
          <w:tcPr>
            <w:tcW w:w="1637" w:type="dxa"/>
            <w:shd w:val="clear" w:color="auto" w:fill="BFBFBF" w:themeFill="background1" w:themeFillShade="BF"/>
            <w:vAlign w:val="center"/>
          </w:tcPr>
          <w:p w14:paraId="358F9D54"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-0.07 (-0.19, 0.04)</w:t>
            </w:r>
          </w:p>
        </w:tc>
        <w:tc>
          <w:tcPr>
            <w:tcW w:w="1637" w:type="dxa"/>
            <w:shd w:val="clear" w:color="auto" w:fill="BFBFBF" w:themeFill="background1" w:themeFillShade="BF"/>
            <w:vAlign w:val="center"/>
          </w:tcPr>
          <w:p w14:paraId="619363EC"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0.77 (0.54, 1.11)</w:t>
            </w:r>
          </w:p>
        </w:tc>
        <w:tc>
          <w:tcPr>
            <w:tcW w:w="1637" w:type="dxa"/>
            <w:shd w:val="clear" w:color="auto" w:fill="BFBFBF" w:themeFill="background1" w:themeFillShade="BF"/>
            <w:vAlign w:val="center"/>
          </w:tcPr>
          <w:p w14:paraId="6E6D4EB7"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0.69 (0.40, 1.20)</w:t>
            </w:r>
          </w:p>
        </w:tc>
      </w:tr>
      <w:tr w:rsidR="00251D64" w:rsidRPr="00901D86" w14:paraId="4C662E6F" w14:textId="77777777" w:rsidTr="00D655DC">
        <w:tc>
          <w:tcPr>
            <w:tcW w:w="4106" w:type="dxa"/>
            <w:gridSpan w:val="3"/>
            <w:shd w:val="clear" w:color="auto" w:fill="BFBFBF" w:themeFill="background1" w:themeFillShade="BF"/>
            <w:vAlign w:val="center"/>
          </w:tcPr>
          <w:p w14:paraId="0F9D1877" w14:textId="2B2329F7" w:rsidR="00251D64" w:rsidRPr="00901D86" w:rsidRDefault="00251D64" w:rsidP="00D655DC">
            <w:pPr>
              <w:keepNext/>
              <w:jc w:val="left"/>
              <w:rPr>
                <w:rFonts w:ascii="Arial Narrow" w:hAnsi="Arial Narrow"/>
                <w:sz w:val="20"/>
                <w:szCs w:val="20"/>
              </w:rPr>
            </w:pPr>
            <w:r w:rsidRPr="00901D86">
              <w:rPr>
                <w:rFonts w:ascii="Arial Narrow" w:hAnsi="Arial Narrow"/>
                <w:iCs/>
                <w:sz w:val="20"/>
                <w:szCs w:val="20"/>
              </w:rPr>
              <w:t>Indirect analysis (GUS q4w vs CZP meta-analyses)</w:t>
            </w:r>
            <w:r w:rsidR="00BD583F">
              <w:rPr>
                <w:rFonts w:ascii="Arial Narrow" w:hAnsi="Arial Narrow"/>
                <w:iCs/>
                <w:sz w:val="20"/>
                <w:szCs w:val="20"/>
              </w:rPr>
              <w:t>*</w:t>
            </w:r>
          </w:p>
        </w:tc>
        <w:tc>
          <w:tcPr>
            <w:tcW w:w="1637" w:type="dxa"/>
            <w:shd w:val="clear" w:color="auto" w:fill="BFBFBF" w:themeFill="background1" w:themeFillShade="BF"/>
            <w:vAlign w:val="center"/>
          </w:tcPr>
          <w:p w14:paraId="18C04368"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-0.03 (-0.18, 0.12)</w:t>
            </w:r>
          </w:p>
        </w:tc>
        <w:tc>
          <w:tcPr>
            <w:tcW w:w="1637" w:type="dxa"/>
            <w:shd w:val="clear" w:color="auto" w:fill="BFBFBF" w:themeFill="background1" w:themeFillShade="BF"/>
            <w:vAlign w:val="center"/>
          </w:tcPr>
          <w:p w14:paraId="22E6ACC6"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0.85 (0.53, 1.37)</w:t>
            </w:r>
          </w:p>
        </w:tc>
        <w:tc>
          <w:tcPr>
            <w:tcW w:w="1637" w:type="dxa"/>
            <w:shd w:val="clear" w:color="auto" w:fill="BFBFBF" w:themeFill="background1" w:themeFillShade="BF"/>
            <w:vAlign w:val="center"/>
          </w:tcPr>
          <w:p w14:paraId="067EE00E"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0.84 (0.41, 1.74)</w:t>
            </w:r>
          </w:p>
        </w:tc>
      </w:tr>
      <w:tr w:rsidR="00251D64" w:rsidRPr="00901D86" w14:paraId="15443135" w14:textId="77777777" w:rsidTr="00D655DC">
        <w:tc>
          <w:tcPr>
            <w:tcW w:w="9017" w:type="dxa"/>
            <w:gridSpan w:val="6"/>
          </w:tcPr>
          <w:p w14:paraId="07103EC1" w14:textId="77777777" w:rsidR="00251D64" w:rsidRPr="00901D86" w:rsidRDefault="00251D64" w:rsidP="00D655DC">
            <w:pPr>
              <w:keepNext/>
              <w:rPr>
                <w:rFonts w:ascii="Arial Narrow" w:hAnsi="Arial Narrow"/>
                <w:b/>
                <w:sz w:val="20"/>
                <w:szCs w:val="20"/>
              </w:rPr>
            </w:pPr>
            <w:r w:rsidRPr="00901D86">
              <w:rPr>
                <w:rFonts w:ascii="Arial Narrow" w:hAnsi="Arial Narrow"/>
                <w:b/>
                <w:sz w:val="20"/>
                <w:szCs w:val="20"/>
              </w:rPr>
              <w:t>Secukinumab 150/300mg pooled versus placebo (Week 12)</w:t>
            </w:r>
          </w:p>
        </w:tc>
      </w:tr>
      <w:tr w:rsidR="00251D64" w:rsidRPr="00901D86" w14:paraId="0D1E8EE1" w14:textId="77777777" w:rsidTr="00D655DC">
        <w:tc>
          <w:tcPr>
            <w:tcW w:w="1413" w:type="dxa"/>
          </w:tcPr>
          <w:p w14:paraId="74206F7B"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FUTURE-2</w:t>
            </w:r>
          </w:p>
        </w:tc>
        <w:tc>
          <w:tcPr>
            <w:tcW w:w="1346" w:type="dxa"/>
          </w:tcPr>
          <w:p w14:paraId="1B61A87D"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113/200 (57)</w:t>
            </w:r>
          </w:p>
        </w:tc>
        <w:tc>
          <w:tcPr>
            <w:tcW w:w="1347" w:type="dxa"/>
          </w:tcPr>
          <w:p w14:paraId="0C897EFB"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25/98 (26)</w:t>
            </w:r>
          </w:p>
        </w:tc>
        <w:tc>
          <w:tcPr>
            <w:tcW w:w="1637" w:type="dxa"/>
            <w:vAlign w:val="center"/>
          </w:tcPr>
          <w:p w14:paraId="11D9262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0.31 (0.20, 0.42)</w:t>
            </w:r>
          </w:p>
        </w:tc>
        <w:tc>
          <w:tcPr>
            <w:tcW w:w="1637" w:type="dxa"/>
            <w:vAlign w:val="center"/>
          </w:tcPr>
          <w:p w14:paraId="529A284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2.21 (1.55,3.17)</w:t>
            </w:r>
          </w:p>
        </w:tc>
        <w:tc>
          <w:tcPr>
            <w:tcW w:w="1637" w:type="dxa"/>
            <w:vAlign w:val="center"/>
          </w:tcPr>
          <w:p w14:paraId="7F08BBEE"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3.79 (2.22,6.46)</w:t>
            </w:r>
          </w:p>
        </w:tc>
      </w:tr>
      <w:tr w:rsidR="00251D64" w:rsidRPr="00901D86" w14:paraId="3021B994" w14:textId="77777777" w:rsidTr="00D655DC">
        <w:tc>
          <w:tcPr>
            <w:tcW w:w="1413" w:type="dxa"/>
          </w:tcPr>
          <w:p w14:paraId="685BF320"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 xml:space="preserve">FUTURE-3 </w:t>
            </w:r>
            <w:r w:rsidRPr="00901D86">
              <w:rPr>
                <w:rFonts w:ascii="Arial Narrow" w:hAnsi="Arial Narrow"/>
                <w:sz w:val="20"/>
                <w:szCs w:val="20"/>
                <w:vertAlign w:val="superscript"/>
              </w:rPr>
              <w:t>a</w:t>
            </w:r>
          </w:p>
        </w:tc>
        <w:tc>
          <w:tcPr>
            <w:tcW w:w="1346" w:type="dxa"/>
          </w:tcPr>
          <w:p w14:paraId="2A8B04F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137/277 (50)</w:t>
            </w:r>
          </w:p>
        </w:tc>
        <w:tc>
          <w:tcPr>
            <w:tcW w:w="1347" w:type="dxa"/>
          </w:tcPr>
          <w:p w14:paraId="324A589D"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27/137 (20)</w:t>
            </w:r>
          </w:p>
        </w:tc>
        <w:tc>
          <w:tcPr>
            <w:tcW w:w="1637" w:type="dxa"/>
            <w:vAlign w:val="center"/>
          </w:tcPr>
          <w:p w14:paraId="6936538D"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0.34 (0.26, 0.43)</w:t>
            </w:r>
          </w:p>
        </w:tc>
        <w:tc>
          <w:tcPr>
            <w:tcW w:w="1637" w:type="dxa"/>
            <w:vAlign w:val="center"/>
          </w:tcPr>
          <w:p w14:paraId="6430443A"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2.51 (1.78, 3.62)</w:t>
            </w:r>
          </w:p>
        </w:tc>
        <w:tc>
          <w:tcPr>
            <w:tcW w:w="1637" w:type="dxa"/>
            <w:vAlign w:val="center"/>
          </w:tcPr>
          <w:p w14:paraId="2AB65683"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3.99 (2.41, 6.72)</w:t>
            </w:r>
          </w:p>
        </w:tc>
      </w:tr>
      <w:tr w:rsidR="00251D64" w:rsidRPr="00901D86" w14:paraId="200CAF47" w14:textId="77777777" w:rsidTr="00D655DC">
        <w:tc>
          <w:tcPr>
            <w:tcW w:w="1413" w:type="dxa"/>
          </w:tcPr>
          <w:p w14:paraId="18D94260"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FUTURE-5</w:t>
            </w:r>
          </w:p>
        </w:tc>
        <w:tc>
          <w:tcPr>
            <w:tcW w:w="1346" w:type="dxa"/>
          </w:tcPr>
          <w:p w14:paraId="61D42E05"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24</w:t>
            </w:r>
            <w:r w:rsidRPr="00901D86">
              <w:rPr>
                <w:rFonts w:ascii="Arial Narrow" w:hAnsi="Arial Narrow"/>
                <w:iCs/>
                <w:sz w:val="20"/>
                <w:szCs w:val="20"/>
              </w:rPr>
              <w:t>5</w:t>
            </w:r>
            <w:r w:rsidRPr="00901D86">
              <w:rPr>
                <w:rFonts w:ascii="Arial Narrow" w:hAnsi="Arial Narrow"/>
                <w:sz w:val="20"/>
                <w:szCs w:val="20"/>
              </w:rPr>
              <w:t>/442 (5</w:t>
            </w:r>
            <w:r w:rsidRPr="00901D86">
              <w:rPr>
                <w:rFonts w:ascii="Arial Narrow" w:hAnsi="Arial Narrow"/>
                <w:iCs/>
                <w:sz w:val="20"/>
                <w:szCs w:val="20"/>
              </w:rPr>
              <w:t>5</w:t>
            </w:r>
            <w:r w:rsidRPr="00901D86">
              <w:rPr>
                <w:rFonts w:ascii="Arial Narrow" w:hAnsi="Arial Narrow"/>
                <w:sz w:val="20"/>
                <w:szCs w:val="20"/>
              </w:rPr>
              <w:t>)</w:t>
            </w:r>
          </w:p>
        </w:tc>
        <w:tc>
          <w:tcPr>
            <w:tcW w:w="1347" w:type="dxa"/>
          </w:tcPr>
          <w:p w14:paraId="23F66B2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90/332 (27)</w:t>
            </w:r>
          </w:p>
        </w:tc>
        <w:tc>
          <w:tcPr>
            <w:tcW w:w="1637" w:type="dxa"/>
            <w:vAlign w:val="center"/>
          </w:tcPr>
          <w:p w14:paraId="3F79A23E"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0.29 (0.22, 0.35)</w:t>
            </w:r>
          </w:p>
        </w:tc>
        <w:tc>
          <w:tcPr>
            <w:tcW w:w="1637" w:type="dxa"/>
            <w:vAlign w:val="center"/>
          </w:tcPr>
          <w:p w14:paraId="3851EDA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2.04 (1.69, 2.49)</w:t>
            </w:r>
          </w:p>
        </w:tc>
        <w:tc>
          <w:tcPr>
            <w:tcW w:w="1637" w:type="dxa"/>
            <w:vAlign w:val="center"/>
          </w:tcPr>
          <w:p w14:paraId="3A17044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3.34 (2.44, 4.60)</w:t>
            </w:r>
          </w:p>
        </w:tc>
      </w:tr>
      <w:tr w:rsidR="00251D64" w:rsidRPr="00901D86" w14:paraId="0976A213" w14:textId="77777777" w:rsidTr="00D655DC">
        <w:tc>
          <w:tcPr>
            <w:tcW w:w="1413" w:type="dxa"/>
            <w:shd w:val="clear" w:color="auto" w:fill="F2F2F2" w:themeFill="background1" w:themeFillShade="F2"/>
          </w:tcPr>
          <w:p w14:paraId="21ACFE34"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tcPr>
          <w:p w14:paraId="04A0C857"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49</w:t>
            </w:r>
            <w:r w:rsidRPr="00901D86">
              <w:rPr>
                <w:rFonts w:ascii="Arial Narrow" w:hAnsi="Arial Narrow"/>
                <w:iCs/>
                <w:sz w:val="20"/>
                <w:szCs w:val="20"/>
              </w:rPr>
              <w:t>5</w:t>
            </w:r>
            <w:r w:rsidRPr="00901D86">
              <w:rPr>
                <w:rFonts w:ascii="Arial Narrow" w:hAnsi="Arial Narrow"/>
                <w:sz w:val="20"/>
                <w:szCs w:val="20"/>
              </w:rPr>
              <w:t>/919 (54)</w:t>
            </w:r>
          </w:p>
        </w:tc>
        <w:tc>
          <w:tcPr>
            <w:tcW w:w="1347" w:type="dxa"/>
            <w:shd w:val="clear" w:color="auto" w:fill="F2F2F2" w:themeFill="background1" w:themeFillShade="F2"/>
          </w:tcPr>
          <w:p w14:paraId="273274F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w:t>
            </w:r>
            <w:r w:rsidRPr="00901D86">
              <w:rPr>
                <w:rFonts w:ascii="Arial Narrow" w:hAnsi="Arial Narrow"/>
                <w:iCs/>
                <w:sz w:val="20"/>
                <w:szCs w:val="20"/>
              </w:rPr>
              <w:t>42</w:t>
            </w:r>
            <w:r w:rsidRPr="00901D86">
              <w:rPr>
                <w:rFonts w:ascii="Arial Narrow" w:hAnsi="Arial Narrow"/>
                <w:sz w:val="20"/>
                <w:szCs w:val="20"/>
              </w:rPr>
              <w:t>/567 (2</w:t>
            </w:r>
            <w:r w:rsidRPr="00901D86">
              <w:rPr>
                <w:rFonts w:ascii="Arial Narrow" w:hAnsi="Arial Narrow"/>
                <w:iCs/>
                <w:sz w:val="20"/>
                <w:szCs w:val="20"/>
              </w:rPr>
              <w:t>5</w:t>
            </w:r>
            <w:r w:rsidRPr="00901D86">
              <w:rPr>
                <w:rFonts w:ascii="Arial Narrow" w:hAnsi="Arial Narrow"/>
                <w:sz w:val="20"/>
                <w:szCs w:val="20"/>
              </w:rPr>
              <w:t>)</w:t>
            </w:r>
          </w:p>
        </w:tc>
        <w:tc>
          <w:tcPr>
            <w:tcW w:w="1637" w:type="dxa"/>
            <w:shd w:val="clear" w:color="auto" w:fill="F2F2F2" w:themeFill="background1" w:themeFillShade="F2"/>
            <w:vAlign w:val="center"/>
          </w:tcPr>
          <w:p w14:paraId="55BE0CE2"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0.31 (0.26, 0.36)</w:t>
            </w:r>
          </w:p>
        </w:tc>
        <w:tc>
          <w:tcPr>
            <w:tcW w:w="1637" w:type="dxa"/>
            <w:shd w:val="clear" w:color="auto" w:fill="F2F2F2" w:themeFill="background1" w:themeFillShade="F2"/>
            <w:vAlign w:val="center"/>
          </w:tcPr>
          <w:p w14:paraId="77011C2E"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2.16 (1.85, 2.52)</w:t>
            </w:r>
          </w:p>
        </w:tc>
        <w:tc>
          <w:tcPr>
            <w:tcW w:w="1637" w:type="dxa"/>
            <w:shd w:val="clear" w:color="auto" w:fill="F2F2F2" w:themeFill="background1" w:themeFillShade="F2"/>
            <w:vAlign w:val="center"/>
          </w:tcPr>
          <w:p w14:paraId="00A30800"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3.57 (2.83, 4.50)</w:t>
            </w:r>
          </w:p>
        </w:tc>
      </w:tr>
      <w:tr w:rsidR="00251D64" w:rsidRPr="00901D86" w14:paraId="7EAC93D6" w14:textId="77777777" w:rsidTr="00D655DC">
        <w:tc>
          <w:tcPr>
            <w:tcW w:w="4106" w:type="dxa"/>
            <w:gridSpan w:val="3"/>
            <w:shd w:val="clear" w:color="auto" w:fill="BFBFBF" w:themeFill="background1" w:themeFillShade="BF"/>
          </w:tcPr>
          <w:p w14:paraId="27345D9D" w14:textId="6ADF2A02" w:rsidR="00251D64" w:rsidRPr="00901D86" w:rsidRDefault="00251D64" w:rsidP="00D655DC">
            <w:pPr>
              <w:keepNext/>
              <w:rPr>
                <w:rFonts w:ascii="Arial Narrow" w:hAnsi="Arial Narrow"/>
                <w:sz w:val="20"/>
                <w:szCs w:val="20"/>
              </w:rPr>
            </w:pPr>
            <w:r w:rsidRPr="00901D86">
              <w:rPr>
                <w:rFonts w:ascii="Arial Narrow" w:hAnsi="Arial Narrow"/>
                <w:sz w:val="20"/>
                <w:szCs w:val="20"/>
              </w:rPr>
              <w:t>Indirect analysis (GUS q8w vs SEC meta-analyses)</w:t>
            </w:r>
            <w:r w:rsidR="00BD583F">
              <w:rPr>
                <w:rFonts w:ascii="Arial Narrow" w:hAnsi="Arial Narrow"/>
                <w:sz w:val="20"/>
                <w:szCs w:val="20"/>
              </w:rPr>
              <w:t>*</w:t>
            </w:r>
          </w:p>
        </w:tc>
        <w:tc>
          <w:tcPr>
            <w:tcW w:w="1637" w:type="dxa"/>
            <w:shd w:val="clear" w:color="auto" w:fill="BFBFBF" w:themeFill="background1" w:themeFillShade="BF"/>
            <w:vAlign w:val="center"/>
          </w:tcPr>
          <w:p w14:paraId="1EF8238C"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-0.06 (-0.15, 0.02)</w:t>
            </w:r>
          </w:p>
        </w:tc>
        <w:tc>
          <w:tcPr>
            <w:tcW w:w="1637" w:type="dxa"/>
            <w:shd w:val="clear" w:color="auto" w:fill="BFBFBF" w:themeFill="background1" w:themeFillShade="BF"/>
            <w:vAlign w:val="center"/>
          </w:tcPr>
          <w:p w14:paraId="307862F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0.81 (0.63, 1.05)</w:t>
            </w:r>
          </w:p>
        </w:tc>
        <w:tc>
          <w:tcPr>
            <w:tcW w:w="1637" w:type="dxa"/>
            <w:shd w:val="clear" w:color="auto" w:fill="BFBFBF" w:themeFill="background1" w:themeFillShade="BF"/>
            <w:vAlign w:val="center"/>
          </w:tcPr>
          <w:p w14:paraId="1579D9FE"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0.74 (0.51, 1.08)</w:t>
            </w:r>
          </w:p>
        </w:tc>
      </w:tr>
      <w:tr w:rsidR="00251D64" w:rsidRPr="00901D86" w14:paraId="349AB8C3" w14:textId="77777777" w:rsidTr="00D655DC">
        <w:tc>
          <w:tcPr>
            <w:tcW w:w="4106" w:type="dxa"/>
            <w:gridSpan w:val="3"/>
            <w:shd w:val="clear" w:color="auto" w:fill="BFBFBF" w:themeFill="background1" w:themeFillShade="BF"/>
          </w:tcPr>
          <w:p w14:paraId="3DB087E5" w14:textId="6E11AC11" w:rsidR="00251D64" w:rsidRPr="00901D86" w:rsidRDefault="00251D64" w:rsidP="00D655DC">
            <w:pPr>
              <w:keepNext/>
              <w:rPr>
                <w:rFonts w:ascii="Arial Narrow" w:hAnsi="Arial Narrow"/>
                <w:iCs/>
                <w:sz w:val="20"/>
                <w:szCs w:val="20"/>
              </w:rPr>
            </w:pPr>
            <w:r w:rsidRPr="00901D86">
              <w:rPr>
                <w:rFonts w:ascii="Arial Narrow" w:hAnsi="Arial Narrow"/>
                <w:iCs/>
                <w:sz w:val="20"/>
                <w:szCs w:val="20"/>
              </w:rPr>
              <w:t>Indirect analysis (GUS q4w vs SEC meta-analyses)</w:t>
            </w:r>
            <w:r w:rsidR="00BD583F">
              <w:rPr>
                <w:rFonts w:ascii="Arial Narrow" w:hAnsi="Arial Narrow"/>
                <w:iCs/>
                <w:sz w:val="20"/>
                <w:szCs w:val="20"/>
              </w:rPr>
              <w:t>*</w:t>
            </w:r>
          </w:p>
        </w:tc>
        <w:tc>
          <w:tcPr>
            <w:tcW w:w="1637" w:type="dxa"/>
            <w:shd w:val="clear" w:color="auto" w:fill="BFBFBF" w:themeFill="background1" w:themeFillShade="BF"/>
            <w:vAlign w:val="center"/>
          </w:tcPr>
          <w:p w14:paraId="385A23E6"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-0.03 (-0.16, 0.10)</w:t>
            </w:r>
          </w:p>
        </w:tc>
        <w:tc>
          <w:tcPr>
            <w:tcW w:w="1637" w:type="dxa"/>
            <w:shd w:val="clear" w:color="auto" w:fill="BFBFBF" w:themeFill="background1" w:themeFillShade="BF"/>
            <w:vAlign w:val="center"/>
          </w:tcPr>
          <w:p w14:paraId="752001DF"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0.90 (0.61, 1.31)</w:t>
            </w:r>
          </w:p>
        </w:tc>
        <w:tc>
          <w:tcPr>
            <w:tcW w:w="1637" w:type="dxa"/>
            <w:shd w:val="clear" w:color="auto" w:fill="BFBFBF" w:themeFill="background1" w:themeFillShade="BF"/>
            <w:vAlign w:val="center"/>
          </w:tcPr>
          <w:p w14:paraId="67F4C79D"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0.90 (0.49, 1.65)</w:t>
            </w:r>
          </w:p>
        </w:tc>
      </w:tr>
      <w:tr w:rsidR="00251D64" w:rsidRPr="00901D86" w14:paraId="079904F2" w14:textId="77777777" w:rsidTr="00D655DC">
        <w:tc>
          <w:tcPr>
            <w:tcW w:w="9017" w:type="dxa"/>
            <w:gridSpan w:val="6"/>
          </w:tcPr>
          <w:p w14:paraId="2EAEEBCE" w14:textId="77777777" w:rsidR="00251D64" w:rsidRPr="00901D86" w:rsidRDefault="00251D64" w:rsidP="00D655DC">
            <w:pPr>
              <w:keepNext/>
              <w:rPr>
                <w:rFonts w:ascii="Arial Narrow" w:hAnsi="Arial Narrow"/>
                <w:b/>
                <w:sz w:val="20"/>
                <w:szCs w:val="20"/>
              </w:rPr>
            </w:pPr>
            <w:r w:rsidRPr="00901D86">
              <w:rPr>
                <w:rFonts w:ascii="Arial Narrow" w:hAnsi="Arial Narrow"/>
                <w:b/>
                <w:sz w:val="20"/>
                <w:szCs w:val="20"/>
              </w:rPr>
              <w:t>Tofacitinib 5mg vs placebo (Week 12)</w:t>
            </w:r>
          </w:p>
        </w:tc>
      </w:tr>
      <w:tr w:rsidR="00251D64" w:rsidRPr="00901D86" w14:paraId="6447EC95" w14:textId="77777777" w:rsidTr="00D655DC">
        <w:tc>
          <w:tcPr>
            <w:tcW w:w="1413" w:type="dxa"/>
          </w:tcPr>
          <w:p w14:paraId="145F79DB"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OPAL-Broaden</w:t>
            </w:r>
          </w:p>
        </w:tc>
        <w:tc>
          <w:tcPr>
            <w:tcW w:w="1346" w:type="dxa"/>
            <w:vAlign w:val="center"/>
          </w:tcPr>
          <w:p w14:paraId="2DD2740B"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54/107 (51)</w:t>
            </w:r>
          </w:p>
        </w:tc>
        <w:tc>
          <w:tcPr>
            <w:tcW w:w="1347" w:type="dxa"/>
            <w:vAlign w:val="center"/>
          </w:tcPr>
          <w:p w14:paraId="7DBA8749"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35/105 (33)</w:t>
            </w:r>
          </w:p>
        </w:tc>
        <w:tc>
          <w:tcPr>
            <w:tcW w:w="1637" w:type="dxa"/>
            <w:vAlign w:val="center"/>
          </w:tcPr>
          <w:p w14:paraId="77E4EBAF"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0.17 (0.04, 0.30)</w:t>
            </w:r>
          </w:p>
        </w:tc>
        <w:tc>
          <w:tcPr>
            <w:tcW w:w="1637" w:type="dxa"/>
            <w:vAlign w:val="center"/>
          </w:tcPr>
          <w:p w14:paraId="243295A2"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1.51 (1.09, 2.10)</w:t>
            </w:r>
          </w:p>
        </w:tc>
        <w:tc>
          <w:tcPr>
            <w:tcW w:w="1637" w:type="dxa"/>
            <w:vAlign w:val="center"/>
          </w:tcPr>
          <w:p w14:paraId="43A3217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2.04 (1.17, 3.55)</w:t>
            </w:r>
          </w:p>
        </w:tc>
      </w:tr>
      <w:tr w:rsidR="00251D64" w:rsidRPr="00901D86" w14:paraId="5C3E801D" w14:textId="77777777" w:rsidTr="00D655DC">
        <w:tc>
          <w:tcPr>
            <w:tcW w:w="4106" w:type="dxa"/>
            <w:gridSpan w:val="3"/>
            <w:shd w:val="clear" w:color="auto" w:fill="BFBFBF" w:themeFill="background1" w:themeFillShade="BF"/>
          </w:tcPr>
          <w:p w14:paraId="364BF0DD" w14:textId="0AD7506C" w:rsidR="00251D64" w:rsidRPr="00901D86" w:rsidRDefault="00251D64" w:rsidP="00D655DC">
            <w:pPr>
              <w:keepNext/>
              <w:rPr>
                <w:rFonts w:ascii="Arial Narrow" w:hAnsi="Arial Narrow"/>
                <w:sz w:val="20"/>
                <w:szCs w:val="20"/>
              </w:rPr>
            </w:pPr>
            <w:r w:rsidRPr="00901D86">
              <w:rPr>
                <w:rFonts w:ascii="Arial Narrow" w:hAnsi="Arial Narrow"/>
                <w:sz w:val="20"/>
                <w:szCs w:val="20"/>
              </w:rPr>
              <w:t>Indirect analysis (GUS q8w vs TOF meta-analyses)</w:t>
            </w:r>
            <w:r w:rsidR="00BD583F">
              <w:rPr>
                <w:rFonts w:ascii="Arial Narrow" w:hAnsi="Arial Narrow"/>
                <w:sz w:val="20"/>
                <w:szCs w:val="20"/>
              </w:rPr>
              <w:t>*</w:t>
            </w:r>
          </w:p>
        </w:tc>
        <w:tc>
          <w:tcPr>
            <w:tcW w:w="1637" w:type="dxa"/>
            <w:shd w:val="clear" w:color="auto" w:fill="BFBFBF" w:themeFill="background1" w:themeFillShade="BF"/>
            <w:vAlign w:val="center"/>
          </w:tcPr>
          <w:p w14:paraId="1A6414DF"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0.06 (-0.09, 0.21)</w:t>
            </w:r>
          </w:p>
        </w:tc>
        <w:tc>
          <w:tcPr>
            <w:tcW w:w="1637" w:type="dxa"/>
            <w:shd w:val="clear" w:color="auto" w:fill="BFBFBF" w:themeFill="background1" w:themeFillShade="BF"/>
            <w:vAlign w:val="center"/>
          </w:tcPr>
          <w:p w14:paraId="0C816689"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1.16 (0.80, 1.68)</w:t>
            </w:r>
          </w:p>
        </w:tc>
        <w:tc>
          <w:tcPr>
            <w:tcW w:w="1637" w:type="dxa"/>
            <w:shd w:val="clear" w:color="auto" w:fill="BFBFBF" w:themeFill="background1" w:themeFillShade="BF"/>
            <w:vAlign w:val="center"/>
          </w:tcPr>
          <w:p w14:paraId="5B476019"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1.30 (0.69, 2.44)</w:t>
            </w:r>
          </w:p>
        </w:tc>
      </w:tr>
      <w:tr w:rsidR="00251D64" w:rsidRPr="00901D86" w14:paraId="66C04E81" w14:textId="77777777" w:rsidTr="00D655DC">
        <w:tc>
          <w:tcPr>
            <w:tcW w:w="4106" w:type="dxa"/>
            <w:gridSpan w:val="3"/>
            <w:shd w:val="clear" w:color="auto" w:fill="BFBFBF" w:themeFill="background1" w:themeFillShade="BF"/>
          </w:tcPr>
          <w:p w14:paraId="64C5BAFD" w14:textId="339F24A6" w:rsidR="00251D64" w:rsidRPr="00901D86" w:rsidRDefault="00251D64" w:rsidP="00D655DC">
            <w:pPr>
              <w:keepNext/>
              <w:rPr>
                <w:rFonts w:ascii="Arial Narrow" w:hAnsi="Arial Narrow"/>
                <w:iCs/>
                <w:sz w:val="20"/>
                <w:szCs w:val="20"/>
              </w:rPr>
            </w:pPr>
            <w:r w:rsidRPr="00901D86">
              <w:rPr>
                <w:rFonts w:ascii="Arial Narrow" w:hAnsi="Arial Narrow"/>
                <w:iCs/>
                <w:sz w:val="20"/>
                <w:szCs w:val="20"/>
              </w:rPr>
              <w:t>Indirect analysis (GUS q4w vs TOF meta-analyses)</w:t>
            </w:r>
            <w:r w:rsidR="00BD583F">
              <w:rPr>
                <w:rFonts w:ascii="Arial Narrow" w:hAnsi="Arial Narrow"/>
                <w:iCs/>
                <w:sz w:val="20"/>
                <w:szCs w:val="20"/>
              </w:rPr>
              <w:t>*</w:t>
            </w:r>
          </w:p>
        </w:tc>
        <w:tc>
          <w:tcPr>
            <w:tcW w:w="1637" w:type="dxa"/>
            <w:shd w:val="clear" w:color="auto" w:fill="BFBFBF" w:themeFill="background1" w:themeFillShade="BF"/>
            <w:vAlign w:val="center"/>
          </w:tcPr>
          <w:p w14:paraId="10A36FAD"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0.11 (-0.07, 0.29)</w:t>
            </w:r>
          </w:p>
        </w:tc>
        <w:tc>
          <w:tcPr>
            <w:tcW w:w="1637" w:type="dxa"/>
            <w:shd w:val="clear" w:color="auto" w:fill="BFBFBF" w:themeFill="background1" w:themeFillShade="BF"/>
            <w:vAlign w:val="center"/>
          </w:tcPr>
          <w:p w14:paraId="69000BAC"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1.28 (0.79, 2.06)</w:t>
            </w:r>
          </w:p>
        </w:tc>
        <w:tc>
          <w:tcPr>
            <w:tcW w:w="1637" w:type="dxa"/>
            <w:shd w:val="clear" w:color="auto" w:fill="BFBFBF" w:themeFill="background1" w:themeFillShade="BF"/>
            <w:vAlign w:val="center"/>
          </w:tcPr>
          <w:p w14:paraId="41CCBECB"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1.57 (0.71, 3.47)</w:t>
            </w:r>
          </w:p>
        </w:tc>
      </w:tr>
      <w:tr w:rsidR="00251D64" w:rsidRPr="00901D86" w14:paraId="1A41C563" w14:textId="77777777" w:rsidTr="00D655DC">
        <w:tc>
          <w:tcPr>
            <w:tcW w:w="9017" w:type="dxa"/>
            <w:gridSpan w:val="6"/>
          </w:tcPr>
          <w:p w14:paraId="7A90A61E" w14:textId="77777777" w:rsidR="00251D64" w:rsidRPr="00901D86" w:rsidRDefault="00251D64" w:rsidP="00D655DC">
            <w:pPr>
              <w:keepNext/>
              <w:rPr>
                <w:rFonts w:ascii="Arial Narrow" w:hAnsi="Arial Narrow"/>
                <w:b/>
                <w:sz w:val="20"/>
                <w:szCs w:val="20"/>
              </w:rPr>
            </w:pPr>
            <w:r w:rsidRPr="00901D86">
              <w:rPr>
                <w:rFonts w:ascii="Arial Narrow" w:hAnsi="Arial Narrow"/>
                <w:b/>
                <w:sz w:val="20"/>
                <w:szCs w:val="20"/>
              </w:rPr>
              <w:t>Adalimumab 40mg vs placebo (Week 12)</w:t>
            </w:r>
          </w:p>
        </w:tc>
      </w:tr>
      <w:tr w:rsidR="00251D64" w:rsidRPr="00901D86" w14:paraId="53555354" w14:textId="77777777" w:rsidTr="00D655DC">
        <w:tc>
          <w:tcPr>
            <w:tcW w:w="1413" w:type="dxa"/>
          </w:tcPr>
          <w:p w14:paraId="683E1D70"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ADEPT</w:t>
            </w:r>
          </w:p>
        </w:tc>
        <w:tc>
          <w:tcPr>
            <w:tcW w:w="1346" w:type="dxa"/>
          </w:tcPr>
          <w:p w14:paraId="31FC2D8D"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88/151 (58)</w:t>
            </w:r>
          </w:p>
        </w:tc>
        <w:tc>
          <w:tcPr>
            <w:tcW w:w="1347" w:type="dxa"/>
          </w:tcPr>
          <w:p w14:paraId="326C4839"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23/162 (14)</w:t>
            </w:r>
          </w:p>
        </w:tc>
        <w:tc>
          <w:tcPr>
            <w:tcW w:w="1637" w:type="dxa"/>
            <w:vAlign w:val="center"/>
          </w:tcPr>
          <w:p w14:paraId="7F1B8FE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0.44 (0.35, 0.54)</w:t>
            </w:r>
          </w:p>
        </w:tc>
        <w:tc>
          <w:tcPr>
            <w:tcW w:w="1637" w:type="dxa"/>
            <w:vAlign w:val="center"/>
          </w:tcPr>
          <w:p w14:paraId="5F6D02B6"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4.10 (2.75, 6.14)</w:t>
            </w:r>
          </w:p>
        </w:tc>
        <w:tc>
          <w:tcPr>
            <w:tcW w:w="1637" w:type="dxa"/>
            <w:vAlign w:val="center"/>
          </w:tcPr>
          <w:p w14:paraId="740DDFF3"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8.44 (4.88, 14.59)</w:t>
            </w:r>
          </w:p>
        </w:tc>
      </w:tr>
      <w:tr w:rsidR="00251D64" w:rsidRPr="00901D86" w14:paraId="1F08BF84" w14:textId="77777777" w:rsidTr="00D655DC">
        <w:tc>
          <w:tcPr>
            <w:tcW w:w="1413" w:type="dxa"/>
          </w:tcPr>
          <w:p w14:paraId="0B6AA6A5"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Genovese 2007</w:t>
            </w:r>
          </w:p>
        </w:tc>
        <w:tc>
          <w:tcPr>
            <w:tcW w:w="1346" w:type="dxa"/>
          </w:tcPr>
          <w:p w14:paraId="1587B55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20/51 (39)</w:t>
            </w:r>
          </w:p>
        </w:tc>
        <w:tc>
          <w:tcPr>
            <w:tcW w:w="1347" w:type="dxa"/>
          </w:tcPr>
          <w:p w14:paraId="1244F405"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8/49 (16)</w:t>
            </w:r>
          </w:p>
        </w:tc>
        <w:tc>
          <w:tcPr>
            <w:tcW w:w="1637" w:type="dxa"/>
            <w:vAlign w:val="center"/>
          </w:tcPr>
          <w:p w14:paraId="7A5231BD"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0.23 (0.06, 0.40)</w:t>
            </w:r>
          </w:p>
        </w:tc>
        <w:tc>
          <w:tcPr>
            <w:tcW w:w="1637" w:type="dxa"/>
            <w:vAlign w:val="center"/>
          </w:tcPr>
          <w:p w14:paraId="3E4B1C44"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2.40 (1.17, 4.94)</w:t>
            </w:r>
          </w:p>
        </w:tc>
        <w:tc>
          <w:tcPr>
            <w:tcW w:w="1637" w:type="dxa"/>
            <w:vAlign w:val="center"/>
          </w:tcPr>
          <w:p w14:paraId="6288393D"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3.31 (1.29, 8.49)</w:t>
            </w:r>
          </w:p>
        </w:tc>
      </w:tr>
      <w:tr w:rsidR="00251D64" w:rsidRPr="00901D86" w14:paraId="68AA7E58" w14:textId="77777777" w:rsidTr="00D655DC">
        <w:tc>
          <w:tcPr>
            <w:tcW w:w="1413" w:type="dxa"/>
          </w:tcPr>
          <w:p w14:paraId="2DA7E313"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OPAL Broaden</w:t>
            </w:r>
          </w:p>
        </w:tc>
        <w:tc>
          <w:tcPr>
            <w:tcW w:w="1346" w:type="dxa"/>
          </w:tcPr>
          <w:p w14:paraId="1CBF2B9E"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55/106 (52)</w:t>
            </w:r>
          </w:p>
        </w:tc>
        <w:tc>
          <w:tcPr>
            <w:tcW w:w="1347" w:type="dxa"/>
          </w:tcPr>
          <w:p w14:paraId="6CF90C76"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35/105 (33)</w:t>
            </w:r>
          </w:p>
        </w:tc>
        <w:tc>
          <w:tcPr>
            <w:tcW w:w="1637" w:type="dxa"/>
            <w:vAlign w:val="center"/>
          </w:tcPr>
          <w:p w14:paraId="295FF052"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0.19 (0.05, 0.32)</w:t>
            </w:r>
          </w:p>
        </w:tc>
        <w:tc>
          <w:tcPr>
            <w:tcW w:w="1637" w:type="dxa"/>
            <w:vAlign w:val="center"/>
          </w:tcPr>
          <w:p w14:paraId="6093518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1.56 (1.12, 2.16)</w:t>
            </w:r>
          </w:p>
        </w:tc>
        <w:tc>
          <w:tcPr>
            <w:tcW w:w="1637" w:type="dxa"/>
            <w:vAlign w:val="center"/>
          </w:tcPr>
          <w:p w14:paraId="0EAB9CC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2.16 (1.24, 3.76)</w:t>
            </w:r>
          </w:p>
        </w:tc>
      </w:tr>
      <w:tr w:rsidR="00251D64" w:rsidRPr="00901D86" w14:paraId="13F73C59" w14:textId="77777777" w:rsidTr="00D655DC">
        <w:tc>
          <w:tcPr>
            <w:tcW w:w="1413" w:type="dxa"/>
            <w:shd w:val="clear" w:color="auto" w:fill="F2F2F2" w:themeFill="background1" w:themeFillShade="F2"/>
          </w:tcPr>
          <w:p w14:paraId="6FBDE011" w14:textId="77777777" w:rsidR="00251D64" w:rsidRPr="00901D86" w:rsidRDefault="00251D64" w:rsidP="00D655DC">
            <w:pPr>
              <w:keepNex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tcPr>
          <w:p w14:paraId="6249CDCE"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163/308 (53)</w:t>
            </w:r>
          </w:p>
        </w:tc>
        <w:tc>
          <w:tcPr>
            <w:tcW w:w="1347" w:type="dxa"/>
            <w:shd w:val="clear" w:color="auto" w:fill="F2F2F2" w:themeFill="background1" w:themeFillShade="F2"/>
          </w:tcPr>
          <w:p w14:paraId="44694BC0"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66/316 (21)</w:t>
            </w:r>
          </w:p>
        </w:tc>
        <w:tc>
          <w:tcPr>
            <w:tcW w:w="1637" w:type="dxa"/>
            <w:shd w:val="clear" w:color="auto" w:fill="F2F2F2" w:themeFill="background1" w:themeFillShade="F2"/>
            <w:vAlign w:val="center"/>
          </w:tcPr>
          <w:p w14:paraId="168BDE84"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0.29 (0.11, 0.47)</w:t>
            </w:r>
          </w:p>
        </w:tc>
        <w:tc>
          <w:tcPr>
            <w:tcW w:w="1637" w:type="dxa"/>
            <w:shd w:val="clear" w:color="auto" w:fill="F2F2F2" w:themeFill="background1" w:themeFillShade="F2"/>
            <w:vAlign w:val="center"/>
          </w:tcPr>
          <w:p w14:paraId="0EE438A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2.47 (1.24, 4.95)</w:t>
            </w:r>
          </w:p>
        </w:tc>
        <w:tc>
          <w:tcPr>
            <w:tcW w:w="1637" w:type="dxa"/>
            <w:shd w:val="clear" w:color="auto" w:fill="F2F2F2" w:themeFill="background1" w:themeFillShade="F2"/>
            <w:vAlign w:val="center"/>
          </w:tcPr>
          <w:p w14:paraId="645E628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3.97 (1.57, 10.06)</w:t>
            </w:r>
          </w:p>
        </w:tc>
      </w:tr>
      <w:tr w:rsidR="00251D64" w:rsidRPr="00901D86" w14:paraId="32F34398" w14:textId="77777777" w:rsidTr="00D655DC">
        <w:tc>
          <w:tcPr>
            <w:tcW w:w="4106" w:type="dxa"/>
            <w:gridSpan w:val="3"/>
            <w:shd w:val="clear" w:color="auto" w:fill="BFBFBF" w:themeFill="background1" w:themeFillShade="BF"/>
          </w:tcPr>
          <w:p w14:paraId="0ED2F19C" w14:textId="45918816" w:rsidR="00251D64" w:rsidRPr="00901D86" w:rsidRDefault="00251D64" w:rsidP="00D655DC">
            <w:pPr>
              <w:keepNext/>
              <w:rPr>
                <w:rFonts w:ascii="Arial Narrow" w:hAnsi="Arial Narrow"/>
                <w:sz w:val="20"/>
                <w:szCs w:val="20"/>
              </w:rPr>
            </w:pPr>
            <w:r w:rsidRPr="00901D86">
              <w:rPr>
                <w:rFonts w:ascii="Arial Narrow" w:hAnsi="Arial Narrow"/>
                <w:sz w:val="20"/>
                <w:szCs w:val="20"/>
              </w:rPr>
              <w:t>Indirect analysis (GUS q8w vs ADA meta-analyses)</w:t>
            </w:r>
            <w:r w:rsidR="00BD583F">
              <w:rPr>
                <w:rFonts w:ascii="Arial Narrow" w:hAnsi="Arial Narrow"/>
                <w:sz w:val="20"/>
                <w:szCs w:val="20"/>
              </w:rPr>
              <w:t>*</w:t>
            </w:r>
          </w:p>
        </w:tc>
        <w:tc>
          <w:tcPr>
            <w:tcW w:w="1637" w:type="dxa"/>
            <w:shd w:val="clear" w:color="auto" w:fill="BFBFBF" w:themeFill="background1" w:themeFillShade="BF"/>
            <w:vAlign w:val="center"/>
          </w:tcPr>
          <w:p w14:paraId="4D8BA7E4"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-0.06 (-0.25, 0.13)</w:t>
            </w:r>
          </w:p>
        </w:tc>
        <w:tc>
          <w:tcPr>
            <w:tcW w:w="1637" w:type="dxa"/>
            <w:shd w:val="clear" w:color="auto" w:fill="BFBFBF" w:themeFill="background1" w:themeFillShade="BF"/>
            <w:vAlign w:val="center"/>
          </w:tcPr>
          <w:p w14:paraId="01B4B4D7"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0.71 (0.34, 1.46)</w:t>
            </w:r>
          </w:p>
        </w:tc>
        <w:tc>
          <w:tcPr>
            <w:tcW w:w="1637" w:type="dxa"/>
            <w:shd w:val="clear" w:color="auto" w:fill="BFBFBF" w:themeFill="background1" w:themeFillShade="BF"/>
            <w:vAlign w:val="center"/>
          </w:tcPr>
          <w:p w14:paraId="0C8A5BDF"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0.67 (0.25, 1.77)</w:t>
            </w:r>
          </w:p>
        </w:tc>
      </w:tr>
      <w:tr w:rsidR="00251D64" w:rsidRPr="00901D86" w14:paraId="5F067791" w14:textId="77777777" w:rsidTr="00D655DC">
        <w:tc>
          <w:tcPr>
            <w:tcW w:w="4106" w:type="dxa"/>
            <w:gridSpan w:val="3"/>
            <w:shd w:val="clear" w:color="auto" w:fill="BFBFBF" w:themeFill="background1" w:themeFillShade="BF"/>
          </w:tcPr>
          <w:p w14:paraId="3974F6ED" w14:textId="1096B728" w:rsidR="00251D64" w:rsidRPr="00901D86" w:rsidRDefault="00251D64" w:rsidP="00D655DC">
            <w:pPr>
              <w:keepNext/>
              <w:rPr>
                <w:rFonts w:ascii="Arial Narrow" w:hAnsi="Arial Narrow"/>
                <w:iCs/>
                <w:sz w:val="20"/>
                <w:szCs w:val="20"/>
              </w:rPr>
            </w:pPr>
            <w:r w:rsidRPr="00901D86">
              <w:rPr>
                <w:rFonts w:ascii="Arial Narrow" w:hAnsi="Arial Narrow"/>
                <w:iCs/>
                <w:sz w:val="20"/>
                <w:szCs w:val="20"/>
              </w:rPr>
              <w:t>Indirect analysis (GUS q4w vs ADA meta-analyses)</w:t>
            </w:r>
            <w:r w:rsidR="00BD583F">
              <w:rPr>
                <w:rFonts w:ascii="Arial Narrow" w:hAnsi="Arial Narrow"/>
                <w:iCs/>
                <w:sz w:val="20"/>
                <w:szCs w:val="20"/>
              </w:rPr>
              <w:t>*</w:t>
            </w:r>
          </w:p>
        </w:tc>
        <w:tc>
          <w:tcPr>
            <w:tcW w:w="1637" w:type="dxa"/>
            <w:shd w:val="clear" w:color="auto" w:fill="BFBFBF" w:themeFill="background1" w:themeFillShade="BF"/>
            <w:vAlign w:val="center"/>
          </w:tcPr>
          <w:p w14:paraId="5731AF16"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-0.01 (-0.23, 0.21)</w:t>
            </w:r>
          </w:p>
        </w:tc>
        <w:tc>
          <w:tcPr>
            <w:tcW w:w="1637" w:type="dxa"/>
            <w:shd w:val="clear" w:color="auto" w:fill="BFBFBF" w:themeFill="background1" w:themeFillShade="BF"/>
            <w:vAlign w:val="center"/>
          </w:tcPr>
          <w:p w14:paraId="2816BE01"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0.78 (0.36, 1.69)</w:t>
            </w:r>
          </w:p>
        </w:tc>
        <w:tc>
          <w:tcPr>
            <w:tcW w:w="1637" w:type="dxa"/>
            <w:shd w:val="clear" w:color="auto" w:fill="BFBFBF" w:themeFill="background1" w:themeFillShade="BF"/>
            <w:vAlign w:val="center"/>
          </w:tcPr>
          <w:p w14:paraId="0B83EC21"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0.81 (0.27, 2.39)</w:t>
            </w:r>
          </w:p>
        </w:tc>
      </w:tr>
    </w:tbl>
    <w:p w14:paraId="1625DDC1" w14:textId="77777777" w:rsidR="00251D64" w:rsidRPr="00901D86" w:rsidRDefault="00251D64" w:rsidP="00D655DC">
      <w:pPr>
        <w:keepNext/>
        <w:rPr>
          <w:rFonts w:ascii="Arial Narrow" w:hAnsi="Arial Narrow"/>
          <w:sz w:val="18"/>
          <w:szCs w:val="18"/>
        </w:rPr>
      </w:pPr>
      <w:r w:rsidRPr="00901D86">
        <w:rPr>
          <w:rFonts w:ascii="Arial Narrow" w:hAnsi="Arial Narrow"/>
          <w:sz w:val="18"/>
          <w:szCs w:val="18"/>
        </w:rPr>
        <w:t xml:space="preserve">Source: Table 2.59 and 2.60, p 167 of the submission. </w:t>
      </w:r>
    </w:p>
    <w:p w14:paraId="45B8F40E" w14:textId="77777777" w:rsidR="002C2775" w:rsidRPr="00901D86" w:rsidRDefault="00251D64" w:rsidP="00D655DC">
      <w:pPr>
        <w:keepNext/>
        <w:tabs>
          <w:tab w:val="left" w:pos="284"/>
        </w:tabs>
        <w:spacing w:after="120"/>
        <w:ind w:left="284" w:hanging="284"/>
        <w:rPr>
          <w:rFonts w:ascii="Arial Narrow" w:hAnsi="Arial Narrow"/>
          <w:sz w:val="18"/>
          <w:szCs w:val="18"/>
        </w:rPr>
      </w:pPr>
      <w:r w:rsidRPr="00901D86">
        <w:rPr>
          <w:rFonts w:ascii="Arial Narrow" w:hAnsi="Arial Narrow"/>
          <w:sz w:val="18"/>
          <w:szCs w:val="18"/>
          <w:vertAlign w:val="superscript"/>
        </w:rPr>
        <w:t>a</w:t>
      </w:r>
      <w:r w:rsidRPr="00901D86">
        <w:rPr>
          <w:rFonts w:ascii="Arial Narrow" w:hAnsi="Arial Narrow"/>
          <w:sz w:val="18"/>
          <w:szCs w:val="18"/>
          <w:vertAlign w:val="superscript"/>
        </w:rPr>
        <w:tab/>
      </w:r>
      <w:r w:rsidRPr="00901D86">
        <w:rPr>
          <w:rFonts w:ascii="Arial Narrow" w:hAnsi="Arial Narrow"/>
          <w:sz w:val="18"/>
          <w:szCs w:val="18"/>
        </w:rPr>
        <w:t>Exact proportions were not reported in the FUTURE-3 trials at Week 12 and were therefore estimated by visual inspection of graphs in the publications.</w:t>
      </w:r>
    </w:p>
    <w:p w14:paraId="637786BD" w14:textId="57462476" w:rsidR="00D655DC" w:rsidRPr="00BD583F" w:rsidRDefault="00BD583F" w:rsidP="00D655DC">
      <w:pPr>
        <w:pStyle w:val="Caption"/>
        <w:spacing w:after="0"/>
        <w:jc w:val="left"/>
        <w:rPr>
          <w:rStyle w:val="CommentReference"/>
          <w:rFonts w:eastAsiaTheme="majorEastAsia" w:cstheme="majorBidi"/>
          <w:b/>
          <w:color w:val="auto"/>
          <w:sz w:val="18"/>
          <w:szCs w:val="18"/>
        </w:rPr>
      </w:pPr>
      <w:bookmarkStart w:id="18" w:name="_Ref50431447"/>
      <w:r w:rsidRPr="00BD583F">
        <w:rPr>
          <w:rStyle w:val="CommentReference"/>
          <w:rFonts w:eastAsiaTheme="majorEastAsia" w:cstheme="majorBidi"/>
          <w:b/>
          <w:color w:val="auto"/>
          <w:sz w:val="18"/>
          <w:szCs w:val="18"/>
        </w:rPr>
        <w:t>*</w:t>
      </w:r>
      <w:r w:rsidRPr="00BD583F">
        <w:rPr>
          <w:rFonts w:ascii="Arial Narrow" w:hAnsi="Arial Narrow"/>
          <w:b w:val="0"/>
          <w:i/>
          <w:iCs/>
          <w:color w:val="222222"/>
          <w:shd w:val="clear" w:color="auto" w:fill="FFFFFF"/>
        </w:rPr>
        <w:t xml:space="preserve"> Note that the results presented in Table 4 are derived from post-hoc analyses conducted by the applicant specifically for the purposes of informing the PBAC consideration. These analyses were not part of the pre-specified statistical plan for any of the included biologic trials. Interpretation of the results and their application should therefore be limited to seeking to understand the basis for the PBAC outcome and should not be used for any other purpose.</w:t>
      </w:r>
    </w:p>
    <w:p w14:paraId="7B78EFB3" w14:textId="77777777" w:rsidR="00251D64" w:rsidRPr="00901D86" w:rsidRDefault="00251D64" w:rsidP="00D655DC">
      <w:pPr>
        <w:pStyle w:val="Caption"/>
        <w:keepNext/>
        <w:spacing w:after="0"/>
        <w:jc w:val="left"/>
        <w:rPr>
          <w:rFonts w:ascii="Arial Narrow" w:eastAsiaTheme="majorEastAsia" w:hAnsi="Arial Narrow" w:cstheme="majorBidi"/>
          <w:b w:val="0"/>
          <w:color w:val="auto"/>
          <w:sz w:val="20"/>
        </w:rPr>
      </w:pPr>
      <w:r w:rsidRPr="00901D86">
        <w:rPr>
          <w:rStyle w:val="CommentReference"/>
          <w:rFonts w:eastAsiaTheme="majorEastAsia" w:cstheme="majorBidi"/>
          <w:b/>
          <w:color w:val="auto"/>
          <w:szCs w:val="24"/>
        </w:rPr>
        <w:lastRenderedPageBreak/>
        <w:t>Table</w:t>
      </w:r>
      <w:bookmarkEnd w:id="18"/>
      <w:r w:rsidR="00205DEE">
        <w:rPr>
          <w:rStyle w:val="CommentReference"/>
          <w:rFonts w:eastAsiaTheme="majorEastAsia" w:cstheme="majorBidi"/>
          <w:b/>
          <w:color w:val="auto"/>
          <w:szCs w:val="24"/>
        </w:rPr>
        <w:t xml:space="preserve"> 5</w:t>
      </w:r>
      <w:r w:rsidRPr="00901D86">
        <w:rPr>
          <w:rStyle w:val="CommentReference"/>
          <w:rFonts w:eastAsiaTheme="majorEastAsia" w:cstheme="majorBidi"/>
          <w:b/>
          <w:color w:val="auto"/>
          <w:szCs w:val="24"/>
        </w:rPr>
        <w:t>: Results of ACR50 at induction phase (non-inferiority margin of 0.29 for RR)</w:t>
      </w:r>
    </w:p>
    <w:tbl>
      <w:tblPr>
        <w:tblStyle w:val="TableGrid"/>
        <w:tblW w:w="0" w:type="auto"/>
        <w:tblCellMar>
          <w:left w:w="28" w:type="dxa"/>
          <w:right w:w="28" w:type="dxa"/>
        </w:tblCellMar>
        <w:tblLook w:val="04A0" w:firstRow="1" w:lastRow="0" w:firstColumn="1" w:lastColumn="0" w:noHBand="0" w:noVBand="1"/>
        <w:tblCaption w:val="Table 6: Results of ACR50 at induction phase (non-inferiority margin of 0.29 for RR)"/>
        <w:tblDescription w:val="Table 6: Results of ACR50 at induction phase (non-inferiority margin of 0.29 for RR)"/>
      </w:tblPr>
      <w:tblGrid>
        <w:gridCol w:w="1413"/>
        <w:gridCol w:w="1346"/>
        <w:gridCol w:w="1347"/>
        <w:gridCol w:w="1637"/>
        <w:gridCol w:w="1637"/>
        <w:gridCol w:w="1637"/>
      </w:tblGrid>
      <w:tr w:rsidR="00251D64" w:rsidRPr="00901D86" w14:paraId="49020620" w14:textId="77777777" w:rsidTr="00C52C8C">
        <w:trPr>
          <w:tblHeader/>
        </w:trPr>
        <w:tc>
          <w:tcPr>
            <w:tcW w:w="1413" w:type="dxa"/>
          </w:tcPr>
          <w:p w14:paraId="6990AD92" w14:textId="77777777" w:rsidR="00251D64" w:rsidRPr="00901D86" w:rsidRDefault="00251D64" w:rsidP="00D655DC">
            <w:pPr>
              <w:keepNext/>
              <w:jc w:val="left"/>
              <w:rPr>
                <w:rFonts w:ascii="Arial Narrow" w:hAnsi="Arial Narrow"/>
                <w:b/>
                <w:sz w:val="20"/>
                <w:szCs w:val="20"/>
              </w:rPr>
            </w:pPr>
            <w:r w:rsidRPr="00901D86">
              <w:rPr>
                <w:rFonts w:ascii="Arial Narrow" w:hAnsi="Arial Narrow"/>
                <w:b/>
                <w:sz w:val="20"/>
                <w:szCs w:val="20"/>
              </w:rPr>
              <w:t xml:space="preserve">Trial </w:t>
            </w:r>
          </w:p>
        </w:tc>
        <w:tc>
          <w:tcPr>
            <w:tcW w:w="1346" w:type="dxa"/>
            <w:vAlign w:val="center"/>
          </w:tcPr>
          <w:p w14:paraId="6E5FAA81"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bDMARD</w:t>
            </w:r>
          </w:p>
        </w:tc>
        <w:tc>
          <w:tcPr>
            <w:tcW w:w="1347" w:type="dxa"/>
            <w:vAlign w:val="center"/>
          </w:tcPr>
          <w:p w14:paraId="671D095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Placebo</w:t>
            </w:r>
          </w:p>
        </w:tc>
        <w:tc>
          <w:tcPr>
            <w:tcW w:w="1637" w:type="dxa"/>
            <w:vAlign w:val="center"/>
          </w:tcPr>
          <w:p w14:paraId="5FFCB083"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RD (95% CI)</w:t>
            </w:r>
          </w:p>
        </w:tc>
        <w:tc>
          <w:tcPr>
            <w:tcW w:w="1637" w:type="dxa"/>
            <w:vAlign w:val="center"/>
          </w:tcPr>
          <w:p w14:paraId="7C0C843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RR (95%CI)</w:t>
            </w:r>
          </w:p>
        </w:tc>
        <w:tc>
          <w:tcPr>
            <w:tcW w:w="1637" w:type="dxa"/>
            <w:vAlign w:val="center"/>
          </w:tcPr>
          <w:p w14:paraId="0739A1D4"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OR (95%CI)</w:t>
            </w:r>
          </w:p>
        </w:tc>
      </w:tr>
      <w:tr w:rsidR="00251D64" w:rsidRPr="00901D86" w14:paraId="5AAE2688" w14:textId="77777777" w:rsidTr="00D655DC">
        <w:tc>
          <w:tcPr>
            <w:tcW w:w="9017" w:type="dxa"/>
            <w:gridSpan w:val="6"/>
          </w:tcPr>
          <w:p w14:paraId="6DB1D7BC" w14:textId="77777777" w:rsidR="00251D64" w:rsidRPr="00901D86" w:rsidRDefault="00251D64" w:rsidP="00D655DC">
            <w:pPr>
              <w:keepNext/>
              <w:jc w:val="left"/>
              <w:rPr>
                <w:rFonts w:ascii="Arial Narrow" w:hAnsi="Arial Narrow"/>
                <w:b/>
                <w:sz w:val="20"/>
                <w:szCs w:val="20"/>
              </w:rPr>
            </w:pPr>
            <w:r w:rsidRPr="00901D86">
              <w:rPr>
                <w:rFonts w:ascii="Arial Narrow" w:hAnsi="Arial Narrow"/>
                <w:b/>
                <w:sz w:val="20"/>
                <w:szCs w:val="20"/>
              </w:rPr>
              <w:t>Guselkumab 100mg q8w vs placebo (Week 16)</w:t>
            </w:r>
          </w:p>
        </w:tc>
      </w:tr>
      <w:tr w:rsidR="00251D64" w:rsidRPr="00901D86" w14:paraId="77277B5E" w14:textId="77777777" w:rsidTr="00D655DC">
        <w:tc>
          <w:tcPr>
            <w:tcW w:w="1413" w:type="dxa"/>
          </w:tcPr>
          <w:p w14:paraId="66090426"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DISCOVER 1</w:t>
            </w:r>
          </w:p>
        </w:tc>
        <w:tc>
          <w:tcPr>
            <w:tcW w:w="1346" w:type="dxa"/>
            <w:vAlign w:val="center"/>
          </w:tcPr>
          <w:p w14:paraId="02F1105B"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29/127 (23)</w:t>
            </w:r>
          </w:p>
        </w:tc>
        <w:tc>
          <w:tcPr>
            <w:tcW w:w="1347" w:type="dxa"/>
            <w:vAlign w:val="center"/>
          </w:tcPr>
          <w:p w14:paraId="750D31C5"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16/126 (13)</w:t>
            </w:r>
          </w:p>
        </w:tc>
        <w:tc>
          <w:tcPr>
            <w:tcW w:w="1637" w:type="dxa"/>
            <w:vAlign w:val="center"/>
          </w:tcPr>
          <w:p w14:paraId="163B540C" w14:textId="77777777" w:rsidR="00251D64" w:rsidRPr="00901D86" w:rsidRDefault="00251D64" w:rsidP="00D655DC">
            <w:pPr>
              <w:keepNext/>
              <w:jc w:val="center"/>
              <w:rPr>
                <w:rFonts w:ascii="Arial Narrow" w:hAnsi="Arial Narrow"/>
                <w:bCs/>
                <w:sz w:val="20"/>
                <w:szCs w:val="20"/>
              </w:rPr>
            </w:pPr>
            <w:r w:rsidRPr="00901D86">
              <w:rPr>
                <w:rFonts w:ascii="Arial Narrow" w:hAnsi="Arial Narrow"/>
                <w:bCs/>
                <w:sz w:val="20"/>
                <w:szCs w:val="20"/>
              </w:rPr>
              <w:t>0.10 (0.01, 0.19)</w:t>
            </w:r>
          </w:p>
        </w:tc>
        <w:tc>
          <w:tcPr>
            <w:tcW w:w="1637" w:type="dxa"/>
            <w:vAlign w:val="center"/>
          </w:tcPr>
          <w:p w14:paraId="7D14161D" w14:textId="77777777" w:rsidR="00251D64" w:rsidRPr="00901D86" w:rsidRDefault="00251D64" w:rsidP="00D655DC">
            <w:pPr>
              <w:keepNext/>
              <w:jc w:val="center"/>
              <w:rPr>
                <w:rFonts w:ascii="Arial Narrow" w:hAnsi="Arial Narrow"/>
                <w:bCs/>
                <w:sz w:val="20"/>
                <w:szCs w:val="20"/>
              </w:rPr>
            </w:pPr>
            <w:r w:rsidRPr="00901D86">
              <w:rPr>
                <w:rFonts w:ascii="Arial Narrow" w:hAnsi="Arial Narrow"/>
                <w:bCs/>
                <w:sz w:val="20"/>
                <w:szCs w:val="20"/>
              </w:rPr>
              <w:t>1.80 (1.03, 3.14)</w:t>
            </w:r>
          </w:p>
        </w:tc>
        <w:tc>
          <w:tcPr>
            <w:tcW w:w="1637" w:type="dxa"/>
            <w:vAlign w:val="center"/>
          </w:tcPr>
          <w:p w14:paraId="06A15ADD" w14:textId="77777777" w:rsidR="00251D64" w:rsidRPr="00901D86" w:rsidRDefault="00251D64" w:rsidP="00D655DC">
            <w:pPr>
              <w:keepNext/>
              <w:jc w:val="center"/>
              <w:rPr>
                <w:rFonts w:ascii="Arial Narrow" w:hAnsi="Arial Narrow"/>
                <w:bCs/>
                <w:sz w:val="20"/>
                <w:szCs w:val="20"/>
              </w:rPr>
            </w:pPr>
            <w:r w:rsidRPr="00901D86">
              <w:rPr>
                <w:rFonts w:ascii="Arial Narrow" w:hAnsi="Arial Narrow"/>
                <w:bCs/>
                <w:sz w:val="20"/>
                <w:szCs w:val="20"/>
              </w:rPr>
              <w:t>2.03 (1.04, 3.97)</w:t>
            </w:r>
          </w:p>
        </w:tc>
      </w:tr>
      <w:tr w:rsidR="00251D64" w:rsidRPr="00901D86" w14:paraId="2EE0A83C" w14:textId="77777777" w:rsidTr="00D655DC">
        <w:tc>
          <w:tcPr>
            <w:tcW w:w="1413" w:type="dxa"/>
          </w:tcPr>
          <w:p w14:paraId="40B4AFFF"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DISCOVER 2</w:t>
            </w:r>
          </w:p>
        </w:tc>
        <w:tc>
          <w:tcPr>
            <w:tcW w:w="1346" w:type="dxa"/>
            <w:vAlign w:val="center"/>
          </w:tcPr>
          <w:p w14:paraId="6ED0A45F"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71/248 (29)</w:t>
            </w:r>
          </w:p>
        </w:tc>
        <w:tc>
          <w:tcPr>
            <w:tcW w:w="1347" w:type="dxa"/>
            <w:vAlign w:val="center"/>
          </w:tcPr>
          <w:p w14:paraId="553ECF70"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23/246 (9)</w:t>
            </w:r>
          </w:p>
        </w:tc>
        <w:tc>
          <w:tcPr>
            <w:tcW w:w="1637" w:type="dxa"/>
            <w:vAlign w:val="center"/>
          </w:tcPr>
          <w:p w14:paraId="65A8F080"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0.19 (0.12, 0.26)</w:t>
            </w:r>
          </w:p>
        </w:tc>
        <w:tc>
          <w:tcPr>
            <w:tcW w:w="1637" w:type="dxa"/>
            <w:vAlign w:val="center"/>
          </w:tcPr>
          <w:p w14:paraId="1D1F3F29" w14:textId="77777777" w:rsidR="00251D64" w:rsidRPr="00901D86" w:rsidRDefault="00251D64" w:rsidP="00D655DC">
            <w:pPr>
              <w:keepNext/>
              <w:jc w:val="center"/>
              <w:rPr>
                <w:rFonts w:ascii="Arial Narrow" w:hAnsi="Arial Narrow"/>
                <w:b/>
                <w:i/>
                <w:sz w:val="20"/>
                <w:szCs w:val="20"/>
              </w:rPr>
            </w:pPr>
            <w:r w:rsidRPr="00901D86">
              <w:rPr>
                <w:rFonts w:ascii="Arial Narrow" w:hAnsi="Arial Narrow"/>
                <w:b/>
                <w:sz w:val="20"/>
                <w:szCs w:val="20"/>
              </w:rPr>
              <w:t>3.06 (2.00, 4.74)</w:t>
            </w:r>
          </w:p>
        </w:tc>
        <w:tc>
          <w:tcPr>
            <w:tcW w:w="1637" w:type="dxa"/>
            <w:vAlign w:val="center"/>
          </w:tcPr>
          <w:p w14:paraId="52C6C782" w14:textId="77777777" w:rsidR="00251D64" w:rsidRPr="00901D86" w:rsidRDefault="00251D64" w:rsidP="00D655DC">
            <w:pPr>
              <w:keepNext/>
              <w:jc w:val="center"/>
              <w:rPr>
                <w:rFonts w:ascii="Arial Narrow" w:hAnsi="Arial Narrow"/>
                <w:b/>
                <w:i/>
                <w:sz w:val="20"/>
                <w:szCs w:val="20"/>
              </w:rPr>
            </w:pPr>
            <w:r w:rsidRPr="00901D86">
              <w:rPr>
                <w:rFonts w:ascii="Arial Narrow" w:hAnsi="Arial Narrow"/>
                <w:b/>
                <w:sz w:val="20"/>
                <w:szCs w:val="20"/>
              </w:rPr>
              <w:t>3.89 (2.29, 6.78)</w:t>
            </w:r>
          </w:p>
        </w:tc>
      </w:tr>
      <w:tr w:rsidR="00251D64" w:rsidRPr="00901D86" w14:paraId="4830DD28" w14:textId="77777777" w:rsidTr="00D655DC">
        <w:tc>
          <w:tcPr>
            <w:tcW w:w="1413" w:type="dxa"/>
            <w:shd w:val="clear" w:color="auto" w:fill="F2F2F2" w:themeFill="background1" w:themeFillShade="F2"/>
          </w:tcPr>
          <w:p w14:paraId="7BA2CFBF"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vAlign w:val="center"/>
          </w:tcPr>
          <w:p w14:paraId="3008DD4E"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100/375 (27)</w:t>
            </w:r>
          </w:p>
        </w:tc>
        <w:tc>
          <w:tcPr>
            <w:tcW w:w="1347" w:type="dxa"/>
            <w:shd w:val="clear" w:color="auto" w:fill="F2F2F2" w:themeFill="background1" w:themeFillShade="F2"/>
            <w:vAlign w:val="center"/>
          </w:tcPr>
          <w:p w14:paraId="5F1ECA2F" w14:textId="77777777" w:rsidR="00251D64" w:rsidRPr="00901D86" w:rsidRDefault="00251D64" w:rsidP="00D655DC">
            <w:pPr>
              <w:keepNext/>
              <w:jc w:val="center"/>
              <w:rPr>
                <w:rFonts w:ascii="Arial Narrow" w:hAnsi="Arial Narrow"/>
                <w:sz w:val="20"/>
                <w:szCs w:val="20"/>
              </w:rPr>
            </w:pPr>
            <w:r w:rsidRPr="00901D86">
              <w:rPr>
                <w:rFonts w:ascii="Arial Narrow" w:hAnsi="Arial Narrow"/>
                <w:iCs/>
                <w:sz w:val="20"/>
                <w:szCs w:val="20"/>
              </w:rPr>
              <w:t>39</w:t>
            </w:r>
            <w:r w:rsidRPr="00901D86">
              <w:rPr>
                <w:rFonts w:ascii="Arial Narrow" w:hAnsi="Arial Narrow"/>
                <w:sz w:val="20"/>
                <w:szCs w:val="20"/>
              </w:rPr>
              <w:t>/372 (10)</w:t>
            </w:r>
          </w:p>
        </w:tc>
        <w:tc>
          <w:tcPr>
            <w:tcW w:w="1637" w:type="dxa"/>
            <w:shd w:val="clear" w:color="auto" w:fill="F2F2F2" w:themeFill="background1" w:themeFillShade="F2"/>
            <w:vAlign w:val="center"/>
          </w:tcPr>
          <w:p w14:paraId="3B3F468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0.15 (0.07, 0.24)</w:t>
            </w:r>
          </w:p>
        </w:tc>
        <w:tc>
          <w:tcPr>
            <w:tcW w:w="1637" w:type="dxa"/>
            <w:shd w:val="clear" w:color="auto" w:fill="F2F2F2" w:themeFill="background1" w:themeFillShade="F2"/>
            <w:vAlign w:val="center"/>
          </w:tcPr>
          <w:p w14:paraId="0581F155" w14:textId="77777777" w:rsidR="00251D64" w:rsidRPr="00901D86" w:rsidRDefault="00251D64" w:rsidP="00D655DC">
            <w:pPr>
              <w:keepNext/>
              <w:jc w:val="center"/>
              <w:rPr>
                <w:rFonts w:ascii="Arial Narrow" w:hAnsi="Arial Narrow"/>
                <w:b/>
                <w:i/>
                <w:sz w:val="20"/>
                <w:szCs w:val="20"/>
              </w:rPr>
            </w:pPr>
            <w:r w:rsidRPr="00901D86">
              <w:rPr>
                <w:rFonts w:ascii="Arial Narrow" w:hAnsi="Arial Narrow"/>
                <w:b/>
                <w:sz w:val="20"/>
                <w:szCs w:val="20"/>
              </w:rPr>
              <w:t>2.42 (1.44, 4.06)</w:t>
            </w:r>
          </w:p>
        </w:tc>
        <w:tc>
          <w:tcPr>
            <w:tcW w:w="1637" w:type="dxa"/>
            <w:shd w:val="clear" w:color="auto" w:fill="F2F2F2" w:themeFill="background1" w:themeFillShade="F2"/>
            <w:vAlign w:val="center"/>
          </w:tcPr>
          <w:p w14:paraId="6513EB25" w14:textId="77777777" w:rsidR="00251D64" w:rsidRPr="00901D86" w:rsidRDefault="00251D64" w:rsidP="00D655DC">
            <w:pPr>
              <w:keepNext/>
              <w:jc w:val="center"/>
              <w:rPr>
                <w:rFonts w:ascii="Arial Narrow" w:hAnsi="Arial Narrow"/>
                <w:b/>
                <w:i/>
                <w:sz w:val="20"/>
                <w:szCs w:val="20"/>
              </w:rPr>
            </w:pPr>
            <w:r w:rsidRPr="00901D86">
              <w:rPr>
                <w:rFonts w:ascii="Arial Narrow" w:hAnsi="Arial Narrow"/>
                <w:b/>
                <w:sz w:val="20"/>
                <w:szCs w:val="20"/>
              </w:rPr>
              <w:t>2.92 (1.55, 5.49)</w:t>
            </w:r>
          </w:p>
        </w:tc>
      </w:tr>
      <w:tr w:rsidR="00251D64" w:rsidRPr="00901D86" w14:paraId="6211251A" w14:textId="77777777" w:rsidTr="00D655DC">
        <w:tc>
          <w:tcPr>
            <w:tcW w:w="9017" w:type="dxa"/>
            <w:gridSpan w:val="6"/>
          </w:tcPr>
          <w:p w14:paraId="15A124E5" w14:textId="77777777" w:rsidR="00251D64" w:rsidRPr="00901D86" w:rsidRDefault="00251D64" w:rsidP="00D655DC">
            <w:pPr>
              <w:keepNext/>
              <w:jc w:val="left"/>
              <w:rPr>
                <w:rFonts w:ascii="Arial Narrow" w:hAnsi="Arial Narrow"/>
                <w:b/>
                <w:sz w:val="20"/>
                <w:szCs w:val="20"/>
              </w:rPr>
            </w:pPr>
            <w:r w:rsidRPr="00901D86">
              <w:rPr>
                <w:rFonts w:ascii="Arial Narrow" w:hAnsi="Arial Narrow"/>
                <w:b/>
                <w:sz w:val="20"/>
                <w:szCs w:val="20"/>
              </w:rPr>
              <w:t>Guselkumab 100mg q4w vs placebo (Week 16)</w:t>
            </w:r>
          </w:p>
        </w:tc>
      </w:tr>
      <w:tr w:rsidR="00251D64" w:rsidRPr="00901D86" w14:paraId="109E19AC" w14:textId="77777777" w:rsidTr="00D655DC">
        <w:tc>
          <w:tcPr>
            <w:tcW w:w="1413" w:type="dxa"/>
          </w:tcPr>
          <w:p w14:paraId="46C95453"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DISCOVER 1</w:t>
            </w:r>
          </w:p>
        </w:tc>
        <w:tc>
          <w:tcPr>
            <w:tcW w:w="1346" w:type="dxa"/>
            <w:vAlign w:val="center"/>
          </w:tcPr>
          <w:p w14:paraId="34B4D3FD"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34/128 (27)</w:t>
            </w:r>
          </w:p>
        </w:tc>
        <w:tc>
          <w:tcPr>
            <w:tcW w:w="1347" w:type="dxa"/>
            <w:vAlign w:val="center"/>
          </w:tcPr>
          <w:p w14:paraId="1835509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16/126 (13)</w:t>
            </w:r>
          </w:p>
        </w:tc>
        <w:tc>
          <w:tcPr>
            <w:tcW w:w="1637" w:type="dxa"/>
            <w:vAlign w:val="center"/>
          </w:tcPr>
          <w:p w14:paraId="5061E68E"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0.14 (0.04, 0.24)</w:t>
            </w:r>
          </w:p>
        </w:tc>
        <w:tc>
          <w:tcPr>
            <w:tcW w:w="1637" w:type="dxa"/>
            <w:vAlign w:val="center"/>
          </w:tcPr>
          <w:p w14:paraId="56D6C1C8"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2.09 (1.23, 3.59)</w:t>
            </w:r>
          </w:p>
        </w:tc>
        <w:tc>
          <w:tcPr>
            <w:tcW w:w="1637" w:type="dxa"/>
            <w:vAlign w:val="center"/>
          </w:tcPr>
          <w:p w14:paraId="07D4FA97"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2.49 (1.24, 5.13)</w:t>
            </w:r>
          </w:p>
        </w:tc>
      </w:tr>
      <w:tr w:rsidR="00251D64" w:rsidRPr="00901D86" w14:paraId="3EE46560" w14:textId="77777777" w:rsidTr="00D655DC">
        <w:tc>
          <w:tcPr>
            <w:tcW w:w="1413" w:type="dxa"/>
          </w:tcPr>
          <w:p w14:paraId="1C4B9269"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DISCOVER 2</w:t>
            </w:r>
          </w:p>
        </w:tc>
        <w:tc>
          <w:tcPr>
            <w:tcW w:w="1346" w:type="dxa"/>
            <w:vAlign w:val="center"/>
          </w:tcPr>
          <w:p w14:paraId="1A3C7F1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51/245 (21)</w:t>
            </w:r>
          </w:p>
        </w:tc>
        <w:tc>
          <w:tcPr>
            <w:tcW w:w="1347" w:type="dxa"/>
            <w:vAlign w:val="center"/>
          </w:tcPr>
          <w:p w14:paraId="1DE470FF"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23/246 (9)</w:t>
            </w:r>
          </w:p>
        </w:tc>
        <w:tc>
          <w:tcPr>
            <w:tcW w:w="1637" w:type="dxa"/>
            <w:vAlign w:val="center"/>
          </w:tcPr>
          <w:p w14:paraId="5FCF9FBB"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0.11 (0.05, 0.18)</w:t>
            </w:r>
          </w:p>
        </w:tc>
        <w:tc>
          <w:tcPr>
            <w:tcW w:w="1637" w:type="dxa"/>
            <w:vAlign w:val="center"/>
          </w:tcPr>
          <w:p w14:paraId="3B2FB282"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2.23 (1.42, 3.52)</w:t>
            </w:r>
          </w:p>
        </w:tc>
        <w:tc>
          <w:tcPr>
            <w:tcW w:w="1637" w:type="dxa"/>
            <w:vAlign w:val="center"/>
          </w:tcPr>
          <w:p w14:paraId="2FDFFC72"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2.55 (1.46, 4.53)</w:t>
            </w:r>
          </w:p>
        </w:tc>
      </w:tr>
      <w:tr w:rsidR="00251D64" w:rsidRPr="00901D86" w14:paraId="5E9F64F4" w14:textId="77777777" w:rsidTr="00D655DC">
        <w:tc>
          <w:tcPr>
            <w:tcW w:w="1413" w:type="dxa"/>
            <w:shd w:val="clear" w:color="auto" w:fill="F2F2F2" w:themeFill="background1" w:themeFillShade="F2"/>
          </w:tcPr>
          <w:p w14:paraId="5B11E40C"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vAlign w:val="center"/>
          </w:tcPr>
          <w:p w14:paraId="586687D6"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85/373 (23)</w:t>
            </w:r>
          </w:p>
        </w:tc>
        <w:tc>
          <w:tcPr>
            <w:tcW w:w="1347" w:type="dxa"/>
            <w:shd w:val="clear" w:color="auto" w:fill="F2F2F2" w:themeFill="background1" w:themeFillShade="F2"/>
            <w:vAlign w:val="center"/>
          </w:tcPr>
          <w:p w14:paraId="7075F0A9"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39/372 (10)</w:t>
            </w:r>
          </w:p>
        </w:tc>
        <w:tc>
          <w:tcPr>
            <w:tcW w:w="1637" w:type="dxa"/>
            <w:shd w:val="clear" w:color="auto" w:fill="F2F2F2" w:themeFill="background1" w:themeFillShade="F2"/>
            <w:vAlign w:val="center"/>
          </w:tcPr>
          <w:p w14:paraId="779E6E04"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0.12 (0.07, 0.17)</w:t>
            </w:r>
          </w:p>
        </w:tc>
        <w:tc>
          <w:tcPr>
            <w:tcW w:w="1637" w:type="dxa"/>
            <w:shd w:val="clear" w:color="auto" w:fill="F2F2F2" w:themeFill="background1" w:themeFillShade="F2"/>
            <w:vAlign w:val="center"/>
          </w:tcPr>
          <w:p w14:paraId="13EF7B94"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2.17 (1.53, 3.08)</w:t>
            </w:r>
          </w:p>
        </w:tc>
        <w:tc>
          <w:tcPr>
            <w:tcW w:w="1637" w:type="dxa"/>
            <w:shd w:val="clear" w:color="auto" w:fill="F2F2F2" w:themeFill="background1" w:themeFillShade="F2"/>
            <w:vAlign w:val="center"/>
          </w:tcPr>
          <w:p w14:paraId="6564946F"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2.52 (1.67, 3.81)</w:t>
            </w:r>
          </w:p>
        </w:tc>
      </w:tr>
      <w:tr w:rsidR="00251D64" w:rsidRPr="00901D86" w14:paraId="65A0082A" w14:textId="77777777" w:rsidTr="00D655DC">
        <w:tc>
          <w:tcPr>
            <w:tcW w:w="9017" w:type="dxa"/>
            <w:gridSpan w:val="6"/>
          </w:tcPr>
          <w:p w14:paraId="23F0BD6F" w14:textId="77777777" w:rsidR="00251D64" w:rsidRPr="00901D86" w:rsidRDefault="00251D64" w:rsidP="00D655DC">
            <w:pPr>
              <w:keepNext/>
              <w:jc w:val="left"/>
              <w:rPr>
                <w:rFonts w:ascii="Arial Narrow" w:hAnsi="Arial Narrow"/>
                <w:b/>
                <w:sz w:val="20"/>
                <w:szCs w:val="20"/>
              </w:rPr>
            </w:pPr>
            <w:r w:rsidRPr="00901D86">
              <w:rPr>
                <w:rFonts w:ascii="Arial Narrow" w:hAnsi="Arial Narrow"/>
                <w:b/>
                <w:sz w:val="20"/>
                <w:szCs w:val="20"/>
              </w:rPr>
              <w:t>Ustekinumab 45mg vs placebo (Week 16)</w:t>
            </w:r>
          </w:p>
        </w:tc>
      </w:tr>
      <w:tr w:rsidR="00251D64" w:rsidRPr="00901D86" w14:paraId="71D8C69C" w14:textId="77777777" w:rsidTr="00D655DC">
        <w:tc>
          <w:tcPr>
            <w:tcW w:w="1413" w:type="dxa"/>
          </w:tcPr>
          <w:p w14:paraId="47661FFB"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PSUMMIT-1</w:t>
            </w:r>
          </w:p>
        </w:tc>
        <w:tc>
          <w:tcPr>
            <w:tcW w:w="1346" w:type="dxa"/>
            <w:vAlign w:val="center"/>
          </w:tcPr>
          <w:p w14:paraId="33E5A92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31/205 (15)</w:t>
            </w:r>
          </w:p>
        </w:tc>
        <w:tc>
          <w:tcPr>
            <w:tcW w:w="1347" w:type="dxa"/>
            <w:vAlign w:val="center"/>
          </w:tcPr>
          <w:p w14:paraId="0C9786F4"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14/206 (7)</w:t>
            </w:r>
          </w:p>
        </w:tc>
        <w:tc>
          <w:tcPr>
            <w:tcW w:w="1637" w:type="dxa"/>
            <w:vAlign w:val="center"/>
          </w:tcPr>
          <w:p w14:paraId="2C20F830"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0.08 (0.02, 0.14)</w:t>
            </w:r>
          </w:p>
        </w:tc>
        <w:tc>
          <w:tcPr>
            <w:tcW w:w="1637" w:type="dxa"/>
            <w:vAlign w:val="center"/>
          </w:tcPr>
          <w:p w14:paraId="07DE101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2.23 (1.22, 4.06)</w:t>
            </w:r>
          </w:p>
        </w:tc>
        <w:tc>
          <w:tcPr>
            <w:tcW w:w="1637" w:type="dxa"/>
            <w:vAlign w:val="center"/>
          </w:tcPr>
          <w:p w14:paraId="6D1C4D92"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2.44 (1.26, 4.74)</w:t>
            </w:r>
          </w:p>
        </w:tc>
      </w:tr>
      <w:tr w:rsidR="00251D64" w:rsidRPr="00901D86" w14:paraId="029888FA" w14:textId="77777777" w:rsidTr="00D655DC">
        <w:tc>
          <w:tcPr>
            <w:tcW w:w="1413" w:type="dxa"/>
          </w:tcPr>
          <w:p w14:paraId="24483028"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PSUMMIT-2</w:t>
            </w:r>
          </w:p>
        </w:tc>
        <w:tc>
          <w:tcPr>
            <w:tcW w:w="1346" w:type="dxa"/>
            <w:vAlign w:val="center"/>
          </w:tcPr>
          <w:p w14:paraId="006C2E26"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17/103 (17)</w:t>
            </w:r>
          </w:p>
        </w:tc>
        <w:tc>
          <w:tcPr>
            <w:tcW w:w="1347" w:type="dxa"/>
            <w:vAlign w:val="center"/>
          </w:tcPr>
          <w:p w14:paraId="51332372"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3/104 (3)</w:t>
            </w:r>
          </w:p>
        </w:tc>
        <w:tc>
          <w:tcPr>
            <w:tcW w:w="1637" w:type="dxa"/>
            <w:vAlign w:val="center"/>
          </w:tcPr>
          <w:p w14:paraId="31E3BCB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0.14 (0.06, 0.21)</w:t>
            </w:r>
          </w:p>
        </w:tc>
        <w:tc>
          <w:tcPr>
            <w:tcW w:w="1637" w:type="dxa"/>
            <w:vAlign w:val="center"/>
          </w:tcPr>
          <w:p w14:paraId="08CC41F5"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5.72 (1.73, 18.94)</w:t>
            </w:r>
          </w:p>
        </w:tc>
        <w:tc>
          <w:tcPr>
            <w:tcW w:w="1637" w:type="dxa"/>
            <w:vAlign w:val="center"/>
          </w:tcPr>
          <w:p w14:paraId="1F0AF653"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6.66 (1.89, 23.48)</w:t>
            </w:r>
          </w:p>
        </w:tc>
      </w:tr>
      <w:tr w:rsidR="00251D64" w:rsidRPr="00901D86" w14:paraId="68D5F75B" w14:textId="77777777" w:rsidTr="00D655DC">
        <w:tc>
          <w:tcPr>
            <w:tcW w:w="1413" w:type="dxa"/>
            <w:shd w:val="clear" w:color="auto" w:fill="F2F2F2" w:themeFill="background1" w:themeFillShade="F2"/>
          </w:tcPr>
          <w:p w14:paraId="30CB827D"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vAlign w:val="center"/>
          </w:tcPr>
          <w:p w14:paraId="0A59BA93"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48/308 (16)</w:t>
            </w:r>
          </w:p>
        </w:tc>
        <w:tc>
          <w:tcPr>
            <w:tcW w:w="1347" w:type="dxa"/>
            <w:shd w:val="clear" w:color="auto" w:fill="F2F2F2" w:themeFill="background1" w:themeFillShade="F2"/>
            <w:vAlign w:val="center"/>
          </w:tcPr>
          <w:p w14:paraId="2F57569F"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17/310 (6)</w:t>
            </w:r>
          </w:p>
        </w:tc>
        <w:tc>
          <w:tcPr>
            <w:tcW w:w="1637" w:type="dxa"/>
            <w:shd w:val="clear" w:color="auto" w:fill="F2F2F2" w:themeFill="background1" w:themeFillShade="F2"/>
            <w:vAlign w:val="center"/>
          </w:tcPr>
          <w:p w14:paraId="44A2D49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0.10 (0.05, 0.15)</w:t>
            </w:r>
          </w:p>
        </w:tc>
        <w:tc>
          <w:tcPr>
            <w:tcW w:w="1637" w:type="dxa"/>
            <w:shd w:val="clear" w:color="auto" w:fill="F2F2F2" w:themeFill="background1" w:themeFillShade="F2"/>
            <w:vAlign w:val="center"/>
          </w:tcPr>
          <w:p w14:paraId="35C2CC52"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3.09 (1.27, 7.52)</w:t>
            </w:r>
          </w:p>
        </w:tc>
        <w:tc>
          <w:tcPr>
            <w:tcW w:w="1637" w:type="dxa"/>
            <w:shd w:val="clear" w:color="auto" w:fill="F2F2F2" w:themeFill="background1" w:themeFillShade="F2"/>
            <w:vAlign w:val="center"/>
          </w:tcPr>
          <w:p w14:paraId="0D253E5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3.48 (1.35, 8.94)</w:t>
            </w:r>
          </w:p>
        </w:tc>
      </w:tr>
      <w:tr w:rsidR="00251D64" w:rsidRPr="00901D86" w14:paraId="54B6961A" w14:textId="77777777" w:rsidTr="00D655DC">
        <w:tc>
          <w:tcPr>
            <w:tcW w:w="4106" w:type="dxa"/>
            <w:gridSpan w:val="3"/>
            <w:shd w:val="clear" w:color="auto" w:fill="BFBFBF" w:themeFill="background1" w:themeFillShade="BF"/>
          </w:tcPr>
          <w:p w14:paraId="737F5724" w14:textId="44819CC1" w:rsidR="00251D64" w:rsidRPr="00901D86" w:rsidRDefault="00251D64" w:rsidP="00D655DC">
            <w:pPr>
              <w:keepNext/>
              <w:jc w:val="left"/>
              <w:rPr>
                <w:rFonts w:ascii="Arial Narrow" w:hAnsi="Arial Narrow"/>
                <w:color w:val="FF0000"/>
                <w:sz w:val="20"/>
                <w:szCs w:val="20"/>
              </w:rPr>
            </w:pPr>
            <w:r w:rsidRPr="00901D86">
              <w:rPr>
                <w:rFonts w:ascii="Arial Narrow" w:hAnsi="Arial Narrow"/>
                <w:sz w:val="20"/>
                <w:szCs w:val="20"/>
              </w:rPr>
              <w:t>Indirect analysis (GUS q8w vs UST [16] meta-analyses)</w:t>
            </w:r>
            <w:r w:rsidR="00B67DF8">
              <w:rPr>
                <w:rFonts w:ascii="Arial Narrow" w:hAnsi="Arial Narrow"/>
                <w:sz w:val="20"/>
                <w:szCs w:val="20"/>
              </w:rPr>
              <w:t>*</w:t>
            </w:r>
          </w:p>
        </w:tc>
        <w:tc>
          <w:tcPr>
            <w:tcW w:w="1637" w:type="dxa"/>
            <w:shd w:val="clear" w:color="auto" w:fill="BFBFBF" w:themeFill="background1" w:themeFillShade="BF"/>
            <w:vAlign w:val="center"/>
          </w:tcPr>
          <w:p w14:paraId="773EEE4B"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0.05 (-0.05, 0.15)</w:t>
            </w:r>
          </w:p>
        </w:tc>
        <w:tc>
          <w:tcPr>
            <w:tcW w:w="1637" w:type="dxa"/>
            <w:shd w:val="clear" w:color="auto" w:fill="BFBFBF" w:themeFill="background1" w:themeFillShade="BF"/>
            <w:vAlign w:val="center"/>
          </w:tcPr>
          <w:p w14:paraId="4448BAF1"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0.78 (0.28, 2.19)</w:t>
            </w:r>
          </w:p>
        </w:tc>
        <w:tc>
          <w:tcPr>
            <w:tcW w:w="1637" w:type="dxa"/>
            <w:shd w:val="clear" w:color="auto" w:fill="BFBFBF" w:themeFill="background1" w:themeFillShade="BF"/>
            <w:vAlign w:val="center"/>
          </w:tcPr>
          <w:p w14:paraId="3538879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0.84 (0.27, 2.62)</w:t>
            </w:r>
            <w:r w:rsidR="006C010F">
              <w:rPr>
                <w:rFonts w:ascii="Arial Narrow" w:hAnsi="Arial Narrow"/>
                <w:sz w:val="20"/>
                <w:szCs w:val="20"/>
              </w:rPr>
              <w:t>5</w:t>
            </w:r>
          </w:p>
        </w:tc>
      </w:tr>
      <w:tr w:rsidR="00251D64" w:rsidRPr="00901D86" w14:paraId="54FBAF74" w14:textId="77777777" w:rsidTr="00D655DC">
        <w:tc>
          <w:tcPr>
            <w:tcW w:w="4106" w:type="dxa"/>
            <w:gridSpan w:val="3"/>
            <w:shd w:val="clear" w:color="auto" w:fill="BFBFBF" w:themeFill="background1" w:themeFillShade="BF"/>
          </w:tcPr>
          <w:p w14:paraId="7BA95303" w14:textId="06DC53E1" w:rsidR="00251D64" w:rsidRPr="00901D86" w:rsidRDefault="00251D64" w:rsidP="00D655DC">
            <w:pPr>
              <w:keepNext/>
              <w:jc w:val="left"/>
              <w:rPr>
                <w:rFonts w:ascii="Arial Narrow" w:hAnsi="Arial Narrow"/>
                <w:iCs/>
                <w:sz w:val="20"/>
                <w:szCs w:val="20"/>
              </w:rPr>
            </w:pPr>
            <w:r w:rsidRPr="00901D86">
              <w:rPr>
                <w:rFonts w:ascii="Arial Narrow" w:hAnsi="Arial Narrow"/>
                <w:iCs/>
                <w:sz w:val="20"/>
                <w:szCs w:val="20"/>
              </w:rPr>
              <w:t>Indirect analysis (GUS q4w vs UST [16] meta-analyses)</w:t>
            </w:r>
            <w:r w:rsidR="00B67DF8">
              <w:rPr>
                <w:rFonts w:ascii="Arial Narrow" w:hAnsi="Arial Narrow"/>
                <w:iCs/>
                <w:sz w:val="20"/>
                <w:szCs w:val="20"/>
              </w:rPr>
              <w:t>*</w:t>
            </w:r>
          </w:p>
        </w:tc>
        <w:tc>
          <w:tcPr>
            <w:tcW w:w="1637" w:type="dxa"/>
            <w:shd w:val="clear" w:color="auto" w:fill="BFBFBF" w:themeFill="background1" w:themeFillShade="BF"/>
            <w:vAlign w:val="center"/>
          </w:tcPr>
          <w:p w14:paraId="29E285B0"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0.02 (-0.05, 0.09)</w:t>
            </w:r>
          </w:p>
        </w:tc>
        <w:tc>
          <w:tcPr>
            <w:tcW w:w="1637" w:type="dxa"/>
            <w:shd w:val="clear" w:color="auto" w:fill="BFBFBF" w:themeFill="background1" w:themeFillShade="BF"/>
            <w:vAlign w:val="center"/>
          </w:tcPr>
          <w:p w14:paraId="722F847B"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0.72 (0.27, 1.83)</w:t>
            </w:r>
          </w:p>
        </w:tc>
        <w:tc>
          <w:tcPr>
            <w:tcW w:w="1637" w:type="dxa"/>
            <w:shd w:val="clear" w:color="auto" w:fill="BFBFBF" w:themeFill="background1" w:themeFillShade="BF"/>
            <w:vAlign w:val="center"/>
          </w:tcPr>
          <w:p w14:paraId="23FA50D5"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0.72 (0.26, 2.03)</w:t>
            </w:r>
          </w:p>
        </w:tc>
      </w:tr>
      <w:tr w:rsidR="00251D64" w:rsidRPr="00901D86" w14:paraId="0E20D4F4" w14:textId="77777777" w:rsidTr="00D655DC">
        <w:tc>
          <w:tcPr>
            <w:tcW w:w="9017" w:type="dxa"/>
            <w:gridSpan w:val="6"/>
          </w:tcPr>
          <w:p w14:paraId="5686D832" w14:textId="77777777" w:rsidR="00251D64" w:rsidRPr="00901D86" w:rsidRDefault="00251D64" w:rsidP="00D655DC">
            <w:pPr>
              <w:keepNext/>
              <w:jc w:val="left"/>
              <w:rPr>
                <w:rFonts w:ascii="Arial Narrow" w:hAnsi="Arial Narrow"/>
                <w:b/>
                <w:sz w:val="20"/>
                <w:szCs w:val="20"/>
              </w:rPr>
            </w:pPr>
            <w:r w:rsidRPr="00901D86">
              <w:rPr>
                <w:rFonts w:ascii="Arial Narrow" w:hAnsi="Arial Narrow"/>
                <w:b/>
                <w:sz w:val="20"/>
                <w:szCs w:val="20"/>
              </w:rPr>
              <w:t>Ustekinumab 45mg vs placebo (Week 24)</w:t>
            </w:r>
          </w:p>
        </w:tc>
      </w:tr>
      <w:tr w:rsidR="00251D64" w:rsidRPr="00901D86" w14:paraId="265C216A" w14:textId="77777777" w:rsidTr="00D655DC">
        <w:tc>
          <w:tcPr>
            <w:tcW w:w="1413" w:type="dxa"/>
          </w:tcPr>
          <w:p w14:paraId="1C963F81"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PSUMMIT-1</w:t>
            </w:r>
          </w:p>
        </w:tc>
        <w:tc>
          <w:tcPr>
            <w:tcW w:w="1346" w:type="dxa"/>
            <w:vAlign w:val="center"/>
          </w:tcPr>
          <w:p w14:paraId="4B0EE771"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51/205 (25)</w:t>
            </w:r>
          </w:p>
        </w:tc>
        <w:tc>
          <w:tcPr>
            <w:tcW w:w="1347" w:type="dxa"/>
            <w:vAlign w:val="center"/>
          </w:tcPr>
          <w:p w14:paraId="15D1C101"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18/206 (9)</w:t>
            </w:r>
          </w:p>
        </w:tc>
        <w:tc>
          <w:tcPr>
            <w:tcW w:w="1637" w:type="dxa"/>
            <w:vAlign w:val="center"/>
          </w:tcPr>
          <w:p w14:paraId="2AE60CDF"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0.16 (0.09, 0.23)</w:t>
            </w:r>
          </w:p>
        </w:tc>
        <w:tc>
          <w:tcPr>
            <w:tcW w:w="1637" w:type="dxa"/>
            <w:vAlign w:val="center"/>
          </w:tcPr>
          <w:p w14:paraId="568881C1"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2.85 (1.74, 4.70)</w:t>
            </w:r>
          </w:p>
        </w:tc>
        <w:tc>
          <w:tcPr>
            <w:tcW w:w="1637" w:type="dxa"/>
            <w:vAlign w:val="center"/>
          </w:tcPr>
          <w:p w14:paraId="4DE6B28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3.46 (1.89, 6.55)</w:t>
            </w:r>
          </w:p>
        </w:tc>
      </w:tr>
      <w:tr w:rsidR="00251D64" w:rsidRPr="00901D86" w14:paraId="07302608" w14:textId="77777777" w:rsidTr="00D655DC">
        <w:tc>
          <w:tcPr>
            <w:tcW w:w="1413" w:type="dxa"/>
          </w:tcPr>
          <w:p w14:paraId="377AABB6"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PSUMMIT-2</w:t>
            </w:r>
          </w:p>
        </w:tc>
        <w:tc>
          <w:tcPr>
            <w:tcW w:w="1346" w:type="dxa"/>
            <w:vAlign w:val="center"/>
          </w:tcPr>
          <w:p w14:paraId="781A348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18/103 (18)</w:t>
            </w:r>
          </w:p>
        </w:tc>
        <w:tc>
          <w:tcPr>
            <w:tcW w:w="1347" w:type="dxa"/>
            <w:vAlign w:val="center"/>
          </w:tcPr>
          <w:p w14:paraId="205E80A8"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7/104 (7)</w:t>
            </w:r>
          </w:p>
        </w:tc>
        <w:tc>
          <w:tcPr>
            <w:tcW w:w="1637" w:type="dxa"/>
            <w:vAlign w:val="center"/>
          </w:tcPr>
          <w:p w14:paraId="647A5D82"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0.11 (0.02, 0.20)</w:t>
            </w:r>
          </w:p>
        </w:tc>
        <w:tc>
          <w:tcPr>
            <w:tcW w:w="1637" w:type="dxa"/>
            <w:vAlign w:val="center"/>
          </w:tcPr>
          <w:p w14:paraId="45623212"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2.60 (1.17, 5.86)</w:t>
            </w:r>
          </w:p>
        </w:tc>
        <w:tc>
          <w:tcPr>
            <w:tcW w:w="1637" w:type="dxa"/>
            <w:vAlign w:val="center"/>
          </w:tcPr>
          <w:p w14:paraId="6327C151"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2.93 (1.10, 8.69)</w:t>
            </w:r>
          </w:p>
        </w:tc>
      </w:tr>
      <w:tr w:rsidR="00251D64" w:rsidRPr="00901D86" w14:paraId="579A5DE9" w14:textId="77777777" w:rsidTr="00D655DC">
        <w:tc>
          <w:tcPr>
            <w:tcW w:w="1413" w:type="dxa"/>
            <w:shd w:val="clear" w:color="auto" w:fill="F2F2F2" w:themeFill="background1" w:themeFillShade="F2"/>
          </w:tcPr>
          <w:p w14:paraId="5D2FC012"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vAlign w:val="center"/>
          </w:tcPr>
          <w:p w14:paraId="0BE8511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69/308 (22)</w:t>
            </w:r>
          </w:p>
        </w:tc>
        <w:tc>
          <w:tcPr>
            <w:tcW w:w="1347" w:type="dxa"/>
            <w:shd w:val="clear" w:color="auto" w:fill="F2F2F2" w:themeFill="background1" w:themeFillShade="F2"/>
            <w:vAlign w:val="center"/>
          </w:tcPr>
          <w:p w14:paraId="6A7C0EC3"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25/310 (8)</w:t>
            </w:r>
          </w:p>
        </w:tc>
        <w:tc>
          <w:tcPr>
            <w:tcW w:w="1637" w:type="dxa"/>
            <w:shd w:val="clear" w:color="auto" w:fill="F2F2F2" w:themeFill="background1" w:themeFillShade="F2"/>
            <w:vAlign w:val="center"/>
          </w:tcPr>
          <w:p w14:paraId="344F3126"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0.14 (0.09, 0.20)</w:t>
            </w:r>
          </w:p>
        </w:tc>
        <w:tc>
          <w:tcPr>
            <w:tcW w:w="1637" w:type="dxa"/>
            <w:shd w:val="clear" w:color="auto" w:fill="F2F2F2" w:themeFill="background1" w:themeFillShade="F2"/>
            <w:vAlign w:val="center"/>
          </w:tcPr>
          <w:p w14:paraId="5D1D3E44"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2.78 (1.81, 4.27)</w:t>
            </w:r>
          </w:p>
        </w:tc>
        <w:tc>
          <w:tcPr>
            <w:tcW w:w="1637" w:type="dxa"/>
            <w:shd w:val="clear" w:color="auto" w:fill="F2F2F2" w:themeFill="background1" w:themeFillShade="F2"/>
            <w:vAlign w:val="center"/>
          </w:tcPr>
          <w:p w14:paraId="45EAB123"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3.30 (2.02, 5.39)</w:t>
            </w:r>
          </w:p>
        </w:tc>
      </w:tr>
      <w:tr w:rsidR="00251D64" w:rsidRPr="00901D86" w14:paraId="15A59903" w14:textId="77777777" w:rsidTr="00D655DC">
        <w:tc>
          <w:tcPr>
            <w:tcW w:w="4106" w:type="dxa"/>
            <w:gridSpan w:val="3"/>
            <w:shd w:val="clear" w:color="auto" w:fill="BFBFBF" w:themeFill="background1" w:themeFillShade="BF"/>
          </w:tcPr>
          <w:p w14:paraId="58119773" w14:textId="1945FC28" w:rsidR="00251D64" w:rsidRPr="00901D86" w:rsidRDefault="00251D64" w:rsidP="00D655DC">
            <w:pPr>
              <w:keepNext/>
              <w:jc w:val="left"/>
              <w:rPr>
                <w:rFonts w:ascii="Arial Narrow" w:hAnsi="Arial Narrow"/>
                <w:iCs/>
                <w:sz w:val="20"/>
                <w:szCs w:val="20"/>
              </w:rPr>
            </w:pPr>
            <w:r w:rsidRPr="00901D86">
              <w:rPr>
                <w:rFonts w:ascii="Arial Narrow" w:hAnsi="Arial Narrow"/>
                <w:iCs/>
                <w:sz w:val="20"/>
                <w:szCs w:val="20"/>
              </w:rPr>
              <w:t>Indirect analysis (GUS q8w vs UST [24] meta-analyses)</w:t>
            </w:r>
            <w:r w:rsidR="00B67DF8">
              <w:rPr>
                <w:rFonts w:ascii="Arial Narrow" w:hAnsi="Arial Narrow"/>
                <w:iCs/>
                <w:sz w:val="20"/>
                <w:szCs w:val="20"/>
              </w:rPr>
              <w:t>*</w:t>
            </w:r>
          </w:p>
        </w:tc>
        <w:tc>
          <w:tcPr>
            <w:tcW w:w="1637" w:type="dxa"/>
            <w:shd w:val="clear" w:color="auto" w:fill="BFBFBF" w:themeFill="background1" w:themeFillShade="BF"/>
            <w:vAlign w:val="center"/>
          </w:tcPr>
          <w:p w14:paraId="35EBEE85"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0.01 (-0.09, 0.11)</w:t>
            </w:r>
          </w:p>
        </w:tc>
        <w:tc>
          <w:tcPr>
            <w:tcW w:w="1637" w:type="dxa"/>
            <w:shd w:val="clear" w:color="auto" w:fill="BFBFBF" w:themeFill="background1" w:themeFillShade="BF"/>
            <w:vAlign w:val="center"/>
          </w:tcPr>
          <w:p w14:paraId="372A32B1"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0.87 (0.44, 1.71)</w:t>
            </w:r>
          </w:p>
        </w:tc>
        <w:tc>
          <w:tcPr>
            <w:tcW w:w="1637" w:type="dxa"/>
            <w:shd w:val="clear" w:color="auto" w:fill="BFBFBF" w:themeFill="background1" w:themeFillShade="BF"/>
            <w:vAlign w:val="center"/>
          </w:tcPr>
          <w:p w14:paraId="68E789FD"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0.89 (0.40, 1.97)</w:t>
            </w:r>
          </w:p>
        </w:tc>
      </w:tr>
      <w:tr w:rsidR="00251D64" w:rsidRPr="00901D86" w14:paraId="09374575" w14:textId="77777777" w:rsidTr="00D655DC">
        <w:tc>
          <w:tcPr>
            <w:tcW w:w="4106" w:type="dxa"/>
            <w:gridSpan w:val="3"/>
            <w:shd w:val="clear" w:color="auto" w:fill="BFBFBF" w:themeFill="background1" w:themeFillShade="BF"/>
          </w:tcPr>
          <w:p w14:paraId="0CEBC35D" w14:textId="08C3B5B3" w:rsidR="00251D64" w:rsidRPr="00901D86" w:rsidRDefault="00251D64" w:rsidP="00D655DC">
            <w:pPr>
              <w:keepNext/>
              <w:jc w:val="left"/>
              <w:rPr>
                <w:rFonts w:ascii="Arial Narrow" w:hAnsi="Arial Narrow"/>
                <w:iCs/>
                <w:sz w:val="20"/>
                <w:szCs w:val="20"/>
              </w:rPr>
            </w:pPr>
            <w:r w:rsidRPr="00901D86">
              <w:rPr>
                <w:rFonts w:ascii="Arial Narrow" w:hAnsi="Arial Narrow"/>
                <w:iCs/>
                <w:sz w:val="20"/>
                <w:szCs w:val="20"/>
              </w:rPr>
              <w:t>Indirect analysis (GUS q4w vs UST [24] meta-analyses)</w:t>
            </w:r>
            <w:r w:rsidR="00B67DF8">
              <w:rPr>
                <w:rFonts w:ascii="Arial Narrow" w:hAnsi="Arial Narrow"/>
                <w:iCs/>
                <w:sz w:val="20"/>
                <w:szCs w:val="20"/>
              </w:rPr>
              <w:t>*</w:t>
            </w:r>
          </w:p>
        </w:tc>
        <w:tc>
          <w:tcPr>
            <w:tcW w:w="1637" w:type="dxa"/>
            <w:shd w:val="clear" w:color="auto" w:fill="BFBFBF" w:themeFill="background1" w:themeFillShade="BF"/>
            <w:vAlign w:val="center"/>
          </w:tcPr>
          <w:p w14:paraId="4BB26DE6"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-0.02 (-0.09, 0.05)</w:t>
            </w:r>
          </w:p>
        </w:tc>
        <w:tc>
          <w:tcPr>
            <w:tcW w:w="1637" w:type="dxa"/>
            <w:shd w:val="clear" w:color="auto" w:fill="BFBFBF" w:themeFill="background1" w:themeFillShade="BF"/>
            <w:vAlign w:val="center"/>
          </w:tcPr>
          <w:p w14:paraId="172EE35A"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0.78 (0.45, 1.36)</w:t>
            </w:r>
          </w:p>
        </w:tc>
        <w:tc>
          <w:tcPr>
            <w:tcW w:w="1637" w:type="dxa"/>
            <w:shd w:val="clear" w:color="auto" w:fill="BFBFBF" w:themeFill="background1" w:themeFillShade="BF"/>
            <w:vAlign w:val="center"/>
          </w:tcPr>
          <w:p w14:paraId="7CD4C284"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0.76 (0.40, 1.45)</w:t>
            </w:r>
          </w:p>
        </w:tc>
      </w:tr>
      <w:tr w:rsidR="00251D64" w:rsidRPr="00901D86" w14:paraId="76041956" w14:textId="77777777" w:rsidTr="00D655DC">
        <w:tc>
          <w:tcPr>
            <w:tcW w:w="9017" w:type="dxa"/>
            <w:gridSpan w:val="6"/>
          </w:tcPr>
          <w:p w14:paraId="28704497" w14:textId="77777777" w:rsidR="00251D64" w:rsidRPr="00901D86" w:rsidRDefault="00251D64" w:rsidP="00D655DC">
            <w:pPr>
              <w:keepNext/>
              <w:jc w:val="left"/>
              <w:rPr>
                <w:rFonts w:ascii="Arial Narrow" w:hAnsi="Arial Narrow"/>
                <w:b/>
                <w:sz w:val="20"/>
                <w:szCs w:val="20"/>
              </w:rPr>
            </w:pPr>
            <w:r w:rsidRPr="00901D86">
              <w:rPr>
                <w:rFonts w:ascii="Arial Narrow" w:hAnsi="Arial Narrow"/>
                <w:b/>
                <w:sz w:val="20"/>
                <w:szCs w:val="20"/>
              </w:rPr>
              <w:t>Certolizumab pegol 200/400 mg pooled vs placebo (Week 12)</w:t>
            </w:r>
          </w:p>
        </w:tc>
      </w:tr>
      <w:tr w:rsidR="00251D64" w:rsidRPr="00901D86" w14:paraId="65A3AFD4" w14:textId="77777777" w:rsidTr="00D655DC">
        <w:tc>
          <w:tcPr>
            <w:tcW w:w="1413" w:type="dxa"/>
          </w:tcPr>
          <w:p w14:paraId="164CF932"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RAPID PsA</w:t>
            </w:r>
          </w:p>
        </w:tc>
        <w:tc>
          <w:tcPr>
            <w:tcW w:w="1346" w:type="dxa"/>
            <w:vAlign w:val="center"/>
          </w:tcPr>
          <w:p w14:paraId="2200BDDF"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94/273 (34)</w:t>
            </w:r>
          </w:p>
        </w:tc>
        <w:tc>
          <w:tcPr>
            <w:tcW w:w="1347" w:type="dxa"/>
            <w:vAlign w:val="center"/>
          </w:tcPr>
          <w:p w14:paraId="1180CB29"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15/136 (11)</w:t>
            </w:r>
          </w:p>
        </w:tc>
        <w:tc>
          <w:tcPr>
            <w:tcW w:w="1637" w:type="dxa"/>
            <w:vAlign w:val="center"/>
          </w:tcPr>
          <w:p w14:paraId="14FEB1BF"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0.23 (0.16, 0.31)</w:t>
            </w:r>
          </w:p>
        </w:tc>
        <w:tc>
          <w:tcPr>
            <w:tcW w:w="1637" w:type="dxa"/>
            <w:vAlign w:val="center"/>
          </w:tcPr>
          <w:p w14:paraId="09F5BBA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3.12 (1.88, 5.17)</w:t>
            </w:r>
          </w:p>
        </w:tc>
        <w:tc>
          <w:tcPr>
            <w:tcW w:w="1637" w:type="dxa"/>
            <w:vAlign w:val="center"/>
          </w:tcPr>
          <w:p w14:paraId="332D22F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4.24 (2.34, 7.66)</w:t>
            </w:r>
          </w:p>
        </w:tc>
      </w:tr>
      <w:tr w:rsidR="00251D64" w:rsidRPr="00901D86" w14:paraId="12A31802" w14:textId="77777777" w:rsidTr="00D655DC">
        <w:tc>
          <w:tcPr>
            <w:tcW w:w="4106" w:type="dxa"/>
            <w:gridSpan w:val="3"/>
            <w:shd w:val="clear" w:color="auto" w:fill="BFBFBF" w:themeFill="background1" w:themeFillShade="BF"/>
          </w:tcPr>
          <w:p w14:paraId="539D3E24" w14:textId="416B4A85"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Indirect analysis (GUS q8w vs CZP meta-analyses)</w:t>
            </w:r>
            <w:r w:rsidR="00B67DF8">
              <w:rPr>
                <w:rFonts w:ascii="Arial Narrow" w:hAnsi="Arial Narrow"/>
                <w:sz w:val="20"/>
                <w:szCs w:val="20"/>
              </w:rPr>
              <w:t>*</w:t>
            </w:r>
          </w:p>
        </w:tc>
        <w:tc>
          <w:tcPr>
            <w:tcW w:w="1637" w:type="dxa"/>
            <w:shd w:val="clear" w:color="auto" w:fill="BFBFBF" w:themeFill="background1" w:themeFillShade="BF"/>
            <w:vAlign w:val="center"/>
          </w:tcPr>
          <w:p w14:paraId="5265DB05"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-0.08 (-0.19, 0.03)</w:t>
            </w:r>
          </w:p>
        </w:tc>
        <w:tc>
          <w:tcPr>
            <w:tcW w:w="1637" w:type="dxa"/>
            <w:shd w:val="clear" w:color="auto" w:fill="BFBFBF" w:themeFill="background1" w:themeFillShade="BF"/>
            <w:vAlign w:val="center"/>
          </w:tcPr>
          <w:p w14:paraId="289036E5"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0.78 (0.38, 1.60)</w:t>
            </w:r>
          </w:p>
        </w:tc>
        <w:tc>
          <w:tcPr>
            <w:tcW w:w="1637" w:type="dxa"/>
            <w:shd w:val="clear" w:color="auto" w:fill="BFBFBF" w:themeFill="background1" w:themeFillShade="BF"/>
            <w:vAlign w:val="center"/>
          </w:tcPr>
          <w:p w14:paraId="3F96AE22"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0.69 (0.29, 1.64)</w:t>
            </w:r>
          </w:p>
        </w:tc>
      </w:tr>
      <w:tr w:rsidR="00251D64" w:rsidRPr="00901D86" w14:paraId="1BF1B294" w14:textId="77777777" w:rsidTr="00D655DC">
        <w:tc>
          <w:tcPr>
            <w:tcW w:w="4106" w:type="dxa"/>
            <w:gridSpan w:val="3"/>
            <w:shd w:val="clear" w:color="auto" w:fill="BFBFBF" w:themeFill="background1" w:themeFillShade="BF"/>
          </w:tcPr>
          <w:p w14:paraId="15DCCD69" w14:textId="687E1174" w:rsidR="00251D64" w:rsidRPr="00901D86" w:rsidRDefault="00251D64" w:rsidP="00D655DC">
            <w:pPr>
              <w:keepNext/>
              <w:jc w:val="left"/>
              <w:rPr>
                <w:rFonts w:ascii="Arial Narrow" w:hAnsi="Arial Narrow"/>
                <w:iCs/>
                <w:sz w:val="20"/>
                <w:szCs w:val="20"/>
              </w:rPr>
            </w:pPr>
            <w:r w:rsidRPr="00901D86">
              <w:rPr>
                <w:rFonts w:ascii="Arial Narrow" w:hAnsi="Arial Narrow"/>
                <w:iCs/>
                <w:sz w:val="20"/>
                <w:szCs w:val="20"/>
              </w:rPr>
              <w:t>Indirect analysis (GUS q4w vs CZP meta-analyses)</w:t>
            </w:r>
            <w:r w:rsidR="00B67DF8">
              <w:rPr>
                <w:rFonts w:ascii="Arial Narrow" w:hAnsi="Arial Narrow"/>
                <w:iCs/>
                <w:sz w:val="20"/>
                <w:szCs w:val="20"/>
              </w:rPr>
              <w:t>*</w:t>
            </w:r>
          </w:p>
        </w:tc>
        <w:tc>
          <w:tcPr>
            <w:tcW w:w="1637" w:type="dxa"/>
            <w:shd w:val="clear" w:color="auto" w:fill="BFBFBF" w:themeFill="background1" w:themeFillShade="BF"/>
            <w:vAlign w:val="center"/>
          </w:tcPr>
          <w:p w14:paraId="52C0EFF6" w14:textId="77777777" w:rsidR="00251D64" w:rsidRPr="00901D86" w:rsidRDefault="00251D64" w:rsidP="00D655DC">
            <w:pPr>
              <w:keepNext/>
              <w:jc w:val="center"/>
              <w:rPr>
                <w:rFonts w:ascii="Arial Narrow" w:hAnsi="Arial Narrow"/>
                <w:b/>
                <w:bCs/>
                <w:iCs/>
                <w:sz w:val="20"/>
                <w:szCs w:val="20"/>
              </w:rPr>
            </w:pPr>
            <w:r w:rsidRPr="00901D86">
              <w:rPr>
                <w:rFonts w:ascii="Arial Narrow" w:hAnsi="Arial Narrow"/>
                <w:b/>
                <w:bCs/>
                <w:iCs/>
                <w:sz w:val="20"/>
                <w:szCs w:val="20"/>
              </w:rPr>
              <w:t>-0.11 (-0.20, -0.02)</w:t>
            </w:r>
          </w:p>
        </w:tc>
        <w:tc>
          <w:tcPr>
            <w:tcW w:w="1637" w:type="dxa"/>
            <w:shd w:val="clear" w:color="auto" w:fill="BFBFBF" w:themeFill="background1" w:themeFillShade="BF"/>
            <w:vAlign w:val="center"/>
          </w:tcPr>
          <w:p w14:paraId="4EC2A0C2"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0.70 (0.38, 1.29)</w:t>
            </w:r>
          </w:p>
        </w:tc>
        <w:tc>
          <w:tcPr>
            <w:tcW w:w="1637" w:type="dxa"/>
            <w:shd w:val="clear" w:color="auto" w:fill="BFBFBF" w:themeFill="background1" w:themeFillShade="BF"/>
            <w:vAlign w:val="center"/>
          </w:tcPr>
          <w:p w14:paraId="1B9E1E00"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0.59 (0.29, 1.22)</w:t>
            </w:r>
          </w:p>
        </w:tc>
      </w:tr>
      <w:tr w:rsidR="00251D64" w:rsidRPr="00901D86" w14:paraId="56FFB109" w14:textId="77777777" w:rsidTr="00D655DC">
        <w:tc>
          <w:tcPr>
            <w:tcW w:w="9017" w:type="dxa"/>
            <w:gridSpan w:val="6"/>
          </w:tcPr>
          <w:p w14:paraId="225CA3AC" w14:textId="77777777" w:rsidR="00251D64" w:rsidRPr="00901D86" w:rsidRDefault="00251D64" w:rsidP="00D655DC">
            <w:pPr>
              <w:keepNext/>
              <w:jc w:val="left"/>
              <w:rPr>
                <w:rFonts w:ascii="Arial Narrow" w:hAnsi="Arial Narrow"/>
                <w:b/>
                <w:sz w:val="20"/>
                <w:szCs w:val="20"/>
              </w:rPr>
            </w:pPr>
            <w:r w:rsidRPr="00901D86">
              <w:rPr>
                <w:rFonts w:ascii="Arial Narrow" w:hAnsi="Arial Narrow"/>
                <w:b/>
                <w:sz w:val="20"/>
                <w:szCs w:val="20"/>
              </w:rPr>
              <w:t>Secukinumab 150/300mg pooled versus placebo (Week 12)</w:t>
            </w:r>
          </w:p>
        </w:tc>
      </w:tr>
      <w:tr w:rsidR="00251D64" w:rsidRPr="00901D86" w14:paraId="10954883" w14:textId="77777777" w:rsidTr="00D655DC">
        <w:tc>
          <w:tcPr>
            <w:tcW w:w="1413" w:type="dxa"/>
          </w:tcPr>
          <w:p w14:paraId="2A377EE9"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FUTURE-2</w:t>
            </w:r>
          </w:p>
        </w:tc>
        <w:tc>
          <w:tcPr>
            <w:tcW w:w="1346" w:type="dxa"/>
            <w:vAlign w:val="center"/>
          </w:tcPr>
          <w:p w14:paraId="2E0C85E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62/200 (31)</w:t>
            </w:r>
          </w:p>
        </w:tc>
        <w:tc>
          <w:tcPr>
            <w:tcW w:w="1347" w:type="dxa"/>
            <w:vAlign w:val="center"/>
          </w:tcPr>
          <w:p w14:paraId="317A309C"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5/98 (5)</w:t>
            </w:r>
          </w:p>
        </w:tc>
        <w:tc>
          <w:tcPr>
            <w:tcW w:w="1637" w:type="dxa"/>
            <w:vAlign w:val="center"/>
          </w:tcPr>
          <w:p w14:paraId="37A798E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0.26 (0.18, 0.34)</w:t>
            </w:r>
          </w:p>
        </w:tc>
        <w:tc>
          <w:tcPr>
            <w:tcW w:w="1637" w:type="dxa"/>
            <w:vAlign w:val="center"/>
          </w:tcPr>
          <w:p w14:paraId="33A1B3A8"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6.08 (2.52,14.63)</w:t>
            </w:r>
          </w:p>
        </w:tc>
        <w:tc>
          <w:tcPr>
            <w:tcW w:w="1637" w:type="dxa"/>
            <w:vAlign w:val="center"/>
          </w:tcPr>
          <w:p w14:paraId="5D75F06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8.36 (3.24, 21.57)</w:t>
            </w:r>
          </w:p>
        </w:tc>
      </w:tr>
      <w:tr w:rsidR="00251D64" w:rsidRPr="00901D86" w14:paraId="3DE7DF20" w14:textId="77777777" w:rsidTr="00D655DC">
        <w:tc>
          <w:tcPr>
            <w:tcW w:w="1413" w:type="dxa"/>
          </w:tcPr>
          <w:p w14:paraId="4A0B84EF"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 xml:space="preserve">FUTURE-3 </w:t>
            </w:r>
            <w:r w:rsidRPr="00901D86">
              <w:rPr>
                <w:rFonts w:ascii="Arial Narrow" w:hAnsi="Arial Narrow"/>
                <w:sz w:val="20"/>
                <w:szCs w:val="20"/>
                <w:vertAlign w:val="superscript"/>
              </w:rPr>
              <w:t>a</w:t>
            </w:r>
          </w:p>
        </w:tc>
        <w:tc>
          <w:tcPr>
            <w:tcW w:w="1346" w:type="dxa"/>
            <w:vAlign w:val="center"/>
          </w:tcPr>
          <w:p w14:paraId="36F79945"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73/277 (26)</w:t>
            </w:r>
          </w:p>
        </w:tc>
        <w:tc>
          <w:tcPr>
            <w:tcW w:w="1347" w:type="dxa"/>
            <w:vAlign w:val="center"/>
          </w:tcPr>
          <w:p w14:paraId="53BFBABE"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6/137 (4)</w:t>
            </w:r>
          </w:p>
        </w:tc>
        <w:tc>
          <w:tcPr>
            <w:tcW w:w="1637" w:type="dxa"/>
            <w:vAlign w:val="center"/>
          </w:tcPr>
          <w:p w14:paraId="7D6BDA38"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0.22 (0.16, 0.28)</w:t>
            </w:r>
          </w:p>
        </w:tc>
        <w:tc>
          <w:tcPr>
            <w:tcW w:w="1637" w:type="dxa"/>
            <w:vAlign w:val="center"/>
          </w:tcPr>
          <w:p w14:paraId="2D9F9653"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6.02 (2.69,13.48)</w:t>
            </w:r>
          </w:p>
        </w:tc>
        <w:tc>
          <w:tcPr>
            <w:tcW w:w="1637" w:type="dxa"/>
            <w:vAlign w:val="center"/>
          </w:tcPr>
          <w:p w14:paraId="5E56AAEB"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7.81 (3.30, 18.48)</w:t>
            </w:r>
          </w:p>
        </w:tc>
      </w:tr>
      <w:tr w:rsidR="00251D64" w:rsidRPr="00901D86" w14:paraId="57DE919C" w14:textId="77777777" w:rsidTr="00D655DC">
        <w:tc>
          <w:tcPr>
            <w:tcW w:w="1413" w:type="dxa"/>
          </w:tcPr>
          <w:p w14:paraId="03679BBB"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FUTURE-5</w:t>
            </w:r>
          </w:p>
        </w:tc>
        <w:tc>
          <w:tcPr>
            <w:tcW w:w="1346" w:type="dxa"/>
            <w:vAlign w:val="center"/>
          </w:tcPr>
          <w:p w14:paraId="38CE04E3"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148/442 (34)</w:t>
            </w:r>
          </w:p>
        </w:tc>
        <w:tc>
          <w:tcPr>
            <w:tcW w:w="1347" w:type="dxa"/>
            <w:vAlign w:val="center"/>
          </w:tcPr>
          <w:p w14:paraId="529E5BE5"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24/332 (7)</w:t>
            </w:r>
          </w:p>
        </w:tc>
        <w:tc>
          <w:tcPr>
            <w:tcW w:w="1637" w:type="dxa"/>
            <w:vAlign w:val="center"/>
          </w:tcPr>
          <w:p w14:paraId="20383B75"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0.26 (0.21, 0.31)</w:t>
            </w:r>
          </w:p>
        </w:tc>
        <w:tc>
          <w:tcPr>
            <w:tcW w:w="1637" w:type="dxa"/>
            <w:vAlign w:val="center"/>
          </w:tcPr>
          <w:p w14:paraId="284DB41F"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4.63 (3.08, 6.96)</w:t>
            </w:r>
          </w:p>
        </w:tc>
        <w:tc>
          <w:tcPr>
            <w:tcW w:w="1637" w:type="dxa"/>
            <w:vAlign w:val="center"/>
          </w:tcPr>
          <w:p w14:paraId="4803E114"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6.46 (4.08, 10.23)</w:t>
            </w:r>
          </w:p>
        </w:tc>
      </w:tr>
      <w:tr w:rsidR="00251D64" w:rsidRPr="00901D86" w14:paraId="08584B3D" w14:textId="77777777" w:rsidTr="00D655DC">
        <w:tc>
          <w:tcPr>
            <w:tcW w:w="1413" w:type="dxa"/>
            <w:shd w:val="clear" w:color="auto" w:fill="F2F2F2" w:themeFill="background1" w:themeFillShade="F2"/>
          </w:tcPr>
          <w:p w14:paraId="1084E33E"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vAlign w:val="center"/>
          </w:tcPr>
          <w:p w14:paraId="550E85A2"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283/919 (31)</w:t>
            </w:r>
          </w:p>
        </w:tc>
        <w:tc>
          <w:tcPr>
            <w:tcW w:w="1347" w:type="dxa"/>
            <w:shd w:val="clear" w:color="auto" w:fill="F2F2F2" w:themeFill="background1" w:themeFillShade="F2"/>
            <w:vAlign w:val="center"/>
          </w:tcPr>
          <w:p w14:paraId="292975F7"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35/567 (6)</w:t>
            </w:r>
          </w:p>
        </w:tc>
        <w:tc>
          <w:tcPr>
            <w:tcW w:w="1637" w:type="dxa"/>
            <w:shd w:val="clear" w:color="auto" w:fill="F2F2F2" w:themeFill="background1" w:themeFillShade="F2"/>
            <w:vAlign w:val="center"/>
          </w:tcPr>
          <w:p w14:paraId="369F3D9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0.25 (0.21, 0.28)</w:t>
            </w:r>
          </w:p>
        </w:tc>
        <w:tc>
          <w:tcPr>
            <w:tcW w:w="1637" w:type="dxa"/>
            <w:shd w:val="clear" w:color="auto" w:fill="F2F2F2" w:themeFill="background1" w:themeFillShade="F2"/>
            <w:vAlign w:val="center"/>
          </w:tcPr>
          <w:p w14:paraId="160B119E"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5.04 (3.60, 7.06)</w:t>
            </w:r>
          </w:p>
        </w:tc>
        <w:tc>
          <w:tcPr>
            <w:tcW w:w="1637" w:type="dxa"/>
            <w:shd w:val="clear" w:color="auto" w:fill="F2F2F2" w:themeFill="background1" w:themeFillShade="F2"/>
            <w:vAlign w:val="center"/>
          </w:tcPr>
          <w:p w14:paraId="41AF979D"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6.97 (4.80, 10.12)</w:t>
            </w:r>
          </w:p>
        </w:tc>
      </w:tr>
      <w:tr w:rsidR="00251D64" w:rsidRPr="00901D86" w14:paraId="6F277733" w14:textId="77777777" w:rsidTr="00D655DC">
        <w:tc>
          <w:tcPr>
            <w:tcW w:w="4106" w:type="dxa"/>
            <w:gridSpan w:val="3"/>
            <w:shd w:val="clear" w:color="auto" w:fill="BFBFBF" w:themeFill="background1" w:themeFillShade="BF"/>
          </w:tcPr>
          <w:p w14:paraId="3E4B1789" w14:textId="7F1686CA"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Indirect analysis (GUS q8w vs SEC meta-analyses)</w:t>
            </w:r>
            <w:r w:rsidR="00B67DF8">
              <w:rPr>
                <w:rFonts w:ascii="Arial Narrow" w:hAnsi="Arial Narrow"/>
                <w:sz w:val="20"/>
                <w:szCs w:val="20"/>
              </w:rPr>
              <w:t>*</w:t>
            </w:r>
          </w:p>
        </w:tc>
        <w:tc>
          <w:tcPr>
            <w:tcW w:w="1637" w:type="dxa"/>
            <w:shd w:val="clear" w:color="auto" w:fill="BFBFBF" w:themeFill="background1" w:themeFillShade="BF"/>
            <w:vAlign w:val="center"/>
          </w:tcPr>
          <w:p w14:paraId="61D2BB55" w14:textId="77777777" w:rsidR="00251D64" w:rsidRPr="00901D86" w:rsidRDefault="00251D64" w:rsidP="00D655DC">
            <w:pPr>
              <w:keepNext/>
              <w:jc w:val="center"/>
              <w:rPr>
                <w:rFonts w:ascii="Arial Narrow" w:hAnsi="Arial Narrow"/>
                <w:b/>
                <w:bCs/>
                <w:sz w:val="20"/>
                <w:szCs w:val="20"/>
              </w:rPr>
            </w:pPr>
            <w:r w:rsidRPr="00901D86">
              <w:rPr>
                <w:rFonts w:ascii="Arial Narrow" w:hAnsi="Arial Narrow"/>
                <w:b/>
                <w:bCs/>
                <w:sz w:val="20"/>
                <w:szCs w:val="20"/>
              </w:rPr>
              <w:t>-0.10 (-0.19, -0.01)</w:t>
            </w:r>
          </w:p>
        </w:tc>
        <w:tc>
          <w:tcPr>
            <w:tcW w:w="1637" w:type="dxa"/>
            <w:shd w:val="clear" w:color="auto" w:fill="BFBFBF" w:themeFill="background1" w:themeFillShade="BF"/>
            <w:vAlign w:val="center"/>
          </w:tcPr>
          <w:p w14:paraId="6C69A08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0.48 (0.26, 0.89)</w:t>
            </w:r>
          </w:p>
        </w:tc>
        <w:tc>
          <w:tcPr>
            <w:tcW w:w="1637" w:type="dxa"/>
            <w:shd w:val="clear" w:color="auto" w:fill="BFBFBF" w:themeFill="background1" w:themeFillShade="BF"/>
            <w:vAlign w:val="center"/>
          </w:tcPr>
          <w:p w14:paraId="2B40C738"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0.42 (0.20, 0.87)</w:t>
            </w:r>
          </w:p>
        </w:tc>
      </w:tr>
      <w:tr w:rsidR="00251D64" w:rsidRPr="00901D86" w14:paraId="21606061" w14:textId="77777777" w:rsidTr="00D655DC">
        <w:tc>
          <w:tcPr>
            <w:tcW w:w="4106" w:type="dxa"/>
            <w:gridSpan w:val="3"/>
            <w:shd w:val="clear" w:color="auto" w:fill="BFBFBF" w:themeFill="background1" w:themeFillShade="BF"/>
          </w:tcPr>
          <w:p w14:paraId="5814C0C8" w14:textId="05B8FFAF" w:rsidR="00251D64" w:rsidRPr="00901D86" w:rsidRDefault="00251D64" w:rsidP="00D655DC">
            <w:pPr>
              <w:keepNext/>
              <w:jc w:val="left"/>
              <w:rPr>
                <w:rFonts w:ascii="Arial Narrow" w:hAnsi="Arial Narrow"/>
                <w:iCs/>
                <w:sz w:val="20"/>
                <w:szCs w:val="20"/>
              </w:rPr>
            </w:pPr>
            <w:r w:rsidRPr="00901D86">
              <w:rPr>
                <w:rFonts w:ascii="Arial Narrow" w:hAnsi="Arial Narrow"/>
                <w:iCs/>
                <w:sz w:val="20"/>
                <w:szCs w:val="20"/>
              </w:rPr>
              <w:t>Indirect analysis (GUS q4w vs SEC meta-analyses)</w:t>
            </w:r>
            <w:r w:rsidR="00B67DF8">
              <w:rPr>
                <w:rFonts w:ascii="Arial Narrow" w:hAnsi="Arial Narrow"/>
                <w:iCs/>
                <w:sz w:val="20"/>
                <w:szCs w:val="20"/>
              </w:rPr>
              <w:t>*</w:t>
            </w:r>
          </w:p>
        </w:tc>
        <w:tc>
          <w:tcPr>
            <w:tcW w:w="1637" w:type="dxa"/>
            <w:shd w:val="clear" w:color="auto" w:fill="BFBFBF" w:themeFill="background1" w:themeFillShade="BF"/>
            <w:vAlign w:val="center"/>
          </w:tcPr>
          <w:p w14:paraId="2F34B02B" w14:textId="77777777" w:rsidR="00251D64" w:rsidRPr="00901D86" w:rsidRDefault="00251D64" w:rsidP="00D655DC">
            <w:pPr>
              <w:keepNext/>
              <w:jc w:val="center"/>
              <w:rPr>
                <w:rFonts w:ascii="Arial Narrow" w:hAnsi="Arial Narrow"/>
                <w:b/>
                <w:bCs/>
                <w:iCs/>
                <w:sz w:val="20"/>
                <w:szCs w:val="20"/>
              </w:rPr>
            </w:pPr>
            <w:r w:rsidRPr="00901D86">
              <w:rPr>
                <w:rFonts w:ascii="Arial Narrow" w:hAnsi="Arial Narrow"/>
                <w:b/>
                <w:bCs/>
                <w:iCs/>
                <w:sz w:val="20"/>
                <w:szCs w:val="20"/>
              </w:rPr>
              <w:t>-0.13 (-0.19, -0.07)</w:t>
            </w:r>
          </w:p>
        </w:tc>
        <w:tc>
          <w:tcPr>
            <w:tcW w:w="1637" w:type="dxa"/>
            <w:shd w:val="clear" w:color="auto" w:fill="BFBFBF" w:themeFill="background1" w:themeFillShade="BF"/>
            <w:vAlign w:val="center"/>
          </w:tcPr>
          <w:p w14:paraId="13573099"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0.43 (0.27, 0.70)</w:t>
            </w:r>
          </w:p>
        </w:tc>
        <w:tc>
          <w:tcPr>
            <w:tcW w:w="1637" w:type="dxa"/>
            <w:shd w:val="clear" w:color="auto" w:fill="BFBFBF" w:themeFill="background1" w:themeFillShade="BF"/>
            <w:vAlign w:val="center"/>
          </w:tcPr>
          <w:p w14:paraId="12F0224B"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0.36 (0.21, 0.63)</w:t>
            </w:r>
          </w:p>
        </w:tc>
      </w:tr>
      <w:tr w:rsidR="00251D64" w:rsidRPr="00901D86" w14:paraId="7C1E5787" w14:textId="77777777" w:rsidTr="00D655DC">
        <w:tc>
          <w:tcPr>
            <w:tcW w:w="9017" w:type="dxa"/>
            <w:gridSpan w:val="6"/>
          </w:tcPr>
          <w:p w14:paraId="095E2782" w14:textId="77777777" w:rsidR="00251D64" w:rsidRPr="00901D86" w:rsidRDefault="00251D64" w:rsidP="00D655DC">
            <w:pPr>
              <w:keepNext/>
              <w:jc w:val="left"/>
              <w:rPr>
                <w:rFonts w:ascii="Arial Narrow" w:hAnsi="Arial Narrow"/>
                <w:b/>
                <w:sz w:val="20"/>
                <w:szCs w:val="20"/>
              </w:rPr>
            </w:pPr>
            <w:r w:rsidRPr="00901D86">
              <w:rPr>
                <w:rFonts w:ascii="Arial Narrow" w:hAnsi="Arial Narrow"/>
                <w:b/>
                <w:sz w:val="20"/>
                <w:szCs w:val="20"/>
              </w:rPr>
              <w:t>Tofacitinib 5mg vs placebo (Week 12)</w:t>
            </w:r>
          </w:p>
        </w:tc>
      </w:tr>
      <w:tr w:rsidR="00251D64" w:rsidRPr="00901D86" w14:paraId="4A022B33" w14:textId="77777777" w:rsidTr="00D655DC">
        <w:tc>
          <w:tcPr>
            <w:tcW w:w="1413" w:type="dxa"/>
          </w:tcPr>
          <w:p w14:paraId="3310C3D0"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OPAL-Broaden</w:t>
            </w:r>
          </w:p>
        </w:tc>
        <w:tc>
          <w:tcPr>
            <w:tcW w:w="1346" w:type="dxa"/>
            <w:vAlign w:val="center"/>
          </w:tcPr>
          <w:p w14:paraId="2534E073"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30/107 (28)</w:t>
            </w:r>
          </w:p>
        </w:tc>
        <w:tc>
          <w:tcPr>
            <w:tcW w:w="1347" w:type="dxa"/>
            <w:vAlign w:val="center"/>
          </w:tcPr>
          <w:p w14:paraId="7893661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10/105 (10)</w:t>
            </w:r>
          </w:p>
        </w:tc>
        <w:tc>
          <w:tcPr>
            <w:tcW w:w="1637" w:type="dxa"/>
            <w:vAlign w:val="center"/>
          </w:tcPr>
          <w:p w14:paraId="49C0FAD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0.19 (0.08, 0.29)</w:t>
            </w:r>
          </w:p>
        </w:tc>
        <w:tc>
          <w:tcPr>
            <w:tcW w:w="1637" w:type="dxa"/>
            <w:vAlign w:val="center"/>
          </w:tcPr>
          <w:p w14:paraId="0B63ECA4"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2.94 (1.52, 5.71)</w:t>
            </w:r>
          </w:p>
        </w:tc>
        <w:tc>
          <w:tcPr>
            <w:tcW w:w="1637" w:type="dxa"/>
            <w:vAlign w:val="center"/>
          </w:tcPr>
          <w:p w14:paraId="1379FD96"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3.70 (1.70, 8.04)</w:t>
            </w:r>
          </w:p>
        </w:tc>
      </w:tr>
      <w:tr w:rsidR="00251D64" w:rsidRPr="00901D86" w14:paraId="5A93E969" w14:textId="77777777" w:rsidTr="00D655DC">
        <w:tc>
          <w:tcPr>
            <w:tcW w:w="4106" w:type="dxa"/>
            <w:gridSpan w:val="3"/>
            <w:shd w:val="clear" w:color="auto" w:fill="BFBFBF" w:themeFill="background1" w:themeFillShade="BF"/>
          </w:tcPr>
          <w:p w14:paraId="504016D9" w14:textId="2139D135"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Indirect analysis (GUS q8w vs TOF meta-analyses)</w:t>
            </w:r>
            <w:r w:rsidR="00B67DF8">
              <w:rPr>
                <w:rFonts w:ascii="Arial Narrow" w:hAnsi="Arial Narrow"/>
                <w:sz w:val="20"/>
                <w:szCs w:val="20"/>
              </w:rPr>
              <w:t>*</w:t>
            </w:r>
          </w:p>
        </w:tc>
        <w:tc>
          <w:tcPr>
            <w:tcW w:w="1637" w:type="dxa"/>
            <w:shd w:val="clear" w:color="auto" w:fill="BFBFBF" w:themeFill="background1" w:themeFillShade="BF"/>
            <w:vAlign w:val="center"/>
          </w:tcPr>
          <w:p w14:paraId="45B95C12"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-0.04 (-0.18, 0.10)</w:t>
            </w:r>
          </w:p>
        </w:tc>
        <w:tc>
          <w:tcPr>
            <w:tcW w:w="1637" w:type="dxa"/>
            <w:shd w:val="clear" w:color="auto" w:fill="BFBFBF" w:themeFill="background1" w:themeFillShade="BF"/>
            <w:vAlign w:val="center"/>
          </w:tcPr>
          <w:p w14:paraId="730E0530"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0.82 (0.36, 1.91)</w:t>
            </w:r>
          </w:p>
        </w:tc>
        <w:tc>
          <w:tcPr>
            <w:tcW w:w="1637" w:type="dxa"/>
            <w:shd w:val="clear" w:color="auto" w:fill="BFBFBF" w:themeFill="background1" w:themeFillShade="BF"/>
            <w:vAlign w:val="center"/>
          </w:tcPr>
          <w:p w14:paraId="7BE9FCCB"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0.79 (0.29, 2.15)</w:t>
            </w:r>
          </w:p>
        </w:tc>
      </w:tr>
      <w:tr w:rsidR="00251D64" w:rsidRPr="00901D86" w14:paraId="45BB187D" w14:textId="77777777" w:rsidTr="00D655DC">
        <w:tc>
          <w:tcPr>
            <w:tcW w:w="4106" w:type="dxa"/>
            <w:gridSpan w:val="3"/>
            <w:shd w:val="clear" w:color="auto" w:fill="BFBFBF" w:themeFill="background1" w:themeFillShade="BF"/>
          </w:tcPr>
          <w:p w14:paraId="776E501C" w14:textId="10245E00" w:rsidR="00251D64" w:rsidRPr="00901D86" w:rsidRDefault="00251D64" w:rsidP="00D655DC">
            <w:pPr>
              <w:keepNext/>
              <w:jc w:val="left"/>
              <w:rPr>
                <w:rFonts w:ascii="Arial Narrow" w:hAnsi="Arial Narrow"/>
                <w:iCs/>
                <w:sz w:val="20"/>
                <w:szCs w:val="20"/>
              </w:rPr>
            </w:pPr>
            <w:r w:rsidRPr="00901D86">
              <w:rPr>
                <w:rFonts w:ascii="Arial Narrow" w:hAnsi="Arial Narrow"/>
                <w:iCs/>
                <w:sz w:val="20"/>
                <w:szCs w:val="20"/>
              </w:rPr>
              <w:t>Indirect analysis (GUS q4w vs TOF meta-analyses)</w:t>
            </w:r>
            <w:r w:rsidR="00B67DF8">
              <w:rPr>
                <w:rFonts w:ascii="Arial Narrow" w:hAnsi="Arial Narrow"/>
                <w:iCs/>
                <w:sz w:val="20"/>
                <w:szCs w:val="20"/>
              </w:rPr>
              <w:t>*</w:t>
            </w:r>
          </w:p>
        </w:tc>
        <w:tc>
          <w:tcPr>
            <w:tcW w:w="1637" w:type="dxa"/>
            <w:shd w:val="clear" w:color="auto" w:fill="BFBFBF" w:themeFill="background1" w:themeFillShade="BF"/>
            <w:vAlign w:val="center"/>
          </w:tcPr>
          <w:p w14:paraId="5E0442BF"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-0.07 (-0.33, 0.19)</w:t>
            </w:r>
          </w:p>
        </w:tc>
        <w:tc>
          <w:tcPr>
            <w:tcW w:w="1637" w:type="dxa"/>
            <w:shd w:val="clear" w:color="auto" w:fill="BFBFBF" w:themeFill="background1" w:themeFillShade="BF"/>
            <w:vAlign w:val="center"/>
          </w:tcPr>
          <w:p w14:paraId="64818DE6"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0.74 (0.35, 1.56)</w:t>
            </w:r>
          </w:p>
        </w:tc>
        <w:tc>
          <w:tcPr>
            <w:tcW w:w="1637" w:type="dxa"/>
            <w:shd w:val="clear" w:color="auto" w:fill="BFBFBF" w:themeFill="background1" w:themeFillShade="BF"/>
            <w:vAlign w:val="center"/>
          </w:tcPr>
          <w:p w14:paraId="592D9BB3" w14:textId="77777777" w:rsidR="00251D64" w:rsidRPr="00901D86" w:rsidRDefault="00251D64" w:rsidP="00D655DC">
            <w:pPr>
              <w:keepNext/>
              <w:jc w:val="center"/>
              <w:rPr>
                <w:rFonts w:ascii="Arial Narrow" w:hAnsi="Arial Narrow"/>
                <w:iCs/>
                <w:sz w:val="20"/>
                <w:szCs w:val="20"/>
              </w:rPr>
            </w:pPr>
            <w:r w:rsidRPr="00901D86">
              <w:rPr>
                <w:rFonts w:ascii="Arial Narrow" w:hAnsi="Arial Narrow"/>
                <w:iCs/>
                <w:sz w:val="20"/>
                <w:szCs w:val="20"/>
              </w:rPr>
              <w:t>0.68 (0.28, 1.6)</w:t>
            </w:r>
          </w:p>
        </w:tc>
      </w:tr>
      <w:tr w:rsidR="00251D64" w:rsidRPr="00901D86" w14:paraId="6F4B3669" w14:textId="77777777" w:rsidTr="00D655DC">
        <w:tc>
          <w:tcPr>
            <w:tcW w:w="9017" w:type="dxa"/>
            <w:gridSpan w:val="6"/>
          </w:tcPr>
          <w:p w14:paraId="35A753EB" w14:textId="77777777" w:rsidR="00251D64" w:rsidRPr="00901D86" w:rsidRDefault="00251D64" w:rsidP="00D655DC">
            <w:pPr>
              <w:keepNext/>
              <w:jc w:val="left"/>
              <w:rPr>
                <w:rFonts w:ascii="Arial Narrow" w:hAnsi="Arial Narrow"/>
                <w:b/>
                <w:sz w:val="20"/>
                <w:szCs w:val="20"/>
              </w:rPr>
            </w:pPr>
            <w:r w:rsidRPr="00901D86">
              <w:rPr>
                <w:rFonts w:ascii="Arial Narrow" w:hAnsi="Arial Narrow"/>
                <w:b/>
                <w:sz w:val="20"/>
                <w:szCs w:val="20"/>
              </w:rPr>
              <w:t>Adalimumab 40mg vs placebo (Week 12)</w:t>
            </w:r>
          </w:p>
        </w:tc>
      </w:tr>
      <w:tr w:rsidR="00251D64" w:rsidRPr="00901D86" w14:paraId="79C8C37E" w14:textId="77777777" w:rsidTr="00D655DC">
        <w:tc>
          <w:tcPr>
            <w:tcW w:w="1413" w:type="dxa"/>
          </w:tcPr>
          <w:p w14:paraId="33734465"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ADEPT</w:t>
            </w:r>
          </w:p>
        </w:tc>
        <w:tc>
          <w:tcPr>
            <w:tcW w:w="1346" w:type="dxa"/>
            <w:vAlign w:val="center"/>
          </w:tcPr>
          <w:p w14:paraId="6813A00B"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55/151 (36)</w:t>
            </w:r>
          </w:p>
        </w:tc>
        <w:tc>
          <w:tcPr>
            <w:tcW w:w="1347" w:type="dxa"/>
            <w:vAlign w:val="center"/>
          </w:tcPr>
          <w:p w14:paraId="53EFBF87"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7/162 (4)</w:t>
            </w:r>
          </w:p>
        </w:tc>
        <w:tc>
          <w:tcPr>
            <w:tcW w:w="1637" w:type="dxa"/>
            <w:vAlign w:val="center"/>
          </w:tcPr>
          <w:p w14:paraId="2F938FB6"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0.32 (0.24, 0.40)</w:t>
            </w:r>
          </w:p>
        </w:tc>
        <w:tc>
          <w:tcPr>
            <w:tcW w:w="1637" w:type="dxa"/>
            <w:vAlign w:val="center"/>
          </w:tcPr>
          <w:p w14:paraId="4AFD01A6"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8.43 (3.96, 17.93)</w:t>
            </w:r>
          </w:p>
        </w:tc>
        <w:tc>
          <w:tcPr>
            <w:tcW w:w="1637" w:type="dxa"/>
            <w:vAlign w:val="center"/>
          </w:tcPr>
          <w:p w14:paraId="6735108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12.69 (5.55, 29.00)</w:t>
            </w:r>
          </w:p>
        </w:tc>
      </w:tr>
      <w:tr w:rsidR="00251D64" w:rsidRPr="00901D86" w14:paraId="795F18A9" w14:textId="77777777" w:rsidTr="00D655DC">
        <w:tc>
          <w:tcPr>
            <w:tcW w:w="1413" w:type="dxa"/>
          </w:tcPr>
          <w:p w14:paraId="2600A38C"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Genovese 2007</w:t>
            </w:r>
          </w:p>
        </w:tc>
        <w:tc>
          <w:tcPr>
            <w:tcW w:w="1346" w:type="dxa"/>
            <w:vAlign w:val="center"/>
          </w:tcPr>
          <w:p w14:paraId="018F058F"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13/51 (26)</w:t>
            </w:r>
          </w:p>
        </w:tc>
        <w:tc>
          <w:tcPr>
            <w:tcW w:w="1347" w:type="dxa"/>
            <w:vAlign w:val="center"/>
          </w:tcPr>
          <w:p w14:paraId="66D4EE4D"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1/49 (2)</w:t>
            </w:r>
          </w:p>
        </w:tc>
        <w:tc>
          <w:tcPr>
            <w:tcW w:w="1637" w:type="dxa"/>
            <w:vAlign w:val="center"/>
          </w:tcPr>
          <w:p w14:paraId="11C6F863"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0.23 (0.11, 0.36)</w:t>
            </w:r>
          </w:p>
        </w:tc>
        <w:tc>
          <w:tcPr>
            <w:tcW w:w="1637" w:type="dxa"/>
            <w:vAlign w:val="center"/>
          </w:tcPr>
          <w:p w14:paraId="1933A8F0"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12.49 (1.70, 91.90)</w:t>
            </w:r>
          </w:p>
        </w:tc>
        <w:tc>
          <w:tcPr>
            <w:tcW w:w="1637" w:type="dxa"/>
            <w:vAlign w:val="center"/>
          </w:tcPr>
          <w:p w14:paraId="6DE4B0CA"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16.42 (2.06, 131.18)</w:t>
            </w:r>
          </w:p>
        </w:tc>
      </w:tr>
      <w:tr w:rsidR="00251D64" w:rsidRPr="00901D86" w14:paraId="17212375" w14:textId="77777777" w:rsidTr="00D655DC">
        <w:tc>
          <w:tcPr>
            <w:tcW w:w="1413" w:type="dxa"/>
          </w:tcPr>
          <w:p w14:paraId="5041FF28"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OPAL Broaden</w:t>
            </w:r>
          </w:p>
        </w:tc>
        <w:tc>
          <w:tcPr>
            <w:tcW w:w="1346" w:type="dxa"/>
            <w:vAlign w:val="center"/>
          </w:tcPr>
          <w:p w14:paraId="0EE693CD"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35/106 (33)</w:t>
            </w:r>
          </w:p>
        </w:tc>
        <w:tc>
          <w:tcPr>
            <w:tcW w:w="1347" w:type="dxa"/>
            <w:vAlign w:val="center"/>
          </w:tcPr>
          <w:p w14:paraId="3EC0D306"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10/105 (10)</w:t>
            </w:r>
          </w:p>
        </w:tc>
        <w:tc>
          <w:tcPr>
            <w:tcW w:w="1637" w:type="dxa"/>
            <w:vAlign w:val="center"/>
          </w:tcPr>
          <w:p w14:paraId="066C65D3"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0.23 (0.13, 0.34)</w:t>
            </w:r>
          </w:p>
        </w:tc>
        <w:tc>
          <w:tcPr>
            <w:tcW w:w="1637" w:type="dxa"/>
            <w:vAlign w:val="center"/>
          </w:tcPr>
          <w:p w14:paraId="078AFE90"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3.47 (1.81, 6.63)</w:t>
            </w:r>
          </w:p>
        </w:tc>
        <w:tc>
          <w:tcPr>
            <w:tcW w:w="1637" w:type="dxa"/>
            <w:vAlign w:val="center"/>
          </w:tcPr>
          <w:p w14:paraId="7A54828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4.68 (2.17, 10.09)</w:t>
            </w:r>
          </w:p>
        </w:tc>
      </w:tr>
      <w:tr w:rsidR="00251D64" w:rsidRPr="00901D86" w14:paraId="3CEA4966" w14:textId="77777777" w:rsidTr="00D655DC">
        <w:tc>
          <w:tcPr>
            <w:tcW w:w="1413" w:type="dxa"/>
            <w:shd w:val="clear" w:color="auto" w:fill="F2F2F2" w:themeFill="background1" w:themeFillShade="F2"/>
          </w:tcPr>
          <w:p w14:paraId="6D59F6E0" w14:textId="77777777"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Meta-analysis</w:t>
            </w:r>
          </w:p>
        </w:tc>
        <w:tc>
          <w:tcPr>
            <w:tcW w:w="1346" w:type="dxa"/>
            <w:shd w:val="clear" w:color="auto" w:fill="F2F2F2" w:themeFill="background1" w:themeFillShade="F2"/>
            <w:vAlign w:val="center"/>
          </w:tcPr>
          <w:p w14:paraId="2F60D222"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103/308 (33)</w:t>
            </w:r>
          </w:p>
        </w:tc>
        <w:tc>
          <w:tcPr>
            <w:tcW w:w="1347" w:type="dxa"/>
            <w:shd w:val="clear" w:color="auto" w:fill="F2F2F2" w:themeFill="background1" w:themeFillShade="F2"/>
            <w:vAlign w:val="center"/>
          </w:tcPr>
          <w:p w14:paraId="306A256A"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18/316 (6)</w:t>
            </w:r>
          </w:p>
        </w:tc>
        <w:tc>
          <w:tcPr>
            <w:tcW w:w="1637" w:type="dxa"/>
            <w:shd w:val="clear" w:color="auto" w:fill="F2F2F2" w:themeFill="background1" w:themeFillShade="F2"/>
            <w:vAlign w:val="center"/>
          </w:tcPr>
          <w:p w14:paraId="732A1CC9"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0.28 (0.22, 0.34)</w:t>
            </w:r>
          </w:p>
        </w:tc>
        <w:tc>
          <w:tcPr>
            <w:tcW w:w="1637" w:type="dxa"/>
            <w:shd w:val="clear" w:color="auto" w:fill="F2F2F2" w:themeFill="background1" w:themeFillShade="F2"/>
            <w:vAlign w:val="center"/>
          </w:tcPr>
          <w:p w14:paraId="319F3D96"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5.85 (2.73,12.52)</w:t>
            </w:r>
          </w:p>
        </w:tc>
        <w:tc>
          <w:tcPr>
            <w:tcW w:w="1637" w:type="dxa"/>
            <w:shd w:val="clear" w:color="auto" w:fill="F2F2F2" w:themeFill="background1" w:themeFillShade="F2"/>
            <w:vAlign w:val="center"/>
          </w:tcPr>
          <w:p w14:paraId="450A72FE"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8.35 (3.75, 18.60)</w:t>
            </w:r>
          </w:p>
        </w:tc>
      </w:tr>
      <w:tr w:rsidR="00251D64" w:rsidRPr="00901D86" w14:paraId="731A389A" w14:textId="77777777" w:rsidTr="00D655DC">
        <w:tc>
          <w:tcPr>
            <w:tcW w:w="4106" w:type="dxa"/>
            <w:gridSpan w:val="3"/>
            <w:shd w:val="clear" w:color="auto" w:fill="BFBFBF" w:themeFill="background1" w:themeFillShade="BF"/>
          </w:tcPr>
          <w:p w14:paraId="030EA0B4" w14:textId="503EF6C5" w:rsidR="00251D64" w:rsidRPr="00901D86" w:rsidRDefault="00251D64" w:rsidP="00D655DC">
            <w:pPr>
              <w:keepNext/>
              <w:jc w:val="left"/>
              <w:rPr>
                <w:rFonts w:ascii="Arial Narrow" w:hAnsi="Arial Narrow"/>
                <w:sz w:val="20"/>
                <w:szCs w:val="20"/>
              </w:rPr>
            </w:pPr>
            <w:r w:rsidRPr="00901D86">
              <w:rPr>
                <w:rFonts w:ascii="Arial Narrow" w:hAnsi="Arial Narrow"/>
                <w:sz w:val="20"/>
                <w:szCs w:val="20"/>
              </w:rPr>
              <w:t>Indirect analysis (GUS q8w vs ADA meta-analyses)</w:t>
            </w:r>
            <w:r w:rsidR="00B67DF8">
              <w:rPr>
                <w:rFonts w:ascii="Arial Narrow" w:hAnsi="Arial Narrow"/>
                <w:sz w:val="20"/>
                <w:szCs w:val="20"/>
              </w:rPr>
              <w:t>*</w:t>
            </w:r>
          </w:p>
        </w:tc>
        <w:tc>
          <w:tcPr>
            <w:tcW w:w="1637" w:type="dxa"/>
            <w:shd w:val="clear" w:color="auto" w:fill="BFBFBF" w:themeFill="background1" w:themeFillShade="BF"/>
            <w:vAlign w:val="center"/>
          </w:tcPr>
          <w:p w14:paraId="6337DA47"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-0.13 (-0.23, -0.03)</w:t>
            </w:r>
          </w:p>
        </w:tc>
        <w:tc>
          <w:tcPr>
            <w:tcW w:w="1637" w:type="dxa"/>
            <w:shd w:val="clear" w:color="auto" w:fill="BFBFBF" w:themeFill="background1" w:themeFillShade="BF"/>
            <w:vAlign w:val="center"/>
          </w:tcPr>
          <w:p w14:paraId="70BDBB2C" w14:textId="77777777" w:rsidR="00251D64" w:rsidRPr="00901D86" w:rsidRDefault="00251D64" w:rsidP="00D655DC">
            <w:pPr>
              <w:keepNext/>
              <w:jc w:val="center"/>
              <w:rPr>
                <w:rFonts w:ascii="Arial Narrow" w:hAnsi="Arial Narrow"/>
                <w:sz w:val="20"/>
                <w:szCs w:val="20"/>
              </w:rPr>
            </w:pPr>
            <w:r w:rsidRPr="00901D86">
              <w:rPr>
                <w:rFonts w:ascii="Arial Narrow" w:hAnsi="Arial Narrow"/>
                <w:sz w:val="20"/>
                <w:szCs w:val="20"/>
              </w:rPr>
              <w:t>0.41 (0.17, 1.04)</w:t>
            </w:r>
          </w:p>
        </w:tc>
        <w:tc>
          <w:tcPr>
            <w:tcW w:w="1637" w:type="dxa"/>
            <w:shd w:val="clear" w:color="auto" w:fill="BFBFBF" w:themeFill="background1" w:themeFillShade="BF"/>
            <w:vAlign w:val="center"/>
          </w:tcPr>
          <w:p w14:paraId="39C26E9C" w14:textId="77777777" w:rsidR="00251D64" w:rsidRPr="00901D86" w:rsidRDefault="00251D64" w:rsidP="00D655DC">
            <w:pPr>
              <w:keepNext/>
              <w:jc w:val="center"/>
              <w:rPr>
                <w:rFonts w:ascii="Arial Narrow" w:hAnsi="Arial Narrow"/>
                <w:b/>
                <w:sz w:val="20"/>
                <w:szCs w:val="20"/>
              </w:rPr>
            </w:pPr>
            <w:r w:rsidRPr="00901D86">
              <w:rPr>
                <w:rFonts w:ascii="Arial Narrow" w:hAnsi="Arial Narrow"/>
                <w:b/>
                <w:sz w:val="20"/>
                <w:szCs w:val="20"/>
              </w:rPr>
              <w:t>0.35 (0.13, 0.97)</w:t>
            </w:r>
          </w:p>
        </w:tc>
      </w:tr>
      <w:tr w:rsidR="00251D64" w:rsidRPr="00901D86" w14:paraId="7601EC95" w14:textId="77777777" w:rsidTr="00D655DC">
        <w:trPr>
          <w:trHeight w:val="70"/>
        </w:trPr>
        <w:tc>
          <w:tcPr>
            <w:tcW w:w="4106" w:type="dxa"/>
            <w:gridSpan w:val="3"/>
            <w:shd w:val="clear" w:color="auto" w:fill="BFBFBF" w:themeFill="background1" w:themeFillShade="BF"/>
          </w:tcPr>
          <w:p w14:paraId="4FFA554B" w14:textId="200EB046" w:rsidR="00251D64" w:rsidRPr="00901D86" w:rsidRDefault="00251D64" w:rsidP="00D655DC">
            <w:pPr>
              <w:keepNext/>
              <w:jc w:val="left"/>
              <w:rPr>
                <w:rFonts w:ascii="Arial Narrow" w:hAnsi="Arial Narrow"/>
                <w:iCs/>
                <w:sz w:val="20"/>
                <w:szCs w:val="20"/>
              </w:rPr>
            </w:pPr>
            <w:r w:rsidRPr="00901D86">
              <w:rPr>
                <w:rFonts w:ascii="Arial Narrow" w:hAnsi="Arial Narrow"/>
                <w:iCs/>
                <w:sz w:val="20"/>
                <w:szCs w:val="20"/>
              </w:rPr>
              <w:t>Indirect analysis (GUS q4w vs ADA meta-analyses)</w:t>
            </w:r>
            <w:r w:rsidR="00B67DF8">
              <w:rPr>
                <w:rFonts w:ascii="Arial Narrow" w:hAnsi="Arial Narrow"/>
                <w:iCs/>
                <w:sz w:val="20"/>
                <w:szCs w:val="20"/>
              </w:rPr>
              <w:t>*</w:t>
            </w:r>
          </w:p>
        </w:tc>
        <w:tc>
          <w:tcPr>
            <w:tcW w:w="1637" w:type="dxa"/>
            <w:shd w:val="clear" w:color="auto" w:fill="BFBFBF" w:themeFill="background1" w:themeFillShade="BF"/>
            <w:vAlign w:val="center"/>
          </w:tcPr>
          <w:p w14:paraId="51A70712" w14:textId="77777777" w:rsidR="00251D64" w:rsidRPr="00901D86" w:rsidRDefault="00251D64" w:rsidP="00D655DC">
            <w:pPr>
              <w:keepNext/>
              <w:jc w:val="center"/>
              <w:rPr>
                <w:rFonts w:ascii="Arial Narrow" w:hAnsi="Arial Narrow"/>
                <w:b/>
                <w:bCs/>
                <w:iCs/>
                <w:sz w:val="20"/>
                <w:szCs w:val="20"/>
              </w:rPr>
            </w:pPr>
            <w:r w:rsidRPr="00901D86">
              <w:rPr>
                <w:rFonts w:ascii="Arial Narrow" w:hAnsi="Arial Narrow"/>
                <w:b/>
                <w:bCs/>
                <w:iCs/>
                <w:sz w:val="20"/>
                <w:szCs w:val="20"/>
              </w:rPr>
              <w:t>-0.16 (-0.24, -0.08)</w:t>
            </w:r>
          </w:p>
        </w:tc>
        <w:tc>
          <w:tcPr>
            <w:tcW w:w="1637" w:type="dxa"/>
            <w:shd w:val="clear" w:color="auto" w:fill="BFBFBF" w:themeFill="background1" w:themeFillShade="BF"/>
            <w:vAlign w:val="center"/>
          </w:tcPr>
          <w:p w14:paraId="0FC71BCD" w14:textId="77777777" w:rsidR="00251D64" w:rsidRPr="00901D86" w:rsidRDefault="00251D64" w:rsidP="00D655DC">
            <w:pPr>
              <w:keepNext/>
              <w:jc w:val="center"/>
              <w:rPr>
                <w:rFonts w:ascii="Arial Narrow" w:hAnsi="Arial Narrow"/>
                <w:b/>
                <w:bCs/>
                <w:iCs/>
                <w:sz w:val="20"/>
                <w:szCs w:val="20"/>
              </w:rPr>
            </w:pPr>
            <w:r w:rsidRPr="00901D86">
              <w:rPr>
                <w:rFonts w:ascii="Arial Narrow" w:hAnsi="Arial Narrow"/>
                <w:b/>
                <w:bCs/>
                <w:iCs/>
                <w:sz w:val="20"/>
                <w:szCs w:val="20"/>
              </w:rPr>
              <w:t>0.37 (0.16, 0.86)</w:t>
            </w:r>
          </w:p>
        </w:tc>
        <w:tc>
          <w:tcPr>
            <w:tcW w:w="1637" w:type="dxa"/>
            <w:shd w:val="clear" w:color="auto" w:fill="BFBFBF" w:themeFill="background1" w:themeFillShade="BF"/>
            <w:vAlign w:val="center"/>
          </w:tcPr>
          <w:p w14:paraId="64824E47" w14:textId="77777777" w:rsidR="00251D64" w:rsidRPr="00901D86" w:rsidRDefault="00251D64" w:rsidP="00D655DC">
            <w:pPr>
              <w:keepNext/>
              <w:jc w:val="center"/>
              <w:rPr>
                <w:rFonts w:ascii="Arial Narrow" w:hAnsi="Arial Narrow"/>
                <w:b/>
                <w:iCs/>
                <w:sz w:val="20"/>
                <w:szCs w:val="20"/>
              </w:rPr>
            </w:pPr>
            <w:r w:rsidRPr="00901D86">
              <w:rPr>
                <w:rFonts w:ascii="Arial Narrow" w:hAnsi="Arial Narrow"/>
                <w:b/>
                <w:iCs/>
                <w:sz w:val="20"/>
                <w:szCs w:val="20"/>
              </w:rPr>
              <w:t>0.30 (0.12, 0.74)</w:t>
            </w:r>
          </w:p>
        </w:tc>
      </w:tr>
    </w:tbl>
    <w:p w14:paraId="42DDF475" w14:textId="77777777" w:rsidR="00251D64" w:rsidRPr="00901D86" w:rsidRDefault="00251D64" w:rsidP="00D655DC">
      <w:pPr>
        <w:pStyle w:val="TableFigureFooter"/>
        <w:keepNext/>
      </w:pPr>
      <w:r w:rsidRPr="00901D86">
        <w:t xml:space="preserve">Source: Table 2.61 and 2.62, p 169 of the submission. </w:t>
      </w:r>
    </w:p>
    <w:p w14:paraId="57F80EBC" w14:textId="1C27C89F" w:rsidR="00251D64" w:rsidRDefault="00251D64" w:rsidP="00D655DC">
      <w:pPr>
        <w:pStyle w:val="TableFigureFooter"/>
        <w:keepNext/>
        <w:tabs>
          <w:tab w:val="left" w:pos="284"/>
        </w:tabs>
        <w:ind w:left="284" w:hanging="284"/>
      </w:pPr>
      <w:r w:rsidRPr="00901D86">
        <w:rPr>
          <w:vertAlign w:val="superscript"/>
        </w:rPr>
        <w:t>a</w:t>
      </w:r>
      <w:r w:rsidRPr="00901D86">
        <w:tab/>
        <w:t>Exact proportions were not reported in the FUTURE-3 trials at Week 12 and were therefore estimated by visual inspection of graphs in the publications.</w:t>
      </w:r>
    </w:p>
    <w:p w14:paraId="3D482A98" w14:textId="797B5B5E" w:rsidR="00B67DF8" w:rsidRPr="00B67DF8" w:rsidRDefault="00B67DF8" w:rsidP="00D655DC">
      <w:pPr>
        <w:pStyle w:val="TableFigureFooter"/>
        <w:keepNext/>
        <w:tabs>
          <w:tab w:val="left" w:pos="284"/>
        </w:tabs>
        <w:ind w:left="284" w:hanging="284"/>
      </w:pPr>
      <w:r w:rsidRPr="00B67DF8">
        <w:t xml:space="preserve">* </w:t>
      </w:r>
      <w:r>
        <w:t xml:space="preserve">    </w:t>
      </w:r>
      <w:r w:rsidRPr="00B67DF8">
        <w:rPr>
          <w:i/>
          <w:iCs/>
          <w:color w:val="222222"/>
          <w:szCs w:val="20"/>
          <w:shd w:val="clear" w:color="auto" w:fill="FFFFFF"/>
        </w:rPr>
        <w:t xml:space="preserve">Note that the results presented in Table 5 are derived from post-hoc analyses conducted by the applicant specifically for the purposes of informing the PBAC consideration. These analyses were not part of the pre-specified statistical plan for any of the included biologic </w:t>
      </w:r>
      <w:r w:rsidRPr="00B67DF8">
        <w:rPr>
          <w:i/>
          <w:iCs/>
          <w:color w:val="222222"/>
          <w:szCs w:val="20"/>
          <w:shd w:val="clear" w:color="auto" w:fill="FFFFFF"/>
        </w:rPr>
        <w:lastRenderedPageBreak/>
        <w:t>trials. Interpretation of the results and their application should therefore be limited to seeking to understand the basis for the PBAC outcome and should not be used for any other purpose</w:t>
      </w:r>
    </w:p>
    <w:p w14:paraId="625A2128" w14:textId="77777777" w:rsidR="00AE2CB1" w:rsidRPr="00901D86" w:rsidRDefault="00AE2CB1" w:rsidP="00FE2B75">
      <w:pPr>
        <w:pStyle w:val="3-BodyText"/>
        <w:numPr>
          <w:ilvl w:val="1"/>
          <w:numId w:val="5"/>
        </w:numPr>
      </w:pPr>
      <w:r w:rsidRPr="00901D86">
        <w:t xml:space="preserve">The results for ACR20 demonstrated that all bDMARDs were more effective than placebo in achieving a response. </w:t>
      </w:r>
    </w:p>
    <w:p w14:paraId="36B6D3B9" w14:textId="77777777" w:rsidR="00AE2CB1" w:rsidRPr="00901D86" w:rsidRDefault="00AE2CB1" w:rsidP="00FE2B75">
      <w:pPr>
        <w:pStyle w:val="3-BodyText"/>
        <w:numPr>
          <w:ilvl w:val="1"/>
          <w:numId w:val="5"/>
        </w:numPr>
      </w:pPr>
      <w:r w:rsidRPr="00901D86">
        <w:t xml:space="preserve">The results for ACR50 demonstrated that all bDMARDs were more effective than placebo in achieving a response. However, the DISCOVER 1 q8w dose arm did not demonstrate statistical significance versus placebo for ACR50 at </w:t>
      </w:r>
      <w:r w:rsidR="00D655DC" w:rsidRPr="00901D86">
        <w:t>W</w:t>
      </w:r>
      <w:r w:rsidRPr="00901D86">
        <w:t>eek 16.</w:t>
      </w:r>
      <w:r w:rsidR="002D7D0C" w:rsidRPr="00901D86">
        <w:t xml:space="preserve"> </w:t>
      </w:r>
      <w:r w:rsidRPr="00901D86">
        <w:t xml:space="preserve">In comparing q4w and q8w: </w:t>
      </w:r>
      <w:r w:rsidRPr="00901D86">
        <w:rPr>
          <w:snapToGrid/>
        </w:rPr>
        <w:t>it is noted that “</w:t>
      </w:r>
      <w:r w:rsidR="0031616A">
        <w:rPr>
          <w:noProof/>
          <w:snapToGrid/>
          <w:color w:val="000000"/>
          <w:highlight w:val="black"/>
        </w:rPr>
        <w:t>''''''' ''''''''' '''''''''' '''''''''''' '''''''''''''''''''''''''''' '''''''''''''''' '''''''''''''''''''''' '''''' ''''' ''''''''''''''''''''''''''''''''''''''''''' ''''''''''''''' '''''''''''''''''' '''''''''''''''' ''''''' '''''''''''''''''''''' '''' ''''''''' ''''''' ''''''''''''''''' ''' ''''''' '''''''''''''''''' ''' ''''''''''' ''''''''''''''' ''''''' '''''''''' ''''''''' ''''''''' '''''''''''''''''''''''''' ''''''''''''''''''' '''''''''''''''''''' ''''''''''''' ''''''''' ''''''''''''''''' '''''' ''''' '''''''''''''''''''''''''''''''''''''''' '''''''''''''''''''' ''''''''''''' '''''' '''''' '''''''' ''''' '''''''''''''' '''''''''''''''' '''' ''''''''''' ''''' '''''''' ''''''' ''''''''' ''''' '''''''''''' '''''''''''''''' '''' '''''''''' '''''</w:t>
      </w:r>
      <w:r w:rsidRPr="00901D86">
        <w:rPr>
          <w:snapToGrid/>
        </w:rPr>
        <w:t xml:space="preserve">” in DISCOVER 1 (TGA CER). However, </w:t>
      </w:r>
      <w:r w:rsidR="00D655DC" w:rsidRPr="00901D86">
        <w:rPr>
          <w:snapToGrid/>
        </w:rPr>
        <w:t xml:space="preserve">the </w:t>
      </w:r>
      <w:r w:rsidRPr="00901D86">
        <w:rPr>
          <w:snapToGrid/>
        </w:rPr>
        <w:t>TGA concluded “</w:t>
      </w:r>
      <w:r w:rsidR="0031616A">
        <w:rPr>
          <w:noProof/>
          <w:snapToGrid/>
          <w:color w:val="000000"/>
          <w:highlight w:val="black"/>
        </w:rPr>
        <w:t>'''''' '''''''''''''''''''' ''''''''''''''''' '''''''''' ''''''' '''''''''''''' ''' '''''''''''''''' ''''''''''''''''''''''' '''''''' ''''''''''''''''''' ''' '''''''''''''' '''''''''''''''' ''''''' '''''''' ''''''''''''''''''''''' '''''''' ''''''' ''''''''' '''''''''' '''''''''''''''' '''''' ''''''' '''''''''''''''''''' '''' '''''''</w:t>
      </w:r>
      <w:r w:rsidRPr="00901D86">
        <w:rPr>
          <w:snapToGrid/>
        </w:rPr>
        <w:t>” (TGA CER).</w:t>
      </w:r>
      <w:r w:rsidR="002D7D0C" w:rsidRPr="00901D86">
        <w:rPr>
          <w:i/>
        </w:rPr>
        <w:t xml:space="preserve"> </w:t>
      </w:r>
      <w:r w:rsidR="002D7D0C" w:rsidRPr="00901D86">
        <w:t>The PSCR stated that for the purposes of economic evaluation, the use of the p-value at the 5% significance level was justified (as opposed to the global multiplicity adjusted p-value), and therefore guselkumab was shown to be statistically superior to placebo.</w:t>
      </w:r>
    </w:p>
    <w:p w14:paraId="1EE53208" w14:textId="77777777" w:rsidR="00AE2CB1" w:rsidRPr="00901D86" w:rsidRDefault="00AE2CB1" w:rsidP="00FE2B75">
      <w:pPr>
        <w:pStyle w:val="3-BodyText"/>
        <w:numPr>
          <w:ilvl w:val="1"/>
          <w:numId w:val="5"/>
        </w:numPr>
      </w:pPr>
      <w:r w:rsidRPr="00901D86">
        <w:t xml:space="preserve">The results from the indirect comparisons indicated no statistically significant differences across the majority of outcomes. </w:t>
      </w:r>
      <w:r w:rsidR="00BA6289" w:rsidRPr="00901D86">
        <w:rPr>
          <w:iCs/>
        </w:rPr>
        <w:t>However, statistically significantly fewer patients treated with guselkumab 100 mg q8w achieved an ACR50 response compared with secukinumab (for all statistical estimates) and compared with adalimumab (risk difference and odds ratio).</w:t>
      </w:r>
      <w:r w:rsidR="00192FE3" w:rsidRPr="00901D86">
        <w:t xml:space="preserve"> </w:t>
      </w:r>
      <w:r w:rsidRPr="00901D86">
        <w:t>The nominated non-inferiority margins of 0.46 for ACR20 and 0.29 for ACR50 were met for some biologics, but not all</w:t>
      </w:r>
      <w:r w:rsidR="00D655DC" w:rsidRPr="00901D86">
        <w:t xml:space="preserve">, </w:t>
      </w:r>
      <w:r w:rsidR="00183BE7" w:rsidRPr="00901D86">
        <w:t>as shown in</w:t>
      </w:r>
      <w:r w:rsidR="0021521F">
        <w:t xml:space="preserve"> Table 6</w:t>
      </w:r>
      <w:r w:rsidR="00D655DC" w:rsidRPr="00901D86">
        <w:t>.</w:t>
      </w:r>
    </w:p>
    <w:p w14:paraId="59BD1DDE" w14:textId="0B119527" w:rsidR="00AE2CB1" w:rsidRPr="00901D86" w:rsidRDefault="00AE2CB1" w:rsidP="00AE2CB1">
      <w:pPr>
        <w:pStyle w:val="Caption"/>
        <w:keepNext/>
        <w:spacing w:after="0"/>
        <w:jc w:val="left"/>
        <w:rPr>
          <w:rStyle w:val="CommentReference"/>
          <w:rFonts w:eastAsiaTheme="majorEastAsia" w:cstheme="majorBidi"/>
          <w:b/>
          <w:color w:val="auto"/>
          <w:szCs w:val="24"/>
        </w:rPr>
      </w:pPr>
      <w:bookmarkStart w:id="19" w:name="_Ref50431912"/>
      <w:r w:rsidRPr="00901D86">
        <w:rPr>
          <w:rStyle w:val="CommentReference"/>
          <w:rFonts w:eastAsiaTheme="majorEastAsia" w:cstheme="majorBidi"/>
          <w:b/>
          <w:color w:val="auto"/>
          <w:szCs w:val="24"/>
        </w:rPr>
        <w:t>Table</w:t>
      </w:r>
      <w:bookmarkEnd w:id="19"/>
      <w:r w:rsidR="0021521F">
        <w:rPr>
          <w:rStyle w:val="CommentReference"/>
          <w:rFonts w:eastAsiaTheme="majorEastAsia" w:cstheme="majorBidi"/>
          <w:b/>
          <w:color w:val="auto"/>
          <w:szCs w:val="24"/>
        </w:rPr>
        <w:t xml:space="preserve"> 6</w:t>
      </w:r>
      <w:r w:rsidRPr="00901D86">
        <w:rPr>
          <w:rStyle w:val="CommentReference"/>
          <w:rFonts w:eastAsiaTheme="majorEastAsia" w:cstheme="majorBidi"/>
          <w:b/>
          <w:color w:val="auto"/>
          <w:szCs w:val="24"/>
        </w:rPr>
        <w:t xml:space="preserve">: Summary of non-inferiority outcomes by bDMARD </w:t>
      </w:r>
      <w:r w:rsidR="00192FE3" w:rsidRPr="00901D86">
        <w:rPr>
          <w:rStyle w:val="CommentReference"/>
          <w:rFonts w:eastAsiaTheme="majorEastAsia" w:cstheme="majorBidi"/>
          <w:b/>
          <w:color w:val="auto"/>
          <w:szCs w:val="24"/>
        </w:rPr>
        <w:t>– guselkumab 100 mg q8w versus</w:t>
      </w:r>
      <w:r w:rsidR="00252EB6">
        <w:rPr>
          <w:rStyle w:val="CommentReference"/>
          <w:rFonts w:eastAsiaTheme="majorEastAsia" w:cstheme="majorBidi"/>
          <w:b/>
          <w:color w:val="auto"/>
          <w:szCs w:val="24"/>
        </w:rPr>
        <w:t>*</w:t>
      </w:r>
    </w:p>
    <w:tbl>
      <w:tblPr>
        <w:tblStyle w:val="TableGrid"/>
        <w:tblW w:w="0" w:type="auto"/>
        <w:tblLook w:val="04A0" w:firstRow="1" w:lastRow="0" w:firstColumn="1" w:lastColumn="0" w:noHBand="0" w:noVBand="1"/>
        <w:tblCaption w:val="Table 7: Summary of non-inferiority outcomes by bDMARD – guselkumab 100 mg q8w versus"/>
        <w:tblDescription w:val="Table 7: Summary of non-inferiority outcomes by bDMARD – guselkumab 100 mg q8w versus"/>
      </w:tblPr>
      <w:tblGrid>
        <w:gridCol w:w="3005"/>
        <w:gridCol w:w="3006"/>
        <w:gridCol w:w="3006"/>
      </w:tblGrid>
      <w:tr w:rsidR="00AE2CB1" w:rsidRPr="00901D86" w14:paraId="0B9D8B21" w14:textId="77777777" w:rsidTr="00C52C8C">
        <w:trPr>
          <w:tblHeader/>
        </w:trPr>
        <w:tc>
          <w:tcPr>
            <w:tcW w:w="3005" w:type="dxa"/>
          </w:tcPr>
          <w:p w14:paraId="472FB9FF" w14:textId="77777777" w:rsidR="00AE2CB1" w:rsidRPr="00901D86" w:rsidRDefault="00AE2CB1" w:rsidP="00D655DC">
            <w:pPr>
              <w:rPr>
                <w:rFonts w:ascii="Arial Narrow" w:hAnsi="Arial Narrow"/>
                <w:b/>
                <w:sz w:val="20"/>
                <w:szCs w:val="20"/>
              </w:rPr>
            </w:pPr>
            <w:r w:rsidRPr="00901D86">
              <w:rPr>
                <w:rFonts w:ascii="Arial Narrow" w:hAnsi="Arial Narrow"/>
                <w:b/>
                <w:sz w:val="20"/>
                <w:szCs w:val="20"/>
              </w:rPr>
              <w:t>bDMARD</w:t>
            </w:r>
          </w:p>
        </w:tc>
        <w:tc>
          <w:tcPr>
            <w:tcW w:w="3006" w:type="dxa"/>
            <w:vAlign w:val="center"/>
          </w:tcPr>
          <w:p w14:paraId="0CFF3824" w14:textId="77777777" w:rsidR="00AE2CB1" w:rsidRPr="00901D86" w:rsidRDefault="00AE2CB1" w:rsidP="00AE2CB1">
            <w:pPr>
              <w:jc w:val="center"/>
              <w:rPr>
                <w:rFonts w:ascii="Arial Narrow" w:hAnsi="Arial Narrow"/>
                <w:b/>
                <w:sz w:val="20"/>
                <w:szCs w:val="20"/>
              </w:rPr>
            </w:pPr>
            <w:r w:rsidRPr="00901D86">
              <w:rPr>
                <w:rFonts w:ascii="Arial Narrow" w:hAnsi="Arial Narrow"/>
                <w:b/>
                <w:sz w:val="20"/>
                <w:szCs w:val="20"/>
              </w:rPr>
              <w:t>ACR20</w:t>
            </w:r>
            <w:r w:rsidR="00D655DC" w:rsidRPr="00901D86">
              <w:rPr>
                <w:rFonts w:ascii="Arial Narrow" w:hAnsi="Arial Narrow"/>
                <w:b/>
                <w:sz w:val="20"/>
                <w:szCs w:val="20"/>
              </w:rPr>
              <w:t xml:space="preserve"> </w:t>
            </w:r>
            <w:r w:rsidRPr="00901D86">
              <w:rPr>
                <w:rFonts w:ascii="Arial Narrow" w:hAnsi="Arial Narrow"/>
                <w:b/>
                <w:sz w:val="20"/>
                <w:szCs w:val="20"/>
              </w:rPr>
              <w:t>non-inferiority met</w:t>
            </w:r>
          </w:p>
        </w:tc>
        <w:tc>
          <w:tcPr>
            <w:tcW w:w="3006" w:type="dxa"/>
            <w:vAlign w:val="center"/>
          </w:tcPr>
          <w:p w14:paraId="36198203" w14:textId="77777777" w:rsidR="00AE2CB1" w:rsidRPr="00901D86" w:rsidRDefault="00AE2CB1" w:rsidP="00AE2CB1">
            <w:pPr>
              <w:jc w:val="center"/>
              <w:rPr>
                <w:rFonts w:ascii="Arial Narrow" w:hAnsi="Arial Narrow"/>
                <w:b/>
                <w:sz w:val="20"/>
                <w:szCs w:val="20"/>
              </w:rPr>
            </w:pPr>
            <w:r w:rsidRPr="00901D86">
              <w:rPr>
                <w:rFonts w:ascii="Arial Narrow" w:hAnsi="Arial Narrow"/>
                <w:b/>
                <w:sz w:val="20"/>
                <w:szCs w:val="20"/>
              </w:rPr>
              <w:t>ACR50 non-inferiority met</w:t>
            </w:r>
          </w:p>
        </w:tc>
      </w:tr>
      <w:tr w:rsidR="00AE2CB1" w:rsidRPr="00901D86" w14:paraId="152855AB" w14:textId="77777777" w:rsidTr="00AE2CB1">
        <w:tc>
          <w:tcPr>
            <w:tcW w:w="3005" w:type="dxa"/>
          </w:tcPr>
          <w:p w14:paraId="35EF22E4" w14:textId="77777777" w:rsidR="00AE2CB1" w:rsidRPr="00901D86" w:rsidRDefault="00AE2CB1" w:rsidP="00D655DC">
            <w:pPr>
              <w:rPr>
                <w:rFonts w:ascii="Arial Narrow" w:hAnsi="Arial Narrow"/>
                <w:sz w:val="20"/>
                <w:szCs w:val="20"/>
              </w:rPr>
            </w:pPr>
            <w:r w:rsidRPr="00901D86">
              <w:rPr>
                <w:rFonts w:ascii="Arial Narrow" w:hAnsi="Arial Narrow"/>
                <w:sz w:val="20"/>
                <w:szCs w:val="20"/>
              </w:rPr>
              <w:t>Ustekinumab</w:t>
            </w:r>
            <w:r w:rsidR="00192FE3" w:rsidRPr="00901D86">
              <w:rPr>
                <w:rFonts w:ascii="Arial Narrow" w:hAnsi="Arial Narrow"/>
                <w:sz w:val="20"/>
                <w:szCs w:val="20"/>
              </w:rPr>
              <w:t xml:space="preserve"> </w:t>
            </w:r>
            <w:r w:rsidR="00221824" w:rsidRPr="00901D86">
              <w:rPr>
                <w:rFonts w:ascii="Arial Narrow" w:hAnsi="Arial Narrow"/>
                <w:sz w:val="20"/>
                <w:szCs w:val="20"/>
              </w:rPr>
              <w:t xml:space="preserve">45 mg </w:t>
            </w:r>
            <w:r w:rsidR="00192FE3" w:rsidRPr="00901D86">
              <w:rPr>
                <w:rFonts w:ascii="Arial Narrow" w:hAnsi="Arial Narrow"/>
                <w:sz w:val="20"/>
                <w:szCs w:val="20"/>
              </w:rPr>
              <w:t>(Week 16)</w:t>
            </w:r>
          </w:p>
        </w:tc>
        <w:tc>
          <w:tcPr>
            <w:tcW w:w="3006" w:type="dxa"/>
            <w:vAlign w:val="center"/>
          </w:tcPr>
          <w:p w14:paraId="321A5D9F" w14:textId="77777777" w:rsidR="00AE2CB1" w:rsidRPr="00901D86" w:rsidRDefault="00AE2CB1" w:rsidP="00AE2CB1">
            <w:pPr>
              <w:jc w:val="center"/>
              <w:rPr>
                <w:rFonts w:ascii="Arial Narrow" w:hAnsi="Arial Narrow"/>
                <w:sz w:val="20"/>
                <w:szCs w:val="20"/>
              </w:rPr>
            </w:pPr>
            <w:r w:rsidRPr="00901D86">
              <w:rPr>
                <w:rFonts w:ascii="Arial Narrow" w:hAnsi="Arial Narrow"/>
                <w:sz w:val="20"/>
                <w:szCs w:val="20"/>
              </w:rPr>
              <w:sym w:font="Wingdings" w:char="F0FC"/>
            </w:r>
          </w:p>
        </w:tc>
        <w:tc>
          <w:tcPr>
            <w:tcW w:w="3006" w:type="dxa"/>
            <w:vAlign w:val="center"/>
          </w:tcPr>
          <w:p w14:paraId="3886599B" w14:textId="77777777" w:rsidR="00AE2CB1" w:rsidRPr="00901D86" w:rsidRDefault="00AE2CB1" w:rsidP="00C91A69">
            <w:pPr>
              <w:jc w:val="center"/>
              <w:rPr>
                <w:rFonts w:ascii="Arial Narrow" w:hAnsi="Arial Narrow"/>
                <w:sz w:val="20"/>
                <w:szCs w:val="20"/>
              </w:rPr>
            </w:pPr>
            <w:r w:rsidRPr="00901D86">
              <w:rPr>
                <w:rFonts w:ascii="Arial Narrow" w:hAnsi="Arial Narrow"/>
                <w:sz w:val="20"/>
                <w:szCs w:val="20"/>
              </w:rPr>
              <w:sym w:font="Wingdings" w:char="F0FB"/>
            </w:r>
            <w:r w:rsidRPr="00901D86">
              <w:rPr>
                <w:rFonts w:ascii="Arial Narrow" w:hAnsi="Arial Narrow"/>
                <w:sz w:val="20"/>
                <w:szCs w:val="20"/>
              </w:rPr>
              <w:t xml:space="preserve"> (</w:t>
            </w:r>
            <w:r w:rsidR="00C91A69" w:rsidRPr="00901D86">
              <w:rPr>
                <w:rFonts w:ascii="Arial Narrow" w:hAnsi="Arial Narrow"/>
                <w:i/>
                <w:sz w:val="20"/>
                <w:szCs w:val="20"/>
              </w:rPr>
              <w:t xml:space="preserve">lower 95% CI </w:t>
            </w:r>
            <w:r w:rsidR="0028388B" w:rsidRPr="00901D86">
              <w:rPr>
                <w:rFonts w:ascii="Arial Narrow" w:hAnsi="Arial Narrow"/>
                <w:i/>
                <w:sz w:val="20"/>
                <w:szCs w:val="20"/>
              </w:rPr>
              <w:t>0.28</w:t>
            </w:r>
            <w:r w:rsidR="0028388B" w:rsidRPr="00901D86">
              <w:rPr>
                <w:rFonts w:ascii="Arial Narrow" w:hAnsi="Arial Narrow"/>
                <w:sz w:val="20"/>
                <w:szCs w:val="20"/>
              </w:rPr>
              <w:t xml:space="preserve"> </w:t>
            </w:r>
            <w:r w:rsidRPr="00901D86">
              <w:rPr>
                <w:rFonts w:ascii="Arial Narrow" w:hAnsi="Arial Narrow"/>
                <w:sz w:val="20"/>
                <w:szCs w:val="20"/>
              </w:rPr>
              <w:t>)</w:t>
            </w:r>
          </w:p>
        </w:tc>
      </w:tr>
      <w:tr w:rsidR="00192FE3" w:rsidRPr="00901D86" w14:paraId="3505B4C9" w14:textId="77777777" w:rsidTr="00AE2CB1">
        <w:tc>
          <w:tcPr>
            <w:tcW w:w="3005" w:type="dxa"/>
          </w:tcPr>
          <w:p w14:paraId="476B4A1A" w14:textId="77777777" w:rsidR="00192FE3" w:rsidRPr="00901D86" w:rsidRDefault="00192FE3" w:rsidP="00D655DC">
            <w:pPr>
              <w:rPr>
                <w:rFonts w:ascii="Arial Narrow" w:hAnsi="Arial Narrow"/>
                <w:sz w:val="20"/>
                <w:szCs w:val="20"/>
              </w:rPr>
            </w:pPr>
            <w:r w:rsidRPr="00901D86">
              <w:rPr>
                <w:rFonts w:ascii="Arial Narrow" w:hAnsi="Arial Narrow"/>
                <w:sz w:val="20"/>
                <w:szCs w:val="20"/>
              </w:rPr>
              <w:t xml:space="preserve">Ustekinumab </w:t>
            </w:r>
            <w:r w:rsidR="00221824" w:rsidRPr="00901D86">
              <w:rPr>
                <w:rFonts w:ascii="Arial Narrow" w:hAnsi="Arial Narrow"/>
                <w:sz w:val="20"/>
                <w:szCs w:val="20"/>
              </w:rPr>
              <w:t xml:space="preserve">45 mg </w:t>
            </w:r>
            <w:r w:rsidRPr="00901D86">
              <w:rPr>
                <w:rFonts w:ascii="Arial Narrow" w:hAnsi="Arial Narrow"/>
                <w:sz w:val="20"/>
                <w:szCs w:val="20"/>
              </w:rPr>
              <w:t>(Week 24)</w:t>
            </w:r>
          </w:p>
        </w:tc>
        <w:tc>
          <w:tcPr>
            <w:tcW w:w="3006" w:type="dxa"/>
            <w:vAlign w:val="center"/>
          </w:tcPr>
          <w:p w14:paraId="7A069E22" w14:textId="77777777" w:rsidR="00192FE3" w:rsidRPr="00901D86" w:rsidRDefault="00192FE3" w:rsidP="00AE2CB1">
            <w:pPr>
              <w:jc w:val="center"/>
              <w:rPr>
                <w:rFonts w:ascii="Arial Narrow" w:hAnsi="Arial Narrow"/>
                <w:sz w:val="20"/>
                <w:szCs w:val="20"/>
              </w:rPr>
            </w:pPr>
            <w:r w:rsidRPr="00901D86">
              <w:rPr>
                <w:rFonts w:ascii="Arial Narrow" w:hAnsi="Arial Narrow"/>
                <w:sz w:val="20"/>
                <w:szCs w:val="20"/>
              </w:rPr>
              <w:sym w:font="Wingdings" w:char="F0FC"/>
            </w:r>
          </w:p>
        </w:tc>
        <w:tc>
          <w:tcPr>
            <w:tcW w:w="3006" w:type="dxa"/>
            <w:vAlign w:val="center"/>
          </w:tcPr>
          <w:p w14:paraId="6AED849F" w14:textId="77777777" w:rsidR="00192FE3" w:rsidRPr="00901D86" w:rsidRDefault="00192FE3" w:rsidP="00AE2CB1">
            <w:pPr>
              <w:jc w:val="center"/>
              <w:rPr>
                <w:rFonts w:ascii="Arial Narrow" w:hAnsi="Arial Narrow"/>
                <w:sz w:val="20"/>
                <w:szCs w:val="20"/>
              </w:rPr>
            </w:pPr>
            <w:r w:rsidRPr="00901D86">
              <w:rPr>
                <w:rFonts w:ascii="Arial Narrow" w:hAnsi="Arial Narrow"/>
                <w:sz w:val="20"/>
                <w:szCs w:val="20"/>
              </w:rPr>
              <w:sym w:font="Wingdings" w:char="F0FC"/>
            </w:r>
          </w:p>
        </w:tc>
      </w:tr>
      <w:tr w:rsidR="00AE2CB1" w:rsidRPr="00901D86" w14:paraId="4255E22A" w14:textId="77777777" w:rsidTr="00AE2CB1">
        <w:tc>
          <w:tcPr>
            <w:tcW w:w="3005" w:type="dxa"/>
          </w:tcPr>
          <w:p w14:paraId="36F54196" w14:textId="77777777" w:rsidR="00AE2CB1" w:rsidRPr="00901D86" w:rsidRDefault="00AE2CB1" w:rsidP="00D655DC">
            <w:pPr>
              <w:rPr>
                <w:rFonts w:ascii="Arial Narrow" w:hAnsi="Arial Narrow"/>
                <w:sz w:val="20"/>
                <w:szCs w:val="20"/>
              </w:rPr>
            </w:pPr>
            <w:r w:rsidRPr="00901D86">
              <w:rPr>
                <w:rFonts w:ascii="Arial Narrow" w:hAnsi="Arial Narrow"/>
                <w:sz w:val="20"/>
                <w:szCs w:val="20"/>
              </w:rPr>
              <w:t>Certolizumab pegol</w:t>
            </w:r>
          </w:p>
        </w:tc>
        <w:tc>
          <w:tcPr>
            <w:tcW w:w="3006" w:type="dxa"/>
            <w:vAlign w:val="center"/>
          </w:tcPr>
          <w:p w14:paraId="79E1E4AA" w14:textId="77777777" w:rsidR="00AE2CB1" w:rsidRPr="00901D86" w:rsidRDefault="00AE2CB1" w:rsidP="00AE2CB1">
            <w:pPr>
              <w:jc w:val="center"/>
              <w:rPr>
                <w:rFonts w:ascii="Arial Narrow" w:hAnsi="Arial Narrow"/>
                <w:sz w:val="20"/>
                <w:szCs w:val="20"/>
              </w:rPr>
            </w:pPr>
            <w:r w:rsidRPr="00901D86">
              <w:rPr>
                <w:rFonts w:ascii="Arial Narrow" w:hAnsi="Arial Narrow"/>
                <w:sz w:val="20"/>
                <w:szCs w:val="20"/>
              </w:rPr>
              <w:sym w:font="Wingdings" w:char="F0FC"/>
            </w:r>
          </w:p>
        </w:tc>
        <w:tc>
          <w:tcPr>
            <w:tcW w:w="3006" w:type="dxa"/>
            <w:vAlign w:val="center"/>
          </w:tcPr>
          <w:p w14:paraId="6A0E5168" w14:textId="77777777" w:rsidR="00AE2CB1" w:rsidRPr="00901D86" w:rsidRDefault="00AE2CB1" w:rsidP="00AE2CB1">
            <w:pPr>
              <w:jc w:val="center"/>
              <w:rPr>
                <w:rFonts w:ascii="Arial Narrow" w:hAnsi="Arial Narrow"/>
                <w:sz w:val="20"/>
                <w:szCs w:val="20"/>
              </w:rPr>
            </w:pPr>
            <w:r w:rsidRPr="00901D86">
              <w:rPr>
                <w:rFonts w:ascii="Arial Narrow" w:hAnsi="Arial Narrow"/>
                <w:sz w:val="20"/>
                <w:szCs w:val="20"/>
              </w:rPr>
              <w:sym w:font="Wingdings" w:char="F0FC"/>
            </w:r>
          </w:p>
        </w:tc>
      </w:tr>
      <w:tr w:rsidR="00AE2CB1" w:rsidRPr="00901D86" w14:paraId="0A1286B0" w14:textId="77777777" w:rsidTr="00AE2CB1">
        <w:tc>
          <w:tcPr>
            <w:tcW w:w="3005" w:type="dxa"/>
          </w:tcPr>
          <w:p w14:paraId="73D247DC" w14:textId="77777777" w:rsidR="00AE2CB1" w:rsidRPr="00901D86" w:rsidRDefault="00AE2CB1" w:rsidP="00D655DC">
            <w:pPr>
              <w:rPr>
                <w:rFonts w:ascii="Arial Narrow" w:hAnsi="Arial Narrow"/>
                <w:sz w:val="20"/>
                <w:szCs w:val="20"/>
              </w:rPr>
            </w:pPr>
            <w:r w:rsidRPr="00901D86">
              <w:rPr>
                <w:rFonts w:ascii="Arial Narrow" w:hAnsi="Arial Narrow"/>
                <w:sz w:val="20"/>
                <w:szCs w:val="20"/>
              </w:rPr>
              <w:t>Secukinumab</w:t>
            </w:r>
          </w:p>
        </w:tc>
        <w:tc>
          <w:tcPr>
            <w:tcW w:w="3006" w:type="dxa"/>
            <w:vAlign w:val="center"/>
          </w:tcPr>
          <w:p w14:paraId="651BC49F" w14:textId="77777777" w:rsidR="00AE2CB1" w:rsidRPr="00901D86" w:rsidRDefault="00AE2CB1" w:rsidP="00AE2CB1">
            <w:pPr>
              <w:jc w:val="center"/>
              <w:rPr>
                <w:rFonts w:ascii="Arial Narrow" w:hAnsi="Arial Narrow"/>
                <w:sz w:val="20"/>
                <w:szCs w:val="20"/>
              </w:rPr>
            </w:pPr>
            <w:r w:rsidRPr="00901D86">
              <w:rPr>
                <w:rFonts w:ascii="Arial Narrow" w:hAnsi="Arial Narrow"/>
                <w:sz w:val="20"/>
                <w:szCs w:val="20"/>
              </w:rPr>
              <w:sym w:font="Wingdings" w:char="F0FC"/>
            </w:r>
          </w:p>
        </w:tc>
        <w:tc>
          <w:tcPr>
            <w:tcW w:w="3006" w:type="dxa"/>
            <w:vAlign w:val="center"/>
          </w:tcPr>
          <w:p w14:paraId="7552F1C8" w14:textId="77777777" w:rsidR="00AE2CB1" w:rsidRPr="00901D86" w:rsidRDefault="00AE2CB1" w:rsidP="00C91A69">
            <w:pPr>
              <w:jc w:val="center"/>
              <w:rPr>
                <w:rFonts w:ascii="Arial Narrow" w:hAnsi="Arial Narrow"/>
                <w:sz w:val="20"/>
                <w:szCs w:val="20"/>
              </w:rPr>
            </w:pPr>
            <w:r w:rsidRPr="00901D86">
              <w:rPr>
                <w:rFonts w:ascii="Arial Narrow" w:hAnsi="Arial Narrow"/>
                <w:sz w:val="20"/>
                <w:szCs w:val="20"/>
              </w:rPr>
              <w:sym w:font="Wingdings" w:char="F0FB"/>
            </w:r>
            <w:r w:rsidRPr="00901D86">
              <w:rPr>
                <w:rFonts w:ascii="Arial Narrow" w:hAnsi="Arial Narrow"/>
                <w:sz w:val="20"/>
                <w:szCs w:val="20"/>
              </w:rPr>
              <w:t xml:space="preserve"> </w:t>
            </w:r>
            <w:r w:rsidR="00C91A69" w:rsidRPr="00901D86">
              <w:rPr>
                <w:rFonts w:ascii="Arial Narrow" w:hAnsi="Arial Narrow"/>
                <w:sz w:val="20"/>
                <w:szCs w:val="20"/>
              </w:rPr>
              <w:t>(</w:t>
            </w:r>
            <w:r w:rsidR="00C91A69" w:rsidRPr="00901D86">
              <w:rPr>
                <w:rFonts w:ascii="Arial Narrow" w:hAnsi="Arial Narrow"/>
                <w:i/>
                <w:sz w:val="20"/>
                <w:szCs w:val="20"/>
              </w:rPr>
              <w:t>lower 95% CI 0.26</w:t>
            </w:r>
            <w:r w:rsidR="002A43F6" w:rsidRPr="00901D86">
              <w:rPr>
                <w:rFonts w:ascii="Arial Narrow" w:hAnsi="Arial Narrow"/>
                <w:i/>
                <w:sz w:val="20"/>
                <w:szCs w:val="20"/>
                <w:vertAlign w:val="superscript"/>
              </w:rPr>
              <w:t>1</w:t>
            </w:r>
            <w:r w:rsidR="00C91A69" w:rsidRPr="00901D86">
              <w:rPr>
                <w:rFonts w:ascii="Arial Narrow" w:hAnsi="Arial Narrow"/>
                <w:i/>
                <w:sz w:val="20"/>
                <w:szCs w:val="20"/>
              </w:rPr>
              <w:t xml:space="preserve"> </w:t>
            </w:r>
            <w:r w:rsidRPr="00901D86">
              <w:rPr>
                <w:rFonts w:ascii="Arial Narrow" w:hAnsi="Arial Narrow"/>
                <w:sz w:val="20"/>
                <w:szCs w:val="20"/>
              </w:rPr>
              <w:t>)</w:t>
            </w:r>
          </w:p>
        </w:tc>
      </w:tr>
      <w:tr w:rsidR="00AE2CB1" w:rsidRPr="00901D86" w14:paraId="6650FCC5" w14:textId="77777777" w:rsidTr="00AE2CB1">
        <w:tc>
          <w:tcPr>
            <w:tcW w:w="3005" w:type="dxa"/>
          </w:tcPr>
          <w:p w14:paraId="03C5B953" w14:textId="77777777" w:rsidR="00AE2CB1" w:rsidRPr="00901D86" w:rsidRDefault="00AE2CB1" w:rsidP="00D655DC">
            <w:pPr>
              <w:rPr>
                <w:rFonts w:ascii="Arial Narrow" w:hAnsi="Arial Narrow"/>
                <w:sz w:val="20"/>
                <w:szCs w:val="20"/>
              </w:rPr>
            </w:pPr>
            <w:r w:rsidRPr="00901D86">
              <w:rPr>
                <w:rFonts w:ascii="Arial Narrow" w:hAnsi="Arial Narrow"/>
                <w:sz w:val="20"/>
                <w:szCs w:val="20"/>
              </w:rPr>
              <w:t>Adalimumab</w:t>
            </w:r>
          </w:p>
        </w:tc>
        <w:tc>
          <w:tcPr>
            <w:tcW w:w="3006" w:type="dxa"/>
            <w:vAlign w:val="center"/>
          </w:tcPr>
          <w:p w14:paraId="53635F25" w14:textId="77777777" w:rsidR="00AE2CB1" w:rsidRPr="00901D86" w:rsidRDefault="00AE2CB1" w:rsidP="00C91A69">
            <w:pPr>
              <w:jc w:val="center"/>
              <w:rPr>
                <w:rFonts w:ascii="Arial Narrow" w:hAnsi="Arial Narrow"/>
                <w:sz w:val="20"/>
                <w:szCs w:val="20"/>
              </w:rPr>
            </w:pPr>
            <w:r w:rsidRPr="00901D86">
              <w:rPr>
                <w:rFonts w:ascii="Arial Narrow" w:hAnsi="Arial Narrow"/>
                <w:sz w:val="20"/>
                <w:szCs w:val="20"/>
              </w:rPr>
              <w:sym w:font="Wingdings" w:char="F0FB"/>
            </w:r>
            <w:r w:rsidRPr="00901D86">
              <w:rPr>
                <w:rFonts w:ascii="Arial Narrow" w:hAnsi="Arial Narrow"/>
                <w:sz w:val="20"/>
                <w:szCs w:val="20"/>
              </w:rPr>
              <w:t xml:space="preserve"> </w:t>
            </w:r>
            <w:r w:rsidR="00C91A69" w:rsidRPr="00901D86">
              <w:rPr>
                <w:rFonts w:ascii="Arial Narrow" w:hAnsi="Arial Narrow"/>
                <w:sz w:val="20"/>
                <w:szCs w:val="20"/>
              </w:rPr>
              <w:t>(</w:t>
            </w:r>
            <w:r w:rsidR="00C91A69" w:rsidRPr="00901D86">
              <w:rPr>
                <w:rFonts w:ascii="Arial Narrow" w:hAnsi="Arial Narrow"/>
                <w:i/>
                <w:sz w:val="20"/>
                <w:szCs w:val="20"/>
              </w:rPr>
              <w:t>lower 95% CI 0.34</w:t>
            </w:r>
            <w:r w:rsidR="00C91A69" w:rsidRPr="00901D86">
              <w:rPr>
                <w:rFonts w:ascii="Arial Narrow" w:hAnsi="Arial Narrow"/>
                <w:sz w:val="20"/>
                <w:szCs w:val="20"/>
              </w:rPr>
              <w:t xml:space="preserve">) </w:t>
            </w:r>
            <w:r w:rsidRPr="00901D86">
              <w:rPr>
                <w:rFonts w:ascii="Arial Narrow" w:hAnsi="Arial Narrow"/>
                <w:sz w:val="20"/>
                <w:szCs w:val="20"/>
              </w:rPr>
              <w:t>)</w:t>
            </w:r>
          </w:p>
        </w:tc>
        <w:tc>
          <w:tcPr>
            <w:tcW w:w="3006" w:type="dxa"/>
            <w:vAlign w:val="center"/>
          </w:tcPr>
          <w:p w14:paraId="2645FEE9" w14:textId="77777777" w:rsidR="00AE2CB1" w:rsidRPr="00901D86" w:rsidRDefault="00AE2CB1" w:rsidP="00C91A69">
            <w:pPr>
              <w:jc w:val="center"/>
              <w:rPr>
                <w:rFonts w:ascii="Arial Narrow" w:hAnsi="Arial Narrow"/>
                <w:sz w:val="20"/>
                <w:szCs w:val="20"/>
              </w:rPr>
            </w:pPr>
            <w:r w:rsidRPr="00901D86">
              <w:rPr>
                <w:rFonts w:ascii="Arial Narrow" w:hAnsi="Arial Narrow"/>
                <w:sz w:val="20"/>
                <w:szCs w:val="20"/>
              </w:rPr>
              <w:sym w:font="Wingdings" w:char="F0FB"/>
            </w:r>
            <w:r w:rsidRPr="00901D86">
              <w:rPr>
                <w:rFonts w:ascii="Arial Narrow" w:hAnsi="Arial Narrow"/>
                <w:sz w:val="20"/>
                <w:szCs w:val="20"/>
              </w:rPr>
              <w:t xml:space="preserve"> (</w:t>
            </w:r>
            <w:r w:rsidR="00C91A69" w:rsidRPr="00901D86">
              <w:rPr>
                <w:rFonts w:ascii="Arial Narrow" w:hAnsi="Arial Narrow"/>
                <w:i/>
                <w:sz w:val="20"/>
                <w:szCs w:val="20"/>
              </w:rPr>
              <w:t xml:space="preserve">lower 95% CI </w:t>
            </w:r>
            <w:r w:rsidR="0028388B" w:rsidRPr="00901D86">
              <w:rPr>
                <w:rFonts w:ascii="Arial Narrow" w:hAnsi="Arial Narrow"/>
                <w:i/>
                <w:sz w:val="20"/>
                <w:szCs w:val="20"/>
              </w:rPr>
              <w:t>0.17</w:t>
            </w:r>
            <w:r w:rsidRPr="00901D86">
              <w:rPr>
                <w:rFonts w:ascii="Arial Narrow" w:hAnsi="Arial Narrow"/>
                <w:sz w:val="20"/>
                <w:szCs w:val="20"/>
              </w:rPr>
              <w:t>)</w:t>
            </w:r>
          </w:p>
        </w:tc>
      </w:tr>
      <w:tr w:rsidR="00AE2CB1" w:rsidRPr="00901D86" w14:paraId="343BCD68" w14:textId="77777777" w:rsidTr="00AE2CB1">
        <w:tc>
          <w:tcPr>
            <w:tcW w:w="3005" w:type="dxa"/>
          </w:tcPr>
          <w:p w14:paraId="4BFE0063" w14:textId="77777777" w:rsidR="00AE2CB1" w:rsidRPr="00901D86" w:rsidRDefault="00AE2CB1" w:rsidP="00D655DC">
            <w:pPr>
              <w:rPr>
                <w:rFonts w:ascii="Arial Narrow" w:hAnsi="Arial Narrow"/>
                <w:sz w:val="20"/>
                <w:szCs w:val="20"/>
              </w:rPr>
            </w:pPr>
            <w:r w:rsidRPr="00901D86">
              <w:rPr>
                <w:rFonts w:ascii="Arial Narrow" w:hAnsi="Arial Narrow"/>
                <w:sz w:val="20"/>
                <w:szCs w:val="20"/>
              </w:rPr>
              <w:t>Tofacitinib</w:t>
            </w:r>
          </w:p>
        </w:tc>
        <w:tc>
          <w:tcPr>
            <w:tcW w:w="3006" w:type="dxa"/>
            <w:vAlign w:val="center"/>
          </w:tcPr>
          <w:p w14:paraId="6A61A23D" w14:textId="77777777" w:rsidR="00AE2CB1" w:rsidRPr="00901D86" w:rsidRDefault="00AE2CB1" w:rsidP="00AE2CB1">
            <w:pPr>
              <w:jc w:val="center"/>
              <w:rPr>
                <w:rFonts w:ascii="Arial Narrow" w:hAnsi="Arial Narrow"/>
                <w:sz w:val="20"/>
                <w:szCs w:val="20"/>
              </w:rPr>
            </w:pPr>
            <w:r w:rsidRPr="00901D86">
              <w:rPr>
                <w:rFonts w:ascii="Arial Narrow" w:hAnsi="Arial Narrow"/>
                <w:sz w:val="20"/>
                <w:szCs w:val="20"/>
              </w:rPr>
              <w:sym w:font="Wingdings" w:char="F0FC"/>
            </w:r>
          </w:p>
        </w:tc>
        <w:tc>
          <w:tcPr>
            <w:tcW w:w="3006" w:type="dxa"/>
            <w:vAlign w:val="center"/>
          </w:tcPr>
          <w:p w14:paraId="3E99FAEB" w14:textId="77777777" w:rsidR="00AE2CB1" w:rsidRPr="00901D86" w:rsidRDefault="00AE2CB1" w:rsidP="00AE2CB1">
            <w:pPr>
              <w:jc w:val="center"/>
              <w:rPr>
                <w:rFonts w:ascii="Arial Narrow" w:hAnsi="Arial Narrow"/>
                <w:sz w:val="20"/>
                <w:szCs w:val="20"/>
              </w:rPr>
            </w:pPr>
            <w:r w:rsidRPr="00901D86">
              <w:rPr>
                <w:rFonts w:ascii="Arial Narrow" w:hAnsi="Arial Narrow"/>
                <w:sz w:val="20"/>
                <w:szCs w:val="20"/>
              </w:rPr>
              <w:sym w:font="Wingdings" w:char="F0FC"/>
            </w:r>
          </w:p>
        </w:tc>
      </w:tr>
    </w:tbl>
    <w:p w14:paraId="7543E5EC" w14:textId="77777777" w:rsidR="00AE2CB1" w:rsidRPr="00901D86" w:rsidRDefault="00AE2CB1" w:rsidP="002A43F6">
      <w:pPr>
        <w:rPr>
          <w:rFonts w:ascii="Arial Narrow" w:hAnsi="Arial Narrow"/>
          <w:sz w:val="18"/>
          <w:szCs w:val="18"/>
        </w:rPr>
      </w:pPr>
      <w:r w:rsidRPr="00901D86">
        <w:rPr>
          <w:rFonts w:ascii="Arial Narrow" w:hAnsi="Arial Narrow"/>
          <w:sz w:val="18"/>
          <w:szCs w:val="18"/>
        </w:rPr>
        <w:t>Source: complied during the evaluation.</w:t>
      </w:r>
    </w:p>
    <w:p w14:paraId="48D87217" w14:textId="7C2FC1EE" w:rsidR="002A43F6" w:rsidRDefault="00C30C97" w:rsidP="00252EB6">
      <w:pPr>
        <w:rPr>
          <w:rFonts w:ascii="Arial Narrow" w:hAnsi="Arial Narrow"/>
          <w:sz w:val="18"/>
          <w:szCs w:val="18"/>
        </w:rPr>
      </w:pPr>
      <w:r w:rsidRPr="00901D86">
        <w:rPr>
          <w:rFonts w:ascii="Arial Narrow" w:hAnsi="Arial Narrow"/>
          <w:sz w:val="18"/>
          <w:szCs w:val="18"/>
          <w:vertAlign w:val="superscript"/>
        </w:rPr>
        <w:t>1</w:t>
      </w:r>
      <w:r w:rsidR="00183BE7" w:rsidRPr="00901D86">
        <w:rPr>
          <w:rFonts w:ascii="Arial Narrow" w:hAnsi="Arial Narrow"/>
          <w:sz w:val="18"/>
          <w:szCs w:val="18"/>
        </w:rPr>
        <w:t xml:space="preserve"> </w:t>
      </w:r>
      <w:r w:rsidR="002A43F6" w:rsidRPr="00901D86">
        <w:rPr>
          <w:rFonts w:ascii="Arial Narrow" w:hAnsi="Arial Narrow"/>
          <w:sz w:val="18"/>
          <w:szCs w:val="18"/>
        </w:rPr>
        <w:t>Additionally, there was a statistically significant difference in favour of secukinumab</w:t>
      </w:r>
      <w:r w:rsidRPr="00901D86">
        <w:rPr>
          <w:rFonts w:ascii="Arial Narrow" w:hAnsi="Arial Narrow"/>
          <w:sz w:val="18"/>
          <w:szCs w:val="18"/>
        </w:rPr>
        <w:t xml:space="preserve"> for this outcome</w:t>
      </w:r>
    </w:p>
    <w:p w14:paraId="4F2FD30D" w14:textId="123EE4C9" w:rsidR="00252EB6" w:rsidRDefault="00252EB6" w:rsidP="00252EB6">
      <w:pPr>
        <w:rPr>
          <w:rFonts w:ascii="Arial Narrow" w:hAnsi="Arial Narrow"/>
          <w:i/>
          <w:iCs/>
          <w:color w:val="222222"/>
          <w:sz w:val="18"/>
          <w:szCs w:val="18"/>
          <w:shd w:val="clear" w:color="auto" w:fill="FFFFFF"/>
        </w:rPr>
      </w:pPr>
      <w:r w:rsidRPr="00252EB6">
        <w:rPr>
          <w:rFonts w:ascii="Arial Narrow" w:hAnsi="Arial Narrow"/>
          <w:sz w:val="18"/>
          <w:szCs w:val="18"/>
        </w:rPr>
        <w:t>*</w:t>
      </w:r>
      <w:r w:rsidRPr="00252EB6">
        <w:rPr>
          <w:rFonts w:ascii="Arial Narrow" w:hAnsi="Arial Narrow"/>
          <w:i/>
          <w:iCs/>
          <w:color w:val="222222"/>
          <w:sz w:val="18"/>
          <w:szCs w:val="18"/>
          <w:shd w:val="clear" w:color="auto" w:fill="FFFFFF"/>
        </w:rPr>
        <w:t>Note that the results presented in Table 6 are derived from post-hoc analyses conducted by the applicant specifically for the purposes of informing the PBAC consideration. These analyses were not part of the pre-specified statistical plan for any of the included biologic trials. Interpretation of the results and their application should therefore be limited to seeking to understand the basis for the PBAC outcome and should not be used for any other purpose</w:t>
      </w:r>
    </w:p>
    <w:p w14:paraId="11DBA573" w14:textId="77777777" w:rsidR="00252EB6" w:rsidRPr="00252EB6" w:rsidRDefault="00252EB6" w:rsidP="00252EB6">
      <w:pPr>
        <w:rPr>
          <w:rFonts w:ascii="Arial Narrow" w:hAnsi="Arial Narrow"/>
          <w:sz w:val="18"/>
          <w:szCs w:val="18"/>
        </w:rPr>
      </w:pPr>
    </w:p>
    <w:p w14:paraId="329DB0CD" w14:textId="77777777" w:rsidR="00AE2CB1" w:rsidRPr="00901D86" w:rsidRDefault="00AE2CB1" w:rsidP="00FE2B75">
      <w:pPr>
        <w:pStyle w:val="3-BodyText"/>
        <w:numPr>
          <w:ilvl w:val="1"/>
          <w:numId w:val="5"/>
        </w:numPr>
      </w:pPr>
      <w:r w:rsidRPr="00901D86">
        <w:t>The outcomes of ustekinumab at Week 24 w</w:t>
      </w:r>
      <w:r w:rsidR="007368AF" w:rsidRPr="00901D86">
        <w:t>ere</w:t>
      </w:r>
      <w:r w:rsidRPr="00901D86">
        <w:t xml:space="preserve"> added </w:t>
      </w:r>
      <w:r w:rsidR="00AC0484" w:rsidRPr="00901D86">
        <w:t xml:space="preserve">during the evaluation </w:t>
      </w:r>
      <w:r w:rsidRPr="00901D86">
        <w:t xml:space="preserve">to the indirect comparison. As outlined previously, these results may be applicable given </w:t>
      </w:r>
      <w:r w:rsidR="00571256" w:rsidRPr="00901D86">
        <w:t xml:space="preserve">that </w:t>
      </w:r>
      <w:r w:rsidRPr="00901D86">
        <w:t>this time point aligns with the review of response to initial treatment for ustekinumab</w:t>
      </w:r>
      <w:r w:rsidR="003F1E42" w:rsidRPr="00901D86">
        <w:t xml:space="preserve"> on the PBS</w:t>
      </w:r>
      <w:r w:rsidRPr="00901D86">
        <w:t xml:space="preserve">. When </w:t>
      </w:r>
      <w:r w:rsidR="00183BE7" w:rsidRPr="00901D86">
        <w:t xml:space="preserve">the </w:t>
      </w:r>
      <w:r w:rsidRPr="00901D86">
        <w:t>Week 24 results were used, the non-inferiority margins were met for ACR20 and ACR50.</w:t>
      </w:r>
    </w:p>
    <w:p w14:paraId="66947725" w14:textId="77777777" w:rsidR="00AE2CB1" w:rsidRPr="00901D86" w:rsidRDefault="00AE2CB1" w:rsidP="00FE2B75">
      <w:pPr>
        <w:pStyle w:val="3-BodyText"/>
        <w:numPr>
          <w:ilvl w:val="1"/>
          <w:numId w:val="5"/>
        </w:numPr>
      </w:pPr>
      <w:r w:rsidRPr="00901D86">
        <w:lastRenderedPageBreak/>
        <w:t>The submission highlighted the heterogeneity of placebo rates across the included trials. The submission argue</w:t>
      </w:r>
      <w:r w:rsidR="00D655DC" w:rsidRPr="00901D86">
        <w:t>d</w:t>
      </w:r>
      <w:r w:rsidRPr="00901D86">
        <w:t xml:space="preserve"> these differences in placebo response rates could indicate that there are underlying differences in patient risk which are not accounted for in Bucher method ITCs</w:t>
      </w:r>
      <w:r w:rsidR="00183BE7" w:rsidRPr="00901D86">
        <w:t>,</w:t>
      </w:r>
      <w:r w:rsidRPr="00901D86">
        <w:t xml:space="preserve"> and thus may be biased against guselkumab when comparing to treatments whose trials have lower placebo rates. </w:t>
      </w:r>
      <w:r w:rsidR="00183BE7" w:rsidRPr="00901D86">
        <w:t>The u</w:t>
      </w:r>
      <w:r w:rsidRPr="00901D86">
        <w:t>stekinumab, secukinumab and adalimumab trials had lower placebo rates compared to guselkumab. For these bDMARDs, guselkumab was also unable to meet the nominated non-inferiority margins for ACR50. Comparatively, certolizumab pegol and tofacitinib had higher placebo rates and met the specified thresholds for ACR20 and ACR50.</w:t>
      </w:r>
    </w:p>
    <w:p w14:paraId="68ABBC00" w14:textId="77777777" w:rsidR="00AE2CB1" w:rsidRPr="00901D86" w:rsidRDefault="00AE2CB1" w:rsidP="00FE2B75">
      <w:pPr>
        <w:pStyle w:val="3-BodyText"/>
        <w:numPr>
          <w:ilvl w:val="1"/>
          <w:numId w:val="5"/>
        </w:numPr>
      </w:pPr>
      <w:r w:rsidRPr="00901D86">
        <w:t xml:space="preserve">This heterogeneity of placebo rates </w:t>
      </w:r>
      <w:r w:rsidR="00D655DC" w:rsidRPr="00901D86">
        <w:t xml:space="preserve">has </w:t>
      </w:r>
      <w:r w:rsidRPr="00901D86">
        <w:t xml:space="preserve">been noted by the PBAC in </w:t>
      </w:r>
      <w:r w:rsidR="003F3829" w:rsidRPr="00901D86">
        <w:t xml:space="preserve">its </w:t>
      </w:r>
      <w:r w:rsidRPr="00901D86">
        <w:t xml:space="preserve">previous considerations of biologics for PsA. In the PBAC’s consideration of ustekinumab, when comparing ustekinumab with certolizumab, “It was noted that the absolute response in the active treatment arm of the CZP </w:t>
      </w:r>
      <w:r w:rsidR="00D655DC" w:rsidRPr="00901D86">
        <w:t xml:space="preserve">[certolizumab pegol] </w:t>
      </w:r>
      <w:r w:rsidRPr="00901D86">
        <w:t xml:space="preserve">trial was similar to responses observed with the other listed biologics, while response rates due to active treatment in the UST </w:t>
      </w:r>
      <w:r w:rsidR="00D655DC" w:rsidRPr="00901D86">
        <w:t xml:space="preserve">[ustekinumab] </w:t>
      </w:r>
      <w:r w:rsidRPr="00901D86">
        <w:t xml:space="preserve">trials were substantially lower. The placebo response rate in the CZP trial was higher than the placebo rates in all of the other trials. Without understanding the reason for the higher placebo response rate observed in the CZP trial, the review concluded that it is ‘impossible’ to determine whether the usual assumption of homogeneous effects in the RR or OR scales is reasonable” (paragraph 5.13, ustekinumab </w:t>
      </w:r>
      <w:r w:rsidR="007639FE" w:rsidRPr="00901D86">
        <w:t xml:space="preserve">PSD, </w:t>
      </w:r>
      <w:r w:rsidRPr="00901D86">
        <w:t xml:space="preserve">November 2015). In </w:t>
      </w:r>
      <w:r w:rsidR="003F3829" w:rsidRPr="00901D86">
        <w:t xml:space="preserve">its </w:t>
      </w:r>
      <w:r w:rsidRPr="00901D86">
        <w:t>consideration of certolizumab</w:t>
      </w:r>
      <w:r w:rsidR="00D655DC" w:rsidRPr="00901D86">
        <w:t xml:space="preserve"> pegol</w:t>
      </w:r>
      <w:r w:rsidRPr="00901D86">
        <w:t>, the “PBAC noted there is no obvious explanation for the different placebo response rates in the CZP versus other bDMARD trials.” (</w:t>
      </w:r>
      <w:r w:rsidR="007639FE" w:rsidRPr="00901D86">
        <w:t>p</w:t>
      </w:r>
      <w:r w:rsidRPr="00901D86">
        <w:t>aragraph 7.4, certolizumab PSD</w:t>
      </w:r>
      <w:r w:rsidR="007639FE" w:rsidRPr="00901D86">
        <w:t>,</w:t>
      </w:r>
      <w:r w:rsidRPr="00901D86">
        <w:t xml:space="preserve"> November 2014).</w:t>
      </w:r>
      <w:r w:rsidRPr="00901D86">
        <w:rPr>
          <w:snapToGrid/>
          <w:color w:val="0066FF"/>
        </w:rPr>
        <w:t xml:space="preserve"> </w:t>
      </w:r>
      <w:bookmarkStart w:id="20" w:name="_Toc22897642"/>
    </w:p>
    <w:p w14:paraId="1F584BFB" w14:textId="77777777" w:rsidR="00B60939" w:rsidRPr="00901D86" w:rsidRDefault="00B60939" w:rsidP="00AE2CB1">
      <w:pPr>
        <w:pStyle w:val="4-SubsectionHeading"/>
      </w:pPr>
      <w:bookmarkStart w:id="21" w:name="_Toc50643119"/>
      <w:r w:rsidRPr="00901D86">
        <w:t>Comparative harms</w:t>
      </w:r>
      <w:bookmarkEnd w:id="20"/>
      <w:bookmarkEnd w:id="21"/>
    </w:p>
    <w:p w14:paraId="196798F4" w14:textId="77777777" w:rsidR="00847D9E" w:rsidRPr="00901D86" w:rsidRDefault="00847D9E" w:rsidP="00FE2B75">
      <w:pPr>
        <w:pStyle w:val="3-BodyText"/>
        <w:numPr>
          <w:ilvl w:val="1"/>
          <w:numId w:val="5"/>
        </w:numPr>
      </w:pPr>
      <w:r w:rsidRPr="00901D86">
        <w:t>Within the guselkumab trials, 41-60% of patients experienced ≥1 adverse event</w:t>
      </w:r>
      <w:r w:rsidR="00B94B16" w:rsidRPr="00901D86">
        <w:t>s</w:t>
      </w:r>
      <w:r w:rsidR="002D1DA4" w:rsidRPr="00901D86">
        <w:t xml:space="preserve"> during the induction period (up to Week 24)</w:t>
      </w:r>
      <w:r w:rsidRPr="00901D86">
        <w:t xml:space="preserve">. </w:t>
      </w:r>
      <w:r w:rsidR="002D1DA4" w:rsidRPr="00901D86">
        <w:t xml:space="preserve">Upper respiratory tract infections, nasopharyngitis and enthesopathy were among the most common AEs reported. </w:t>
      </w:r>
    </w:p>
    <w:p w14:paraId="36638808" w14:textId="77777777" w:rsidR="00B60939" w:rsidRPr="00901D86" w:rsidRDefault="00AE2CB1" w:rsidP="00FE2B75">
      <w:pPr>
        <w:pStyle w:val="3-BodyText"/>
        <w:numPr>
          <w:ilvl w:val="1"/>
          <w:numId w:val="5"/>
        </w:numPr>
      </w:pPr>
      <w:r w:rsidRPr="00901D86">
        <w:t>The rates of adverse events were similar across</w:t>
      </w:r>
      <w:r w:rsidR="008E320C" w:rsidRPr="00901D86">
        <w:t xml:space="preserve"> the</w:t>
      </w:r>
      <w:r w:rsidRPr="00901D86">
        <w:t xml:space="preserve"> included trials. There were no statistically significant differences between guselkumab </w:t>
      </w:r>
      <w:r w:rsidR="003F1E42" w:rsidRPr="00901D86">
        <w:t xml:space="preserve">100 mg q8w </w:t>
      </w:r>
      <w:r w:rsidRPr="00901D86">
        <w:t>versus any of the comparators during the induction period</w:t>
      </w:r>
      <w:r w:rsidR="007639FE" w:rsidRPr="00901D86">
        <w:t xml:space="preserve"> (</w:t>
      </w:r>
      <w:r w:rsidR="0021521F">
        <w:t>Table 7</w:t>
      </w:r>
      <w:r w:rsidR="007639FE" w:rsidRPr="00901D86">
        <w:t>)</w:t>
      </w:r>
      <w:r w:rsidRPr="00901D86">
        <w:t>.</w:t>
      </w:r>
    </w:p>
    <w:p w14:paraId="62317AE0" w14:textId="77777777" w:rsidR="00E3279B" w:rsidRDefault="00E3279B">
      <w:pPr>
        <w:jc w:val="left"/>
        <w:rPr>
          <w:rStyle w:val="CommentReference"/>
          <w:rFonts w:eastAsiaTheme="majorEastAsia" w:cstheme="majorBidi"/>
          <w:bCs/>
          <w:szCs w:val="24"/>
        </w:rPr>
      </w:pPr>
      <w:bookmarkStart w:id="22" w:name="_Ref50432058"/>
      <w:bookmarkStart w:id="23" w:name="_Toc22897643"/>
      <w:r>
        <w:rPr>
          <w:rStyle w:val="CommentReference"/>
          <w:rFonts w:eastAsiaTheme="majorEastAsia" w:cstheme="majorBidi"/>
          <w:b w:val="0"/>
          <w:szCs w:val="24"/>
        </w:rPr>
        <w:br w:type="page"/>
      </w:r>
    </w:p>
    <w:p w14:paraId="23666802" w14:textId="1F0A1E19" w:rsidR="00AE2CB1" w:rsidRPr="00901D86" w:rsidRDefault="00AE2CB1" w:rsidP="00AE2CB1">
      <w:pPr>
        <w:pStyle w:val="Caption"/>
        <w:keepNext/>
        <w:spacing w:after="0"/>
        <w:jc w:val="left"/>
        <w:rPr>
          <w:rStyle w:val="CommentReference"/>
          <w:rFonts w:eastAsiaTheme="majorEastAsia" w:cstheme="majorBidi"/>
          <w:b/>
          <w:color w:val="auto"/>
          <w:szCs w:val="24"/>
        </w:rPr>
      </w:pPr>
      <w:r w:rsidRPr="00901D86">
        <w:rPr>
          <w:rStyle w:val="CommentReference"/>
          <w:rFonts w:eastAsiaTheme="majorEastAsia" w:cstheme="majorBidi"/>
          <w:b/>
          <w:color w:val="auto"/>
          <w:szCs w:val="24"/>
        </w:rPr>
        <w:lastRenderedPageBreak/>
        <w:t>Table</w:t>
      </w:r>
      <w:bookmarkEnd w:id="22"/>
      <w:r w:rsidR="0021521F">
        <w:rPr>
          <w:rStyle w:val="CommentReference"/>
          <w:rFonts w:eastAsiaTheme="majorEastAsia" w:cstheme="majorBidi"/>
          <w:b/>
          <w:color w:val="auto"/>
          <w:szCs w:val="24"/>
        </w:rPr>
        <w:t xml:space="preserve"> 7</w:t>
      </w:r>
      <w:r w:rsidRPr="00901D86">
        <w:rPr>
          <w:rStyle w:val="CommentReference"/>
          <w:rFonts w:eastAsiaTheme="majorEastAsia" w:cstheme="majorBidi"/>
          <w:b/>
          <w:color w:val="auto"/>
          <w:szCs w:val="24"/>
        </w:rPr>
        <w:t>: Indirect comparisons of safety outcomes during the induction phase</w:t>
      </w:r>
      <w:r w:rsidR="009417F0">
        <w:rPr>
          <w:rStyle w:val="CommentReference"/>
          <w:rFonts w:eastAsiaTheme="majorEastAsia" w:cstheme="majorBidi"/>
          <w:b/>
          <w:color w:val="auto"/>
          <w:szCs w:val="24"/>
        </w:rPr>
        <w:t>*</w:t>
      </w:r>
    </w:p>
    <w:tbl>
      <w:tblPr>
        <w:tblStyle w:val="TableGrid"/>
        <w:tblW w:w="0" w:type="auto"/>
        <w:tblCellMar>
          <w:left w:w="28" w:type="dxa"/>
          <w:right w:w="28" w:type="dxa"/>
        </w:tblCellMar>
        <w:tblLook w:val="04A0" w:firstRow="1" w:lastRow="0" w:firstColumn="1" w:lastColumn="0" w:noHBand="0" w:noVBand="1"/>
        <w:tblCaption w:val="Table 8: Indirect comparisons of safety outcomes during the induction phase"/>
        <w:tblDescription w:val="Table 8: Indirect comparisons of safety outcomes during the induction phase"/>
      </w:tblPr>
      <w:tblGrid>
        <w:gridCol w:w="4673"/>
        <w:gridCol w:w="1559"/>
        <w:gridCol w:w="1418"/>
        <w:gridCol w:w="1367"/>
      </w:tblGrid>
      <w:tr w:rsidR="00AE2CB1" w:rsidRPr="00901D86" w14:paraId="25DBDFBC" w14:textId="77777777" w:rsidTr="00C52C8C">
        <w:trPr>
          <w:tblHeader/>
        </w:trPr>
        <w:tc>
          <w:tcPr>
            <w:tcW w:w="4673" w:type="dxa"/>
            <w:vAlign w:val="center"/>
          </w:tcPr>
          <w:p w14:paraId="2AB0EB0C" w14:textId="77777777" w:rsidR="00AE2CB1" w:rsidRPr="00901D86" w:rsidRDefault="00AE2CB1" w:rsidP="00D655DC">
            <w:pPr>
              <w:pStyle w:val="In-tableHeading"/>
              <w:keepNext w:val="0"/>
              <w:rPr>
                <w:lang w:val="en-AU"/>
              </w:rPr>
            </w:pPr>
            <w:r w:rsidRPr="00901D86">
              <w:rPr>
                <w:lang w:val="en-AU"/>
              </w:rPr>
              <w:t>Indirect comparisons</w:t>
            </w:r>
          </w:p>
        </w:tc>
        <w:tc>
          <w:tcPr>
            <w:tcW w:w="1559" w:type="dxa"/>
            <w:vAlign w:val="center"/>
          </w:tcPr>
          <w:p w14:paraId="6035E86D" w14:textId="77777777" w:rsidR="00AE2CB1" w:rsidRPr="00901D86" w:rsidRDefault="00AE2CB1" w:rsidP="00D655DC">
            <w:pPr>
              <w:pStyle w:val="In-tableHeading"/>
              <w:keepNext w:val="0"/>
              <w:jc w:val="center"/>
              <w:rPr>
                <w:lang w:val="en-AU"/>
              </w:rPr>
            </w:pPr>
            <w:r w:rsidRPr="00901D86">
              <w:rPr>
                <w:lang w:val="en-AU"/>
              </w:rPr>
              <w:t>RD (95% CI)</w:t>
            </w:r>
          </w:p>
        </w:tc>
        <w:tc>
          <w:tcPr>
            <w:tcW w:w="1418" w:type="dxa"/>
            <w:vAlign w:val="center"/>
          </w:tcPr>
          <w:p w14:paraId="0F2278DD" w14:textId="77777777" w:rsidR="00AE2CB1" w:rsidRPr="00901D86" w:rsidRDefault="00AE2CB1" w:rsidP="00D655DC">
            <w:pPr>
              <w:pStyle w:val="In-tableHeading"/>
              <w:keepNext w:val="0"/>
              <w:jc w:val="center"/>
              <w:rPr>
                <w:lang w:val="en-AU"/>
              </w:rPr>
            </w:pPr>
            <w:r w:rsidRPr="00901D86">
              <w:rPr>
                <w:lang w:val="en-AU"/>
              </w:rPr>
              <w:t>RR (95% CI)</w:t>
            </w:r>
          </w:p>
        </w:tc>
        <w:tc>
          <w:tcPr>
            <w:tcW w:w="1367" w:type="dxa"/>
            <w:vAlign w:val="center"/>
          </w:tcPr>
          <w:p w14:paraId="388372E7" w14:textId="77777777" w:rsidR="00AE2CB1" w:rsidRPr="00901D86" w:rsidRDefault="00AE2CB1" w:rsidP="00D655DC">
            <w:pPr>
              <w:pStyle w:val="In-tableHeading"/>
              <w:keepNext w:val="0"/>
              <w:jc w:val="center"/>
              <w:rPr>
                <w:lang w:val="en-AU"/>
              </w:rPr>
            </w:pPr>
            <w:r w:rsidRPr="00901D86">
              <w:rPr>
                <w:lang w:val="en-AU"/>
              </w:rPr>
              <w:t>OR (95%CI)</w:t>
            </w:r>
          </w:p>
        </w:tc>
      </w:tr>
      <w:tr w:rsidR="00AE2CB1" w:rsidRPr="00901D86" w14:paraId="7D75DD25" w14:textId="77777777" w:rsidTr="00D655DC">
        <w:tc>
          <w:tcPr>
            <w:tcW w:w="9017" w:type="dxa"/>
            <w:gridSpan w:val="4"/>
            <w:vAlign w:val="center"/>
          </w:tcPr>
          <w:p w14:paraId="7F2304A3" w14:textId="77777777" w:rsidR="00AE2CB1" w:rsidRPr="00901D86" w:rsidRDefault="00AE2CB1" w:rsidP="00D655DC">
            <w:pPr>
              <w:pStyle w:val="In-tableHeading"/>
              <w:keepNext w:val="0"/>
              <w:rPr>
                <w:lang w:val="en-AU"/>
              </w:rPr>
            </w:pPr>
            <w:r w:rsidRPr="00901D86">
              <w:rPr>
                <w:lang w:val="en-AU"/>
              </w:rPr>
              <w:t>Serious AE</w:t>
            </w:r>
          </w:p>
        </w:tc>
      </w:tr>
      <w:tr w:rsidR="00AE2CB1" w:rsidRPr="00901D86" w14:paraId="688B5256" w14:textId="77777777" w:rsidTr="00D655DC">
        <w:tc>
          <w:tcPr>
            <w:tcW w:w="4673" w:type="dxa"/>
            <w:vAlign w:val="center"/>
          </w:tcPr>
          <w:p w14:paraId="2DB1BF11" w14:textId="77777777" w:rsidR="00AE2CB1" w:rsidRPr="00901D86" w:rsidRDefault="00AE2CB1" w:rsidP="00D655DC">
            <w:pPr>
              <w:pStyle w:val="In-tableHeading"/>
              <w:keepNext w:val="0"/>
              <w:rPr>
                <w:b w:val="0"/>
                <w:lang w:val="en-AU"/>
              </w:rPr>
            </w:pPr>
            <w:r w:rsidRPr="00901D86">
              <w:rPr>
                <w:b w:val="0"/>
                <w:lang w:val="en-AU"/>
              </w:rPr>
              <w:t>GUS q8w (Week 24 ) vs UST 45 mg (Week16)</w:t>
            </w:r>
          </w:p>
        </w:tc>
        <w:tc>
          <w:tcPr>
            <w:tcW w:w="1559" w:type="dxa"/>
            <w:vAlign w:val="center"/>
          </w:tcPr>
          <w:p w14:paraId="16FBB4F0" w14:textId="77777777" w:rsidR="00AE2CB1" w:rsidRPr="00901D86" w:rsidRDefault="00AE2CB1" w:rsidP="00D655DC">
            <w:pPr>
              <w:pStyle w:val="In-tableHeading"/>
              <w:keepNext w:val="0"/>
              <w:jc w:val="center"/>
              <w:rPr>
                <w:b w:val="0"/>
                <w:lang w:val="en-AU"/>
              </w:rPr>
            </w:pPr>
            <w:r w:rsidRPr="00901D86">
              <w:rPr>
                <w:b w:val="0"/>
                <w:lang w:val="en-AU"/>
              </w:rPr>
              <w:t>0.01 (-0.05, 0.07)</w:t>
            </w:r>
          </w:p>
        </w:tc>
        <w:tc>
          <w:tcPr>
            <w:tcW w:w="1418" w:type="dxa"/>
            <w:vAlign w:val="center"/>
          </w:tcPr>
          <w:p w14:paraId="515912C9" w14:textId="77777777" w:rsidR="00AE2CB1" w:rsidRPr="00901D86" w:rsidRDefault="00AE2CB1" w:rsidP="00D655DC">
            <w:pPr>
              <w:pStyle w:val="In-tableHeading"/>
              <w:keepNext w:val="0"/>
              <w:jc w:val="center"/>
              <w:rPr>
                <w:b w:val="0"/>
                <w:lang w:val="en-AU"/>
              </w:rPr>
            </w:pPr>
            <w:r w:rsidRPr="00901D86">
              <w:rPr>
                <w:b w:val="0"/>
                <w:lang w:val="en-AU"/>
              </w:rPr>
              <w:t>1.41 (0.11, 17.75)</w:t>
            </w:r>
          </w:p>
        </w:tc>
        <w:tc>
          <w:tcPr>
            <w:tcW w:w="1367" w:type="dxa"/>
            <w:vAlign w:val="center"/>
          </w:tcPr>
          <w:p w14:paraId="61327A51" w14:textId="77777777" w:rsidR="00AE2CB1" w:rsidRPr="00901D86" w:rsidRDefault="00AE2CB1" w:rsidP="00D655DC">
            <w:pPr>
              <w:pStyle w:val="In-tableHeading"/>
              <w:keepNext w:val="0"/>
              <w:jc w:val="center"/>
              <w:rPr>
                <w:b w:val="0"/>
                <w:lang w:val="en-AU"/>
              </w:rPr>
            </w:pPr>
            <w:r w:rsidRPr="00901D86">
              <w:rPr>
                <w:b w:val="0"/>
                <w:lang w:val="en-AU"/>
              </w:rPr>
              <w:t>1.42 (0.11, 18.19)</w:t>
            </w:r>
          </w:p>
        </w:tc>
      </w:tr>
      <w:tr w:rsidR="00AE2CB1" w:rsidRPr="00901D86" w14:paraId="3122FE20" w14:textId="77777777" w:rsidTr="00D655DC">
        <w:tc>
          <w:tcPr>
            <w:tcW w:w="4673" w:type="dxa"/>
            <w:vAlign w:val="center"/>
          </w:tcPr>
          <w:p w14:paraId="43E29013" w14:textId="77777777" w:rsidR="00AE2CB1" w:rsidRPr="00901D86" w:rsidRDefault="00AE2CB1" w:rsidP="00D655DC">
            <w:pPr>
              <w:pStyle w:val="In-tableHeading"/>
              <w:keepNext w:val="0"/>
              <w:rPr>
                <w:b w:val="0"/>
                <w:lang w:val="en-AU"/>
              </w:rPr>
            </w:pPr>
            <w:r w:rsidRPr="00901D86">
              <w:rPr>
                <w:b w:val="0"/>
                <w:lang w:val="en-AU"/>
              </w:rPr>
              <w:t>GUS q8w (Week 24) vs CZP 200/400 mg pooled (Week 24)</w:t>
            </w:r>
          </w:p>
        </w:tc>
        <w:tc>
          <w:tcPr>
            <w:tcW w:w="1559" w:type="dxa"/>
            <w:vAlign w:val="center"/>
          </w:tcPr>
          <w:p w14:paraId="65BDF2C8" w14:textId="77777777" w:rsidR="00AE2CB1" w:rsidRPr="00901D86" w:rsidRDefault="00AE2CB1" w:rsidP="00D655DC">
            <w:pPr>
              <w:pStyle w:val="In-tableHeading"/>
              <w:keepNext w:val="0"/>
              <w:jc w:val="center"/>
              <w:rPr>
                <w:b w:val="0"/>
                <w:lang w:val="en-AU"/>
              </w:rPr>
            </w:pPr>
            <w:r w:rsidRPr="00901D86">
              <w:rPr>
                <w:b w:val="0"/>
                <w:lang w:val="en-AU"/>
              </w:rPr>
              <w:t>-0.04 (-0.09, 0.01)</w:t>
            </w:r>
          </w:p>
        </w:tc>
        <w:tc>
          <w:tcPr>
            <w:tcW w:w="1418" w:type="dxa"/>
            <w:vAlign w:val="center"/>
          </w:tcPr>
          <w:p w14:paraId="4317C03E" w14:textId="77777777" w:rsidR="00AE2CB1" w:rsidRPr="00901D86" w:rsidRDefault="00AE2CB1" w:rsidP="00D655DC">
            <w:pPr>
              <w:pStyle w:val="In-tableHeading"/>
              <w:keepNext w:val="0"/>
              <w:jc w:val="center"/>
              <w:rPr>
                <w:b w:val="0"/>
                <w:lang w:val="en-AU"/>
              </w:rPr>
            </w:pPr>
            <w:r w:rsidRPr="00901D86">
              <w:rPr>
                <w:b w:val="0"/>
                <w:lang w:val="en-AU"/>
              </w:rPr>
              <w:t>0.34 (0.09, 1.23)</w:t>
            </w:r>
          </w:p>
        </w:tc>
        <w:tc>
          <w:tcPr>
            <w:tcW w:w="1367" w:type="dxa"/>
            <w:vAlign w:val="center"/>
          </w:tcPr>
          <w:p w14:paraId="0136DF59" w14:textId="77777777" w:rsidR="00AE2CB1" w:rsidRPr="00901D86" w:rsidRDefault="00AE2CB1" w:rsidP="00D655DC">
            <w:pPr>
              <w:pStyle w:val="In-tableHeading"/>
              <w:keepNext w:val="0"/>
              <w:jc w:val="center"/>
              <w:rPr>
                <w:b w:val="0"/>
                <w:lang w:val="en-AU"/>
              </w:rPr>
            </w:pPr>
            <w:r w:rsidRPr="00901D86">
              <w:rPr>
                <w:b w:val="0"/>
                <w:lang w:val="en-AU"/>
              </w:rPr>
              <w:t>0.32 (0.08, 1.22)</w:t>
            </w:r>
          </w:p>
        </w:tc>
      </w:tr>
      <w:tr w:rsidR="00AE2CB1" w:rsidRPr="00901D86" w14:paraId="27E1221E" w14:textId="77777777" w:rsidTr="00D655DC">
        <w:tc>
          <w:tcPr>
            <w:tcW w:w="4673" w:type="dxa"/>
            <w:vAlign w:val="center"/>
          </w:tcPr>
          <w:p w14:paraId="267BCC39" w14:textId="77777777" w:rsidR="00AE2CB1" w:rsidRPr="00901D86" w:rsidRDefault="00AE2CB1" w:rsidP="00D655DC">
            <w:pPr>
              <w:pStyle w:val="In-tableHeading"/>
              <w:keepNext w:val="0"/>
              <w:rPr>
                <w:b w:val="0"/>
                <w:lang w:val="en-AU"/>
              </w:rPr>
            </w:pPr>
            <w:r w:rsidRPr="00901D86">
              <w:rPr>
                <w:b w:val="0"/>
                <w:lang w:val="en-AU"/>
              </w:rPr>
              <w:t>GUS q8w (Week 24) SEC 150/300mg pooled (Week 16 &amp; 24)</w:t>
            </w:r>
          </w:p>
        </w:tc>
        <w:tc>
          <w:tcPr>
            <w:tcW w:w="1559" w:type="dxa"/>
            <w:vAlign w:val="center"/>
          </w:tcPr>
          <w:p w14:paraId="76566754" w14:textId="77777777" w:rsidR="00AE2CB1" w:rsidRPr="00901D86" w:rsidRDefault="00AE2CB1" w:rsidP="00D655DC">
            <w:pPr>
              <w:pStyle w:val="In-tableHeading"/>
              <w:keepNext w:val="0"/>
              <w:jc w:val="center"/>
              <w:rPr>
                <w:b w:val="0"/>
                <w:lang w:val="en-AU"/>
              </w:rPr>
            </w:pPr>
            <w:r w:rsidRPr="00901D86">
              <w:rPr>
                <w:b w:val="0"/>
                <w:lang w:val="en-AU"/>
              </w:rPr>
              <w:t>-0.01 (-0.04, 0.03)</w:t>
            </w:r>
          </w:p>
        </w:tc>
        <w:tc>
          <w:tcPr>
            <w:tcW w:w="1418" w:type="dxa"/>
            <w:vAlign w:val="center"/>
          </w:tcPr>
          <w:p w14:paraId="6BC7080C" w14:textId="77777777" w:rsidR="00AE2CB1" w:rsidRPr="00901D86" w:rsidRDefault="00AE2CB1" w:rsidP="00D655DC">
            <w:pPr>
              <w:pStyle w:val="In-tableHeading"/>
              <w:keepNext w:val="0"/>
              <w:jc w:val="center"/>
              <w:rPr>
                <w:b w:val="0"/>
                <w:lang w:val="en-AU"/>
              </w:rPr>
            </w:pPr>
            <w:r w:rsidRPr="00901D86">
              <w:rPr>
                <w:b w:val="0"/>
                <w:lang w:val="en-AU"/>
              </w:rPr>
              <w:t>0.75 (0.24, 2.31)</w:t>
            </w:r>
          </w:p>
        </w:tc>
        <w:tc>
          <w:tcPr>
            <w:tcW w:w="1367" w:type="dxa"/>
            <w:vAlign w:val="center"/>
          </w:tcPr>
          <w:p w14:paraId="4D8CA6A0" w14:textId="77777777" w:rsidR="00AE2CB1" w:rsidRPr="00901D86" w:rsidRDefault="00AE2CB1" w:rsidP="00D655DC">
            <w:pPr>
              <w:pStyle w:val="In-tableHeading"/>
              <w:keepNext w:val="0"/>
              <w:jc w:val="center"/>
              <w:rPr>
                <w:b w:val="0"/>
                <w:lang w:val="en-AU"/>
              </w:rPr>
            </w:pPr>
            <w:r w:rsidRPr="00901D86">
              <w:rPr>
                <w:b w:val="0"/>
                <w:lang w:val="en-AU"/>
              </w:rPr>
              <w:t>0.73 (0.23, 2.35)</w:t>
            </w:r>
          </w:p>
        </w:tc>
      </w:tr>
      <w:tr w:rsidR="00AE2CB1" w:rsidRPr="00901D86" w14:paraId="7EDAC8C7" w14:textId="77777777" w:rsidTr="00D655DC">
        <w:tc>
          <w:tcPr>
            <w:tcW w:w="4673" w:type="dxa"/>
            <w:vAlign w:val="center"/>
          </w:tcPr>
          <w:p w14:paraId="02E69226" w14:textId="77777777" w:rsidR="00AE2CB1" w:rsidRPr="00901D86" w:rsidRDefault="00AE2CB1" w:rsidP="00D655DC">
            <w:pPr>
              <w:pStyle w:val="In-tableHeading"/>
              <w:keepNext w:val="0"/>
              <w:rPr>
                <w:b w:val="0"/>
                <w:lang w:val="en-AU"/>
              </w:rPr>
            </w:pPr>
            <w:r w:rsidRPr="00901D86">
              <w:rPr>
                <w:b w:val="0"/>
                <w:lang w:val="en-AU"/>
              </w:rPr>
              <w:t>GUS q8w (Week 24) TOF 5mg (Week 12)</w:t>
            </w:r>
          </w:p>
        </w:tc>
        <w:tc>
          <w:tcPr>
            <w:tcW w:w="1559" w:type="dxa"/>
            <w:vAlign w:val="center"/>
          </w:tcPr>
          <w:p w14:paraId="62816696" w14:textId="77777777" w:rsidR="00AE2CB1" w:rsidRPr="00901D86" w:rsidRDefault="00AE2CB1" w:rsidP="00D655DC">
            <w:pPr>
              <w:pStyle w:val="In-tableHeading"/>
              <w:keepNext w:val="0"/>
              <w:jc w:val="center"/>
              <w:rPr>
                <w:b w:val="0"/>
                <w:lang w:val="en-AU"/>
              </w:rPr>
            </w:pPr>
            <w:r w:rsidRPr="00901D86">
              <w:rPr>
                <w:b w:val="0"/>
                <w:lang w:val="en-AU"/>
              </w:rPr>
              <w:t>-0.03 (-0.07, 0.01)</w:t>
            </w:r>
          </w:p>
        </w:tc>
        <w:tc>
          <w:tcPr>
            <w:tcW w:w="1418" w:type="dxa"/>
            <w:vAlign w:val="center"/>
          </w:tcPr>
          <w:p w14:paraId="19497DD6" w14:textId="77777777" w:rsidR="00AE2CB1" w:rsidRPr="00901D86" w:rsidRDefault="00AE2CB1" w:rsidP="00D655DC">
            <w:pPr>
              <w:pStyle w:val="In-tableHeading"/>
              <w:keepNext w:val="0"/>
              <w:jc w:val="center"/>
              <w:rPr>
                <w:b w:val="0"/>
                <w:lang w:val="en-AU"/>
              </w:rPr>
            </w:pPr>
            <w:r w:rsidRPr="00901D86">
              <w:rPr>
                <w:b w:val="0"/>
                <w:lang w:val="en-AU"/>
              </w:rPr>
              <w:t>0.20 (0.02. 2.29)</w:t>
            </w:r>
          </w:p>
        </w:tc>
        <w:tc>
          <w:tcPr>
            <w:tcW w:w="1367" w:type="dxa"/>
            <w:vAlign w:val="center"/>
          </w:tcPr>
          <w:p w14:paraId="336D3018" w14:textId="77777777" w:rsidR="00AE2CB1" w:rsidRPr="00901D86" w:rsidRDefault="00AE2CB1" w:rsidP="00D655DC">
            <w:pPr>
              <w:pStyle w:val="In-tableHeading"/>
              <w:keepNext w:val="0"/>
              <w:jc w:val="center"/>
              <w:rPr>
                <w:b w:val="0"/>
                <w:lang w:val="en-AU"/>
              </w:rPr>
            </w:pPr>
            <w:r w:rsidRPr="00901D86">
              <w:rPr>
                <w:b w:val="0"/>
                <w:lang w:val="en-AU"/>
              </w:rPr>
              <w:t>0.19 (0.02, 2.28)</w:t>
            </w:r>
          </w:p>
        </w:tc>
      </w:tr>
      <w:tr w:rsidR="00AE2CB1" w:rsidRPr="00901D86" w14:paraId="15C16FFC" w14:textId="77777777" w:rsidTr="00D655DC">
        <w:tc>
          <w:tcPr>
            <w:tcW w:w="4673" w:type="dxa"/>
            <w:vAlign w:val="center"/>
          </w:tcPr>
          <w:p w14:paraId="2A55861C" w14:textId="77777777" w:rsidR="00AE2CB1" w:rsidRPr="00901D86" w:rsidRDefault="00AE2CB1" w:rsidP="00D655DC">
            <w:pPr>
              <w:pStyle w:val="In-tableHeading"/>
              <w:keepNext w:val="0"/>
              <w:rPr>
                <w:b w:val="0"/>
                <w:lang w:val="en-AU"/>
              </w:rPr>
            </w:pPr>
            <w:r w:rsidRPr="00901D86">
              <w:rPr>
                <w:b w:val="0"/>
                <w:lang w:val="en-AU"/>
              </w:rPr>
              <w:t xml:space="preserve">GUS q8w (Week 24) ADA 40mg (Week 12 Genovese &amp; OPAL Broaden, &amp; Week 24 ADEPT) </w:t>
            </w:r>
            <w:r w:rsidRPr="00901D86">
              <w:rPr>
                <w:b w:val="0"/>
                <w:vertAlign w:val="superscript"/>
                <w:lang w:val="en-AU"/>
              </w:rPr>
              <w:t>a</w:t>
            </w:r>
          </w:p>
        </w:tc>
        <w:tc>
          <w:tcPr>
            <w:tcW w:w="1559" w:type="dxa"/>
            <w:vAlign w:val="center"/>
          </w:tcPr>
          <w:p w14:paraId="2E06B7EA" w14:textId="77777777" w:rsidR="00AE2CB1" w:rsidRPr="00901D86" w:rsidRDefault="00AE2CB1" w:rsidP="00D655DC">
            <w:pPr>
              <w:pStyle w:val="In-tableHeading"/>
              <w:keepNext w:val="0"/>
              <w:jc w:val="center"/>
              <w:rPr>
                <w:b w:val="0"/>
                <w:lang w:val="en-AU"/>
              </w:rPr>
            </w:pPr>
            <w:r w:rsidRPr="00901D86">
              <w:rPr>
                <w:b w:val="0"/>
                <w:lang w:val="en-AU"/>
              </w:rPr>
              <w:t>0.00 (-0.04, 0.04)</w:t>
            </w:r>
          </w:p>
        </w:tc>
        <w:tc>
          <w:tcPr>
            <w:tcW w:w="1418" w:type="dxa"/>
            <w:vAlign w:val="center"/>
          </w:tcPr>
          <w:p w14:paraId="52CA5A62" w14:textId="77777777" w:rsidR="00AE2CB1" w:rsidRPr="00901D86" w:rsidRDefault="00AE2CB1" w:rsidP="00D655DC">
            <w:pPr>
              <w:pStyle w:val="In-tableHeading"/>
              <w:keepNext w:val="0"/>
              <w:jc w:val="center"/>
              <w:rPr>
                <w:b w:val="0"/>
                <w:lang w:val="en-AU"/>
              </w:rPr>
            </w:pPr>
            <w:r w:rsidRPr="00901D86">
              <w:rPr>
                <w:b w:val="0"/>
                <w:lang w:val="en-AU"/>
              </w:rPr>
              <w:t>0.81 (0.21, 3.08)</w:t>
            </w:r>
          </w:p>
        </w:tc>
        <w:tc>
          <w:tcPr>
            <w:tcW w:w="1367" w:type="dxa"/>
            <w:vAlign w:val="center"/>
          </w:tcPr>
          <w:p w14:paraId="37FA3B4B" w14:textId="77777777" w:rsidR="00AE2CB1" w:rsidRPr="00901D86" w:rsidRDefault="00AE2CB1" w:rsidP="00D655DC">
            <w:pPr>
              <w:pStyle w:val="In-tableHeading"/>
              <w:keepNext w:val="0"/>
              <w:jc w:val="center"/>
              <w:rPr>
                <w:b w:val="0"/>
                <w:lang w:val="en-AU"/>
              </w:rPr>
            </w:pPr>
            <w:r w:rsidRPr="00901D86">
              <w:rPr>
                <w:b w:val="0"/>
                <w:lang w:val="en-AU"/>
              </w:rPr>
              <w:t>0.80 (0.20, 3.15)</w:t>
            </w:r>
          </w:p>
        </w:tc>
      </w:tr>
      <w:tr w:rsidR="00AE2CB1" w:rsidRPr="00901D86" w14:paraId="300B0C67" w14:textId="77777777" w:rsidTr="00D655DC">
        <w:tc>
          <w:tcPr>
            <w:tcW w:w="9017" w:type="dxa"/>
            <w:gridSpan w:val="4"/>
            <w:vAlign w:val="center"/>
          </w:tcPr>
          <w:p w14:paraId="38F1D1D1" w14:textId="77777777" w:rsidR="00AE2CB1" w:rsidRPr="00901D86" w:rsidRDefault="00AE2CB1" w:rsidP="00D655DC">
            <w:pPr>
              <w:pStyle w:val="In-tableHeading"/>
              <w:keepNext w:val="0"/>
              <w:rPr>
                <w:lang w:val="en-AU"/>
              </w:rPr>
            </w:pPr>
            <w:r w:rsidRPr="00901D86">
              <w:rPr>
                <w:lang w:val="en-AU"/>
              </w:rPr>
              <w:t>Discontinuation due to AE</w:t>
            </w:r>
          </w:p>
        </w:tc>
      </w:tr>
      <w:tr w:rsidR="00AE2CB1" w:rsidRPr="00901D86" w14:paraId="6D2392D7" w14:textId="77777777" w:rsidTr="00D655DC">
        <w:tc>
          <w:tcPr>
            <w:tcW w:w="4673" w:type="dxa"/>
            <w:vAlign w:val="center"/>
          </w:tcPr>
          <w:p w14:paraId="32E79E37" w14:textId="77777777" w:rsidR="00AE2CB1" w:rsidRPr="00901D86" w:rsidRDefault="00AE2CB1" w:rsidP="00D655DC">
            <w:pPr>
              <w:pStyle w:val="In-tableHeading"/>
              <w:keepNext w:val="0"/>
              <w:rPr>
                <w:lang w:val="en-AU"/>
              </w:rPr>
            </w:pPr>
            <w:r w:rsidRPr="00901D86">
              <w:rPr>
                <w:b w:val="0"/>
                <w:lang w:val="en-AU"/>
              </w:rPr>
              <w:t>GUS q8w (Week 24 ) vs UST 45 mg (Week16)</w:t>
            </w:r>
          </w:p>
        </w:tc>
        <w:tc>
          <w:tcPr>
            <w:tcW w:w="1559" w:type="dxa"/>
            <w:vAlign w:val="center"/>
          </w:tcPr>
          <w:p w14:paraId="7AAD72CD" w14:textId="77777777" w:rsidR="00AE2CB1" w:rsidRPr="00901D86" w:rsidRDefault="00AE2CB1" w:rsidP="00D655DC">
            <w:pPr>
              <w:pStyle w:val="In-tableHeading"/>
              <w:keepNext w:val="0"/>
              <w:jc w:val="center"/>
              <w:rPr>
                <w:b w:val="0"/>
                <w:lang w:val="en-AU"/>
              </w:rPr>
            </w:pPr>
            <w:r w:rsidRPr="00901D86">
              <w:rPr>
                <w:b w:val="0"/>
                <w:lang w:val="en-AU"/>
              </w:rPr>
              <w:t>0.02 (-0.04, 0.08)</w:t>
            </w:r>
          </w:p>
        </w:tc>
        <w:tc>
          <w:tcPr>
            <w:tcW w:w="1418" w:type="dxa"/>
            <w:vAlign w:val="center"/>
          </w:tcPr>
          <w:p w14:paraId="6B1A25F8" w14:textId="77777777" w:rsidR="00AE2CB1" w:rsidRPr="00901D86" w:rsidRDefault="00AE2CB1" w:rsidP="00D655DC">
            <w:pPr>
              <w:pStyle w:val="In-tableHeading"/>
              <w:keepNext w:val="0"/>
              <w:jc w:val="center"/>
              <w:rPr>
                <w:b w:val="0"/>
                <w:lang w:val="en-AU"/>
              </w:rPr>
            </w:pPr>
            <w:r w:rsidRPr="00901D86">
              <w:rPr>
                <w:b w:val="0"/>
                <w:lang w:val="en-AU"/>
              </w:rPr>
              <w:t>2.57 (0.47, 14.0)</w:t>
            </w:r>
          </w:p>
        </w:tc>
        <w:tc>
          <w:tcPr>
            <w:tcW w:w="1367" w:type="dxa"/>
            <w:vAlign w:val="center"/>
          </w:tcPr>
          <w:p w14:paraId="652F92E7" w14:textId="77777777" w:rsidR="00AE2CB1" w:rsidRPr="00901D86" w:rsidRDefault="00AE2CB1" w:rsidP="00D655DC">
            <w:pPr>
              <w:pStyle w:val="In-tableHeading"/>
              <w:keepNext w:val="0"/>
              <w:jc w:val="center"/>
              <w:rPr>
                <w:b w:val="0"/>
                <w:lang w:val="en-AU"/>
              </w:rPr>
            </w:pPr>
            <w:r w:rsidRPr="00901D86">
              <w:rPr>
                <w:b w:val="0"/>
                <w:lang w:val="en-AU"/>
              </w:rPr>
              <w:t>2.73 (0.47, 15.84)</w:t>
            </w:r>
          </w:p>
        </w:tc>
      </w:tr>
      <w:tr w:rsidR="00AE2CB1" w:rsidRPr="00901D86" w14:paraId="700DC4AD" w14:textId="77777777" w:rsidTr="00D655DC">
        <w:tc>
          <w:tcPr>
            <w:tcW w:w="4673" w:type="dxa"/>
            <w:vAlign w:val="center"/>
          </w:tcPr>
          <w:p w14:paraId="08C523AA" w14:textId="77777777" w:rsidR="00AE2CB1" w:rsidRPr="00901D86" w:rsidRDefault="00AE2CB1" w:rsidP="00D655DC">
            <w:pPr>
              <w:pStyle w:val="In-tableHeading"/>
              <w:keepNext w:val="0"/>
              <w:rPr>
                <w:lang w:val="en-AU"/>
              </w:rPr>
            </w:pPr>
            <w:r w:rsidRPr="00901D86">
              <w:rPr>
                <w:b w:val="0"/>
                <w:lang w:val="en-AU"/>
              </w:rPr>
              <w:t>GUS q8w (Week 24) vs CZP 200/400 mg pooled (Week 24)</w:t>
            </w:r>
          </w:p>
        </w:tc>
        <w:tc>
          <w:tcPr>
            <w:tcW w:w="1559" w:type="dxa"/>
            <w:vAlign w:val="center"/>
          </w:tcPr>
          <w:p w14:paraId="0DF5F76B" w14:textId="77777777" w:rsidR="00AE2CB1" w:rsidRPr="00901D86" w:rsidRDefault="00AE2CB1" w:rsidP="00D655DC">
            <w:pPr>
              <w:pStyle w:val="In-tableHeading"/>
              <w:keepNext w:val="0"/>
              <w:jc w:val="center"/>
              <w:rPr>
                <w:b w:val="0"/>
                <w:lang w:val="en-AU"/>
              </w:rPr>
            </w:pPr>
            <w:r w:rsidRPr="00901D86">
              <w:rPr>
                <w:b w:val="0"/>
                <w:lang w:val="en-AU"/>
              </w:rPr>
              <w:t>-0.03 (-0.06, 0.004)</w:t>
            </w:r>
          </w:p>
        </w:tc>
        <w:tc>
          <w:tcPr>
            <w:tcW w:w="1418" w:type="dxa"/>
            <w:vAlign w:val="center"/>
          </w:tcPr>
          <w:p w14:paraId="3021825D" w14:textId="77777777" w:rsidR="00AE2CB1" w:rsidRPr="00901D86" w:rsidRDefault="00AE2CB1" w:rsidP="00D655DC">
            <w:pPr>
              <w:pStyle w:val="In-tableHeading"/>
              <w:keepNext w:val="0"/>
              <w:jc w:val="center"/>
              <w:rPr>
                <w:b w:val="0"/>
                <w:lang w:val="en-AU"/>
              </w:rPr>
            </w:pPr>
            <w:r w:rsidRPr="00901D86">
              <w:rPr>
                <w:b w:val="0"/>
                <w:lang w:val="en-AU"/>
              </w:rPr>
              <w:t>0.29 (0.04, 1.92)</w:t>
            </w:r>
          </w:p>
        </w:tc>
        <w:tc>
          <w:tcPr>
            <w:tcW w:w="1367" w:type="dxa"/>
            <w:vAlign w:val="center"/>
          </w:tcPr>
          <w:p w14:paraId="1092EFFF" w14:textId="77777777" w:rsidR="00AE2CB1" w:rsidRPr="00901D86" w:rsidRDefault="00AE2CB1" w:rsidP="00D655DC">
            <w:pPr>
              <w:pStyle w:val="In-tableHeading"/>
              <w:keepNext w:val="0"/>
              <w:jc w:val="center"/>
              <w:rPr>
                <w:b w:val="0"/>
                <w:lang w:val="en-AU"/>
              </w:rPr>
            </w:pPr>
            <w:r w:rsidRPr="00901D86">
              <w:rPr>
                <w:b w:val="0"/>
                <w:lang w:val="en-AU"/>
              </w:rPr>
              <w:t>0.28 (0.04, 1.92)</w:t>
            </w:r>
          </w:p>
        </w:tc>
      </w:tr>
      <w:tr w:rsidR="00AE2CB1" w:rsidRPr="00901D86" w14:paraId="2B500A9B" w14:textId="77777777" w:rsidTr="00D655DC">
        <w:tc>
          <w:tcPr>
            <w:tcW w:w="4673" w:type="dxa"/>
            <w:vAlign w:val="center"/>
          </w:tcPr>
          <w:p w14:paraId="5B3F2625" w14:textId="77777777" w:rsidR="00AE2CB1" w:rsidRPr="00901D86" w:rsidRDefault="00AE2CB1" w:rsidP="00D655DC">
            <w:pPr>
              <w:pStyle w:val="In-tableHeading"/>
              <w:keepNext w:val="0"/>
              <w:rPr>
                <w:lang w:val="en-AU"/>
              </w:rPr>
            </w:pPr>
            <w:r w:rsidRPr="00901D86">
              <w:rPr>
                <w:b w:val="0"/>
                <w:lang w:val="en-AU"/>
              </w:rPr>
              <w:t>GUS q8w (Week 24) SEC 150/300mg pooled (Week 16 &amp; 24)</w:t>
            </w:r>
          </w:p>
        </w:tc>
        <w:tc>
          <w:tcPr>
            <w:tcW w:w="1559" w:type="dxa"/>
            <w:vAlign w:val="center"/>
          </w:tcPr>
          <w:p w14:paraId="20A738AD" w14:textId="77777777" w:rsidR="00AE2CB1" w:rsidRPr="00901D86" w:rsidRDefault="00AE2CB1" w:rsidP="00D655DC">
            <w:pPr>
              <w:pStyle w:val="In-tableHeading"/>
              <w:keepNext w:val="0"/>
              <w:jc w:val="center"/>
              <w:rPr>
                <w:b w:val="0"/>
                <w:lang w:val="en-AU"/>
              </w:rPr>
            </w:pPr>
            <w:r w:rsidRPr="00901D86">
              <w:rPr>
                <w:b w:val="0"/>
                <w:lang w:val="en-AU"/>
              </w:rPr>
              <w:t>0 (-0.02, 0.02)</w:t>
            </w:r>
          </w:p>
        </w:tc>
        <w:tc>
          <w:tcPr>
            <w:tcW w:w="1418" w:type="dxa"/>
            <w:vAlign w:val="center"/>
          </w:tcPr>
          <w:p w14:paraId="4A361984" w14:textId="77777777" w:rsidR="00AE2CB1" w:rsidRPr="00901D86" w:rsidRDefault="00AE2CB1" w:rsidP="00D655DC">
            <w:pPr>
              <w:pStyle w:val="In-tableHeading"/>
              <w:keepNext w:val="0"/>
              <w:jc w:val="center"/>
              <w:rPr>
                <w:b w:val="0"/>
                <w:lang w:val="en-AU"/>
              </w:rPr>
            </w:pPr>
            <w:r w:rsidRPr="00901D86">
              <w:rPr>
                <w:b w:val="0"/>
                <w:lang w:val="en-AU"/>
              </w:rPr>
              <w:t>1.06 (0.28. 4.04)</w:t>
            </w:r>
          </w:p>
        </w:tc>
        <w:tc>
          <w:tcPr>
            <w:tcW w:w="1367" w:type="dxa"/>
            <w:vAlign w:val="center"/>
          </w:tcPr>
          <w:p w14:paraId="187DC089" w14:textId="77777777" w:rsidR="00AE2CB1" w:rsidRPr="00901D86" w:rsidRDefault="00AE2CB1" w:rsidP="00D655DC">
            <w:pPr>
              <w:pStyle w:val="In-tableHeading"/>
              <w:keepNext w:val="0"/>
              <w:jc w:val="center"/>
              <w:rPr>
                <w:b w:val="0"/>
                <w:lang w:val="en-AU"/>
              </w:rPr>
            </w:pPr>
            <w:r w:rsidRPr="00901D86">
              <w:rPr>
                <w:b w:val="0"/>
                <w:lang w:val="en-AU"/>
              </w:rPr>
              <w:t>1.06 (0.27, 4.17)</w:t>
            </w:r>
          </w:p>
        </w:tc>
      </w:tr>
      <w:tr w:rsidR="00AE2CB1" w:rsidRPr="00901D86" w14:paraId="709F6626" w14:textId="77777777" w:rsidTr="00D655DC">
        <w:tc>
          <w:tcPr>
            <w:tcW w:w="4673" w:type="dxa"/>
            <w:vAlign w:val="center"/>
          </w:tcPr>
          <w:p w14:paraId="38B3B70C" w14:textId="77777777" w:rsidR="00AE2CB1" w:rsidRPr="00901D86" w:rsidRDefault="00AE2CB1" w:rsidP="00D655DC">
            <w:pPr>
              <w:pStyle w:val="In-tableHeading"/>
              <w:keepNext w:val="0"/>
              <w:rPr>
                <w:lang w:val="en-AU"/>
              </w:rPr>
            </w:pPr>
            <w:r w:rsidRPr="00901D86">
              <w:rPr>
                <w:b w:val="0"/>
                <w:lang w:val="en-AU"/>
              </w:rPr>
              <w:t>GUS q8w (Week 24) TOF 5mg (Week 12)</w:t>
            </w:r>
          </w:p>
        </w:tc>
        <w:tc>
          <w:tcPr>
            <w:tcW w:w="1559" w:type="dxa"/>
            <w:vAlign w:val="center"/>
          </w:tcPr>
          <w:p w14:paraId="61821FEC" w14:textId="77777777" w:rsidR="00AE2CB1" w:rsidRPr="00901D86" w:rsidRDefault="00AE2CB1" w:rsidP="00D655DC">
            <w:pPr>
              <w:pStyle w:val="In-tableHeading"/>
              <w:keepNext w:val="0"/>
              <w:jc w:val="center"/>
              <w:rPr>
                <w:b w:val="0"/>
                <w:lang w:val="en-AU"/>
              </w:rPr>
            </w:pPr>
            <w:r w:rsidRPr="00901D86">
              <w:rPr>
                <w:b w:val="0"/>
                <w:lang w:val="en-AU"/>
              </w:rPr>
              <w:t>-0.03 (-0.07, 0.01)</w:t>
            </w:r>
          </w:p>
        </w:tc>
        <w:tc>
          <w:tcPr>
            <w:tcW w:w="1418" w:type="dxa"/>
            <w:vAlign w:val="center"/>
          </w:tcPr>
          <w:p w14:paraId="580F9566" w14:textId="77777777" w:rsidR="00AE2CB1" w:rsidRPr="00901D86" w:rsidRDefault="00AE2CB1" w:rsidP="00D655DC">
            <w:pPr>
              <w:pStyle w:val="In-tableHeading"/>
              <w:keepNext w:val="0"/>
              <w:jc w:val="center"/>
              <w:rPr>
                <w:b w:val="0"/>
                <w:lang w:val="en-AU"/>
              </w:rPr>
            </w:pPr>
            <w:r w:rsidRPr="00901D86">
              <w:rPr>
                <w:b w:val="0"/>
                <w:lang w:val="en-AU"/>
              </w:rPr>
              <w:t>0.25 (0.02, 3.06)</w:t>
            </w:r>
          </w:p>
        </w:tc>
        <w:tc>
          <w:tcPr>
            <w:tcW w:w="1367" w:type="dxa"/>
            <w:vAlign w:val="center"/>
          </w:tcPr>
          <w:p w14:paraId="68E33CC6" w14:textId="77777777" w:rsidR="00AE2CB1" w:rsidRPr="00901D86" w:rsidRDefault="00AE2CB1" w:rsidP="00D655DC">
            <w:pPr>
              <w:pStyle w:val="In-tableHeading"/>
              <w:keepNext w:val="0"/>
              <w:jc w:val="center"/>
              <w:rPr>
                <w:b w:val="0"/>
                <w:lang w:val="en-AU"/>
              </w:rPr>
            </w:pPr>
            <w:r w:rsidRPr="00901D86">
              <w:rPr>
                <w:b w:val="0"/>
                <w:lang w:val="en-AU"/>
              </w:rPr>
              <w:t>0.24 (0.02, 3.06)</w:t>
            </w:r>
          </w:p>
        </w:tc>
      </w:tr>
      <w:tr w:rsidR="00AE2CB1" w:rsidRPr="00901D86" w14:paraId="2D0D0B58" w14:textId="77777777" w:rsidTr="00D655DC">
        <w:tc>
          <w:tcPr>
            <w:tcW w:w="4673" w:type="dxa"/>
            <w:vAlign w:val="center"/>
          </w:tcPr>
          <w:p w14:paraId="2E1EA110" w14:textId="77777777" w:rsidR="00AE2CB1" w:rsidRPr="00901D86" w:rsidRDefault="00AE2CB1" w:rsidP="00D655DC">
            <w:pPr>
              <w:pStyle w:val="In-tableHeading"/>
              <w:keepNext w:val="0"/>
              <w:rPr>
                <w:lang w:val="en-AU"/>
              </w:rPr>
            </w:pPr>
            <w:r w:rsidRPr="00901D86">
              <w:rPr>
                <w:b w:val="0"/>
                <w:lang w:val="en-AU"/>
              </w:rPr>
              <w:t xml:space="preserve">GUS q8w (Week 24) ADA 40mg (Week 12 Genovese &amp; OPAL Broaden, &amp; Week 24 ADEPT) </w:t>
            </w:r>
            <w:r w:rsidRPr="00901D86">
              <w:rPr>
                <w:b w:val="0"/>
                <w:vertAlign w:val="superscript"/>
                <w:lang w:val="en-AU"/>
              </w:rPr>
              <w:t>a</w:t>
            </w:r>
          </w:p>
        </w:tc>
        <w:tc>
          <w:tcPr>
            <w:tcW w:w="1559" w:type="dxa"/>
            <w:vAlign w:val="center"/>
          </w:tcPr>
          <w:p w14:paraId="6815B3F5" w14:textId="77777777" w:rsidR="00AE2CB1" w:rsidRPr="00901D86" w:rsidRDefault="00AE2CB1" w:rsidP="00D655DC">
            <w:pPr>
              <w:pStyle w:val="In-tableHeading"/>
              <w:keepNext w:val="0"/>
              <w:jc w:val="center"/>
              <w:rPr>
                <w:b w:val="0"/>
                <w:lang w:val="en-AU"/>
              </w:rPr>
            </w:pPr>
            <w:r w:rsidRPr="00901D86">
              <w:rPr>
                <w:b w:val="0"/>
                <w:lang w:val="en-AU"/>
              </w:rPr>
              <w:t>-0.02 (-0.05, 0.01)</w:t>
            </w:r>
          </w:p>
        </w:tc>
        <w:tc>
          <w:tcPr>
            <w:tcW w:w="1418" w:type="dxa"/>
            <w:vAlign w:val="center"/>
          </w:tcPr>
          <w:p w14:paraId="23A5B358" w14:textId="77777777" w:rsidR="00AE2CB1" w:rsidRPr="00901D86" w:rsidRDefault="00AE2CB1" w:rsidP="00D655DC">
            <w:pPr>
              <w:pStyle w:val="In-tableHeading"/>
              <w:keepNext w:val="0"/>
              <w:jc w:val="center"/>
              <w:rPr>
                <w:b w:val="0"/>
                <w:lang w:val="en-AU"/>
              </w:rPr>
            </w:pPr>
            <w:r w:rsidRPr="00901D86">
              <w:rPr>
                <w:b w:val="0"/>
                <w:lang w:val="en-AU"/>
              </w:rPr>
              <w:t>0.48 (0.08, 2.83)</w:t>
            </w:r>
          </w:p>
        </w:tc>
        <w:tc>
          <w:tcPr>
            <w:tcW w:w="1367" w:type="dxa"/>
            <w:vAlign w:val="center"/>
          </w:tcPr>
          <w:p w14:paraId="26DDFBAE" w14:textId="77777777" w:rsidR="00AE2CB1" w:rsidRPr="00901D86" w:rsidRDefault="00AE2CB1" w:rsidP="00D655DC">
            <w:pPr>
              <w:pStyle w:val="In-tableHeading"/>
              <w:keepNext w:val="0"/>
              <w:jc w:val="center"/>
              <w:rPr>
                <w:b w:val="0"/>
                <w:lang w:val="en-AU"/>
              </w:rPr>
            </w:pPr>
            <w:r w:rsidRPr="00901D86">
              <w:rPr>
                <w:b w:val="0"/>
                <w:lang w:val="en-AU"/>
              </w:rPr>
              <w:t>0.47 (0.08, 2.87)</w:t>
            </w:r>
          </w:p>
        </w:tc>
      </w:tr>
    </w:tbl>
    <w:p w14:paraId="6878ED3B" w14:textId="77777777" w:rsidR="00AE2CB1" w:rsidRPr="00901D86" w:rsidRDefault="00AE2CB1" w:rsidP="00AE2CB1">
      <w:pPr>
        <w:rPr>
          <w:rFonts w:ascii="Arial Narrow" w:hAnsi="Arial Narrow"/>
          <w:sz w:val="14"/>
          <w:szCs w:val="18"/>
        </w:rPr>
      </w:pPr>
      <w:r w:rsidRPr="00901D86">
        <w:rPr>
          <w:rFonts w:ascii="Arial Narrow" w:hAnsi="Arial Narrow"/>
          <w:sz w:val="18"/>
          <w:szCs w:val="18"/>
        </w:rPr>
        <w:t>Source: Table 2.67 and 2.68, p179 and 181 of the submission.</w:t>
      </w:r>
    </w:p>
    <w:p w14:paraId="0231EE78" w14:textId="77777777" w:rsidR="00AE2CB1" w:rsidRPr="00901D86" w:rsidRDefault="00AE2CB1" w:rsidP="00AE2CB1">
      <w:pPr>
        <w:rPr>
          <w:rFonts w:ascii="Arial Narrow" w:eastAsia="Calibri" w:hAnsi="Arial Narrow"/>
          <w:sz w:val="18"/>
          <w:szCs w:val="18"/>
        </w:rPr>
      </w:pPr>
      <w:r w:rsidRPr="00901D86">
        <w:rPr>
          <w:rFonts w:ascii="Arial Narrow" w:hAnsi="Arial Narrow"/>
          <w:sz w:val="18"/>
          <w:szCs w:val="18"/>
        </w:rPr>
        <w:t xml:space="preserve">ADA=adalimumab; </w:t>
      </w:r>
      <w:r w:rsidRPr="00901D86">
        <w:rPr>
          <w:rFonts w:ascii="Arial Narrow" w:eastAsia="Calibri" w:hAnsi="Arial Narrow"/>
          <w:sz w:val="18"/>
          <w:szCs w:val="18"/>
        </w:rPr>
        <w:t xml:space="preserve">CI = confidence interval; </w:t>
      </w:r>
      <w:r w:rsidRPr="00901D86">
        <w:rPr>
          <w:rFonts w:ascii="Arial Narrow" w:hAnsi="Arial Narrow"/>
          <w:sz w:val="18"/>
          <w:szCs w:val="18"/>
        </w:rPr>
        <w:t>CZP=certolizumab pegol; GUS = guselkumab;</w:t>
      </w:r>
      <w:r w:rsidRPr="00901D86">
        <w:rPr>
          <w:rFonts w:ascii="Arial Narrow" w:eastAsia="Calibri" w:hAnsi="Arial Narrow"/>
          <w:sz w:val="18"/>
          <w:szCs w:val="18"/>
        </w:rPr>
        <w:t xml:space="preserve"> n = number of participants reporting data; N = total participants in group; OR = odds ratio, </w:t>
      </w:r>
      <w:r w:rsidRPr="00901D86">
        <w:rPr>
          <w:rFonts w:ascii="Arial Narrow" w:hAnsi="Arial Narrow"/>
          <w:sz w:val="18"/>
          <w:szCs w:val="18"/>
        </w:rPr>
        <w:t>PBO=placebo,</w:t>
      </w:r>
      <w:r w:rsidRPr="00901D86">
        <w:rPr>
          <w:rFonts w:ascii="Arial Narrow" w:eastAsia="Calibri" w:hAnsi="Arial Narrow"/>
          <w:sz w:val="18"/>
          <w:szCs w:val="18"/>
        </w:rPr>
        <w:t xml:space="preserve"> RD = risk difference; RR = relative risk; </w:t>
      </w:r>
      <w:r w:rsidRPr="00901D86">
        <w:rPr>
          <w:rFonts w:ascii="Arial Narrow" w:hAnsi="Arial Narrow"/>
          <w:sz w:val="18"/>
          <w:szCs w:val="18"/>
        </w:rPr>
        <w:t>SEC=secukinumab; TOF=tofacitinib; UST = ustekinumab;</w:t>
      </w:r>
    </w:p>
    <w:p w14:paraId="509612A3" w14:textId="7E8D81C1" w:rsidR="00AE2CB1" w:rsidRDefault="00AE2CB1" w:rsidP="00AE2CB1">
      <w:pPr>
        <w:tabs>
          <w:tab w:val="left" w:pos="284"/>
        </w:tabs>
        <w:ind w:left="284" w:hanging="284"/>
        <w:rPr>
          <w:rFonts w:ascii="Arial Narrow" w:eastAsia="Calibri" w:hAnsi="Arial Narrow"/>
          <w:sz w:val="18"/>
          <w:szCs w:val="18"/>
        </w:rPr>
      </w:pPr>
      <w:r w:rsidRPr="00901D86">
        <w:rPr>
          <w:rFonts w:ascii="Arial Narrow" w:eastAsia="Calibri" w:hAnsi="Arial Narrow"/>
          <w:sz w:val="18"/>
          <w:szCs w:val="18"/>
          <w:vertAlign w:val="superscript"/>
        </w:rPr>
        <w:t>a</w:t>
      </w:r>
      <w:r w:rsidRPr="00901D86">
        <w:rPr>
          <w:rFonts w:ascii="Arial Narrow" w:eastAsia="Calibri" w:hAnsi="Arial Narrow"/>
          <w:sz w:val="18"/>
          <w:szCs w:val="18"/>
        </w:rPr>
        <w:tab/>
        <w:t xml:space="preserve">The adverse event values for the ADEPT trial was not reported in the submission. These values were incorporated, and the values for meta-analysis and indirect analysis were updated accordingly. Source: Mease 2005, p 3285. </w:t>
      </w:r>
    </w:p>
    <w:p w14:paraId="15B7CD84" w14:textId="2689439B" w:rsidR="009417F0" w:rsidRPr="009417F0" w:rsidRDefault="009417F0" w:rsidP="00AE2CB1">
      <w:pPr>
        <w:tabs>
          <w:tab w:val="left" w:pos="284"/>
        </w:tabs>
        <w:ind w:left="284" w:hanging="284"/>
        <w:rPr>
          <w:rFonts w:ascii="Arial Narrow" w:hAnsi="Arial Narrow"/>
          <w:sz w:val="18"/>
          <w:szCs w:val="18"/>
        </w:rPr>
      </w:pPr>
      <w:r w:rsidRPr="009417F0">
        <w:rPr>
          <w:rFonts w:ascii="Arial Narrow" w:eastAsia="Calibri" w:hAnsi="Arial Narrow"/>
          <w:sz w:val="18"/>
          <w:szCs w:val="18"/>
        </w:rPr>
        <w:t>*</w:t>
      </w:r>
      <w:r>
        <w:rPr>
          <w:rFonts w:ascii="Arial Narrow" w:eastAsia="Calibri" w:hAnsi="Arial Narrow"/>
          <w:sz w:val="18"/>
          <w:szCs w:val="18"/>
        </w:rPr>
        <w:t xml:space="preserve">    </w:t>
      </w:r>
      <w:r w:rsidRPr="009417F0">
        <w:rPr>
          <w:rFonts w:ascii="Arial Narrow" w:hAnsi="Arial Narrow"/>
          <w:i/>
          <w:iCs/>
          <w:color w:val="222222"/>
          <w:sz w:val="18"/>
          <w:szCs w:val="18"/>
          <w:shd w:val="clear" w:color="auto" w:fill="FFFFFF"/>
        </w:rPr>
        <w:t xml:space="preserve"> Note that the results presented in Table 7 are derived from post-hoc analyses conducted by the applicant specifically for the purposes of informing the PBAC consideration. These analyses were not part of the pre-specified statistical plan for any of the included biologic trials. Interpretation of the results and their application should therefore be limited to seeking to understand the basis for the PBAC outcome and should not be used for any other purpose.</w:t>
      </w:r>
    </w:p>
    <w:p w14:paraId="2855D507" w14:textId="77777777" w:rsidR="007F1017" w:rsidRPr="00901D86" w:rsidRDefault="007F1017" w:rsidP="00D86231">
      <w:pPr>
        <w:pStyle w:val="4-SubsectionHeading"/>
      </w:pPr>
      <w:bookmarkStart w:id="24" w:name="_Toc50643120"/>
      <w:r w:rsidRPr="00901D86">
        <w:t>Benefits/harms</w:t>
      </w:r>
      <w:bookmarkEnd w:id="23"/>
      <w:bookmarkEnd w:id="24"/>
    </w:p>
    <w:p w14:paraId="7FDA47E7" w14:textId="77777777" w:rsidR="00D655DC" w:rsidRPr="00901D86" w:rsidRDefault="00D655DC" w:rsidP="00FE2B75">
      <w:pPr>
        <w:pStyle w:val="3-BodyText"/>
        <w:numPr>
          <w:ilvl w:val="1"/>
          <w:numId w:val="5"/>
        </w:numPr>
        <w:rPr>
          <w:rFonts w:cs="Calibri"/>
          <w:snapToGrid/>
        </w:rPr>
      </w:pPr>
      <w:r w:rsidRPr="00901D86">
        <w:rPr>
          <w:rFonts w:cs="Calibri"/>
          <w:snapToGrid/>
        </w:rPr>
        <w:t xml:space="preserve">On the basis of </w:t>
      </w:r>
      <w:r w:rsidR="00057A26" w:rsidRPr="00901D86">
        <w:rPr>
          <w:rFonts w:cs="Calibri"/>
          <w:snapToGrid/>
        </w:rPr>
        <w:t xml:space="preserve">the </w:t>
      </w:r>
      <w:r w:rsidRPr="00901D86">
        <w:rPr>
          <w:rFonts w:cs="Calibri"/>
          <w:snapToGrid/>
        </w:rPr>
        <w:t>indirect evidence</w:t>
      </w:r>
      <w:r w:rsidR="00CA11FE" w:rsidRPr="00901D86">
        <w:rPr>
          <w:rFonts w:cs="Calibri"/>
          <w:snapToGrid/>
        </w:rPr>
        <w:t xml:space="preserve"> for </w:t>
      </w:r>
      <w:r w:rsidR="00960705" w:rsidRPr="00901D86">
        <w:rPr>
          <w:rFonts w:cs="Calibri"/>
          <w:snapToGrid/>
        </w:rPr>
        <w:t>guselkumab 100</w:t>
      </w:r>
      <w:r w:rsidR="003F1E42" w:rsidRPr="00901D86">
        <w:rPr>
          <w:rFonts w:cs="Calibri"/>
          <w:snapToGrid/>
        </w:rPr>
        <w:t xml:space="preserve"> </w:t>
      </w:r>
      <w:r w:rsidR="00960705" w:rsidRPr="00901D86">
        <w:rPr>
          <w:rFonts w:cs="Calibri"/>
          <w:snapToGrid/>
        </w:rPr>
        <w:t xml:space="preserve">mg </w:t>
      </w:r>
      <w:r w:rsidR="00CA11FE" w:rsidRPr="00901D86">
        <w:rPr>
          <w:rFonts w:cs="Calibri"/>
          <w:snapToGrid/>
        </w:rPr>
        <w:t>q8w</w:t>
      </w:r>
      <w:r w:rsidRPr="00901D86">
        <w:rPr>
          <w:rFonts w:cs="Calibri"/>
          <w:snapToGrid/>
        </w:rPr>
        <w:t>, there were no statistically significant differences between guselkumab and its nominated comparators</w:t>
      </w:r>
      <w:r w:rsidR="00CB7D17" w:rsidRPr="00901D86">
        <w:rPr>
          <w:rFonts w:cs="Calibri"/>
          <w:snapToGrid/>
        </w:rPr>
        <w:t xml:space="preserve"> </w:t>
      </w:r>
      <w:r w:rsidRPr="00901D86">
        <w:rPr>
          <w:rFonts w:cs="Calibri"/>
          <w:snapToGrid/>
        </w:rPr>
        <w:t xml:space="preserve">in terms of improving tender and swollen joints (ACR20 and ACR50 response), </w:t>
      </w:r>
      <w:r w:rsidR="009F4E11" w:rsidRPr="00901D86">
        <w:rPr>
          <w:rFonts w:cs="Calibri"/>
          <w:snapToGrid/>
        </w:rPr>
        <w:t xml:space="preserve">with the exception of secukinumab </w:t>
      </w:r>
      <w:r w:rsidR="003F1E42" w:rsidRPr="00901D86">
        <w:rPr>
          <w:rFonts w:cs="Calibri"/>
          <w:snapToGrid/>
        </w:rPr>
        <w:t xml:space="preserve">(all estimates) </w:t>
      </w:r>
      <w:r w:rsidR="009F4E11" w:rsidRPr="00901D86">
        <w:rPr>
          <w:rFonts w:cs="Calibri"/>
          <w:snapToGrid/>
        </w:rPr>
        <w:t xml:space="preserve">and adalimumab (risk difference and odds ratio) </w:t>
      </w:r>
      <w:r w:rsidR="003F1E42" w:rsidRPr="00901D86">
        <w:rPr>
          <w:rFonts w:cs="Calibri"/>
          <w:snapToGrid/>
        </w:rPr>
        <w:t>for</w:t>
      </w:r>
      <w:r w:rsidR="009F4E11" w:rsidRPr="00901D86">
        <w:rPr>
          <w:rFonts w:cs="Calibri"/>
          <w:snapToGrid/>
        </w:rPr>
        <w:t xml:space="preserve"> ACR50</w:t>
      </w:r>
      <w:r w:rsidR="003F1E42" w:rsidRPr="00901D86">
        <w:rPr>
          <w:rFonts w:cs="Calibri"/>
          <w:snapToGrid/>
        </w:rPr>
        <w:t xml:space="preserve"> response</w:t>
      </w:r>
      <w:r w:rsidRPr="00901D86">
        <w:rPr>
          <w:rFonts w:cs="Calibri"/>
          <w:snapToGrid/>
        </w:rPr>
        <w:t xml:space="preserve">. However, not all comparisons </w:t>
      </w:r>
      <w:r w:rsidR="00167993" w:rsidRPr="00901D86">
        <w:rPr>
          <w:rFonts w:cs="Calibri"/>
          <w:snapToGrid/>
        </w:rPr>
        <w:t xml:space="preserve">that were non-significant </w:t>
      </w:r>
      <w:r w:rsidRPr="00901D86">
        <w:rPr>
          <w:rFonts w:cs="Calibri"/>
          <w:snapToGrid/>
        </w:rPr>
        <w:t xml:space="preserve">met the nominated non-inferiority criteria. </w:t>
      </w:r>
    </w:p>
    <w:p w14:paraId="74056B5E" w14:textId="77777777" w:rsidR="007F1017" w:rsidRPr="00901D86" w:rsidRDefault="00D655DC" w:rsidP="00FE2B75">
      <w:pPr>
        <w:pStyle w:val="3-BodyText"/>
        <w:numPr>
          <w:ilvl w:val="1"/>
          <w:numId w:val="5"/>
        </w:numPr>
      </w:pPr>
      <w:r w:rsidRPr="00901D86">
        <w:rPr>
          <w:rFonts w:cs="Calibri"/>
          <w:snapToGrid/>
        </w:rPr>
        <w:t xml:space="preserve">On the basis of the indirect evidence, there were no statistically significant differences between guselkumab </w:t>
      </w:r>
      <w:r w:rsidR="003F1E42" w:rsidRPr="00901D86">
        <w:rPr>
          <w:rFonts w:cs="Calibri"/>
          <w:snapToGrid/>
        </w:rPr>
        <w:t xml:space="preserve">100 mg q8w </w:t>
      </w:r>
      <w:r w:rsidRPr="00901D86">
        <w:rPr>
          <w:rFonts w:cs="Calibri"/>
          <w:snapToGrid/>
        </w:rPr>
        <w:t>and its nominated comparators in terms of serious adverse events or discontinuation due to adverse events. No non-inferiority criteria were nominated.</w:t>
      </w:r>
    </w:p>
    <w:p w14:paraId="0EF4D822" w14:textId="77777777" w:rsidR="00B60939" w:rsidRPr="00901D86" w:rsidRDefault="00B60939" w:rsidP="00E9094A">
      <w:pPr>
        <w:pStyle w:val="4-SubsectionHeading"/>
      </w:pPr>
      <w:bookmarkStart w:id="25" w:name="_Toc22897644"/>
      <w:bookmarkStart w:id="26" w:name="_Toc50643121"/>
      <w:r w:rsidRPr="00901D86">
        <w:t>Clinical claim</w:t>
      </w:r>
      <w:bookmarkEnd w:id="25"/>
      <w:bookmarkEnd w:id="26"/>
    </w:p>
    <w:p w14:paraId="621441E1" w14:textId="77777777" w:rsidR="00AE2CB1" w:rsidRPr="00901D86" w:rsidRDefault="00AE2CB1" w:rsidP="00FE2B75">
      <w:pPr>
        <w:pStyle w:val="3-BodyText"/>
        <w:numPr>
          <w:ilvl w:val="1"/>
          <w:numId w:val="5"/>
        </w:numPr>
      </w:pPr>
      <w:r w:rsidRPr="00901D86">
        <w:t xml:space="preserve">The submission described guselkumab </w:t>
      </w:r>
      <w:r w:rsidR="00474D2B" w:rsidRPr="00901D86">
        <w:t xml:space="preserve">100 mg q8w </w:t>
      </w:r>
      <w:r w:rsidRPr="00901D86">
        <w:t xml:space="preserve">as non-inferior in terms of comparative effectiveness compared to </w:t>
      </w:r>
      <w:r w:rsidR="00D655DC" w:rsidRPr="00901D86">
        <w:t xml:space="preserve">the </w:t>
      </w:r>
      <w:r w:rsidRPr="00901D86">
        <w:t>primary comparator</w:t>
      </w:r>
      <w:r w:rsidR="00D655DC" w:rsidRPr="00901D86">
        <w:t>,</w:t>
      </w:r>
      <w:r w:rsidRPr="00901D86">
        <w:t xml:space="preserve"> ustekinumab. </w:t>
      </w:r>
      <w:r w:rsidR="007368AF" w:rsidRPr="00901D86">
        <w:t>The evaluation considered t</w:t>
      </w:r>
      <w:r w:rsidRPr="00901D86">
        <w:t>his claim require</w:t>
      </w:r>
      <w:r w:rsidR="00685062" w:rsidRPr="00901D86">
        <w:t>d</w:t>
      </w:r>
      <w:r w:rsidRPr="00901D86">
        <w:t xml:space="preserve"> consideration as the nominated non-inferiority margins were not met for ACR50</w:t>
      </w:r>
      <w:r w:rsidR="00B50A49" w:rsidRPr="00901D86">
        <w:t xml:space="preserve"> (when assessed by the submission using the Week 16 time point</w:t>
      </w:r>
      <w:r w:rsidR="003D5B3C" w:rsidRPr="00901D86">
        <w:t xml:space="preserve"> for ustekinumab</w:t>
      </w:r>
      <w:r w:rsidR="00B50A49" w:rsidRPr="00901D86">
        <w:t>)</w:t>
      </w:r>
      <w:r w:rsidRPr="00901D86">
        <w:t xml:space="preserve">. </w:t>
      </w:r>
      <w:r w:rsidR="00004922" w:rsidRPr="00901D86">
        <w:t>The evaluation noted h</w:t>
      </w:r>
      <w:r w:rsidRPr="00901D86">
        <w:t xml:space="preserve">eterogeneity of placebo rates and the time point chosen for the assessment of ustekinumab outcomes may have biased the results against guselkumab. </w:t>
      </w:r>
      <w:r w:rsidR="00462C29">
        <w:t>A</w:t>
      </w:r>
      <w:r w:rsidR="00E658B8" w:rsidRPr="00901D86">
        <w:t>ll</w:t>
      </w:r>
      <w:r w:rsidR="00B50A49" w:rsidRPr="00901D86">
        <w:t xml:space="preserve"> non-inferiority</w:t>
      </w:r>
      <w:r w:rsidR="003D5B3C" w:rsidRPr="00901D86">
        <w:t xml:space="preserve"> margins were met using the </w:t>
      </w:r>
      <w:r w:rsidR="00B50A49" w:rsidRPr="00901D86">
        <w:t>Week 24 time</w:t>
      </w:r>
      <w:r w:rsidR="00E658B8" w:rsidRPr="00901D86">
        <w:t xml:space="preserve"> </w:t>
      </w:r>
      <w:r w:rsidR="00B50A49" w:rsidRPr="00901D86">
        <w:t>point</w:t>
      </w:r>
      <w:r w:rsidR="008514FF" w:rsidRPr="00901D86">
        <w:t xml:space="preserve"> for ustekinumab</w:t>
      </w:r>
      <w:r w:rsidR="00B50A49" w:rsidRPr="00901D86">
        <w:t xml:space="preserve">. </w:t>
      </w:r>
      <w:r w:rsidR="00E658B8" w:rsidRPr="00901D86">
        <w:t>The PBAC</w:t>
      </w:r>
      <w:r w:rsidR="00D344D5" w:rsidRPr="00901D86">
        <w:t xml:space="preserve"> has</w:t>
      </w:r>
      <w:r w:rsidR="00E658B8" w:rsidRPr="00901D86">
        <w:t xml:space="preserve"> pr</w:t>
      </w:r>
      <w:r w:rsidR="007D556A" w:rsidRPr="00901D86">
        <w:t xml:space="preserve">eviously considered </w:t>
      </w:r>
      <w:r w:rsidR="007D556A" w:rsidRPr="00901D86">
        <w:lastRenderedPageBreak/>
        <w:t>ustekinumab</w:t>
      </w:r>
      <w:r w:rsidR="004E2553" w:rsidRPr="00901D86">
        <w:t xml:space="preserve"> response rates at</w:t>
      </w:r>
      <w:r w:rsidR="00E658B8" w:rsidRPr="00901D86">
        <w:t xml:space="preserve"> 24 </w:t>
      </w:r>
      <w:r w:rsidR="004E2553" w:rsidRPr="00901D86">
        <w:t>weeks, which</w:t>
      </w:r>
      <w:r w:rsidR="007D556A" w:rsidRPr="00901D86">
        <w:t xml:space="preserve"> is</w:t>
      </w:r>
      <w:r w:rsidR="00D344D5" w:rsidRPr="00901D86">
        <w:t xml:space="preserve"> </w:t>
      </w:r>
      <w:r w:rsidR="00E658B8" w:rsidRPr="00901D86">
        <w:t>consistent with ustekinumab’s initial treatment period</w:t>
      </w:r>
      <w:r w:rsidR="007D556A" w:rsidRPr="00901D86">
        <w:t xml:space="preserve"> on the PBS</w:t>
      </w:r>
      <w:r w:rsidR="00E658B8" w:rsidRPr="00901D86">
        <w:t>.</w:t>
      </w:r>
    </w:p>
    <w:p w14:paraId="3E30310D" w14:textId="77777777" w:rsidR="00AE2CB1" w:rsidRPr="00901D86" w:rsidRDefault="00AE2CB1" w:rsidP="00FE2B75">
      <w:pPr>
        <w:pStyle w:val="3-BodyText"/>
        <w:numPr>
          <w:ilvl w:val="1"/>
          <w:numId w:val="5"/>
        </w:numPr>
        <w:rPr>
          <w:rFonts w:eastAsia="Calibri"/>
        </w:rPr>
      </w:pPr>
      <w:r w:rsidRPr="00901D86">
        <w:rPr>
          <w:rFonts w:eastAsia="Calibri"/>
        </w:rPr>
        <w:t xml:space="preserve">The submission described guselkumab </w:t>
      </w:r>
      <w:r w:rsidR="004E2553" w:rsidRPr="00901D86">
        <w:rPr>
          <w:rFonts w:eastAsia="Calibri"/>
        </w:rPr>
        <w:t xml:space="preserve">100 mg q8w </w:t>
      </w:r>
      <w:r w:rsidRPr="00901D86">
        <w:rPr>
          <w:rFonts w:eastAsia="Calibri"/>
        </w:rPr>
        <w:t xml:space="preserve">as non-inferior in terms of effectiveness compared to secondary comparators certolizumab pegol, secukinumab and tofacitinib. </w:t>
      </w:r>
      <w:r w:rsidR="007368AF" w:rsidRPr="00901D86">
        <w:rPr>
          <w:rFonts w:eastAsia="Calibri"/>
        </w:rPr>
        <w:t xml:space="preserve">The evaluation considered </w:t>
      </w:r>
      <w:r w:rsidR="007368AF" w:rsidRPr="00901D86">
        <w:rPr>
          <w:rFonts w:eastAsia="Calibri"/>
          <w:iCs/>
        </w:rPr>
        <w:t>t</w:t>
      </w:r>
      <w:r w:rsidRPr="00901D86">
        <w:rPr>
          <w:rFonts w:eastAsia="Calibri"/>
          <w:iCs/>
        </w:rPr>
        <w:t>his claim was</w:t>
      </w:r>
      <w:r w:rsidRPr="00901D86">
        <w:rPr>
          <w:rFonts w:eastAsia="Calibri"/>
        </w:rPr>
        <w:t xml:space="preserve"> adequately supported for certolizumab pegol and tofacitinib</w:t>
      </w:r>
      <w:r w:rsidR="00D655DC" w:rsidRPr="00901D86">
        <w:rPr>
          <w:rFonts w:eastAsia="Calibri"/>
        </w:rPr>
        <w:t xml:space="preserve"> (given non-inferiority criteria were met)</w:t>
      </w:r>
      <w:r w:rsidR="00901D86">
        <w:rPr>
          <w:rFonts w:eastAsia="Calibri"/>
        </w:rPr>
        <w:t xml:space="preserve">. </w:t>
      </w:r>
      <w:r w:rsidR="00004922" w:rsidRPr="00901D86">
        <w:rPr>
          <w:rFonts w:eastAsia="Calibri"/>
        </w:rPr>
        <w:t>I</w:t>
      </w:r>
      <w:r w:rsidRPr="00901D86">
        <w:rPr>
          <w:rFonts w:eastAsia="Calibri"/>
        </w:rPr>
        <w:t>ndirect comparison</w:t>
      </w:r>
      <w:r w:rsidR="00D655DC" w:rsidRPr="00901D86">
        <w:rPr>
          <w:rFonts w:eastAsia="Calibri"/>
        </w:rPr>
        <w:t>s</w:t>
      </w:r>
      <w:r w:rsidRPr="00901D86">
        <w:rPr>
          <w:rFonts w:eastAsia="Calibri"/>
        </w:rPr>
        <w:t xml:space="preserve"> between guselkumab and secukinumab </w:t>
      </w:r>
      <w:r w:rsidR="00D655DC" w:rsidRPr="00901D86">
        <w:rPr>
          <w:rFonts w:eastAsia="Calibri"/>
        </w:rPr>
        <w:t>indicated that statistically fewer patients treated with guselkumab would achieve ACR50 compared with those treated with secukinumab.</w:t>
      </w:r>
      <w:r w:rsidRPr="00901D86">
        <w:rPr>
          <w:rFonts w:eastAsia="Calibri"/>
        </w:rPr>
        <w:t xml:space="preserve"> </w:t>
      </w:r>
      <w:r w:rsidR="00085FE3" w:rsidRPr="00901D86">
        <w:rPr>
          <w:rFonts w:eastAsia="Calibri"/>
        </w:rPr>
        <w:t xml:space="preserve">The evaluation noted </w:t>
      </w:r>
      <w:r w:rsidR="00B4726C" w:rsidRPr="00901D86">
        <w:rPr>
          <w:rFonts w:eastAsia="Calibri"/>
        </w:rPr>
        <w:t>the PBAC had</w:t>
      </w:r>
      <w:r w:rsidR="00085FE3" w:rsidRPr="00901D86">
        <w:rPr>
          <w:rFonts w:eastAsia="Calibri"/>
        </w:rPr>
        <w:t xml:space="preserve"> previously stated that for non-inferiority to be demonstrated, there must not be a statistically significant difference in the indirect comparisons (paragraph 6.9, abatacept PSD, March 2018). </w:t>
      </w:r>
      <w:r w:rsidR="00004922" w:rsidRPr="00901D86">
        <w:rPr>
          <w:rFonts w:eastAsia="Calibri"/>
        </w:rPr>
        <w:t>The evaluation note</w:t>
      </w:r>
      <w:r w:rsidR="00A925EA">
        <w:rPr>
          <w:rFonts w:eastAsia="Calibri"/>
        </w:rPr>
        <w:t>d h</w:t>
      </w:r>
      <w:r w:rsidRPr="00901D86">
        <w:rPr>
          <w:rFonts w:eastAsia="Calibri"/>
        </w:rPr>
        <w:t>eterogeneity of placebo rates between guselkumab and secukinumab may have biased the results against guselkumab.</w:t>
      </w:r>
    </w:p>
    <w:p w14:paraId="59D6912B" w14:textId="77777777" w:rsidR="00AE2CB1" w:rsidRPr="00901D86" w:rsidRDefault="00AE2CB1" w:rsidP="00FE2B75">
      <w:pPr>
        <w:pStyle w:val="3-BodyText"/>
        <w:numPr>
          <w:ilvl w:val="1"/>
          <w:numId w:val="5"/>
        </w:numPr>
        <w:rPr>
          <w:rFonts w:eastAsia="Calibri"/>
        </w:rPr>
      </w:pPr>
      <w:r w:rsidRPr="00901D86">
        <w:rPr>
          <w:rFonts w:eastAsia="Calibri"/>
        </w:rPr>
        <w:t xml:space="preserve">Consistent with previous PBAC deliberations for ustekinumab, certolizumab pegol, </w:t>
      </w:r>
      <w:r w:rsidR="00D655DC" w:rsidRPr="00901D86">
        <w:rPr>
          <w:rFonts w:eastAsia="Calibri"/>
        </w:rPr>
        <w:t xml:space="preserve">and </w:t>
      </w:r>
      <w:r w:rsidRPr="00901D86">
        <w:rPr>
          <w:rFonts w:eastAsia="Calibri"/>
        </w:rPr>
        <w:t xml:space="preserve">secukinumab, the submission stated guselkumab </w:t>
      </w:r>
      <w:r w:rsidR="004E2553" w:rsidRPr="00901D86">
        <w:rPr>
          <w:rFonts w:eastAsia="Calibri"/>
        </w:rPr>
        <w:t xml:space="preserve">100 mg q8w </w:t>
      </w:r>
      <w:r w:rsidRPr="00901D86">
        <w:rPr>
          <w:rFonts w:eastAsia="Calibri"/>
        </w:rPr>
        <w:t xml:space="preserve">did not demonstrate non-inferiority in terms of effectiveness against the secondary comparator adalimumab, which is classed as a ‘higher-tier’ biologic. </w:t>
      </w:r>
    </w:p>
    <w:p w14:paraId="178C0979" w14:textId="77777777" w:rsidR="00AE2CB1" w:rsidRPr="00901D86" w:rsidRDefault="00AE2CB1" w:rsidP="00FE2B75">
      <w:pPr>
        <w:pStyle w:val="3-BodyText"/>
        <w:numPr>
          <w:ilvl w:val="1"/>
          <w:numId w:val="5"/>
        </w:numPr>
        <w:rPr>
          <w:rFonts w:eastAsia="Calibri"/>
        </w:rPr>
      </w:pPr>
      <w:r w:rsidRPr="00901D86">
        <w:rPr>
          <w:rFonts w:eastAsia="Calibri"/>
        </w:rPr>
        <w:t xml:space="preserve">The submission described guselkumab </w:t>
      </w:r>
      <w:r w:rsidR="004E2553" w:rsidRPr="00901D86">
        <w:rPr>
          <w:rFonts w:eastAsia="Calibri"/>
        </w:rPr>
        <w:t xml:space="preserve">100 mg q8w </w:t>
      </w:r>
      <w:r w:rsidRPr="00901D86">
        <w:rPr>
          <w:rFonts w:eastAsia="Calibri"/>
        </w:rPr>
        <w:t>as non-inferior in terms of safety compared to ustekinumab, certolizumab pegol, secukinumab, tofacitinib and adalimumab. Th</w:t>
      </w:r>
      <w:r w:rsidR="007368AF" w:rsidRPr="00901D86">
        <w:rPr>
          <w:rFonts w:eastAsia="Calibri"/>
        </w:rPr>
        <w:t xml:space="preserve">e evaluation considered </w:t>
      </w:r>
      <w:r w:rsidR="00085FE3" w:rsidRPr="00901D86">
        <w:rPr>
          <w:rFonts w:eastAsia="Calibri"/>
        </w:rPr>
        <w:t>th</w:t>
      </w:r>
      <w:r w:rsidRPr="00901D86">
        <w:rPr>
          <w:rFonts w:eastAsia="Calibri"/>
        </w:rPr>
        <w:t xml:space="preserve">is claim was adequately supported. </w:t>
      </w:r>
    </w:p>
    <w:p w14:paraId="72541B2E" w14:textId="77777777" w:rsidR="00B80793" w:rsidRPr="00901D86" w:rsidRDefault="00B80793" w:rsidP="00FE2B75">
      <w:pPr>
        <w:pStyle w:val="3-BodyText"/>
        <w:numPr>
          <w:ilvl w:val="1"/>
          <w:numId w:val="5"/>
        </w:numPr>
        <w:rPr>
          <w:rFonts w:eastAsia="Calibri"/>
        </w:rPr>
      </w:pPr>
      <w:r w:rsidRPr="00901D86">
        <w:rPr>
          <w:szCs w:val="20"/>
          <w:lang w:eastAsia="en-US"/>
        </w:rPr>
        <w:t>The PBAC considered that</w:t>
      </w:r>
      <w:r w:rsidR="00004922" w:rsidRPr="00901D86">
        <w:rPr>
          <w:szCs w:val="20"/>
          <w:lang w:eastAsia="en-US"/>
        </w:rPr>
        <w:t xml:space="preserve">, overall, </w:t>
      </w:r>
      <w:r w:rsidRPr="00901D86">
        <w:rPr>
          <w:szCs w:val="20"/>
          <w:lang w:eastAsia="en-US"/>
        </w:rPr>
        <w:t xml:space="preserve">the claim of non-inferior comparative effectiveness </w:t>
      </w:r>
      <w:r w:rsidR="00004922" w:rsidRPr="00901D86">
        <w:rPr>
          <w:szCs w:val="20"/>
          <w:lang w:eastAsia="en-US"/>
        </w:rPr>
        <w:t>compared to ustekinumab, secukinumab, tofacit</w:t>
      </w:r>
      <w:r w:rsidR="00B4726C" w:rsidRPr="00901D86">
        <w:rPr>
          <w:szCs w:val="20"/>
          <w:lang w:eastAsia="en-US"/>
        </w:rPr>
        <w:t>i</w:t>
      </w:r>
      <w:r w:rsidR="00004922" w:rsidRPr="00901D86">
        <w:rPr>
          <w:szCs w:val="20"/>
          <w:lang w:eastAsia="en-US"/>
        </w:rPr>
        <w:t xml:space="preserve">nib and certolizumab pegol </w:t>
      </w:r>
      <w:r w:rsidRPr="00901D86">
        <w:rPr>
          <w:szCs w:val="20"/>
          <w:lang w:eastAsia="en-US"/>
        </w:rPr>
        <w:t>w</w:t>
      </w:r>
      <w:r w:rsidR="00B4726C" w:rsidRPr="00901D86">
        <w:rPr>
          <w:szCs w:val="20"/>
          <w:lang w:eastAsia="en-US"/>
        </w:rPr>
        <w:t>as</w:t>
      </w:r>
      <w:r w:rsidRPr="00901D86">
        <w:rPr>
          <w:szCs w:val="20"/>
          <w:lang w:eastAsia="en-US"/>
        </w:rPr>
        <w:t xml:space="preserve"> reasonably supported by the data.</w:t>
      </w:r>
      <w:r w:rsidR="00E82446" w:rsidRPr="00901D86">
        <w:rPr>
          <w:szCs w:val="20"/>
          <w:lang w:eastAsia="en-US"/>
        </w:rPr>
        <w:t xml:space="preserve"> </w:t>
      </w:r>
    </w:p>
    <w:p w14:paraId="1FA3A4B5" w14:textId="77777777" w:rsidR="00B80793" w:rsidRPr="00901D86" w:rsidRDefault="00B80793" w:rsidP="00FE2B75">
      <w:pPr>
        <w:pStyle w:val="3-BodyText"/>
        <w:numPr>
          <w:ilvl w:val="1"/>
          <w:numId w:val="5"/>
        </w:numPr>
        <w:rPr>
          <w:rFonts w:eastAsia="Calibri"/>
        </w:rPr>
      </w:pPr>
      <w:r w:rsidRPr="00901D86">
        <w:rPr>
          <w:lang w:eastAsia="en-US"/>
        </w:rPr>
        <w:t>The PBAC considered that the claim of non-inferior</w:t>
      </w:r>
      <w:r w:rsidR="000313C8" w:rsidRPr="00901D86">
        <w:rPr>
          <w:lang w:eastAsia="en-US"/>
        </w:rPr>
        <w:t xml:space="preserve"> </w:t>
      </w:r>
      <w:r w:rsidRPr="00901D86">
        <w:rPr>
          <w:lang w:eastAsia="en-US"/>
        </w:rPr>
        <w:t xml:space="preserve">comparative safety </w:t>
      </w:r>
      <w:r w:rsidR="003919A4" w:rsidRPr="00901D86">
        <w:rPr>
          <w:szCs w:val="20"/>
          <w:lang w:eastAsia="en-US"/>
        </w:rPr>
        <w:t xml:space="preserve">ustekinumab, </w:t>
      </w:r>
      <w:r w:rsidR="00B4726C" w:rsidRPr="00901D86">
        <w:rPr>
          <w:szCs w:val="20"/>
          <w:lang w:eastAsia="en-US"/>
        </w:rPr>
        <w:t xml:space="preserve">secukinumab, tofacitinib, </w:t>
      </w:r>
      <w:r w:rsidR="003919A4" w:rsidRPr="00901D86">
        <w:rPr>
          <w:szCs w:val="20"/>
          <w:lang w:eastAsia="en-US"/>
        </w:rPr>
        <w:t>certolizumab pegol</w:t>
      </w:r>
      <w:r w:rsidR="00B4726C" w:rsidRPr="00901D86">
        <w:rPr>
          <w:szCs w:val="20"/>
          <w:lang w:eastAsia="en-US"/>
        </w:rPr>
        <w:t xml:space="preserve"> </w:t>
      </w:r>
      <w:r w:rsidR="003919A4" w:rsidRPr="00901D86">
        <w:rPr>
          <w:szCs w:val="20"/>
          <w:lang w:eastAsia="en-US"/>
        </w:rPr>
        <w:t>and adalimumab</w:t>
      </w:r>
      <w:r w:rsidR="00004922" w:rsidRPr="00901D86">
        <w:rPr>
          <w:lang w:eastAsia="en-US"/>
        </w:rPr>
        <w:t xml:space="preserve"> </w:t>
      </w:r>
      <w:r w:rsidRPr="00901D86">
        <w:rPr>
          <w:lang w:eastAsia="en-US"/>
        </w:rPr>
        <w:t>was reasonably supported by the data.</w:t>
      </w:r>
    </w:p>
    <w:p w14:paraId="63F263EE" w14:textId="77777777" w:rsidR="00B60939" w:rsidRPr="00901D86" w:rsidRDefault="00B60939" w:rsidP="00E9094A">
      <w:pPr>
        <w:pStyle w:val="4-SubsectionHeading"/>
      </w:pPr>
      <w:bookmarkStart w:id="27" w:name="_Toc22897645"/>
      <w:bookmarkStart w:id="28" w:name="_Toc50643122"/>
      <w:r w:rsidRPr="00901D86">
        <w:t>Economic analysis</w:t>
      </w:r>
      <w:bookmarkEnd w:id="27"/>
      <w:bookmarkEnd w:id="28"/>
    </w:p>
    <w:p w14:paraId="64F099CB" w14:textId="77777777" w:rsidR="00C16E86" w:rsidRPr="00901D86" w:rsidRDefault="00C16E86" w:rsidP="00FE2B75">
      <w:pPr>
        <w:pStyle w:val="3-BodyText"/>
        <w:numPr>
          <w:ilvl w:val="1"/>
          <w:numId w:val="5"/>
        </w:numPr>
        <w:rPr>
          <w:b/>
          <w:bCs/>
        </w:rPr>
      </w:pPr>
      <w:r w:rsidRPr="00901D86">
        <w:t xml:space="preserve">A cost minimisation analysis was presented for guselkumab versus ustekinumab, based on claimed equi-effective doses of: guselkumab 100 mg subcutaneously at Weeks 0, 4 and then every 8 weeks = ustekinumab 45 mg subcutaneously at Weeks 0, 4 and then every 12 weeks. </w:t>
      </w:r>
    </w:p>
    <w:p w14:paraId="7D48F601" w14:textId="77777777" w:rsidR="00C16E86" w:rsidRPr="00901D86" w:rsidRDefault="00C16E86" w:rsidP="00FE2B75">
      <w:pPr>
        <w:pStyle w:val="3-BodyText"/>
        <w:numPr>
          <w:ilvl w:val="1"/>
          <w:numId w:val="5"/>
        </w:numPr>
        <w:rPr>
          <w:b/>
          <w:bCs/>
        </w:rPr>
      </w:pPr>
      <w:r w:rsidRPr="00901D86">
        <w:t xml:space="preserve">The requested </w:t>
      </w:r>
      <w:r w:rsidR="004E2553" w:rsidRPr="00901D86">
        <w:t xml:space="preserve">effective </w:t>
      </w:r>
      <w:r w:rsidRPr="00901D86">
        <w:t>DPMQ of $</w:t>
      </w:r>
      <w:r w:rsidR="0031616A">
        <w:rPr>
          <w:noProof/>
          <w:color w:val="000000"/>
          <w:highlight w:val="black"/>
        </w:rPr>
        <w:t>'''''''''''''''</w:t>
      </w:r>
      <w:r w:rsidRPr="00901D86">
        <w:t xml:space="preserve"> was based on the effective AEMP of ustekinumab of $</w:t>
      </w:r>
      <w:r w:rsidR="0031616A">
        <w:rPr>
          <w:noProof/>
          <w:color w:val="000000"/>
          <w:highlight w:val="black"/>
        </w:rPr>
        <w:t>''''''''''''''''</w:t>
      </w:r>
      <w:r w:rsidRPr="00901D86">
        <w:t xml:space="preserve"> (which was known to the sponsor). The submission cited Clause 5.7 of the Strategic Agreement with Medicines Australia for this approach, such that the statutory price reductions that have been applied to ustekinumab since listing are not taken into consideration in the current cost-minimised requested price.</w:t>
      </w:r>
      <w:r w:rsidR="00466829" w:rsidRPr="00901D86">
        <w:t xml:space="preserve"> The PBAC have previously considered that the application of Clause 5.7 of the Strategic Agreement is</w:t>
      </w:r>
      <w:r w:rsidR="00F94A46" w:rsidRPr="00901D86">
        <w:t xml:space="preserve"> to be</w:t>
      </w:r>
      <w:r w:rsidR="00466829" w:rsidRPr="00901D86">
        <w:t xml:space="preserve"> determined by the Minister (or Delegate), and is not a matter for PBAC (para</w:t>
      </w:r>
      <w:r w:rsidR="007639FE" w:rsidRPr="00901D86">
        <w:t>graph</w:t>
      </w:r>
      <w:r w:rsidR="00466829" w:rsidRPr="00901D86">
        <w:t xml:space="preserve"> 6.41, levonorgestrel PSD, March 2019). Therefore, this remains for consideration by the Minister (or Delegate).</w:t>
      </w:r>
    </w:p>
    <w:p w14:paraId="73128ED4" w14:textId="77777777" w:rsidR="00C25D9C" w:rsidRPr="00901D86" w:rsidRDefault="00C25D9C" w:rsidP="00BB732D">
      <w:pPr>
        <w:pStyle w:val="4-SubsectionHeading"/>
      </w:pPr>
      <w:bookmarkStart w:id="29" w:name="_Toc22897646"/>
      <w:bookmarkStart w:id="30" w:name="_Toc50643123"/>
      <w:r w:rsidRPr="00901D86">
        <w:lastRenderedPageBreak/>
        <w:t>Drug cost/patient/year</w:t>
      </w:r>
      <w:bookmarkEnd w:id="29"/>
      <w:bookmarkEnd w:id="30"/>
    </w:p>
    <w:p w14:paraId="29FE4EA2" w14:textId="77777777" w:rsidR="00494207" w:rsidRPr="00901D86" w:rsidRDefault="00C16E86" w:rsidP="00FE2B75">
      <w:pPr>
        <w:pStyle w:val="3-BodyText"/>
        <w:numPr>
          <w:ilvl w:val="1"/>
          <w:numId w:val="5"/>
        </w:numPr>
      </w:pPr>
      <w:r w:rsidRPr="00901D86">
        <w:t xml:space="preserve">Guselkumab </w:t>
      </w:r>
      <w:r w:rsidR="004E2553" w:rsidRPr="00901D86">
        <w:t xml:space="preserve">100 mg q8w </w:t>
      </w:r>
      <w:r w:rsidRPr="00901D86">
        <w:t>drug cost per patient per year would be $</w:t>
      </w:r>
      <w:r w:rsidR="0031616A">
        <w:rPr>
          <w:noProof/>
          <w:color w:val="000000"/>
          <w:highlight w:val="black"/>
        </w:rPr>
        <w:t>''''''''''''''</w:t>
      </w:r>
      <w:r w:rsidRPr="00901D86">
        <w:t xml:space="preserve"> based on the requested effective DPMQ of $</w:t>
      </w:r>
      <w:r w:rsidR="0031616A">
        <w:rPr>
          <w:noProof/>
          <w:color w:val="000000"/>
          <w:highlight w:val="black"/>
        </w:rPr>
        <w:t>'''''''''''''''''</w:t>
      </w:r>
      <w:r w:rsidRPr="00901D86">
        <w:t xml:space="preserve"> and 7 scripts per year (first script in the initial phase sufficient for 4 weeks, followed by each script sufficient for 8 weeks). </w:t>
      </w:r>
      <w:r w:rsidR="003319BB" w:rsidRPr="00901D86">
        <w:rPr>
          <w:iCs/>
        </w:rPr>
        <w:t xml:space="preserve">A </w:t>
      </w:r>
      <w:r w:rsidR="003319BB" w:rsidRPr="00901D86">
        <w:t>l</w:t>
      </w:r>
      <w:r w:rsidRPr="00901D86">
        <w:t xml:space="preserve">oading dose </w:t>
      </w:r>
      <w:r w:rsidR="003319BB" w:rsidRPr="00901D86">
        <w:t>is</w:t>
      </w:r>
      <w:r w:rsidRPr="00901D86">
        <w:t xml:space="preserve"> required during the initial period. However, both </w:t>
      </w:r>
      <w:r w:rsidR="001F7028" w:rsidRPr="00901D86">
        <w:t>Y</w:t>
      </w:r>
      <w:r w:rsidRPr="00901D86">
        <w:t xml:space="preserve">ear 1 and subsequent years </w:t>
      </w:r>
      <w:r w:rsidR="001F7028" w:rsidRPr="00901D86">
        <w:t xml:space="preserve">require </w:t>
      </w:r>
      <w:r w:rsidRPr="00901D86">
        <w:t>7 scripts.</w:t>
      </w:r>
      <w:r w:rsidR="00CB7D17" w:rsidRPr="00901D86">
        <w:t xml:space="preserve"> </w:t>
      </w:r>
      <w:r w:rsidR="0006434D" w:rsidRPr="00901D86">
        <w:t>Comparatively,</w:t>
      </w:r>
      <w:r w:rsidR="00D840B8" w:rsidRPr="00901D86">
        <w:t xml:space="preserve"> </w:t>
      </w:r>
      <w:r w:rsidR="0006434D" w:rsidRPr="00901D86">
        <w:t xml:space="preserve">the </w:t>
      </w:r>
      <w:r w:rsidR="00D840B8" w:rsidRPr="00901D86">
        <w:t xml:space="preserve">drug cost per patient per year </w:t>
      </w:r>
      <w:r w:rsidR="0006434D" w:rsidRPr="00901D86">
        <w:t xml:space="preserve">for ustekinumab </w:t>
      </w:r>
      <w:r w:rsidR="00D840B8" w:rsidRPr="00901D86">
        <w:t>would be $</w:t>
      </w:r>
      <w:r w:rsidR="0031616A">
        <w:rPr>
          <w:noProof/>
          <w:color w:val="000000"/>
          <w:highlight w:val="black"/>
        </w:rPr>
        <w:t>''''''''''''''''''''</w:t>
      </w:r>
      <w:r w:rsidR="00D840B8" w:rsidRPr="00901D86">
        <w:t xml:space="preserve"> based on the current effective DPMQ of $</w:t>
      </w:r>
      <w:r w:rsidR="0031616A">
        <w:rPr>
          <w:noProof/>
          <w:color w:val="000000"/>
          <w:highlight w:val="black"/>
        </w:rPr>
        <w:t>''''''''''''''''''</w:t>
      </w:r>
      <w:r w:rsidR="00D840B8" w:rsidRPr="00901D86">
        <w:t xml:space="preserve"> and 5 scripts per year (</w:t>
      </w:r>
      <w:r w:rsidR="00C3766C" w:rsidRPr="00901D86">
        <w:t>first script in the initial phase suf</w:t>
      </w:r>
      <w:r w:rsidR="0006434D" w:rsidRPr="00901D86">
        <w:t>ficient for 4 weeks, followed by</w:t>
      </w:r>
      <w:r w:rsidR="00C3766C" w:rsidRPr="00901D86">
        <w:t xml:space="preserve"> each script sufficient for 12 weeks). </w:t>
      </w:r>
      <w:r w:rsidR="0006434D" w:rsidRPr="00901D86">
        <w:t xml:space="preserve">Though </w:t>
      </w:r>
      <w:r w:rsidR="004949F9" w:rsidRPr="00901D86">
        <w:t xml:space="preserve">an </w:t>
      </w:r>
      <w:r w:rsidR="0006434D" w:rsidRPr="00901D86">
        <w:t xml:space="preserve">initial loading dose is required in Year 1, </w:t>
      </w:r>
      <w:r w:rsidR="001F0CE9" w:rsidRPr="00901D86">
        <w:t>both Year 1 and subsequent years</w:t>
      </w:r>
      <w:r w:rsidR="0006434D" w:rsidRPr="00901D86">
        <w:t xml:space="preserve"> require 5 scripts. </w:t>
      </w:r>
    </w:p>
    <w:p w14:paraId="1C1B5AD2" w14:textId="77777777" w:rsidR="00B60939" w:rsidRPr="00901D86" w:rsidRDefault="00B60939" w:rsidP="002B05A1">
      <w:pPr>
        <w:pStyle w:val="4-SubsectionHeading"/>
      </w:pPr>
      <w:bookmarkStart w:id="31" w:name="_Toc22897647"/>
      <w:bookmarkStart w:id="32" w:name="_Toc50643124"/>
      <w:r w:rsidRPr="00901D86">
        <w:t>Estimated PBS usage &amp; financial implications</w:t>
      </w:r>
      <w:bookmarkEnd w:id="31"/>
      <w:bookmarkEnd w:id="32"/>
    </w:p>
    <w:p w14:paraId="6077E615" w14:textId="77777777" w:rsidR="001F7028" w:rsidRPr="00901D86" w:rsidRDefault="00C16E86" w:rsidP="00FE2B75">
      <w:pPr>
        <w:pStyle w:val="3-BodyText"/>
        <w:numPr>
          <w:ilvl w:val="1"/>
          <w:numId w:val="5"/>
        </w:numPr>
      </w:pPr>
      <w:r w:rsidRPr="00901D86">
        <w:t xml:space="preserve">This submission </w:t>
      </w:r>
      <w:r w:rsidR="00F85CD6" w:rsidRPr="00F93983">
        <w:t xml:space="preserve">was </w:t>
      </w:r>
      <w:r w:rsidRPr="00F93983">
        <w:t>not considered</w:t>
      </w:r>
      <w:r w:rsidRPr="00901D86">
        <w:t xml:space="preserve"> by DUSC. </w:t>
      </w:r>
    </w:p>
    <w:p w14:paraId="72C28B84" w14:textId="77777777" w:rsidR="00C16E86" w:rsidRPr="00901D86" w:rsidRDefault="00C16E86" w:rsidP="00FE2B75">
      <w:pPr>
        <w:pStyle w:val="3-BodyText"/>
        <w:numPr>
          <w:ilvl w:val="1"/>
          <w:numId w:val="5"/>
        </w:numPr>
      </w:pPr>
      <w:r w:rsidRPr="00901D86">
        <w:t>A market share approach was used to estimate the financial implications for the proposed listing. The biologic market for PsA and the market share of each existing biologic were extrapolated; the rate of substitution by guselkumab was applied</w:t>
      </w:r>
      <w:r w:rsidR="00444464" w:rsidRPr="00901D86">
        <w:t>,</w:t>
      </w:r>
      <w:r w:rsidRPr="00901D86">
        <w:t xml:space="preserve"> and the number of guselkumab scripts forecasted was estimated. </w:t>
      </w:r>
    </w:p>
    <w:p w14:paraId="2C6F49A1" w14:textId="77777777" w:rsidR="00D74100" w:rsidRPr="00901D86" w:rsidRDefault="0021521F" w:rsidP="00FE2B75">
      <w:pPr>
        <w:pStyle w:val="3-BodyText"/>
        <w:keepNext/>
        <w:numPr>
          <w:ilvl w:val="1"/>
          <w:numId w:val="5"/>
        </w:numPr>
        <w:spacing w:after="0"/>
        <w:jc w:val="left"/>
      </w:pPr>
      <w:r>
        <w:t>Table 8</w:t>
      </w:r>
      <w:r w:rsidR="001F7028" w:rsidRPr="00901D86">
        <w:t xml:space="preserve"> provides a summary of the net financial implications of listing guselkumab for PsA. </w:t>
      </w:r>
      <w:r w:rsidR="001F7028" w:rsidRPr="00901D86">
        <w:rPr>
          <w:iCs/>
        </w:rPr>
        <w:t xml:space="preserve">The estimates in </w:t>
      </w:r>
      <w:r>
        <w:rPr>
          <w:iCs/>
        </w:rPr>
        <w:t>Table 8</w:t>
      </w:r>
      <w:r w:rsidR="001F7028" w:rsidRPr="00901D86">
        <w:rPr>
          <w:iCs/>
        </w:rPr>
        <w:t xml:space="preserve"> </w:t>
      </w:r>
      <w:r w:rsidR="002268EF" w:rsidRPr="00901D86">
        <w:rPr>
          <w:iCs/>
        </w:rPr>
        <w:t xml:space="preserve">were </w:t>
      </w:r>
      <w:r w:rsidR="001F7028" w:rsidRPr="00901D86">
        <w:rPr>
          <w:iCs/>
        </w:rPr>
        <w:t xml:space="preserve">updated </w:t>
      </w:r>
      <w:r w:rsidR="002268EF" w:rsidRPr="00901D86">
        <w:rPr>
          <w:iCs/>
        </w:rPr>
        <w:t xml:space="preserve">during evaluation </w:t>
      </w:r>
      <w:r w:rsidR="004E1AAE" w:rsidRPr="00901D86">
        <w:rPr>
          <w:iCs/>
        </w:rPr>
        <w:t>to correct for an</w:t>
      </w:r>
      <w:r w:rsidR="00097A2C" w:rsidRPr="00901D86">
        <w:rPr>
          <w:iCs/>
        </w:rPr>
        <w:t xml:space="preserve"> underestimation of guselkumab scripts</w:t>
      </w:r>
      <w:r w:rsidR="001F7028" w:rsidRPr="00901D86">
        <w:rPr>
          <w:iCs/>
        </w:rPr>
        <w:t>.</w:t>
      </w:r>
      <w:r w:rsidR="00075A09" w:rsidRPr="00901D86">
        <w:rPr>
          <w:iCs/>
        </w:rPr>
        <w:t xml:space="preserve"> However,</w:t>
      </w:r>
      <w:r w:rsidR="004E55D6" w:rsidRPr="00901D86">
        <w:rPr>
          <w:iCs/>
        </w:rPr>
        <w:t xml:space="preserve"> </w:t>
      </w:r>
      <w:r w:rsidR="00075A09" w:rsidRPr="00901D86">
        <w:t>t</w:t>
      </w:r>
      <w:r w:rsidR="00D74100" w:rsidRPr="00901D86">
        <w:t>he DPMQs used in the financial</w:t>
      </w:r>
      <w:r w:rsidR="002268EF" w:rsidRPr="00901D86">
        <w:t xml:space="preserve"> </w:t>
      </w:r>
      <w:r w:rsidR="00D74100" w:rsidRPr="00901D86">
        <w:lastRenderedPageBreak/>
        <w:t xml:space="preserve">estimates provided with the submission </w:t>
      </w:r>
      <w:r w:rsidR="005A1C06" w:rsidRPr="00901D86">
        <w:t xml:space="preserve">(that </w:t>
      </w:r>
      <w:r w:rsidR="00176BD7" w:rsidRPr="00901D86">
        <w:t>were</w:t>
      </w:r>
      <w:r w:rsidR="00D74100" w:rsidRPr="00901D86">
        <w:t xml:space="preserve"> not current</w:t>
      </w:r>
      <w:r w:rsidR="005A1C06" w:rsidRPr="00901D86">
        <w:t>)</w:t>
      </w:r>
      <w:r w:rsidR="00D74100" w:rsidRPr="00901D86">
        <w:t xml:space="preserve"> have not been updated below.</w:t>
      </w:r>
    </w:p>
    <w:p w14:paraId="446876EF" w14:textId="77777777" w:rsidR="002268EF" w:rsidRPr="00901D86" w:rsidRDefault="002268EF" w:rsidP="002268EF">
      <w:pPr>
        <w:pStyle w:val="3-BodyText"/>
        <w:keepNext/>
        <w:numPr>
          <w:ilvl w:val="0"/>
          <w:numId w:val="0"/>
        </w:numPr>
        <w:spacing w:after="0"/>
        <w:ind w:left="720"/>
        <w:jc w:val="left"/>
      </w:pPr>
    </w:p>
    <w:p w14:paraId="76A799AB" w14:textId="77777777" w:rsidR="00C16E86" w:rsidRPr="00901D86" w:rsidRDefault="00C16E86" w:rsidP="00642745">
      <w:pPr>
        <w:pStyle w:val="3-BodyText"/>
        <w:keepNext/>
        <w:numPr>
          <w:ilvl w:val="0"/>
          <w:numId w:val="0"/>
        </w:numPr>
        <w:spacing w:after="0"/>
        <w:ind w:left="720" w:hanging="720"/>
        <w:jc w:val="left"/>
        <w:rPr>
          <w:rStyle w:val="CommentReference"/>
          <w:rFonts w:eastAsiaTheme="majorEastAsia" w:cstheme="majorBidi"/>
          <w:szCs w:val="24"/>
        </w:rPr>
      </w:pPr>
      <w:bookmarkStart w:id="33" w:name="_Ref50433012"/>
      <w:r w:rsidRPr="00901D86">
        <w:rPr>
          <w:rStyle w:val="CommentReference"/>
          <w:rFonts w:eastAsiaTheme="majorEastAsia" w:cstheme="majorBidi"/>
          <w:szCs w:val="24"/>
        </w:rPr>
        <w:t>Table</w:t>
      </w:r>
      <w:bookmarkEnd w:id="33"/>
      <w:r w:rsidR="0021521F">
        <w:rPr>
          <w:rStyle w:val="CommentReference"/>
          <w:rFonts w:eastAsiaTheme="majorEastAsia" w:cstheme="majorBidi"/>
          <w:szCs w:val="24"/>
        </w:rPr>
        <w:t xml:space="preserve"> 8</w:t>
      </w:r>
      <w:r w:rsidRPr="00901D86">
        <w:rPr>
          <w:rStyle w:val="CommentReference"/>
          <w:rFonts w:eastAsiaTheme="majorEastAsia" w:cstheme="majorBidi"/>
          <w:szCs w:val="24"/>
        </w:rPr>
        <w:t>: Estimated net financial implications of the proposed guselkumab listing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C16E86" w:rsidRPr="00901D86" w14:paraId="1745C299" w14:textId="77777777" w:rsidTr="00D655DC">
        <w:trPr>
          <w:tblHeader/>
        </w:trPr>
        <w:tc>
          <w:tcPr>
            <w:tcW w:w="2263" w:type="dxa"/>
            <w:shd w:val="clear" w:color="auto" w:fill="auto"/>
            <w:vAlign w:val="center"/>
          </w:tcPr>
          <w:p w14:paraId="16BF3613" w14:textId="77777777" w:rsidR="00C16E86" w:rsidRPr="00901D86" w:rsidRDefault="00C16E86" w:rsidP="001F7028">
            <w:pPr>
              <w:pStyle w:val="In-tableHeading"/>
              <w:rPr>
                <w:lang w:val="en-AU"/>
              </w:rPr>
            </w:pPr>
          </w:p>
        </w:tc>
        <w:tc>
          <w:tcPr>
            <w:tcW w:w="1134" w:type="dxa"/>
            <w:shd w:val="clear" w:color="auto" w:fill="auto"/>
            <w:vAlign w:val="center"/>
          </w:tcPr>
          <w:p w14:paraId="408A419B" w14:textId="77777777" w:rsidR="00C16E86" w:rsidRPr="00901D86" w:rsidRDefault="00C16E86" w:rsidP="001F7028">
            <w:pPr>
              <w:pStyle w:val="In-tableHeading"/>
              <w:jc w:val="center"/>
              <w:rPr>
                <w:lang w:val="en-AU"/>
              </w:rPr>
            </w:pPr>
            <w:r w:rsidRPr="00901D86">
              <w:rPr>
                <w:lang w:val="en-AU"/>
              </w:rPr>
              <w:t>Year 1</w:t>
            </w:r>
          </w:p>
        </w:tc>
        <w:tc>
          <w:tcPr>
            <w:tcW w:w="1134" w:type="dxa"/>
            <w:shd w:val="clear" w:color="auto" w:fill="auto"/>
            <w:vAlign w:val="center"/>
          </w:tcPr>
          <w:p w14:paraId="1303B4D2" w14:textId="77777777" w:rsidR="00C16E86" w:rsidRPr="00901D86" w:rsidRDefault="00C16E86" w:rsidP="001F7028">
            <w:pPr>
              <w:pStyle w:val="In-tableHeading"/>
              <w:jc w:val="center"/>
              <w:rPr>
                <w:lang w:val="en-AU"/>
              </w:rPr>
            </w:pPr>
            <w:r w:rsidRPr="00901D86">
              <w:rPr>
                <w:lang w:val="en-AU"/>
              </w:rPr>
              <w:t>Year 2</w:t>
            </w:r>
          </w:p>
        </w:tc>
        <w:tc>
          <w:tcPr>
            <w:tcW w:w="1134" w:type="dxa"/>
            <w:shd w:val="clear" w:color="auto" w:fill="auto"/>
            <w:vAlign w:val="center"/>
          </w:tcPr>
          <w:p w14:paraId="103CAA25" w14:textId="77777777" w:rsidR="00C16E86" w:rsidRPr="00901D86" w:rsidRDefault="00C16E86" w:rsidP="001F7028">
            <w:pPr>
              <w:pStyle w:val="In-tableHeading"/>
              <w:jc w:val="center"/>
              <w:rPr>
                <w:lang w:val="en-AU"/>
              </w:rPr>
            </w:pPr>
            <w:r w:rsidRPr="00901D86">
              <w:rPr>
                <w:lang w:val="en-AU"/>
              </w:rPr>
              <w:t>Year 3</w:t>
            </w:r>
          </w:p>
        </w:tc>
        <w:tc>
          <w:tcPr>
            <w:tcW w:w="1134" w:type="dxa"/>
            <w:shd w:val="clear" w:color="auto" w:fill="auto"/>
            <w:vAlign w:val="center"/>
          </w:tcPr>
          <w:p w14:paraId="0257F65B" w14:textId="77777777" w:rsidR="00C16E86" w:rsidRPr="00901D86" w:rsidRDefault="00C16E86" w:rsidP="001F7028">
            <w:pPr>
              <w:pStyle w:val="In-tableHeading"/>
              <w:jc w:val="center"/>
              <w:rPr>
                <w:lang w:val="en-AU"/>
              </w:rPr>
            </w:pPr>
            <w:r w:rsidRPr="00901D86">
              <w:rPr>
                <w:lang w:val="en-AU"/>
              </w:rPr>
              <w:t>Year 4</w:t>
            </w:r>
          </w:p>
        </w:tc>
        <w:tc>
          <w:tcPr>
            <w:tcW w:w="1134" w:type="dxa"/>
            <w:shd w:val="clear" w:color="auto" w:fill="auto"/>
            <w:vAlign w:val="center"/>
          </w:tcPr>
          <w:p w14:paraId="0392BB48" w14:textId="77777777" w:rsidR="00C16E86" w:rsidRPr="00901D86" w:rsidRDefault="00C16E86" w:rsidP="001F7028">
            <w:pPr>
              <w:pStyle w:val="In-tableHeading"/>
              <w:jc w:val="center"/>
              <w:rPr>
                <w:lang w:val="en-AU"/>
              </w:rPr>
            </w:pPr>
            <w:r w:rsidRPr="00901D86">
              <w:rPr>
                <w:lang w:val="en-AU"/>
              </w:rPr>
              <w:t>Year 5</w:t>
            </w:r>
          </w:p>
        </w:tc>
        <w:tc>
          <w:tcPr>
            <w:tcW w:w="1134" w:type="dxa"/>
            <w:shd w:val="clear" w:color="auto" w:fill="auto"/>
            <w:vAlign w:val="center"/>
          </w:tcPr>
          <w:p w14:paraId="2F2771CE" w14:textId="77777777" w:rsidR="00C16E86" w:rsidRPr="00901D86" w:rsidRDefault="00C16E86" w:rsidP="001F7028">
            <w:pPr>
              <w:pStyle w:val="In-tableHeading"/>
              <w:jc w:val="center"/>
              <w:rPr>
                <w:lang w:val="en-AU"/>
              </w:rPr>
            </w:pPr>
            <w:r w:rsidRPr="00901D86">
              <w:rPr>
                <w:lang w:val="en-AU"/>
              </w:rPr>
              <w:t>Year 6</w:t>
            </w:r>
          </w:p>
        </w:tc>
      </w:tr>
      <w:tr w:rsidR="00C16E86" w:rsidRPr="00901D86" w14:paraId="449113F0" w14:textId="77777777" w:rsidTr="00D655DC">
        <w:tc>
          <w:tcPr>
            <w:tcW w:w="9067" w:type="dxa"/>
            <w:gridSpan w:val="7"/>
            <w:shd w:val="clear" w:color="auto" w:fill="auto"/>
            <w:vAlign w:val="center"/>
          </w:tcPr>
          <w:p w14:paraId="6A4718D8" w14:textId="77777777" w:rsidR="00C16E86" w:rsidRPr="00901D86" w:rsidRDefault="00C16E86" w:rsidP="001F7028">
            <w:pPr>
              <w:pStyle w:val="TableText0"/>
              <w:rPr>
                <w:b/>
              </w:rPr>
            </w:pPr>
            <w:r w:rsidRPr="00901D86">
              <w:rPr>
                <w:b/>
              </w:rPr>
              <w:t>Estimation of use and financial impact of the proposed medicine (GUS)</w:t>
            </w:r>
          </w:p>
        </w:tc>
      </w:tr>
      <w:tr w:rsidR="00C16E86" w:rsidRPr="00901D86" w14:paraId="1A803971" w14:textId="77777777" w:rsidTr="00D655DC">
        <w:tc>
          <w:tcPr>
            <w:tcW w:w="2263" w:type="dxa"/>
            <w:shd w:val="clear" w:color="auto" w:fill="auto"/>
            <w:vAlign w:val="center"/>
          </w:tcPr>
          <w:p w14:paraId="0CB6AAEB" w14:textId="77777777" w:rsidR="00C16E86" w:rsidRPr="00901D86" w:rsidRDefault="00C16E86" w:rsidP="001F7028">
            <w:pPr>
              <w:pStyle w:val="TableText0"/>
            </w:pPr>
            <w:r w:rsidRPr="00901D86">
              <w:t>Total GUS script numbers</w:t>
            </w:r>
            <w:r w:rsidR="00733C61" w:rsidRPr="00901D86">
              <w:rPr>
                <w:vertAlign w:val="superscript"/>
              </w:rPr>
              <w:t>a</w:t>
            </w:r>
            <w:r w:rsidRPr="00901D86">
              <w:t xml:space="preserve"> </w:t>
            </w:r>
          </w:p>
        </w:tc>
        <w:tc>
          <w:tcPr>
            <w:tcW w:w="1134" w:type="dxa"/>
            <w:shd w:val="clear" w:color="auto" w:fill="auto"/>
            <w:vAlign w:val="center"/>
          </w:tcPr>
          <w:p w14:paraId="56C7ACD9" w14:textId="77777777" w:rsidR="00C16E86" w:rsidRPr="00901D86" w:rsidRDefault="0031616A" w:rsidP="001F7028">
            <w:pPr>
              <w:pStyle w:val="TableText0"/>
              <w:jc w:val="center"/>
              <w:rPr>
                <w:rFonts w:cs="Arial"/>
                <w:iCs/>
                <w:color w:val="000000"/>
              </w:rPr>
            </w:pPr>
            <w:r>
              <w:rPr>
                <w:iCs/>
                <w:noProof/>
                <w:color w:val="000000"/>
                <w:highlight w:val="black"/>
              </w:rPr>
              <w:t>''''''''''''''</w:t>
            </w:r>
            <w:r w:rsidR="00ED76C4" w:rsidRPr="00ED76C4">
              <w:rPr>
                <w:iCs/>
                <w:vertAlign w:val="superscript"/>
              </w:rPr>
              <w:t>1</w:t>
            </w:r>
          </w:p>
        </w:tc>
        <w:tc>
          <w:tcPr>
            <w:tcW w:w="1134" w:type="dxa"/>
            <w:shd w:val="clear" w:color="auto" w:fill="auto"/>
            <w:vAlign w:val="center"/>
          </w:tcPr>
          <w:p w14:paraId="453ED281" w14:textId="77777777" w:rsidR="00C16E86" w:rsidRPr="00901D86" w:rsidRDefault="0031616A" w:rsidP="001F7028">
            <w:pPr>
              <w:pStyle w:val="TableText0"/>
              <w:jc w:val="center"/>
              <w:rPr>
                <w:rFonts w:cs="Arial"/>
                <w:iCs/>
                <w:color w:val="000000"/>
              </w:rPr>
            </w:pPr>
            <w:r>
              <w:rPr>
                <w:iCs/>
                <w:noProof/>
                <w:color w:val="000000"/>
                <w:highlight w:val="black"/>
              </w:rPr>
              <w:t>'''''''''''''''</w:t>
            </w:r>
            <w:r w:rsidR="00ED76C4" w:rsidRPr="00ED76C4">
              <w:rPr>
                <w:iCs/>
                <w:vertAlign w:val="superscript"/>
              </w:rPr>
              <w:t>2</w:t>
            </w:r>
          </w:p>
        </w:tc>
        <w:tc>
          <w:tcPr>
            <w:tcW w:w="1134" w:type="dxa"/>
            <w:shd w:val="clear" w:color="auto" w:fill="auto"/>
            <w:vAlign w:val="center"/>
          </w:tcPr>
          <w:p w14:paraId="161E7841" w14:textId="77777777" w:rsidR="00C16E86" w:rsidRPr="00901D86" w:rsidRDefault="0031616A" w:rsidP="001F7028">
            <w:pPr>
              <w:pStyle w:val="TableText0"/>
              <w:jc w:val="center"/>
              <w:rPr>
                <w:rFonts w:cs="Arial"/>
                <w:iCs/>
                <w:color w:val="000000"/>
              </w:rPr>
            </w:pPr>
            <w:r>
              <w:rPr>
                <w:iCs/>
                <w:noProof/>
                <w:color w:val="000000"/>
                <w:highlight w:val="black"/>
              </w:rPr>
              <w:t>'''''''''''''''</w:t>
            </w:r>
            <w:r w:rsidR="00ED76C4" w:rsidRPr="00ED76C4">
              <w:rPr>
                <w:iCs/>
                <w:vertAlign w:val="superscript"/>
              </w:rPr>
              <w:t>2</w:t>
            </w:r>
          </w:p>
        </w:tc>
        <w:tc>
          <w:tcPr>
            <w:tcW w:w="1134" w:type="dxa"/>
            <w:shd w:val="clear" w:color="auto" w:fill="auto"/>
            <w:vAlign w:val="center"/>
          </w:tcPr>
          <w:p w14:paraId="29F823D7" w14:textId="77777777" w:rsidR="00C16E86" w:rsidRPr="00901D86" w:rsidRDefault="0031616A" w:rsidP="001F7028">
            <w:pPr>
              <w:pStyle w:val="TableText0"/>
              <w:jc w:val="center"/>
              <w:rPr>
                <w:rFonts w:cs="Arial"/>
                <w:iCs/>
                <w:color w:val="000000"/>
              </w:rPr>
            </w:pPr>
            <w:r>
              <w:rPr>
                <w:iCs/>
                <w:noProof/>
                <w:color w:val="000000"/>
                <w:highlight w:val="black"/>
              </w:rPr>
              <w:t>'''''''''''''''</w:t>
            </w:r>
            <w:r w:rsidR="00ED76C4" w:rsidRPr="00ED76C4">
              <w:rPr>
                <w:iCs/>
                <w:vertAlign w:val="superscript"/>
              </w:rPr>
              <w:t>2</w:t>
            </w:r>
          </w:p>
        </w:tc>
        <w:tc>
          <w:tcPr>
            <w:tcW w:w="1134" w:type="dxa"/>
            <w:shd w:val="clear" w:color="auto" w:fill="auto"/>
            <w:vAlign w:val="center"/>
          </w:tcPr>
          <w:p w14:paraId="2F83BADC" w14:textId="77777777" w:rsidR="00C16E86" w:rsidRPr="00901D86" w:rsidRDefault="0031616A" w:rsidP="001F7028">
            <w:pPr>
              <w:pStyle w:val="TableText0"/>
              <w:jc w:val="center"/>
              <w:rPr>
                <w:rFonts w:cs="Arial"/>
                <w:iCs/>
                <w:color w:val="000000"/>
              </w:rPr>
            </w:pPr>
            <w:r>
              <w:rPr>
                <w:iCs/>
                <w:noProof/>
                <w:color w:val="000000"/>
                <w:highlight w:val="black"/>
              </w:rPr>
              <w:t>''''''''''''''''''</w:t>
            </w:r>
            <w:r w:rsidR="00ED76C4" w:rsidRPr="00ED76C4">
              <w:rPr>
                <w:iCs/>
                <w:vertAlign w:val="superscript"/>
              </w:rPr>
              <w:t>3</w:t>
            </w:r>
          </w:p>
        </w:tc>
        <w:tc>
          <w:tcPr>
            <w:tcW w:w="1134" w:type="dxa"/>
            <w:shd w:val="clear" w:color="auto" w:fill="auto"/>
            <w:vAlign w:val="center"/>
          </w:tcPr>
          <w:p w14:paraId="6BA455E6" w14:textId="77777777" w:rsidR="00C16E86" w:rsidRPr="00901D86" w:rsidRDefault="0031616A" w:rsidP="001F7028">
            <w:pPr>
              <w:pStyle w:val="TableText0"/>
              <w:jc w:val="center"/>
              <w:rPr>
                <w:rFonts w:cs="Arial"/>
                <w:iCs/>
                <w:color w:val="000000"/>
              </w:rPr>
            </w:pPr>
            <w:r>
              <w:rPr>
                <w:iCs/>
                <w:noProof/>
                <w:color w:val="000000"/>
                <w:highlight w:val="black"/>
              </w:rPr>
              <w:t>'''''''''''''''''</w:t>
            </w:r>
            <w:r w:rsidR="00ED76C4" w:rsidRPr="00ED76C4">
              <w:rPr>
                <w:iCs/>
                <w:vertAlign w:val="superscript"/>
              </w:rPr>
              <w:t>3</w:t>
            </w:r>
          </w:p>
        </w:tc>
      </w:tr>
      <w:tr w:rsidR="00C16E86" w:rsidRPr="00901D86" w14:paraId="47115C45" w14:textId="77777777" w:rsidTr="00D655DC">
        <w:tc>
          <w:tcPr>
            <w:tcW w:w="2263" w:type="dxa"/>
            <w:shd w:val="clear" w:color="auto" w:fill="auto"/>
            <w:vAlign w:val="center"/>
          </w:tcPr>
          <w:p w14:paraId="44285248" w14:textId="77777777" w:rsidR="00C16E86" w:rsidRPr="00901D86" w:rsidRDefault="00C16E86" w:rsidP="001F7028">
            <w:pPr>
              <w:pStyle w:val="TableText0"/>
            </w:pPr>
            <w:r w:rsidRPr="00901D86">
              <w:t>PBS/RPBS cost (effective)</w:t>
            </w:r>
            <w:r w:rsidRPr="00901D86">
              <w:rPr>
                <w:vertAlign w:val="superscript"/>
              </w:rPr>
              <w:t>b</w:t>
            </w:r>
            <w:r w:rsidR="00733C61" w:rsidRPr="00901D86">
              <w:rPr>
                <w:vertAlign w:val="superscript"/>
              </w:rPr>
              <w:t>,c</w:t>
            </w:r>
          </w:p>
        </w:tc>
        <w:tc>
          <w:tcPr>
            <w:tcW w:w="1134" w:type="dxa"/>
            <w:shd w:val="clear" w:color="auto" w:fill="auto"/>
            <w:vAlign w:val="center"/>
          </w:tcPr>
          <w:p w14:paraId="59E970C4" w14:textId="77777777" w:rsidR="00C16E86" w:rsidRPr="00901D86" w:rsidRDefault="00C16E86" w:rsidP="001F7028">
            <w:pPr>
              <w:pStyle w:val="TableText0"/>
              <w:jc w:val="center"/>
              <w:rPr>
                <w:rFonts w:cs="Arial"/>
                <w:iCs/>
              </w:rPr>
            </w:pPr>
            <w:r w:rsidRPr="00901D86">
              <w:rPr>
                <w:rFonts w:cs="Arial"/>
                <w:iCs/>
              </w:rPr>
              <w:t>$</w:t>
            </w:r>
            <w:r w:rsidR="0031616A">
              <w:rPr>
                <w:rFonts w:cs="Arial"/>
                <w:iCs/>
                <w:noProof/>
                <w:color w:val="000000"/>
                <w:highlight w:val="black"/>
              </w:rPr>
              <w:t>''''''''''''''''''''''''</w:t>
            </w:r>
            <w:r w:rsidR="00522BE0" w:rsidRPr="00522BE0">
              <w:rPr>
                <w:rFonts w:cs="Arial"/>
                <w:iCs/>
                <w:vertAlign w:val="superscript"/>
              </w:rPr>
              <w:t>6</w:t>
            </w:r>
          </w:p>
        </w:tc>
        <w:tc>
          <w:tcPr>
            <w:tcW w:w="1134" w:type="dxa"/>
            <w:shd w:val="clear" w:color="auto" w:fill="auto"/>
            <w:vAlign w:val="center"/>
          </w:tcPr>
          <w:p w14:paraId="6B97FC85" w14:textId="77777777" w:rsidR="00C16E86" w:rsidRPr="00901D86" w:rsidRDefault="00C16E86" w:rsidP="001F7028">
            <w:pPr>
              <w:pStyle w:val="TableText0"/>
              <w:jc w:val="center"/>
              <w:rPr>
                <w:rFonts w:cs="Arial"/>
                <w:iCs/>
              </w:rPr>
            </w:pPr>
            <w:r w:rsidRPr="00901D86">
              <w:rPr>
                <w:rFonts w:cs="Arial"/>
                <w:iCs/>
              </w:rPr>
              <w:t>$</w:t>
            </w:r>
            <w:r w:rsidR="0031616A">
              <w:rPr>
                <w:rFonts w:cs="Arial"/>
                <w:iCs/>
                <w:noProof/>
                <w:color w:val="000000"/>
                <w:highlight w:val="black"/>
              </w:rPr>
              <w:t>''''''''''''''''''''''''</w:t>
            </w:r>
            <w:r w:rsidR="00522BE0" w:rsidRPr="00522BE0">
              <w:rPr>
                <w:rFonts w:cs="Arial"/>
                <w:iCs/>
                <w:vertAlign w:val="superscript"/>
              </w:rPr>
              <w:t>7</w:t>
            </w:r>
          </w:p>
        </w:tc>
        <w:tc>
          <w:tcPr>
            <w:tcW w:w="1134" w:type="dxa"/>
            <w:shd w:val="clear" w:color="auto" w:fill="auto"/>
            <w:vAlign w:val="center"/>
          </w:tcPr>
          <w:p w14:paraId="40BF7B0B" w14:textId="77777777" w:rsidR="00C16E86" w:rsidRPr="00901D86" w:rsidRDefault="00C16E86" w:rsidP="001F7028">
            <w:pPr>
              <w:pStyle w:val="TableText0"/>
              <w:jc w:val="center"/>
              <w:rPr>
                <w:rFonts w:cs="Arial"/>
                <w:iCs/>
              </w:rPr>
            </w:pPr>
            <w:r w:rsidRPr="00901D86">
              <w:rPr>
                <w:rFonts w:cs="Arial"/>
                <w:iCs/>
              </w:rPr>
              <w:t>$</w:t>
            </w:r>
            <w:r w:rsidR="0031616A">
              <w:rPr>
                <w:rFonts w:cs="Arial"/>
                <w:iCs/>
                <w:noProof/>
                <w:color w:val="000000"/>
                <w:highlight w:val="black"/>
              </w:rPr>
              <w:t>''''''''''''''''''''''''</w:t>
            </w:r>
            <w:r w:rsidR="00522BE0" w:rsidRPr="00522BE0">
              <w:rPr>
                <w:rFonts w:cs="Arial"/>
                <w:iCs/>
                <w:vertAlign w:val="superscript"/>
              </w:rPr>
              <w:t>8</w:t>
            </w:r>
          </w:p>
        </w:tc>
        <w:tc>
          <w:tcPr>
            <w:tcW w:w="1134" w:type="dxa"/>
            <w:shd w:val="clear" w:color="auto" w:fill="auto"/>
            <w:vAlign w:val="center"/>
          </w:tcPr>
          <w:p w14:paraId="0CE0313C" w14:textId="77777777" w:rsidR="00C16E86" w:rsidRPr="00901D86" w:rsidRDefault="00C16E86" w:rsidP="001F7028">
            <w:pPr>
              <w:pStyle w:val="TableText0"/>
              <w:jc w:val="center"/>
              <w:rPr>
                <w:rFonts w:cs="Arial"/>
                <w:iCs/>
              </w:rPr>
            </w:pPr>
            <w:r w:rsidRPr="00901D86">
              <w:rPr>
                <w:rFonts w:cs="Arial"/>
                <w:iCs/>
              </w:rPr>
              <w:t>$</w:t>
            </w:r>
            <w:r w:rsidR="0031616A">
              <w:rPr>
                <w:rFonts w:cs="Arial"/>
                <w:iCs/>
                <w:noProof/>
                <w:color w:val="000000"/>
                <w:highlight w:val="black"/>
              </w:rPr>
              <w:t>''''''''''''''''''''''''''''</w:t>
            </w:r>
            <w:r w:rsidR="00522BE0" w:rsidRPr="00522BE0">
              <w:rPr>
                <w:rFonts w:cs="Arial"/>
                <w:iCs/>
                <w:vertAlign w:val="superscript"/>
              </w:rPr>
              <w:t>8</w:t>
            </w:r>
          </w:p>
        </w:tc>
        <w:tc>
          <w:tcPr>
            <w:tcW w:w="1134" w:type="dxa"/>
            <w:shd w:val="clear" w:color="auto" w:fill="auto"/>
            <w:vAlign w:val="center"/>
          </w:tcPr>
          <w:p w14:paraId="0FCD9547" w14:textId="77777777" w:rsidR="00C16E86" w:rsidRPr="00901D86" w:rsidRDefault="00C16E86" w:rsidP="001F7028">
            <w:pPr>
              <w:pStyle w:val="TableText0"/>
              <w:jc w:val="center"/>
              <w:rPr>
                <w:rFonts w:cs="Arial"/>
                <w:iCs/>
              </w:rPr>
            </w:pPr>
            <w:r w:rsidRPr="00901D86">
              <w:rPr>
                <w:rFonts w:cs="Arial"/>
                <w:iCs/>
              </w:rPr>
              <w:t>$</w:t>
            </w:r>
            <w:r w:rsidR="0031616A">
              <w:rPr>
                <w:rFonts w:cs="Arial"/>
                <w:iCs/>
                <w:noProof/>
                <w:color w:val="000000"/>
                <w:highlight w:val="black"/>
              </w:rPr>
              <w:t>'''''''''''''''''''''''''''''</w:t>
            </w:r>
            <w:r w:rsidR="00522BE0" w:rsidRPr="00522BE0">
              <w:rPr>
                <w:rFonts w:cs="Arial"/>
                <w:iCs/>
                <w:vertAlign w:val="superscript"/>
              </w:rPr>
              <w:t>9</w:t>
            </w:r>
          </w:p>
        </w:tc>
        <w:tc>
          <w:tcPr>
            <w:tcW w:w="1134" w:type="dxa"/>
            <w:shd w:val="clear" w:color="auto" w:fill="auto"/>
            <w:vAlign w:val="center"/>
          </w:tcPr>
          <w:p w14:paraId="5CE48D66" w14:textId="77777777" w:rsidR="00C16E86" w:rsidRPr="00901D86" w:rsidRDefault="00C16E86" w:rsidP="001F7028">
            <w:pPr>
              <w:pStyle w:val="TableText0"/>
              <w:jc w:val="center"/>
              <w:rPr>
                <w:rFonts w:cs="Arial"/>
                <w:iCs/>
              </w:rPr>
            </w:pPr>
            <w:r w:rsidRPr="00901D86">
              <w:rPr>
                <w:rFonts w:cs="Arial"/>
                <w:iCs/>
              </w:rPr>
              <w:t>$</w:t>
            </w:r>
            <w:r w:rsidR="0031616A">
              <w:rPr>
                <w:rFonts w:cs="Arial"/>
                <w:iCs/>
                <w:noProof/>
                <w:color w:val="000000"/>
                <w:highlight w:val="black"/>
              </w:rPr>
              <w:t>''''''''''''''''''''''''''</w:t>
            </w:r>
            <w:r w:rsidR="00BC744F">
              <w:rPr>
                <w:rFonts w:cs="Arial"/>
                <w:iCs/>
                <w:vertAlign w:val="superscript"/>
              </w:rPr>
              <w:t>12</w:t>
            </w:r>
          </w:p>
        </w:tc>
      </w:tr>
      <w:tr w:rsidR="00C16E86" w:rsidRPr="00901D86" w14:paraId="2388D621" w14:textId="77777777" w:rsidTr="00D655DC">
        <w:tc>
          <w:tcPr>
            <w:tcW w:w="9067" w:type="dxa"/>
            <w:gridSpan w:val="7"/>
            <w:tcBorders>
              <w:bottom w:val="single" w:sz="4" w:space="0" w:color="auto"/>
            </w:tcBorders>
            <w:shd w:val="clear" w:color="auto" w:fill="auto"/>
            <w:vAlign w:val="center"/>
          </w:tcPr>
          <w:p w14:paraId="000D9139" w14:textId="77777777" w:rsidR="00C16E86" w:rsidRPr="00901D86" w:rsidRDefault="00C16E86" w:rsidP="001F7028">
            <w:pPr>
              <w:pStyle w:val="TableText0"/>
              <w:rPr>
                <w:rFonts w:cs="Arial"/>
                <w:b/>
                <w:color w:val="000000"/>
              </w:rPr>
            </w:pPr>
            <w:r w:rsidRPr="00901D86">
              <w:rPr>
                <w:rFonts w:cs="Arial"/>
                <w:b/>
                <w:color w:val="000000"/>
              </w:rPr>
              <w:t>Estimation of changes in use and financial impact of other medicines (PBS and RPBS)</w:t>
            </w:r>
          </w:p>
        </w:tc>
      </w:tr>
      <w:tr w:rsidR="00C16E86" w:rsidRPr="00901D86" w14:paraId="04BB73A6" w14:textId="77777777" w:rsidTr="00D655DC">
        <w:tc>
          <w:tcPr>
            <w:tcW w:w="2263" w:type="dxa"/>
            <w:tcBorders>
              <w:bottom w:val="nil"/>
            </w:tcBorders>
            <w:shd w:val="clear" w:color="auto" w:fill="auto"/>
            <w:vAlign w:val="center"/>
          </w:tcPr>
          <w:p w14:paraId="538B8016" w14:textId="77777777" w:rsidR="00C16E86" w:rsidRPr="00901D86" w:rsidRDefault="00C16E86" w:rsidP="001F7028">
            <w:pPr>
              <w:pStyle w:val="TableText0"/>
            </w:pPr>
            <w:r w:rsidRPr="00901D86">
              <w:t xml:space="preserve">Changes in script numbers </w:t>
            </w:r>
          </w:p>
        </w:tc>
        <w:tc>
          <w:tcPr>
            <w:tcW w:w="1134" w:type="dxa"/>
            <w:tcBorders>
              <w:bottom w:val="nil"/>
            </w:tcBorders>
            <w:shd w:val="clear" w:color="auto" w:fill="auto"/>
            <w:vAlign w:val="center"/>
          </w:tcPr>
          <w:p w14:paraId="29BDBA23" w14:textId="77777777" w:rsidR="00C16E86" w:rsidRPr="00901D86" w:rsidRDefault="00C16E86" w:rsidP="001F7028">
            <w:pPr>
              <w:pStyle w:val="TableText0"/>
              <w:jc w:val="center"/>
              <w:rPr>
                <w:rFonts w:cs="Arial"/>
                <w:color w:val="000000"/>
              </w:rPr>
            </w:pPr>
          </w:p>
        </w:tc>
        <w:tc>
          <w:tcPr>
            <w:tcW w:w="1134" w:type="dxa"/>
            <w:tcBorders>
              <w:bottom w:val="nil"/>
            </w:tcBorders>
            <w:shd w:val="clear" w:color="auto" w:fill="auto"/>
            <w:vAlign w:val="center"/>
          </w:tcPr>
          <w:p w14:paraId="6E9AAB00" w14:textId="77777777" w:rsidR="00C16E86" w:rsidRPr="00901D86" w:rsidRDefault="00C16E86" w:rsidP="001F7028">
            <w:pPr>
              <w:pStyle w:val="TableText0"/>
              <w:jc w:val="center"/>
              <w:rPr>
                <w:rFonts w:cs="Arial"/>
                <w:color w:val="000000"/>
              </w:rPr>
            </w:pPr>
          </w:p>
        </w:tc>
        <w:tc>
          <w:tcPr>
            <w:tcW w:w="1134" w:type="dxa"/>
            <w:tcBorders>
              <w:bottom w:val="nil"/>
            </w:tcBorders>
            <w:shd w:val="clear" w:color="auto" w:fill="auto"/>
            <w:vAlign w:val="center"/>
          </w:tcPr>
          <w:p w14:paraId="3E9F1A7B" w14:textId="77777777" w:rsidR="00C16E86" w:rsidRPr="00901D86" w:rsidRDefault="00C16E86" w:rsidP="001F7028">
            <w:pPr>
              <w:pStyle w:val="TableText0"/>
              <w:jc w:val="center"/>
              <w:rPr>
                <w:rFonts w:cs="Arial"/>
                <w:color w:val="000000"/>
              </w:rPr>
            </w:pPr>
          </w:p>
        </w:tc>
        <w:tc>
          <w:tcPr>
            <w:tcW w:w="1134" w:type="dxa"/>
            <w:tcBorders>
              <w:bottom w:val="nil"/>
            </w:tcBorders>
            <w:shd w:val="clear" w:color="auto" w:fill="auto"/>
            <w:vAlign w:val="center"/>
          </w:tcPr>
          <w:p w14:paraId="78C7C7B5" w14:textId="77777777" w:rsidR="00C16E86" w:rsidRPr="00901D86" w:rsidRDefault="00C16E86" w:rsidP="001F7028">
            <w:pPr>
              <w:pStyle w:val="TableText0"/>
              <w:jc w:val="center"/>
              <w:rPr>
                <w:rFonts w:cs="Arial"/>
                <w:color w:val="000000"/>
              </w:rPr>
            </w:pPr>
          </w:p>
        </w:tc>
        <w:tc>
          <w:tcPr>
            <w:tcW w:w="1134" w:type="dxa"/>
            <w:tcBorders>
              <w:bottom w:val="nil"/>
            </w:tcBorders>
            <w:shd w:val="clear" w:color="auto" w:fill="auto"/>
            <w:vAlign w:val="center"/>
          </w:tcPr>
          <w:p w14:paraId="23456198" w14:textId="77777777" w:rsidR="00C16E86" w:rsidRPr="00901D86" w:rsidRDefault="00C16E86" w:rsidP="001F7028">
            <w:pPr>
              <w:pStyle w:val="TableText0"/>
              <w:jc w:val="center"/>
              <w:rPr>
                <w:rFonts w:cs="Arial"/>
                <w:color w:val="000000"/>
              </w:rPr>
            </w:pPr>
          </w:p>
        </w:tc>
        <w:tc>
          <w:tcPr>
            <w:tcW w:w="1134" w:type="dxa"/>
            <w:tcBorders>
              <w:bottom w:val="nil"/>
            </w:tcBorders>
            <w:shd w:val="clear" w:color="auto" w:fill="auto"/>
            <w:vAlign w:val="center"/>
          </w:tcPr>
          <w:p w14:paraId="37BDBAFE" w14:textId="77777777" w:rsidR="00C16E86" w:rsidRPr="00901D86" w:rsidRDefault="00C16E86" w:rsidP="001F7028">
            <w:pPr>
              <w:pStyle w:val="TableText0"/>
              <w:jc w:val="center"/>
              <w:rPr>
                <w:rFonts w:cs="Arial"/>
                <w:color w:val="000000"/>
              </w:rPr>
            </w:pPr>
          </w:p>
        </w:tc>
      </w:tr>
      <w:tr w:rsidR="00C16E86" w:rsidRPr="00901D86" w14:paraId="0760B2E1" w14:textId="77777777" w:rsidTr="00D655DC">
        <w:tc>
          <w:tcPr>
            <w:tcW w:w="2263" w:type="dxa"/>
            <w:tcBorders>
              <w:top w:val="nil"/>
              <w:bottom w:val="nil"/>
            </w:tcBorders>
            <w:shd w:val="clear" w:color="auto" w:fill="auto"/>
            <w:vAlign w:val="center"/>
          </w:tcPr>
          <w:p w14:paraId="265064D3" w14:textId="77777777" w:rsidR="00C16E86" w:rsidRPr="00901D86" w:rsidRDefault="00C16E86" w:rsidP="001F7028">
            <w:pPr>
              <w:pStyle w:val="TableText0"/>
              <w:ind w:left="113"/>
            </w:pPr>
            <w:r w:rsidRPr="00901D86">
              <w:t>ADA</w:t>
            </w:r>
          </w:p>
        </w:tc>
        <w:tc>
          <w:tcPr>
            <w:tcW w:w="1134" w:type="dxa"/>
            <w:tcBorders>
              <w:top w:val="nil"/>
              <w:bottom w:val="nil"/>
            </w:tcBorders>
            <w:shd w:val="clear" w:color="auto" w:fill="auto"/>
          </w:tcPr>
          <w:p w14:paraId="7538AAFF"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1A04E942"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49753CC0"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1</w:t>
            </w:r>
          </w:p>
        </w:tc>
        <w:tc>
          <w:tcPr>
            <w:tcW w:w="1134" w:type="dxa"/>
            <w:tcBorders>
              <w:top w:val="nil"/>
              <w:bottom w:val="nil"/>
            </w:tcBorders>
            <w:shd w:val="clear" w:color="auto" w:fill="auto"/>
          </w:tcPr>
          <w:p w14:paraId="31A87F4C"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1</w:t>
            </w:r>
          </w:p>
        </w:tc>
        <w:tc>
          <w:tcPr>
            <w:tcW w:w="1134" w:type="dxa"/>
            <w:tcBorders>
              <w:top w:val="nil"/>
              <w:bottom w:val="nil"/>
            </w:tcBorders>
            <w:shd w:val="clear" w:color="auto" w:fill="auto"/>
          </w:tcPr>
          <w:p w14:paraId="28284F84"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1</w:t>
            </w:r>
          </w:p>
        </w:tc>
        <w:tc>
          <w:tcPr>
            <w:tcW w:w="1134" w:type="dxa"/>
            <w:tcBorders>
              <w:top w:val="nil"/>
              <w:bottom w:val="nil"/>
            </w:tcBorders>
            <w:shd w:val="clear" w:color="auto" w:fill="auto"/>
          </w:tcPr>
          <w:p w14:paraId="2D7F4AAE"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1</w:t>
            </w:r>
          </w:p>
        </w:tc>
      </w:tr>
      <w:tr w:rsidR="00C16E86" w:rsidRPr="00901D86" w14:paraId="63432344" w14:textId="77777777" w:rsidTr="00D655DC">
        <w:tc>
          <w:tcPr>
            <w:tcW w:w="2263" w:type="dxa"/>
            <w:tcBorders>
              <w:top w:val="nil"/>
              <w:bottom w:val="nil"/>
            </w:tcBorders>
            <w:shd w:val="clear" w:color="auto" w:fill="auto"/>
            <w:vAlign w:val="center"/>
          </w:tcPr>
          <w:p w14:paraId="23BB2806" w14:textId="77777777" w:rsidR="00C16E86" w:rsidRPr="00901D86" w:rsidRDefault="00C16E86" w:rsidP="001F7028">
            <w:pPr>
              <w:pStyle w:val="TableText0"/>
              <w:ind w:left="113"/>
            </w:pPr>
            <w:r w:rsidRPr="00901D86">
              <w:t>IFX</w:t>
            </w:r>
          </w:p>
        </w:tc>
        <w:tc>
          <w:tcPr>
            <w:tcW w:w="1134" w:type="dxa"/>
            <w:tcBorders>
              <w:top w:val="nil"/>
              <w:bottom w:val="nil"/>
            </w:tcBorders>
            <w:shd w:val="clear" w:color="auto" w:fill="auto"/>
            <w:vAlign w:val="center"/>
          </w:tcPr>
          <w:p w14:paraId="5DFB3031" w14:textId="77777777" w:rsidR="00C16E86" w:rsidRPr="00901D86" w:rsidRDefault="0031616A" w:rsidP="001F7028">
            <w:pPr>
              <w:pStyle w:val="TableText0"/>
              <w:jc w:val="center"/>
              <w:rPr>
                <w:rFonts w:cs="Arial"/>
                <w:color w:val="000000"/>
              </w:rPr>
            </w:pPr>
            <w:r>
              <w:rPr>
                <w:rFonts w:cs="Arial"/>
                <w:noProof/>
                <w:color w:val="000000"/>
                <w:highlight w:val="black"/>
              </w:rPr>
              <w:t>'''</w:t>
            </w:r>
            <w:r w:rsidR="00C93762" w:rsidRPr="00C93762">
              <w:rPr>
                <w:rFonts w:cs="Arial"/>
                <w:color w:val="000000"/>
                <w:vertAlign w:val="superscript"/>
              </w:rPr>
              <w:t>11</w:t>
            </w:r>
          </w:p>
        </w:tc>
        <w:tc>
          <w:tcPr>
            <w:tcW w:w="1134" w:type="dxa"/>
            <w:tcBorders>
              <w:top w:val="nil"/>
              <w:bottom w:val="nil"/>
            </w:tcBorders>
            <w:shd w:val="clear" w:color="auto" w:fill="auto"/>
            <w:vAlign w:val="center"/>
          </w:tcPr>
          <w:p w14:paraId="0874A29E" w14:textId="77777777" w:rsidR="00C16E86" w:rsidRPr="00901D86" w:rsidRDefault="0031616A" w:rsidP="001F7028">
            <w:pPr>
              <w:pStyle w:val="TableText0"/>
              <w:jc w:val="center"/>
              <w:rPr>
                <w:rFonts w:cs="Arial"/>
                <w:color w:val="000000"/>
              </w:rPr>
            </w:pPr>
            <w:r>
              <w:rPr>
                <w:rFonts w:cs="Arial"/>
                <w:noProof/>
                <w:color w:val="000000"/>
                <w:highlight w:val="black"/>
              </w:rPr>
              <w:t>'''</w:t>
            </w:r>
            <w:r w:rsidR="00C93762" w:rsidRPr="00C93762">
              <w:rPr>
                <w:rFonts w:cs="Arial"/>
                <w:color w:val="000000"/>
                <w:vertAlign w:val="superscript"/>
              </w:rPr>
              <w:t>11</w:t>
            </w:r>
          </w:p>
        </w:tc>
        <w:tc>
          <w:tcPr>
            <w:tcW w:w="1134" w:type="dxa"/>
            <w:tcBorders>
              <w:top w:val="nil"/>
              <w:bottom w:val="nil"/>
            </w:tcBorders>
            <w:shd w:val="clear" w:color="auto" w:fill="auto"/>
            <w:vAlign w:val="center"/>
          </w:tcPr>
          <w:p w14:paraId="7D8F4091" w14:textId="77777777" w:rsidR="00C16E86" w:rsidRPr="00901D86" w:rsidRDefault="0031616A" w:rsidP="001F7028">
            <w:pPr>
              <w:pStyle w:val="TableText0"/>
              <w:jc w:val="center"/>
              <w:rPr>
                <w:rFonts w:cs="Arial"/>
                <w:color w:val="000000"/>
              </w:rPr>
            </w:pPr>
            <w:r>
              <w:rPr>
                <w:rFonts w:cs="Arial"/>
                <w:noProof/>
                <w:color w:val="000000"/>
                <w:highlight w:val="black"/>
              </w:rPr>
              <w:t>'''</w:t>
            </w:r>
            <w:r w:rsidR="00C93762" w:rsidRPr="00C93762">
              <w:rPr>
                <w:rFonts w:cs="Arial"/>
                <w:color w:val="000000"/>
                <w:vertAlign w:val="superscript"/>
              </w:rPr>
              <w:t>11</w:t>
            </w:r>
          </w:p>
        </w:tc>
        <w:tc>
          <w:tcPr>
            <w:tcW w:w="1134" w:type="dxa"/>
            <w:tcBorders>
              <w:top w:val="nil"/>
              <w:bottom w:val="nil"/>
            </w:tcBorders>
            <w:shd w:val="clear" w:color="auto" w:fill="auto"/>
            <w:vAlign w:val="center"/>
          </w:tcPr>
          <w:p w14:paraId="7BACEB37" w14:textId="77777777" w:rsidR="00C16E86" w:rsidRPr="00901D86" w:rsidRDefault="0031616A" w:rsidP="001F7028">
            <w:pPr>
              <w:pStyle w:val="TableText0"/>
              <w:jc w:val="center"/>
              <w:rPr>
                <w:rFonts w:cs="Arial"/>
                <w:color w:val="000000"/>
              </w:rPr>
            </w:pPr>
            <w:r>
              <w:rPr>
                <w:rFonts w:cs="Arial"/>
                <w:noProof/>
                <w:color w:val="000000"/>
                <w:highlight w:val="black"/>
              </w:rPr>
              <w:t>'''</w:t>
            </w:r>
            <w:r w:rsidR="00C93762" w:rsidRPr="00C93762">
              <w:rPr>
                <w:rFonts w:cs="Arial"/>
                <w:color w:val="000000"/>
                <w:vertAlign w:val="superscript"/>
              </w:rPr>
              <w:t>11</w:t>
            </w:r>
          </w:p>
        </w:tc>
        <w:tc>
          <w:tcPr>
            <w:tcW w:w="1134" w:type="dxa"/>
            <w:tcBorders>
              <w:top w:val="nil"/>
              <w:bottom w:val="nil"/>
            </w:tcBorders>
            <w:shd w:val="clear" w:color="auto" w:fill="auto"/>
            <w:vAlign w:val="center"/>
          </w:tcPr>
          <w:p w14:paraId="33C89697" w14:textId="77777777" w:rsidR="00C16E86" w:rsidRPr="00901D86" w:rsidRDefault="0031616A" w:rsidP="001F7028">
            <w:pPr>
              <w:pStyle w:val="TableText0"/>
              <w:jc w:val="center"/>
              <w:rPr>
                <w:rFonts w:cs="Arial"/>
                <w:color w:val="000000"/>
              </w:rPr>
            </w:pPr>
            <w:r>
              <w:rPr>
                <w:rFonts w:cs="Arial"/>
                <w:noProof/>
                <w:color w:val="000000"/>
                <w:highlight w:val="black"/>
              </w:rPr>
              <w:t>'''</w:t>
            </w:r>
            <w:r w:rsidR="00C93762" w:rsidRPr="00C93762">
              <w:rPr>
                <w:rFonts w:cs="Arial"/>
                <w:color w:val="000000"/>
                <w:vertAlign w:val="superscript"/>
              </w:rPr>
              <w:t>11</w:t>
            </w:r>
          </w:p>
        </w:tc>
        <w:tc>
          <w:tcPr>
            <w:tcW w:w="1134" w:type="dxa"/>
            <w:tcBorders>
              <w:top w:val="nil"/>
              <w:bottom w:val="nil"/>
            </w:tcBorders>
            <w:shd w:val="clear" w:color="auto" w:fill="auto"/>
            <w:vAlign w:val="center"/>
          </w:tcPr>
          <w:p w14:paraId="3145F134" w14:textId="77777777" w:rsidR="00C16E86" w:rsidRPr="00901D86" w:rsidRDefault="0031616A" w:rsidP="001F7028">
            <w:pPr>
              <w:pStyle w:val="TableText0"/>
              <w:jc w:val="center"/>
              <w:rPr>
                <w:rFonts w:cs="Arial"/>
                <w:color w:val="000000"/>
              </w:rPr>
            </w:pPr>
            <w:r>
              <w:rPr>
                <w:rFonts w:cs="Arial"/>
                <w:noProof/>
                <w:color w:val="000000"/>
                <w:highlight w:val="black"/>
              </w:rPr>
              <w:t>''''</w:t>
            </w:r>
            <w:r w:rsidR="00C93762" w:rsidRPr="00C93762">
              <w:rPr>
                <w:rFonts w:cs="Arial"/>
                <w:color w:val="000000"/>
                <w:vertAlign w:val="superscript"/>
              </w:rPr>
              <w:t>11</w:t>
            </w:r>
          </w:p>
        </w:tc>
      </w:tr>
      <w:tr w:rsidR="00C16E86" w:rsidRPr="00901D86" w14:paraId="24DD6B6B" w14:textId="77777777" w:rsidTr="00D655DC">
        <w:tc>
          <w:tcPr>
            <w:tcW w:w="2263" w:type="dxa"/>
            <w:tcBorders>
              <w:top w:val="nil"/>
              <w:bottom w:val="nil"/>
            </w:tcBorders>
            <w:shd w:val="clear" w:color="auto" w:fill="auto"/>
            <w:vAlign w:val="center"/>
          </w:tcPr>
          <w:p w14:paraId="21ACDD91" w14:textId="77777777" w:rsidR="00C16E86" w:rsidRPr="00901D86" w:rsidRDefault="00C16E86" w:rsidP="001F7028">
            <w:pPr>
              <w:pStyle w:val="TableText0"/>
              <w:ind w:left="113"/>
            </w:pPr>
            <w:r w:rsidRPr="00901D86">
              <w:t>ETN</w:t>
            </w:r>
          </w:p>
        </w:tc>
        <w:tc>
          <w:tcPr>
            <w:tcW w:w="1134" w:type="dxa"/>
            <w:tcBorders>
              <w:top w:val="nil"/>
              <w:bottom w:val="nil"/>
            </w:tcBorders>
            <w:shd w:val="clear" w:color="auto" w:fill="auto"/>
          </w:tcPr>
          <w:p w14:paraId="7FBCD2CC"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09EFD51F"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50CFC739"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4E1AC20E"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73935F96"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77C6E8C9"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r>
      <w:tr w:rsidR="00C16E86" w:rsidRPr="00901D86" w14:paraId="5F80E072" w14:textId="77777777" w:rsidTr="00D655DC">
        <w:tc>
          <w:tcPr>
            <w:tcW w:w="2263" w:type="dxa"/>
            <w:tcBorders>
              <w:top w:val="nil"/>
              <w:bottom w:val="nil"/>
            </w:tcBorders>
            <w:shd w:val="clear" w:color="auto" w:fill="auto"/>
            <w:vAlign w:val="center"/>
          </w:tcPr>
          <w:p w14:paraId="5D6EC036" w14:textId="77777777" w:rsidR="00C16E86" w:rsidRPr="00901D86" w:rsidRDefault="00C16E86" w:rsidP="001F7028">
            <w:pPr>
              <w:pStyle w:val="TableText0"/>
              <w:ind w:left="113"/>
            </w:pPr>
            <w:r w:rsidRPr="00901D86">
              <w:t>GOL</w:t>
            </w:r>
          </w:p>
        </w:tc>
        <w:tc>
          <w:tcPr>
            <w:tcW w:w="1134" w:type="dxa"/>
            <w:tcBorders>
              <w:top w:val="nil"/>
              <w:bottom w:val="nil"/>
            </w:tcBorders>
            <w:shd w:val="clear" w:color="auto" w:fill="auto"/>
          </w:tcPr>
          <w:p w14:paraId="7CD0B75F"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6E17BCF5"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1FB8F02D"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14E2BADA"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59270221"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48898A06"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r>
      <w:tr w:rsidR="00C16E86" w:rsidRPr="00901D86" w14:paraId="6BEB47D0" w14:textId="77777777" w:rsidTr="00D655DC">
        <w:tc>
          <w:tcPr>
            <w:tcW w:w="2263" w:type="dxa"/>
            <w:tcBorders>
              <w:top w:val="nil"/>
              <w:bottom w:val="nil"/>
            </w:tcBorders>
            <w:shd w:val="clear" w:color="auto" w:fill="auto"/>
            <w:vAlign w:val="center"/>
          </w:tcPr>
          <w:p w14:paraId="6E2F4E34" w14:textId="77777777" w:rsidR="00C16E86" w:rsidRPr="00901D86" w:rsidRDefault="00C16E86" w:rsidP="001F7028">
            <w:pPr>
              <w:pStyle w:val="TableText0"/>
              <w:ind w:left="113"/>
            </w:pPr>
            <w:r w:rsidRPr="00901D86">
              <w:t>CZP</w:t>
            </w:r>
          </w:p>
        </w:tc>
        <w:tc>
          <w:tcPr>
            <w:tcW w:w="1134" w:type="dxa"/>
            <w:tcBorders>
              <w:top w:val="nil"/>
              <w:bottom w:val="nil"/>
            </w:tcBorders>
            <w:shd w:val="clear" w:color="auto" w:fill="auto"/>
          </w:tcPr>
          <w:p w14:paraId="27D80419" w14:textId="77777777" w:rsidR="00C16E86" w:rsidRPr="00901D86" w:rsidRDefault="00C16E86" w:rsidP="001F7028">
            <w:pPr>
              <w:pStyle w:val="TableText0"/>
              <w:ind w:left="113"/>
              <w:jc w:val="cente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2521F971" w14:textId="77777777" w:rsidR="00C16E86" w:rsidRPr="00901D86" w:rsidRDefault="00C16E86" w:rsidP="001F7028">
            <w:pPr>
              <w:pStyle w:val="TableText0"/>
              <w:ind w:left="113"/>
              <w:jc w:val="cente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236B2D08" w14:textId="77777777" w:rsidR="00C16E86" w:rsidRPr="00901D86" w:rsidRDefault="00C16E86" w:rsidP="001F7028">
            <w:pPr>
              <w:pStyle w:val="TableText0"/>
              <w:ind w:left="113"/>
              <w:jc w:val="cente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61AB6299" w14:textId="77777777" w:rsidR="00C16E86" w:rsidRPr="00901D86" w:rsidRDefault="00C16E86" w:rsidP="001F7028">
            <w:pPr>
              <w:pStyle w:val="TableText0"/>
              <w:ind w:left="113"/>
              <w:jc w:val="cente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06F2677E" w14:textId="77777777" w:rsidR="00C16E86" w:rsidRPr="00901D86" w:rsidRDefault="00C16E86" w:rsidP="001F7028">
            <w:pPr>
              <w:pStyle w:val="TableText0"/>
              <w:ind w:left="113"/>
              <w:jc w:val="center"/>
            </w:pPr>
            <w:r w:rsidRPr="00901D86">
              <w:t>-</w:t>
            </w:r>
            <w:r w:rsidR="0031616A">
              <w:rPr>
                <w:noProof/>
                <w:color w:val="000000"/>
                <w:highlight w:val="black"/>
              </w:rPr>
              <w:t>''''''''''''''</w:t>
            </w:r>
            <w:r w:rsidR="00B00B7A" w:rsidRPr="00B00B7A">
              <w:rPr>
                <w:vertAlign w:val="superscript"/>
              </w:rPr>
              <w:t>1</w:t>
            </w:r>
          </w:p>
        </w:tc>
        <w:tc>
          <w:tcPr>
            <w:tcW w:w="1134" w:type="dxa"/>
            <w:tcBorders>
              <w:top w:val="nil"/>
              <w:bottom w:val="nil"/>
            </w:tcBorders>
            <w:shd w:val="clear" w:color="auto" w:fill="auto"/>
          </w:tcPr>
          <w:p w14:paraId="1C79136F" w14:textId="77777777" w:rsidR="00C16E86" w:rsidRPr="00901D86" w:rsidRDefault="00C16E86" w:rsidP="001F7028">
            <w:pPr>
              <w:pStyle w:val="TableText0"/>
              <w:ind w:left="113"/>
              <w:jc w:val="center"/>
            </w:pPr>
            <w:r w:rsidRPr="00B00B7A">
              <w:t>-</w:t>
            </w:r>
            <w:r w:rsidR="0031616A">
              <w:rPr>
                <w:noProof/>
                <w:color w:val="000000"/>
                <w:highlight w:val="black"/>
              </w:rPr>
              <w:t>''''''''''''''</w:t>
            </w:r>
            <w:r w:rsidR="00B00B7A" w:rsidRPr="00B00B7A">
              <w:rPr>
                <w:vertAlign w:val="superscript"/>
              </w:rPr>
              <w:t>1</w:t>
            </w:r>
          </w:p>
        </w:tc>
      </w:tr>
      <w:tr w:rsidR="00C16E86" w:rsidRPr="00901D86" w14:paraId="36FD8DBB" w14:textId="77777777" w:rsidTr="00D655DC">
        <w:tc>
          <w:tcPr>
            <w:tcW w:w="2263" w:type="dxa"/>
            <w:tcBorders>
              <w:top w:val="nil"/>
              <w:bottom w:val="nil"/>
            </w:tcBorders>
            <w:shd w:val="clear" w:color="auto" w:fill="auto"/>
            <w:vAlign w:val="center"/>
          </w:tcPr>
          <w:p w14:paraId="3C2EE322" w14:textId="77777777" w:rsidR="00C16E86" w:rsidRPr="00901D86" w:rsidRDefault="00C16E86" w:rsidP="001F7028">
            <w:pPr>
              <w:pStyle w:val="TableText0"/>
              <w:ind w:left="113"/>
            </w:pPr>
            <w:r w:rsidRPr="00901D86">
              <w:t>UST</w:t>
            </w:r>
          </w:p>
        </w:tc>
        <w:tc>
          <w:tcPr>
            <w:tcW w:w="1134" w:type="dxa"/>
            <w:tcBorders>
              <w:top w:val="nil"/>
              <w:bottom w:val="nil"/>
            </w:tcBorders>
            <w:shd w:val="clear" w:color="auto" w:fill="auto"/>
          </w:tcPr>
          <w:p w14:paraId="6DCC70D5"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57118148"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55998231"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7D24863C"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7D3EB656"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69E5FBE6"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r>
      <w:tr w:rsidR="00C16E86" w:rsidRPr="00901D86" w14:paraId="368283F5" w14:textId="77777777" w:rsidTr="00D655DC">
        <w:tc>
          <w:tcPr>
            <w:tcW w:w="2263" w:type="dxa"/>
            <w:tcBorders>
              <w:top w:val="nil"/>
              <w:bottom w:val="nil"/>
            </w:tcBorders>
            <w:shd w:val="clear" w:color="auto" w:fill="auto"/>
            <w:vAlign w:val="center"/>
          </w:tcPr>
          <w:p w14:paraId="38331D58" w14:textId="77777777" w:rsidR="00C16E86" w:rsidRPr="00901D86" w:rsidRDefault="00C16E86" w:rsidP="001F7028">
            <w:pPr>
              <w:pStyle w:val="TableText0"/>
              <w:ind w:left="113"/>
            </w:pPr>
            <w:r w:rsidRPr="00901D86">
              <w:t>SEC</w:t>
            </w:r>
          </w:p>
        </w:tc>
        <w:tc>
          <w:tcPr>
            <w:tcW w:w="1134" w:type="dxa"/>
            <w:tcBorders>
              <w:top w:val="nil"/>
              <w:bottom w:val="nil"/>
            </w:tcBorders>
            <w:shd w:val="clear" w:color="auto" w:fill="auto"/>
          </w:tcPr>
          <w:p w14:paraId="1BF98DB7"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4FBE69AA"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56E883D6"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311683DB"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1</w:t>
            </w:r>
          </w:p>
        </w:tc>
        <w:tc>
          <w:tcPr>
            <w:tcW w:w="1134" w:type="dxa"/>
            <w:tcBorders>
              <w:top w:val="nil"/>
              <w:bottom w:val="nil"/>
            </w:tcBorders>
            <w:shd w:val="clear" w:color="auto" w:fill="auto"/>
          </w:tcPr>
          <w:p w14:paraId="47CD3D9A"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1</w:t>
            </w:r>
          </w:p>
        </w:tc>
        <w:tc>
          <w:tcPr>
            <w:tcW w:w="1134" w:type="dxa"/>
            <w:tcBorders>
              <w:top w:val="nil"/>
              <w:bottom w:val="nil"/>
            </w:tcBorders>
            <w:shd w:val="clear" w:color="auto" w:fill="auto"/>
          </w:tcPr>
          <w:p w14:paraId="27C11D01"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1</w:t>
            </w:r>
          </w:p>
        </w:tc>
      </w:tr>
      <w:tr w:rsidR="00C16E86" w:rsidRPr="00901D86" w14:paraId="05EFCB72" w14:textId="77777777" w:rsidTr="00D655DC">
        <w:tc>
          <w:tcPr>
            <w:tcW w:w="2263" w:type="dxa"/>
            <w:tcBorders>
              <w:top w:val="nil"/>
              <w:bottom w:val="nil"/>
            </w:tcBorders>
            <w:shd w:val="clear" w:color="auto" w:fill="auto"/>
            <w:vAlign w:val="center"/>
          </w:tcPr>
          <w:p w14:paraId="480D2A9D" w14:textId="77777777" w:rsidR="00C16E86" w:rsidRPr="00901D86" w:rsidRDefault="00C16E86" w:rsidP="001F7028">
            <w:pPr>
              <w:pStyle w:val="TableText0"/>
              <w:ind w:left="113"/>
            </w:pPr>
            <w:r w:rsidRPr="00901D86">
              <w:t>IXE</w:t>
            </w:r>
          </w:p>
        </w:tc>
        <w:tc>
          <w:tcPr>
            <w:tcW w:w="1134" w:type="dxa"/>
            <w:tcBorders>
              <w:top w:val="nil"/>
              <w:bottom w:val="nil"/>
            </w:tcBorders>
            <w:shd w:val="clear" w:color="auto" w:fill="auto"/>
          </w:tcPr>
          <w:p w14:paraId="3C28B65B"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00E89B6D"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769F5A51"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5A58DEB2"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nil"/>
            </w:tcBorders>
            <w:shd w:val="clear" w:color="auto" w:fill="auto"/>
          </w:tcPr>
          <w:p w14:paraId="1E642F0E"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1</w:t>
            </w:r>
          </w:p>
        </w:tc>
        <w:tc>
          <w:tcPr>
            <w:tcW w:w="1134" w:type="dxa"/>
            <w:tcBorders>
              <w:top w:val="nil"/>
              <w:bottom w:val="nil"/>
            </w:tcBorders>
            <w:shd w:val="clear" w:color="auto" w:fill="auto"/>
          </w:tcPr>
          <w:p w14:paraId="046DDE24"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Pr="00901D86">
              <w:t>4</w:t>
            </w:r>
            <w:r w:rsidR="00B00B7A" w:rsidRPr="00B00B7A">
              <w:rPr>
                <w:vertAlign w:val="superscript"/>
              </w:rPr>
              <w:t>1</w:t>
            </w:r>
          </w:p>
        </w:tc>
      </w:tr>
      <w:tr w:rsidR="00C16E86" w:rsidRPr="00901D86" w14:paraId="4261D0F5" w14:textId="77777777" w:rsidTr="00D655DC">
        <w:tc>
          <w:tcPr>
            <w:tcW w:w="2263" w:type="dxa"/>
            <w:tcBorders>
              <w:top w:val="nil"/>
              <w:bottom w:val="single" w:sz="4" w:space="0" w:color="auto"/>
            </w:tcBorders>
            <w:shd w:val="clear" w:color="auto" w:fill="auto"/>
            <w:vAlign w:val="center"/>
          </w:tcPr>
          <w:p w14:paraId="5B5C8903" w14:textId="77777777" w:rsidR="00C16E86" w:rsidRPr="00901D86" w:rsidRDefault="00C16E86" w:rsidP="001F7028">
            <w:pPr>
              <w:pStyle w:val="TableText0"/>
              <w:ind w:left="113"/>
            </w:pPr>
            <w:r w:rsidRPr="00901D86">
              <w:t>TOF</w:t>
            </w:r>
          </w:p>
        </w:tc>
        <w:tc>
          <w:tcPr>
            <w:tcW w:w="1134" w:type="dxa"/>
            <w:tcBorders>
              <w:top w:val="nil"/>
              <w:bottom w:val="single" w:sz="4" w:space="0" w:color="auto"/>
            </w:tcBorders>
            <w:shd w:val="clear" w:color="auto" w:fill="auto"/>
          </w:tcPr>
          <w:p w14:paraId="08012590"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single" w:sz="4" w:space="0" w:color="auto"/>
            </w:tcBorders>
            <w:shd w:val="clear" w:color="auto" w:fill="auto"/>
          </w:tcPr>
          <w:p w14:paraId="2F0AC740"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single" w:sz="4" w:space="0" w:color="auto"/>
            </w:tcBorders>
            <w:shd w:val="clear" w:color="auto" w:fill="auto"/>
          </w:tcPr>
          <w:p w14:paraId="4B8AB618"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single" w:sz="4" w:space="0" w:color="auto"/>
            </w:tcBorders>
            <w:shd w:val="clear" w:color="auto" w:fill="auto"/>
          </w:tcPr>
          <w:p w14:paraId="23789A60"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single" w:sz="4" w:space="0" w:color="auto"/>
            </w:tcBorders>
            <w:shd w:val="clear" w:color="auto" w:fill="auto"/>
          </w:tcPr>
          <w:p w14:paraId="64C71EAD"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c>
          <w:tcPr>
            <w:tcW w:w="1134" w:type="dxa"/>
            <w:tcBorders>
              <w:top w:val="nil"/>
              <w:bottom w:val="single" w:sz="4" w:space="0" w:color="auto"/>
            </w:tcBorders>
            <w:shd w:val="clear" w:color="auto" w:fill="auto"/>
          </w:tcPr>
          <w:p w14:paraId="45F0CFD4" w14:textId="77777777" w:rsidR="00C16E86" w:rsidRPr="00901D86" w:rsidRDefault="00C16E86" w:rsidP="001F7028">
            <w:pPr>
              <w:pStyle w:val="TableText0"/>
              <w:jc w:val="center"/>
              <w:rPr>
                <w:rFonts w:cs="Arial"/>
                <w:color w:val="000000"/>
              </w:rPr>
            </w:pPr>
            <w:r w:rsidRPr="00901D86">
              <w:t>-</w:t>
            </w:r>
            <w:r w:rsidR="0031616A">
              <w:rPr>
                <w:noProof/>
                <w:color w:val="000000"/>
                <w:highlight w:val="black"/>
              </w:rPr>
              <w:t>'''''''''''''</w:t>
            </w:r>
            <w:r w:rsidR="00B00B7A" w:rsidRPr="00B00B7A">
              <w:rPr>
                <w:vertAlign w:val="superscript"/>
              </w:rPr>
              <w:t>4</w:t>
            </w:r>
          </w:p>
        </w:tc>
      </w:tr>
      <w:tr w:rsidR="00C16E86" w:rsidRPr="00901D86" w14:paraId="0C68CD0C" w14:textId="77777777" w:rsidTr="00D655DC">
        <w:tc>
          <w:tcPr>
            <w:tcW w:w="2263" w:type="dxa"/>
            <w:tcBorders>
              <w:top w:val="nil"/>
              <w:bottom w:val="single" w:sz="4" w:space="0" w:color="auto"/>
            </w:tcBorders>
            <w:shd w:val="clear" w:color="auto" w:fill="auto"/>
            <w:vAlign w:val="center"/>
          </w:tcPr>
          <w:p w14:paraId="3D9A11C8" w14:textId="77777777" w:rsidR="00C16E86" w:rsidRPr="00901D86" w:rsidRDefault="00C16E86" w:rsidP="001F7028">
            <w:pPr>
              <w:pStyle w:val="TableText0"/>
            </w:pPr>
            <w:r w:rsidRPr="00901D86">
              <w:t>Total</w:t>
            </w:r>
          </w:p>
        </w:tc>
        <w:tc>
          <w:tcPr>
            <w:tcW w:w="1134" w:type="dxa"/>
            <w:tcBorders>
              <w:top w:val="nil"/>
              <w:bottom w:val="single" w:sz="4" w:space="0" w:color="auto"/>
            </w:tcBorders>
            <w:shd w:val="clear" w:color="auto" w:fill="auto"/>
          </w:tcPr>
          <w:p w14:paraId="5AA90A22" w14:textId="77777777" w:rsidR="00C16E86" w:rsidRPr="00901D86" w:rsidRDefault="00C16E86" w:rsidP="001F7028">
            <w:pPr>
              <w:pStyle w:val="TableText0"/>
              <w:jc w:val="center"/>
            </w:pPr>
            <w:r w:rsidRPr="00901D86">
              <w:t>-</w:t>
            </w:r>
            <w:r w:rsidR="0031616A">
              <w:rPr>
                <w:noProof/>
                <w:color w:val="000000"/>
                <w:highlight w:val="black"/>
              </w:rPr>
              <w:t>''''''''''''''</w:t>
            </w:r>
            <w:r w:rsidR="00B00B7A" w:rsidRPr="00B00B7A">
              <w:rPr>
                <w:vertAlign w:val="superscript"/>
              </w:rPr>
              <w:t>1</w:t>
            </w:r>
          </w:p>
        </w:tc>
        <w:tc>
          <w:tcPr>
            <w:tcW w:w="1134" w:type="dxa"/>
            <w:tcBorders>
              <w:top w:val="nil"/>
              <w:bottom w:val="single" w:sz="4" w:space="0" w:color="auto"/>
            </w:tcBorders>
            <w:shd w:val="clear" w:color="auto" w:fill="auto"/>
          </w:tcPr>
          <w:p w14:paraId="21F6AA72" w14:textId="77777777" w:rsidR="00C16E86" w:rsidRPr="00901D86" w:rsidRDefault="00C16E86" w:rsidP="001F7028">
            <w:pPr>
              <w:pStyle w:val="TableText0"/>
              <w:jc w:val="center"/>
            </w:pPr>
            <w:r w:rsidRPr="00901D86">
              <w:t>-</w:t>
            </w:r>
            <w:r w:rsidR="0031616A">
              <w:rPr>
                <w:noProof/>
                <w:color w:val="000000"/>
                <w:highlight w:val="black"/>
              </w:rPr>
              <w:t>''''''''''''''''</w:t>
            </w:r>
            <w:r w:rsidR="00B00B7A" w:rsidRPr="00B00B7A">
              <w:rPr>
                <w:vertAlign w:val="superscript"/>
              </w:rPr>
              <w:t>2</w:t>
            </w:r>
          </w:p>
        </w:tc>
        <w:tc>
          <w:tcPr>
            <w:tcW w:w="1134" w:type="dxa"/>
            <w:tcBorders>
              <w:top w:val="nil"/>
              <w:bottom w:val="single" w:sz="4" w:space="0" w:color="auto"/>
            </w:tcBorders>
            <w:shd w:val="clear" w:color="auto" w:fill="auto"/>
          </w:tcPr>
          <w:p w14:paraId="0EF5A711" w14:textId="77777777" w:rsidR="00C16E86" w:rsidRPr="00901D86" w:rsidRDefault="00C16E86" w:rsidP="001F7028">
            <w:pPr>
              <w:pStyle w:val="TableText0"/>
              <w:jc w:val="center"/>
            </w:pPr>
            <w:r w:rsidRPr="00901D86">
              <w:t>-</w:t>
            </w:r>
            <w:r w:rsidR="0031616A">
              <w:rPr>
                <w:noProof/>
                <w:color w:val="000000"/>
                <w:highlight w:val="black"/>
              </w:rPr>
              <w:t>'''''''''''''''''</w:t>
            </w:r>
            <w:r w:rsidR="00B00B7A" w:rsidRPr="00B00B7A">
              <w:rPr>
                <w:vertAlign w:val="superscript"/>
              </w:rPr>
              <w:t>3</w:t>
            </w:r>
          </w:p>
        </w:tc>
        <w:tc>
          <w:tcPr>
            <w:tcW w:w="1134" w:type="dxa"/>
            <w:tcBorders>
              <w:top w:val="nil"/>
              <w:bottom w:val="single" w:sz="4" w:space="0" w:color="auto"/>
            </w:tcBorders>
            <w:shd w:val="clear" w:color="auto" w:fill="auto"/>
          </w:tcPr>
          <w:p w14:paraId="0116EDE1" w14:textId="77777777" w:rsidR="00C16E86" w:rsidRPr="00901D86" w:rsidRDefault="00C16E86" w:rsidP="001F7028">
            <w:pPr>
              <w:pStyle w:val="TableText0"/>
              <w:jc w:val="center"/>
            </w:pPr>
            <w:r w:rsidRPr="00901D86">
              <w:t>-</w:t>
            </w:r>
            <w:r w:rsidR="0031616A">
              <w:rPr>
                <w:noProof/>
                <w:color w:val="000000"/>
                <w:highlight w:val="black"/>
              </w:rPr>
              <w:t>''''''''''''''''</w:t>
            </w:r>
            <w:r w:rsidR="00B00B7A" w:rsidRPr="00B00B7A">
              <w:rPr>
                <w:vertAlign w:val="superscript"/>
              </w:rPr>
              <w:t>3</w:t>
            </w:r>
          </w:p>
        </w:tc>
        <w:tc>
          <w:tcPr>
            <w:tcW w:w="1134" w:type="dxa"/>
            <w:tcBorders>
              <w:top w:val="nil"/>
              <w:bottom w:val="single" w:sz="4" w:space="0" w:color="auto"/>
            </w:tcBorders>
            <w:shd w:val="clear" w:color="auto" w:fill="auto"/>
          </w:tcPr>
          <w:p w14:paraId="67B074C7" w14:textId="77777777" w:rsidR="00C16E86" w:rsidRPr="00901D86" w:rsidRDefault="00C16E86" w:rsidP="001F7028">
            <w:pPr>
              <w:pStyle w:val="TableText0"/>
              <w:jc w:val="center"/>
            </w:pPr>
            <w:r w:rsidRPr="00901D86">
              <w:t>-</w:t>
            </w:r>
            <w:r w:rsidR="0031616A">
              <w:rPr>
                <w:noProof/>
                <w:color w:val="000000"/>
                <w:highlight w:val="black"/>
              </w:rPr>
              <w:t>''''''''''''''''''</w:t>
            </w:r>
            <w:r w:rsidR="00B00B7A" w:rsidRPr="00B00B7A">
              <w:rPr>
                <w:vertAlign w:val="superscript"/>
              </w:rPr>
              <w:t>5</w:t>
            </w:r>
          </w:p>
        </w:tc>
        <w:tc>
          <w:tcPr>
            <w:tcW w:w="1134" w:type="dxa"/>
            <w:tcBorders>
              <w:top w:val="nil"/>
              <w:bottom w:val="single" w:sz="4" w:space="0" w:color="auto"/>
            </w:tcBorders>
            <w:shd w:val="clear" w:color="auto" w:fill="auto"/>
          </w:tcPr>
          <w:p w14:paraId="777CDE4B" w14:textId="77777777" w:rsidR="00C16E86" w:rsidRPr="00901D86" w:rsidRDefault="00C16E86" w:rsidP="001F7028">
            <w:pPr>
              <w:pStyle w:val="TableText0"/>
              <w:jc w:val="center"/>
            </w:pPr>
            <w:r w:rsidRPr="00901D86">
              <w:t>-</w:t>
            </w:r>
            <w:r w:rsidR="0031616A">
              <w:rPr>
                <w:noProof/>
                <w:color w:val="000000"/>
                <w:highlight w:val="black"/>
              </w:rPr>
              <w:t>'''''''''''''''''</w:t>
            </w:r>
            <w:r w:rsidR="00B00B7A" w:rsidRPr="00B00B7A">
              <w:rPr>
                <w:vertAlign w:val="superscript"/>
              </w:rPr>
              <w:t>5</w:t>
            </w:r>
          </w:p>
        </w:tc>
      </w:tr>
      <w:tr w:rsidR="00C16E86" w:rsidRPr="00901D86" w14:paraId="47657233" w14:textId="77777777" w:rsidTr="00D655DC">
        <w:tc>
          <w:tcPr>
            <w:tcW w:w="2263" w:type="dxa"/>
            <w:tcBorders>
              <w:bottom w:val="nil"/>
            </w:tcBorders>
            <w:shd w:val="clear" w:color="auto" w:fill="auto"/>
            <w:vAlign w:val="center"/>
          </w:tcPr>
          <w:p w14:paraId="2B8F0B1F" w14:textId="77777777" w:rsidR="00C16E86" w:rsidRPr="00901D86" w:rsidRDefault="00C16E86" w:rsidP="00733C61">
            <w:pPr>
              <w:pStyle w:val="TableText0"/>
              <w:rPr>
                <w:color w:val="000000" w:themeColor="text1"/>
              </w:rPr>
            </w:pPr>
            <w:r w:rsidRPr="00901D86">
              <w:rPr>
                <w:color w:val="000000" w:themeColor="text1"/>
              </w:rPr>
              <w:t>PBS/RPBS cost (published)</w:t>
            </w:r>
            <w:r w:rsidR="00733C61" w:rsidRPr="00901D86">
              <w:rPr>
                <w:color w:val="000000" w:themeColor="text1"/>
                <w:vertAlign w:val="superscript"/>
              </w:rPr>
              <w:t>b</w:t>
            </w:r>
          </w:p>
        </w:tc>
        <w:tc>
          <w:tcPr>
            <w:tcW w:w="1134" w:type="dxa"/>
            <w:tcBorders>
              <w:bottom w:val="nil"/>
            </w:tcBorders>
            <w:shd w:val="clear" w:color="auto" w:fill="auto"/>
            <w:vAlign w:val="center"/>
          </w:tcPr>
          <w:p w14:paraId="29AA5BDC" w14:textId="77777777" w:rsidR="00C16E86" w:rsidRPr="00901D86" w:rsidRDefault="00C16E86" w:rsidP="001F7028">
            <w:pPr>
              <w:pStyle w:val="TableText0"/>
              <w:jc w:val="center"/>
              <w:rPr>
                <w:rFonts w:cs="Arial"/>
                <w:color w:val="000000" w:themeColor="text1"/>
              </w:rPr>
            </w:pPr>
          </w:p>
        </w:tc>
        <w:tc>
          <w:tcPr>
            <w:tcW w:w="1134" w:type="dxa"/>
            <w:tcBorders>
              <w:bottom w:val="nil"/>
            </w:tcBorders>
            <w:shd w:val="clear" w:color="auto" w:fill="auto"/>
            <w:vAlign w:val="center"/>
          </w:tcPr>
          <w:p w14:paraId="0792D839" w14:textId="77777777" w:rsidR="00C16E86" w:rsidRPr="00901D86" w:rsidRDefault="00C16E86" w:rsidP="001F7028">
            <w:pPr>
              <w:pStyle w:val="TableText0"/>
              <w:jc w:val="center"/>
              <w:rPr>
                <w:rFonts w:cs="Arial"/>
                <w:color w:val="000000" w:themeColor="text1"/>
              </w:rPr>
            </w:pPr>
          </w:p>
        </w:tc>
        <w:tc>
          <w:tcPr>
            <w:tcW w:w="1134" w:type="dxa"/>
            <w:tcBorders>
              <w:bottom w:val="nil"/>
            </w:tcBorders>
            <w:shd w:val="clear" w:color="auto" w:fill="auto"/>
            <w:vAlign w:val="center"/>
          </w:tcPr>
          <w:p w14:paraId="277DB942" w14:textId="77777777" w:rsidR="00C16E86" w:rsidRPr="00901D86" w:rsidRDefault="00C16E86" w:rsidP="001F7028">
            <w:pPr>
              <w:pStyle w:val="TableText0"/>
              <w:jc w:val="center"/>
              <w:rPr>
                <w:rFonts w:cs="Arial"/>
                <w:color w:val="000000" w:themeColor="text1"/>
              </w:rPr>
            </w:pPr>
          </w:p>
        </w:tc>
        <w:tc>
          <w:tcPr>
            <w:tcW w:w="1134" w:type="dxa"/>
            <w:tcBorders>
              <w:bottom w:val="nil"/>
            </w:tcBorders>
            <w:shd w:val="clear" w:color="auto" w:fill="auto"/>
            <w:vAlign w:val="center"/>
          </w:tcPr>
          <w:p w14:paraId="1D38D572" w14:textId="77777777" w:rsidR="00C16E86" w:rsidRPr="00901D86" w:rsidRDefault="00C16E86" w:rsidP="001F7028">
            <w:pPr>
              <w:pStyle w:val="TableText0"/>
              <w:jc w:val="center"/>
              <w:rPr>
                <w:rFonts w:cs="Arial"/>
                <w:color w:val="000000" w:themeColor="text1"/>
              </w:rPr>
            </w:pPr>
          </w:p>
        </w:tc>
        <w:tc>
          <w:tcPr>
            <w:tcW w:w="1134" w:type="dxa"/>
            <w:tcBorders>
              <w:bottom w:val="nil"/>
            </w:tcBorders>
            <w:shd w:val="clear" w:color="auto" w:fill="auto"/>
            <w:vAlign w:val="center"/>
          </w:tcPr>
          <w:p w14:paraId="2861404C" w14:textId="77777777" w:rsidR="00C16E86" w:rsidRPr="00901D86" w:rsidRDefault="00C16E86" w:rsidP="001F7028">
            <w:pPr>
              <w:pStyle w:val="TableText0"/>
              <w:jc w:val="center"/>
              <w:rPr>
                <w:rFonts w:cs="Arial"/>
                <w:color w:val="000000" w:themeColor="text1"/>
              </w:rPr>
            </w:pPr>
          </w:p>
        </w:tc>
        <w:tc>
          <w:tcPr>
            <w:tcW w:w="1134" w:type="dxa"/>
            <w:tcBorders>
              <w:bottom w:val="nil"/>
            </w:tcBorders>
            <w:shd w:val="clear" w:color="auto" w:fill="auto"/>
            <w:vAlign w:val="center"/>
          </w:tcPr>
          <w:p w14:paraId="35EC5AD5" w14:textId="77777777" w:rsidR="00C16E86" w:rsidRPr="00901D86" w:rsidRDefault="00C16E86" w:rsidP="001F7028">
            <w:pPr>
              <w:pStyle w:val="TableText0"/>
              <w:jc w:val="center"/>
              <w:rPr>
                <w:rFonts w:cs="Arial"/>
                <w:color w:val="000000" w:themeColor="text1"/>
              </w:rPr>
            </w:pPr>
          </w:p>
        </w:tc>
      </w:tr>
      <w:tr w:rsidR="00C16E86" w:rsidRPr="00901D86" w14:paraId="523AB18F" w14:textId="77777777" w:rsidTr="00D655DC">
        <w:tc>
          <w:tcPr>
            <w:tcW w:w="2263" w:type="dxa"/>
            <w:tcBorders>
              <w:top w:val="nil"/>
              <w:bottom w:val="nil"/>
            </w:tcBorders>
            <w:shd w:val="clear" w:color="auto" w:fill="auto"/>
            <w:vAlign w:val="center"/>
          </w:tcPr>
          <w:p w14:paraId="19DAD9AF" w14:textId="77777777" w:rsidR="00C16E86" w:rsidRPr="00901D86" w:rsidRDefault="00C16E86" w:rsidP="001F7028">
            <w:pPr>
              <w:pStyle w:val="TableText0"/>
              <w:ind w:left="113"/>
              <w:rPr>
                <w:color w:val="000000" w:themeColor="text1"/>
              </w:rPr>
            </w:pPr>
            <w:r w:rsidRPr="00901D86">
              <w:rPr>
                <w:color w:val="000000" w:themeColor="text1"/>
              </w:rPr>
              <w:t>ADA</w:t>
            </w:r>
          </w:p>
        </w:tc>
        <w:tc>
          <w:tcPr>
            <w:tcW w:w="1134" w:type="dxa"/>
            <w:tcBorders>
              <w:top w:val="nil"/>
              <w:bottom w:val="nil"/>
            </w:tcBorders>
            <w:shd w:val="clear" w:color="auto" w:fill="auto"/>
          </w:tcPr>
          <w:p w14:paraId="7BDDC92A"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067B521D"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4409CDC5"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Pr="00901D86">
              <w:rPr>
                <w:color w:val="000000" w:themeColor="text1"/>
              </w:rPr>
              <w:t xml:space="preserve"> </w:t>
            </w:r>
            <w:r w:rsidR="00C93762" w:rsidRPr="00C93762">
              <w:rPr>
                <w:color w:val="000000" w:themeColor="text1"/>
                <w:vertAlign w:val="superscript"/>
              </w:rPr>
              <w:t>10</w:t>
            </w:r>
          </w:p>
        </w:tc>
        <w:tc>
          <w:tcPr>
            <w:tcW w:w="1134" w:type="dxa"/>
            <w:tcBorders>
              <w:top w:val="nil"/>
              <w:bottom w:val="nil"/>
            </w:tcBorders>
            <w:shd w:val="clear" w:color="auto" w:fill="auto"/>
          </w:tcPr>
          <w:p w14:paraId="4727D0FD"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5D894C41"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773F4B5A"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r>
      <w:tr w:rsidR="00C16E86" w:rsidRPr="00901D86" w14:paraId="1017A445" w14:textId="77777777" w:rsidTr="00D655DC">
        <w:tc>
          <w:tcPr>
            <w:tcW w:w="2263" w:type="dxa"/>
            <w:tcBorders>
              <w:top w:val="nil"/>
              <w:bottom w:val="nil"/>
            </w:tcBorders>
            <w:shd w:val="clear" w:color="auto" w:fill="auto"/>
            <w:vAlign w:val="center"/>
          </w:tcPr>
          <w:p w14:paraId="30BA8A26" w14:textId="77777777" w:rsidR="00C16E86" w:rsidRPr="00901D86" w:rsidRDefault="00C16E86" w:rsidP="001F7028">
            <w:pPr>
              <w:pStyle w:val="TableText0"/>
              <w:ind w:left="113"/>
              <w:rPr>
                <w:color w:val="000000" w:themeColor="text1"/>
              </w:rPr>
            </w:pPr>
            <w:r w:rsidRPr="00901D86">
              <w:rPr>
                <w:color w:val="000000" w:themeColor="text1"/>
              </w:rPr>
              <w:t>IFX</w:t>
            </w:r>
          </w:p>
        </w:tc>
        <w:tc>
          <w:tcPr>
            <w:tcW w:w="1134" w:type="dxa"/>
            <w:tcBorders>
              <w:top w:val="nil"/>
              <w:bottom w:val="nil"/>
            </w:tcBorders>
            <w:shd w:val="clear" w:color="auto" w:fill="auto"/>
          </w:tcPr>
          <w:p w14:paraId="7F52AD6A" w14:textId="77777777" w:rsidR="00C16E86" w:rsidRPr="00901D86" w:rsidRDefault="0031616A" w:rsidP="001F7028">
            <w:pPr>
              <w:pStyle w:val="TableText0"/>
              <w:jc w:val="center"/>
              <w:rPr>
                <w:rFonts w:cs="Arial"/>
                <w:color w:val="000000" w:themeColor="text1"/>
              </w:rPr>
            </w:pPr>
            <w:r>
              <w:rPr>
                <w:rFonts w:cs="Arial"/>
                <w:noProof/>
                <w:color w:val="000000"/>
                <w:highlight w:val="black"/>
              </w:rPr>
              <w:t>''''</w:t>
            </w:r>
            <w:r w:rsidR="00C93762" w:rsidRPr="00C93762">
              <w:rPr>
                <w:rFonts w:cs="Arial"/>
                <w:color w:val="000000" w:themeColor="text1"/>
                <w:vertAlign w:val="superscript"/>
              </w:rPr>
              <w:t>11</w:t>
            </w:r>
          </w:p>
        </w:tc>
        <w:tc>
          <w:tcPr>
            <w:tcW w:w="1134" w:type="dxa"/>
            <w:tcBorders>
              <w:top w:val="nil"/>
              <w:bottom w:val="nil"/>
            </w:tcBorders>
            <w:shd w:val="clear" w:color="auto" w:fill="auto"/>
          </w:tcPr>
          <w:p w14:paraId="21D3C501" w14:textId="77777777" w:rsidR="00C16E86" w:rsidRPr="00901D86" w:rsidRDefault="0031616A" w:rsidP="001F7028">
            <w:pPr>
              <w:pStyle w:val="TableText0"/>
              <w:jc w:val="center"/>
              <w:rPr>
                <w:rFonts w:cs="Arial"/>
                <w:color w:val="000000" w:themeColor="text1"/>
              </w:rPr>
            </w:pPr>
            <w:r>
              <w:rPr>
                <w:rFonts w:cs="Arial"/>
                <w:noProof/>
                <w:color w:val="000000"/>
                <w:highlight w:val="black"/>
              </w:rPr>
              <w:t>''''</w:t>
            </w:r>
            <w:r w:rsidR="00C93762" w:rsidRPr="00C93762">
              <w:rPr>
                <w:rFonts w:cs="Arial"/>
                <w:color w:val="000000" w:themeColor="text1"/>
                <w:vertAlign w:val="superscript"/>
              </w:rPr>
              <w:t>11</w:t>
            </w:r>
          </w:p>
        </w:tc>
        <w:tc>
          <w:tcPr>
            <w:tcW w:w="1134" w:type="dxa"/>
            <w:tcBorders>
              <w:top w:val="nil"/>
              <w:bottom w:val="nil"/>
            </w:tcBorders>
            <w:shd w:val="clear" w:color="auto" w:fill="auto"/>
          </w:tcPr>
          <w:p w14:paraId="543976D4" w14:textId="77777777" w:rsidR="00C16E86" w:rsidRPr="00901D86" w:rsidRDefault="0031616A" w:rsidP="001F7028">
            <w:pPr>
              <w:pStyle w:val="TableText0"/>
              <w:jc w:val="center"/>
              <w:rPr>
                <w:rFonts w:cs="Arial"/>
                <w:color w:val="000000" w:themeColor="text1"/>
              </w:rPr>
            </w:pPr>
            <w:r>
              <w:rPr>
                <w:rFonts w:cs="Arial"/>
                <w:noProof/>
                <w:color w:val="000000"/>
                <w:highlight w:val="black"/>
              </w:rPr>
              <w:t>''''</w:t>
            </w:r>
            <w:r w:rsidR="00C93762" w:rsidRPr="00C93762">
              <w:rPr>
                <w:rFonts w:cs="Arial"/>
                <w:color w:val="000000" w:themeColor="text1"/>
                <w:vertAlign w:val="superscript"/>
              </w:rPr>
              <w:t>11</w:t>
            </w:r>
          </w:p>
        </w:tc>
        <w:tc>
          <w:tcPr>
            <w:tcW w:w="1134" w:type="dxa"/>
            <w:tcBorders>
              <w:top w:val="nil"/>
              <w:bottom w:val="nil"/>
            </w:tcBorders>
            <w:shd w:val="clear" w:color="auto" w:fill="auto"/>
          </w:tcPr>
          <w:p w14:paraId="3B907716" w14:textId="77777777" w:rsidR="00C16E86" w:rsidRPr="00901D86" w:rsidRDefault="0031616A" w:rsidP="001F7028">
            <w:pPr>
              <w:pStyle w:val="TableText0"/>
              <w:jc w:val="center"/>
              <w:rPr>
                <w:rFonts w:cs="Arial"/>
                <w:color w:val="000000" w:themeColor="text1"/>
              </w:rPr>
            </w:pPr>
            <w:r>
              <w:rPr>
                <w:rFonts w:cs="Arial"/>
                <w:noProof/>
                <w:color w:val="000000"/>
                <w:highlight w:val="black"/>
              </w:rPr>
              <w:t>''''</w:t>
            </w:r>
            <w:r w:rsidR="00C93762" w:rsidRPr="00C93762">
              <w:rPr>
                <w:rFonts w:cs="Arial"/>
                <w:color w:val="000000" w:themeColor="text1"/>
                <w:vertAlign w:val="superscript"/>
              </w:rPr>
              <w:t>11</w:t>
            </w:r>
          </w:p>
        </w:tc>
        <w:tc>
          <w:tcPr>
            <w:tcW w:w="1134" w:type="dxa"/>
            <w:tcBorders>
              <w:top w:val="nil"/>
              <w:bottom w:val="nil"/>
            </w:tcBorders>
            <w:shd w:val="clear" w:color="auto" w:fill="auto"/>
          </w:tcPr>
          <w:p w14:paraId="30355931" w14:textId="77777777" w:rsidR="00C16E86" w:rsidRPr="00901D86" w:rsidRDefault="0031616A" w:rsidP="001F7028">
            <w:pPr>
              <w:pStyle w:val="TableText0"/>
              <w:jc w:val="center"/>
              <w:rPr>
                <w:rFonts w:cs="Arial"/>
                <w:color w:val="000000" w:themeColor="text1"/>
              </w:rPr>
            </w:pPr>
            <w:r>
              <w:rPr>
                <w:rFonts w:cs="Arial"/>
                <w:noProof/>
                <w:color w:val="000000"/>
                <w:highlight w:val="black"/>
              </w:rPr>
              <w:t>''''</w:t>
            </w:r>
            <w:r w:rsidR="00C93762" w:rsidRPr="00C93762">
              <w:rPr>
                <w:rFonts w:cs="Arial"/>
                <w:color w:val="000000" w:themeColor="text1"/>
                <w:vertAlign w:val="superscript"/>
              </w:rPr>
              <w:t>11</w:t>
            </w:r>
          </w:p>
        </w:tc>
        <w:tc>
          <w:tcPr>
            <w:tcW w:w="1134" w:type="dxa"/>
            <w:tcBorders>
              <w:top w:val="nil"/>
              <w:bottom w:val="nil"/>
            </w:tcBorders>
            <w:shd w:val="clear" w:color="auto" w:fill="auto"/>
          </w:tcPr>
          <w:p w14:paraId="09AB6A3F" w14:textId="77777777" w:rsidR="00C16E86" w:rsidRPr="00901D86" w:rsidRDefault="0031616A" w:rsidP="001F7028">
            <w:pPr>
              <w:pStyle w:val="TableText0"/>
              <w:jc w:val="center"/>
              <w:rPr>
                <w:rFonts w:cs="Arial"/>
                <w:color w:val="000000" w:themeColor="text1"/>
              </w:rPr>
            </w:pPr>
            <w:r>
              <w:rPr>
                <w:rFonts w:cs="Arial"/>
                <w:noProof/>
                <w:color w:val="000000"/>
                <w:highlight w:val="black"/>
              </w:rPr>
              <w:t>''''</w:t>
            </w:r>
            <w:r w:rsidR="00C93762" w:rsidRPr="00C93762">
              <w:rPr>
                <w:rFonts w:cs="Arial"/>
                <w:color w:val="000000" w:themeColor="text1"/>
                <w:vertAlign w:val="superscript"/>
              </w:rPr>
              <w:t>11</w:t>
            </w:r>
          </w:p>
        </w:tc>
      </w:tr>
      <w:tr w:rsidR="00C16E86" w:rsidRPr="00901D86" w14:paraId="38DAFD7B" w14:textId="77777777" w:rsidTr="00D655DC">
        <w:tc>
          <w:tcPr>
            <w:tcW w:w="2263" w:type="dxa"/>
            <w:tcBorders>
              <w:top w:val="nil"/>
              <w:bottom w:val="nil"/>
            </w:tcBorders>
            <w:shd w:val="clear" w:color="auto" w:fill="auto"/>
            <w:vAlign w:val="center"/>
          </w:tcPr>
          <w:p w14:paraId="76059313" w14:textId="77777777" w:rsidR="00C16E86" w:rsidRPr="00901D86" w:rsidRDefault="00C16E86" w:rsidP="001F7028">
            <w:pPr>
              <w:pStyle w:val="TableText0"/>
              <w:ind w:left="113"/>
              <w:rPr>
                <w:color w:val="000000" w:themeColor="text1"/>
              </w:rPr>
            </w:pPr>
            <w:r w:rsidRPr="00901D86">
              <w:rPr>
                <w:color w:val="000000" w:themeColor="text1"/>
              </w:rPr>
              <w:t>ETN</w:t>
            </w:r>
          </w:p>
        </w:tc>
        <w:tc>
          <w:tcPr>
            <w:tcW w:w="1134" w:type="dxa"/>
            <w:tcBorders>
              <w:top w:val="nil"/>
              <w:bottom w:val="nil"/>
            </w:tcBorders>
            <w:shd w:val="clear" w:color="auto" w:fill="auto"/>
          </w:tcPr>
          <w:p w14:paraId="4EE83FF4"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3EEA5DD0"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401DDD2A"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54BA5D9D"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0CA62336"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Pr="00901D86">
              <w:rPr>
                <w:color w:val="000000" w:themeColor="text1"/>
              </w:rPr>
              <w:t xml:space="preserve"> </w:t>
            </w:r>
            <w:r w:rsidR="00C93762" w:rsidRPr="00C93762">
              <w:rPr>
                <w:color w:val="000000" w:themeColor="text1"/>
                <w:vertAlign w:val="superscript"/>
              </w:rPr>
              <w:t>10</w:t>
            </w:r>
          </w:p>
        </w:tc>
        <w:tc>
          <w:tcPr>
            <w:tcW w:w="1134" w:type="dxa"/>
            <w:tcBorders>
              <w:top w:val="nil"/>
              <w:bottom w:val="nil"/>
            </w:tcBorders>
            <w:shd w:val="clear" w:color="auto" w:fill="auto"/>
          </w:tcPr>
          <w:p w14:paraId="5CA1738E"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r>
      <w:tr w:rsidR="00C16E86" w:rsidRPr="00901D86" w14:paraId="22B0262B" w14:textId="77777777" w:rsidTr="00D655DC">
        <w:tc>
          <w:tcPr>
            <w:tcW w:w="2263" w:type="dxa"/>
            <w:tcBorders>
              <w:top w:val="nil"/>
              <w:bottom w:val="nil"/>
            </w:tcBorders>
            <w:shd w:val="clear" w:color="auto" w:fill="auto"/>
            <w:vAlign w:val="center"/>
          </w:tcPr>
          <w:p w14:paraId="443B2AEE" w14:textId="77777777" w:rsidR="00C16E86" w:rsidRPr="00901D86" w:rsidRDefault="00C16E86" w:rsidP="001F7028">
            <w:pPr>
              <w:pStyle w:val="TableText0"/>
              <w:ind w:left="113"/>
              <w:rPr>
                <w:color w:val="000000" w:themeColor="text1"/>
              </w:rPr>
            </w:pPr>
            <w:r w:rsidRPr="00901D86">
              <w:rPr>
                <w:color w:val="000000" w:themeColor="text1"/>
              </w:rPr>
              <w:t>GOL</w:t>
            </w:r>
          </w:p>
        </w:tc>
        <w:tc>
          <w:tcPr>
            <w:tcW w:w="1134" w:type="dxa"/>
            <w:tcBorders>
              <w:top w:val="nil"/>
              <w:bottom w:val="nil"/>
            </w:tcBorders>
            <w:shd w:val="clear" w:color="auto" w:fill="auto"/>
          </w:tcPr>
          <w:p w14:paraId="2CEABEBC"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44A3F6B5"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613C515F"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620A9E9F"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4C74364B"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2153B0BE"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r>
      <w:tr w:rsidR="00C16E86" w:rsidRPr="00901D86" w14:paraId="0CC95437" w14:textId="77777777" w:rsidTr="00D655DC">
        <w:tc>
          <w:tcPr>
            <w:tcW w:w="2263" w:type="dxa"/>
            <w:tcBorders>
              <w:top w:val="nil"/>
              <w:bottom w:val="nil"/>
            </w:tcBorders>
            <w:shd w:val="clear" w:color="auto" w:fill="auto"/>
            <w:vAlign w:val="center"/>
          </w:tcPr>
          <w:p w14:paraId="5AB4FB7D" w14:textId="77777777" w:rsidR="00C16E86" w:rsidRPr="00901D86" w:rsidRDefault="00C16E86" w:rsidP="001F7028">
            <w:pPr>
              <w:pStyle w:val="TableText0"/>
              <w:ind w:left="113"/>
              <w:rPr>
                <w:color w:val="000000" w:themeColor="text1"/>
              </w:rPr>
            </w:pPr>
            <w:r w:rsidRPr="00901D86">
              <w:rPr>
                <w:color w:val="000000" w:themeColor="text1"/>
              </w:rPr>
              <w:t>CZP</w:t>
            </w:r>
          </w:p>
        </w:tc>
        <w:tc>
          <w:tcPr>
            <w:tcW w:w="1134" w:type="dxa"/>
            <w:tcBorders>
              <w:top w:val="nil"/>
              <w:bottom w:val="nil"/>
            </w:tcBorders>
            <w:shd w:val="clear" w:color="auto" w:fill="auto"/>
          </w:tcPr>
          <w:p w14:paraId="6C20C944" w14:textId="5297C970" w:rsidR="00C16E86" w:rsidRPr="00901D86" w:rsidRDefault="00C16E86" w:rsidP="001F7028">
            <w:pPr>
              <w:pStyle w:val="TableText0"/>
              <w:jc w:val="center"/>
              <w:rPr>
                <w:rFonts w:cs="Arial"/>
                <w:color w:val="000000" w:themeColor="text1"/>
              </w:rPr>
            </w:pPr>
            <w:r w:rsidRPr="00901D86">
              <w:rPr>
                <w:color w:val="000000" w:themeColor="text1"/>
              </w:rPr>
              <w:t>-$</w:t>
            </w:r>
            <w:r w:rsidR="00E3279B">
              <w:rPr>
                <w:noProof/>
                <w:color w:val="000000"/>
                <w:highlight w:val="black"/>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40D63442"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749F99DF"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29DEEE4F"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68690E8F"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21607731"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r>
      <w:tr w:rsidR="00C16E86" w:rsidRPr="00901D86" w14:paraId="78AC8F90" w14:textId="77777777" w:rsidTr="00D655DC">
        <w:tc>
          <w:tcPr>
            <w:tcW w:w="2263" w:type="dxa"/>
            <w:tcBorders>
              <w:top w:val="nil"/>
              <w:bottom w:val="nil"/>
            </w:tcBorders>
            <w:shd w:val="clear" w:color="auto" w:fill="auto"/>
            <w:vAlign w:val="center"/>
          </w:tcPr>
          <w:p w14:paraId="22B08B6A" w14:textId="77777777" w:rsidR="00C16E86" w:rsidRPr="00901D86" w:rsidRDefault="00C16E86" w:rsidP="001F7028">
            <w:pPr>
              <w:pStyle w:val="TableText0"/>
              <w:ind w:left="113"/>
              <w:rPr>
                <w:color w:val="000000" w:themeColor="text1"/>
              </w:rPr>
            </w:pPr>
            <w:r w:rsidRPr="00901D86">
              <w:rPr>
                <w:color w:val="000000" w:themeColor="text1"/>
              </w:rPr>
              <w:t>UST</w:t>
            </w:r>
          </w:p>
        </w:tc>
        <w:tc>
          <w:tcPr>
            <w:tcW w:w="1134" w:type="dxa"/>
            <w:tcBorders>
              <w:top w:val="nil"/>
              <w:bottom w:val="nil"/>
            </w:tcBorders>
            <w:shd w:val="clear" w:color="auto" w:fill="auto"/>
          </w:tcPr>
          <w:p w14:paraId="69E11548"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7AFA58B3"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7129BA4B"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68DCC568"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788E11DA"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7D4FC7AF"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r>
      <w:tr w:rsidR="00C16E86" w:rsidRPr="00901D86" w14:paraId="2C688C48" w14:textId="77777777" w:rsidTr="00D655DC">
        <w:tc>
          <w:tcPr>
            <w:tcW w:w="2263" w:type="dxa"/>
            <w:tcBorders>
              <w:top w:val="nil"/>
              <w:bottom w:val="nil"/>
            </w:tcBorders>
            <w:shd w:val="clear" w:color="auto" w:fill="auto"/>
            <w:vAlign w:val="center"/>
          </w:tcPr>
          <w:p w14:paraId="0F0C856C" w14:textId="77777777" w:rsidR="00C16E86" w:rsidRPr="00901D86" w:rsidRDefault="00C16E86" w:rsidP="001F7028">
            <w:pPr>
              <w:pStyle w:val="TableText0"/>
              <w:ind w:left="113"/>
              <w:rPr>
                <w:color w:val="000000" w:themeColor="text1"/>
              </w:rPr>
            </w:pPr>
            <w:r w:rsidRPr="00901D86">
              <w:rPr>
                <w:color w:val="000000" w:themeColor="text1"/>
              </w:rPr>
              <w:t>SEC</w:t>
            </w:r>
          </w:p>
        </w:tc>
        <w:tc>
          <w:tcPr>
            <w:tcW w:w="1134" w:type="dxa"/>
            <w:tcBorders>
              <w:top w:val="nil"/>
              <w:bottom w:val="nil"/>
            </w:tcBorders>
            <w:shd w:val="clear" w:color="auto" w:fill="auto"/>
          </w:tcPr>
          <w:p w14:paraId="6E672852"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0682B273"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5F04A58A"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0F1A90">
              <w:rPr>
                <w:color w:val="000000" w:themeColor="text1"/>
                <w:vertAlign w:val="superscript"/>
              </w:rPr>
              <w:t xml:space="preserve"> </w:t>
            </w:r>
          </w:p>
        </w:tc>
        <w:tc>
          <w:tcPr>
            <w:tcW w:w="1134" w:type="dxa"/>
            <w:tcBorders>
              <w:top w:val="nil"/>
              <w:bottom w:val="nil"/>
            </w:tcBorders>
            <w:shd w:val="clear" w:color="auto" w:fill="auto"/>
          </w:tcPr>
          <w:p w14:paraId="504F8F13"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1730B3FB"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6</w:t>
            </w:r>
            <w:r w:rsidRPr="00901D86">
              <w:rPr>
                <w:color w:val="000000" w:themeColor="text1"/>
              </w:rPr>
              <w:t xml:space="preserve"> </w:t>
            </w:r>
          </w:p>
        </w:tc>
        <w:tc>
          <w:tcPr>
            <w:tcW w:w="1134" w:type="dxa"/>
            <w:tcBorders>
              <w:top w:val="nil"/>
              <w:bottom w:val="nil"/>
            </w:tcBorders>
            <w:shd w:val="clear" w:color="auto" w:fill="auto"/>
          </w:tcPr>
          <w:p w14:paraId="42756320"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6</w:t>
            </w:r>
            <w:r w:rsidRPr="000F1A90">
              <w:rPr>
                <w:color w:val="000000" w:themeColor="text1"/>
                <w:vertAlign w:val="superscript"/>
              </w:rPr>
              <w:t xml:space="preserve"> </w:t>
            </w:r>
          </w:p>
        </w:tc>
      </w:tr>
      <w:tr w:rsidR="00C16E86" w:rsidRPr="00901D86" w14:paraId="5FD6AEEE" w14:textId="77777777" w:rsidTr="00D655DC">
        <w:tc>
          <w:tcPr>
            <w:tcW w:w="2263" w:type="dxa"/>
            <w:tcBorders>
              <w:top w:val="nil"/>
              <w:bottom w:val="nil"/>
            </w:tcBorders>
            <w:shd w:val="clear" w:color="auto" w:fill="auto"/>
            <w:vAlign w:val="center"/>
          </w:tcPr>
          <w:p w14:paraId="41DA6ED6" w14:textId="77777777" w:rsidR="00C16E86" w:rsidRPr="00901D86" w:rsidRDefault="00C16E86" w:rsidP="001F7028">
            <w:pPr>
              <w:pStyle w:val="TableText0"/>
              <w:ind w:left="113"/>
              <w:rPr>
                <w:color w:val="000000" w:themeColor="text1"/>
              </w:rPr>
            </w:pPr>
            <w:r w:rsidRPr="00901D86">
              <w:rPr>
                <w:color w:val="000000" w:themeColor="text1"/>
              </w:rPr>
              <w:t>IXE</w:t>
            </w:r>
          </w:p>
        </w:tc>
        <w:tc>
          <w:tcPr>
            <w:tcW w:w="1134" w:type="dxa"/>
            <w:tcBorders>
              <w:top w:val="nil"/>
              <w:bottom w:val="nil"/>
            </w:tcBorders>
            <w:shd w:val="clear" w:color="auto" w:fill="auto"/>
          </w:tcPr>
          <w:p w14:paraId="73DAE8EC"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30269621"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535A3525"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46B5BF62"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6</w:t>
            </w:r>
            <w:r w:rsidRPr="00901D86">
              <w:rPr>
                <w:color w:val="000000" w:themeColor="text1"/>
              </w:rPr>
              <w:t xml:space="preserve"> </w:t>
            </w:r>
          </w:p>
        </w:tc>
        <w:tc>
          <w:tcPr>
            <w:tcW w:w="1134" w:type="dxa"/>
            <w:tcBorders>
              <w:top w:val="nil"/>
              <w:bottom w:val="nil"/>
            </w:tcBorders>
            <w:shd w:val="clear" w:color="auto" w:fill="auto"/>
          </w:tcPr>
          <w:p w14:paraId="457BDE81" w14:textId="1482C8D0" w:rsidR="00C16E86" w:rsidRPr="00901D86" w:rsidRDefault="00C16E86" w:rsidP="001F7028">
            <w:pPr>
              <w:pStyle w:val="TableText0"/>
              <w:jc w:val="center"/>
              <w:rPr>
                <w:rFonts w:cs="Arial"/>
                <w:color w:val="000000" w:themeColor="text1"/>
              </w:rPr>
            </w:pPr>
            <w:r w:rsidRPr="00901D86">
              <w:rPr>
                <w:color w:val="000000" w:themeColor="text1"/>
              </w:rPr>
              <w:t>-$</w:t>
            </w:r>
            <w:r w:rsidR="00E3279B">
              <w:rPr>
                <w:noProof/>
                <w:color w:val="000000"/>
                <w:highlight w:val="black"/>
              </w:rPr>
              <w:t>''''''''''''''''</w:t>
            </w:r>
            <w:r w:rsidR="0031616A">
              <w:rPr>
                <w:noProof/>
                <w:color w:val="000000"/>
                <w:highlight w:val="black"/>
              </w:rPr>
              <w:t>'''''''''''</w:t>
            </w:r>
            <w:r w:rsidR="000F1A90" w:rsidRPr="000F1A90">
              <w:rPr>
                <w:color w:val="000000" w:themeColor="text1"/>
                <w:vertAlign w:val="superscript"/>
              </w:rPr>
              <w:t>6</w:t>
            </w:r>
            <w:r w:rsidRPr="00901D86">
              <w:rPr>
                <w:color w:val="000000" w:themeColor="text1"/>
              </w:rPr>
              <w:t xml:space="preserve"> </w:t>
            </w:r>
          </w:p>
        </w:tc>
        <w:tc>
          <w:tcPr>
            <w:tcW w:w="1134" w:type="dxa"/>
            <w:tcBorders>
              <w:top w:val="nil"/>
              <w:bottom w:val="nil"/>
            </w:tcBorders>
            <w:shd w:val="clear" w:color="auto" w:fill="auto"/>
          </w:tcPr>
          <w:p w14:paraId="3C13D4C7" w14:textId="1FB381B8" w:rsidR="00C16E86" w:rsidRPr="00901D86" w:rsidRDefault="00C16E86" w:rsidP="001F7028">
            <w:pPr>
              <w:pStyle w:val="TableText0"/>
              <w:jc w:val="center"/>
              <w:rPr>
                <w:rFonts w:cs="Arial"/>
                <w:color w:val="000000" w:themeColor="text1"/>
              </w:rPr>
            </w:pPr>
            <w:r w:rsidRPr="00901D86">
              <w:rPr>
                <w:color w:val="000000" w:themeColor="text1"/>
              </w:rPr>
              <w:t>-$</w:t>
            </w:r>
            <w:r w:rsidR="00E3279B">
              <w:rPr>
                <w:noProof/>
                <w:color w:val="000000"/>
                <w:highlight w:val="black"/>
              </w:rPr>
              <w:t>''''''''''''''</w:t>
            </w:r>
            <w:r w:rsidR="0031616A">
              <w:rPr>
                <w:noProof/>
                <w:color w:val="000000"/>
                <w:highlight w:val="black"/>
              </w:rPr>
              <w:t>'''''''''''''</w:t>
            </w:r>
            <w:r w:rsidR="000F1A90" w:rsidRPr="000F1A90">
              <w:rPr>
                <w:color w:val="000000" w:themeColor="text1"/>
                <w:vertAlign w:val="superscript"/>
              </w:rPr>
              <w:t>7</w:t>
            </w:r>
            <w:r w:rsidRPr="00901D86">
              <w:rPr>
                <w:color w:val="000000" w:themeColor="text1"/>
              </w:rPr>
              <w:t xml:space="preserve"> </w:t>
            </w:r>
          </w:p>
        </w:tc>
      </w:tr>
      <w:tr w:rsidR="00C16E86" w:rsidRPr="00901D86" w14:paraId="2FFC2D3F" w14:textId="77777777" w:rsidTr="00D655DC">
        <w:tc>
          <w:tcPr>
            <w:tcW w:w="2263" w:type="dxa"/>
            <w:tcBorders>
              <w:top w:val="nil"/>
              <w:bottom w:val="nil"/>
            </w:tcBorders>
            <w:shd w:val="clear" w:color="auto" w:fill="auto"/>
            <w:vAlign w:val="center"/>
          </w:tcPr>
          <w:p w14:paraId="4A01DC18" w14:textId="77777777" w:rsidR="00C16E86" w:rsidRPr="00901D86" w:rsidRDefault="00C16E86" w:rsidP="001F7028">
            <w:pPr>
              <w:pStyle w:val="TableText0"/>
              <w:ind w:left="113"/>
              <w:rPr>
                <w:color w:val="000000" w:themeColor="text1"/>
              </w:rPr>
            </w:pPr>
            <w:r w:rsidRPr="00901D86">
              <w:rPr>
                <w:color w:val="000000" w:themeColor="text1"/>
              </w:rPr>
              <w:t>TOF</w:t>
            </w:r>
          </w:p>
        </w:tc>
        <w:tc>
          <w:tcPr>
            <w:tcW w:w="1134" w:type="dxa"/>
            <w:tcBorders>
              <w:top w:val="nil"/>
              <w:bottom w:val="nil"/>
            </w:tcBorders>
            <w:shd w:val="clear" w:color="auto" w:fill="auto"/>
          </w:tcPr>
          <w:p w14:paraId="44655352"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7E3A3904"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1AAA528E"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0</w:t>
            </w:r>
            <w:r w:rsidRPr="00901D86">
              <w:rPr>
                <w:color w:val="000000" w:themeColor="text1"/>
              </w:rPr>
              <w:t xml:space="preserve"> </w:t>
            </w:r>
          </w:p>
        </w:tc>
        <w:tc>
          <w:tcPr>
            <w:tcW w:w="1134" w:type="dxa"/>
            <w:tcBorders>
              <w:top w:val="nil"/>
              <w:bottom w:val="nil"/>
            </w:tcBorders>
            <w:shd w:val="clear" w:color="auto" w:fill="auto"/>
          </w:tcPr>
          <w:p w14:paraId="132DCE0E"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5F46B8F7"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c>
          <w:tcPr>
            <w:tcW w:w="1134" w:type="dxa"/>
            <w:tcBorders>
              <w:top w:val="nil"/>
              <w:bottom w:val="nil"/>
            </w:tcBorders>
            <w:shd w:val="clear" w:color="auto" w:fill="auto"/>
          </w:tcPr>
          <w:p w14:paraId="3732B951" w14:textId="6FFB2351" w:rsidR="00C16E86" w:rsidRPr="00901D86" w:rsidRDefault="00C16E86" w:rsidP="001F7028">
            <w:pPr>
              <w:pStyle w:val="TableText0"/>
              <w:jc w:val="center"/>
              <w:rPr>
                <w:rFonts w:cs="Arial"/>
                <w:color w:val="000000" w:themeColor="text1"/>
              </w:rPr>
            </w:pPr>
            <w:r w:rsidRPr="00901D86">
              <w:rPr>
                <w:color w:val="000000" w:themeColor="text1"/>
              </w:rPr>
              <w:t>-$</w:t>
            </w:r>
            <w:r w:rsidR="00E3279B">
              <w:rPr>
                <w:noProof/>
                <w:color w:val="000000"/>
                <w:highlight w:val="black"/>
              </w:rPr>
              <w:t>''''''''''''''</w:t>
            </w:r>
            <w:r w:rsidR="0031616A">
              <w:rPr>
                <w:noProof/>
                <w:color w:val="000000"/>
                <w:highlight w:val="black"/>
              </w:rPr>
              <w:t>''''''''''</w:t>
            </w:r>
            <w:r w:rsidR="000F1A90" w:rsidRPr="000F1A90">
              <w:rPr>
                <w:color w:val="000000" w:themeColor="text1"/>
                <w:vertAlign w:val="superscript"/>
              </w:rPr>
              <w:t>10</w:t>
            </w:r>
            <w:r w:rsidRPr="00901D86">
              <w:rPr>
                <w:color w:val="000000" w:themeColor="text1"/>
              </w:rPr>
              <w:t xml:space="preserve"> </w:t>
            </w:r>
          </w:p>
        </w:tc>
      </w:tr>
      <w:tr w:rsidR="00C16E86" w:rsidRPr="00901D86" w14:paraId="4C30228C" w14:textId="77777777" w:rsidTr="00D655DC">
        <w:tc>
          <w:tcPr>
            <w:tcW w:w="2263" w:type="dxa"/>
            <w:tcBorders>
              <w:top w:val="nil"/>
              <w:bottom w:val="single" w:sz="4" w:space="0" w:color="auto"/>
            </w:tcBorders>
            <w:shd w:val="clear" w:color="auto" w:fill="auto"/>
            <w:vAlign w:val="center"/>
          </w:tcPr>
          <w:p w14:paraId="78609509" w14:textId="77777777" w:rsidR="00C16E86" w:rsidRPr="00901D86" w:rsidRDefault="00C16E86" w:rsidP="001F7028">
            <w:pPr>
              <w:pStyle w:val="TableText0"/>
              <w:rPr>
                <w:color w:val="000000" w:themeColor="text1"/>
              </w:rPr>
            </w:pPr>
            <w:r w:rsidRPr="00901D86">
              <w:rPr>
                <w:color w:val="000000" w:themeColor="text1"/>
              </w:rPr>
              <w:t>Total</w:t>
            </w:r>
          </w:p>
        </w:tc>
        <w:tc>
          <w:tcPr>
            <w:tcW w:w="1134" w:type="dxa"/>
            <w:tcBorders>
              <w:top w:val="nil"/>
              <w:bottom w:val="single" w:sz="4" w:space="0" w:color="auto"/>
            </w:tcBorders>
            <w:shd w:val="clear" w:color="auto" w:fill="auto"/>
          </w:tcPr>
          <w:p w14:paraId="2C428197"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C93762" w:rsidRPr="00C93762">
              <w:rPr>
                <w:color w:val="000000" w:themeColor="text1"/>
                <w:vertAlign w:val="superscript"/>
              </w:rPr>
              <w:t>6</w:t>
            </w:r>
            <w:r w:rsidRPr="00901D86">
              <w:rPr>
                <w:color w:val="000000" w:themeColor="text1"/>
              </w:rPr>
              <w:t xml:space="preserve"> </w:t>
            </w:r>
          </w:p>
        </w:tc>
        <w:tc>
          <w:tcPr>
            <w:tcW w:w="1134" w:type="dxa"/>
            <w:tcBorders>
              <w:top w:val="nil"/>
              <w:bottom w:val="single" w:sz="4" w:space="0" w:color="auto"/>
            </w:tcBorders>
            <w:shd w:val="clear" w:color="auto" w:fill="auto"/>
          </w:tcPr>
          <w:p w14:paraId="0E72597F"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7</w:t>
            </w:r>
            <w:r w:rsidRPr="00901D86">
              <w:rPr>
                <w:color w:val="000000" w:themeColor="text1"/>
              </w:rPr>
              <w:t xml:space="preserve"> </w:t>
            </w:r>
          </w:p>
        </w:tc>
        <w:tc>
          <w:tcPr>
            <w:tcW w:w="1134" w:type="dxa"/>
            <w:tcBorders>
              <w:top w:val="nil"/>
              <w:bottom w:val="single" w:sz="4" w:space="0" w:color="auto"/>
            </w:tcBorders>
            <w:shd w:val="clear" w:color="auto" w:fill="auto"/>
          </w:tcPr>
          <w:p w14:paraId="53E0163B" w14:textId="77777777" w:rsidR="00C16E86" w:rsidRPr="00901D86" w:rsidRDefault="00C16E86" w:rsidP="001F7028">
            <w:pPr>
              <w:pStyle w:val="TableText0"/>
              <w:jc w:val="center"/>
              <w:rPr>
                <w:rFonts w:cs="Arial"/>
                <w:color w:val="000000" w:themeColor="text1"/>
              </w:rPr>
            </w:pPr>
            <w:r w:rsidRPr="00901D86">
              <w:rPr>
                <w:color w:val="000000" w:themeColor="text1"/>
              </w:rPr>
              <w:t>-$</w:t>
            </w:r>
            <w:r w:rsidR="0031616A">
              <w:rPr>
                <w:noProof/>
                <w:color w:val="000000"/>
                <w:highlight w:val="black"/>
              </w:rPr>
              <w:t>'''''''''''''''''''''''''''</w:t>
            </w:r>
            <w:r w:rsidR="000F1A90" w:rsidRPr="000F1A90">
              <w:rPr>
                <w:color w:val="000000" w:themeColor="text1"/>
                <w:vertAlign w:val="superscript"/>
              </w:rPr>
              <w:t>8</w:t>
            </w:r>
            <w:r w:rsidRPr="00901D86">
              <w:rPr>
                <w:color w:val="000000" w:themeColor="text1"/>
              </w:rPr>
              <w:t xml:space="preserve"> </w:t>
            </w:r>
          </w:p>
        </w:tc>
        <w:tc>
          <w:tcPr>
            <w:tcW w:w="1134" w:type="dxa"/>
            <w:tcBorders>
              <w:top w:val="nil"/>
              <w:bottom w:val="single" w:sz="4" w:space="0" w:color="auto"/>
            </w:tcBorders>
            <w:shd w:val="clear" w:color="auto" w:fill="auto"/>
          </w:tcPr>
          <w:p w14:paraId="56C1BF02" w14:textId="2D329CF6" w:rsidR="00C16E86" w:rsidRPr="00901D86" w:rsidRDefault="00C16E86" w:rsidP="001F7028">
            <w:pPr>
              <w:pStyle w:val="TableText0"/>
              <w:jc w:val="center"/>
              <w:rPr>
                <w:rFonts w:cs="Arial"/>
                <w:color w:val="000000" w:themeColor="text1"/>
              </w:rPr>
            </w:pPr>
            <w:r w:rsidRPr="00901D86">
              <w:rPr>
                <w:color w:val="000000" w:themeColor="text1"/>
              </w:rPr>
              <w:t>-$</w:t>
            </w:r>
            <w:r w:rsidR="00E3279B">
              <w:rPr>
                <w:noProof/>
                <w:color w:val="000000"/>
                <w:highlight w:val="black"/>
              </w:rPr>
              <w:t>''''''''''''''</w:t>
            </w:r>
            <w:r w:rsidR="0031616A">
              <w:rPr>
                <w:noProof/>
                <w:color w:val="000000"/>
                <w:highlight w:val="black"/>
              </w:rPr>
              <w:t>'''''''''''''</w:t>
            </w:r>
            <w:r w:rsidR="000F1A90" w:rsidRPr="000F1A90">
              <w:rPr>
                <w:color w:val="000000" w:themeColor="text1"/>
                <w:vertAlign w:val="superscript"/>
              </w:rPr>
              <w:t>9</w:t>
            </w:r>
            <w:r w:rsidRPr="00901D86">
              <w:rPr>
                <w:color w:val="000000" w:themeColor="text1"/>
              </w:rPr>
              <w:t xml:space="preserve"> </w:t>
            </w:r>
          </w:p>
        </w:tc>
        <w:tc>
          <w:tcPr>
            <w:tcW w:w="1134" w:type="dxa"/>
            <w:tcBorders>
              <w:top w:val="nil"/>
              <w:bottom w:val="single" w:sz="4" w:space="0" w:color="auto"/>
            </w:tcBorders>
            <w:shd w:val="clear" w:color="auto" w:fill="auto"/>
          </w:tcPr>
          <w:p w14:paraId="61C986F1" w14:textId="5201054E" w:rsidR="00C16E86" w:rsidRPr="00901D86" w:rsidRDefault="000F1A90" w:rsidP="001F7028">
            <w:pPr>
              <w:pStyle w:val="TableText0"/>
              <w:jc w:val="center"/>
              <w:rPr>
                <w:rFonts w:cs="Arial"/>
                <w:color w:val="000000" w:themeColor="text1"/>
              </w:rPr>
            </w:pPr>
            <w:r>
              <w:rPr>
                <w:color w:val="000000" w:themeColor="text1"/>
              </w:rPr>
              <w:t>-</w:t>
            </w:r>
            <w:r w:rsidR="00C16E86" w:rsidRPr="00901D86">
              <w:rPr>
                <w:color w:val="000000" w:themeColor="text1"/>
              </w:rPr>
              <w:t>$</w:t>
            </w:r>
            <w:r w:rsidR="00E3279B">
              <w:rPr>
                <w:noProof/>
                <w:color w:val="000000"/>
                <w:highlight w:val="black"/>
              </w:rPr>
              <w:t>'''''''''''''''''</w:t>
            </w:r>
            <w:r w:rsidR="0031616A">
              <w:rPr>
                <w:noProof/>
                <w:color w:val="000000"/>
                <w:highlight w:val="black"/>
              </w:rPr>
              <w:t>''''''''</w:t>
            </w:r>
            <w:r w:rsidRPr="000F1A90">
              <w:rPr>
                <w:color w:val="000000" w:themeColor="text1"/>
                <w:vertAlign w:val="superscript"/>
              </w:rPr>
              <w:t>12</w:t>
            </w:r>
            <w:r w:rsidR="00C16E86" w:rsidRPr="000F1A90">
              <w:rPr>
                <w:color w:val="000000" w:themeColor="text1"/>
                <w:vertAlign w:val="superscript"/>
              </w:rPr>
              <w:t xml:space="preserve"> </w:t>
            </w:r>
          </w:p>
        </w:tc>
        <w:tc>
          <w:tcPr>
            <w:tcW w:w="1134" w:type="dxa"/>
            <w:tcBorders>
              <w:top w:val="nil"/>
              <w:bottom w:val="single" w:sz="4" w:space="0" w:color="auto"/>
            </w:tcBorders>
            <w:shd w:val="clear" w:color="auto" w:fill="auto"/>
          </w:tcPr>
          <w:p w14:paraId="0B4AB5E1" w14:textId="228D30B8" w:rsidR="00C16E86" w:rsidRPr="00901D86" w:rsidRDefault="00C16E86" w:rsidP="001F7028">
            <w:pPr>
              <w:pStyle w:val="TableText0"/>
              <w:jc w:val="center"/>
              <w:rPr>
                <w:rFonts w:cs="Arial"/>
                <w:color w:val="000000" w:themeColor="text1"/>
              </w:rPr>
            </w:pPr>
            <w:r w:rsidRPr="00901D86">
              <w:rPr>
                <w:color w:val="000000" w:themeColor="text1"/>
              </w:rPr>
              <w:t>-$</w:t>
            </w:r>
            <w:r w:rsidR="00E3279B">
              <w:rPr>
                <w:noProof/>
                <w:color w:val="000000"/>
                <w:highlight w:val="black"/>
              </w:rPr>
              <w:t>''''''''''''''</w:t>
            </w:r>
            <w:r w:rsidR="0031616A">
              <w:rPr>
                <w:noProof/>
                <w:color w:val="000000"/>
                <w:highlight w:val="black"/>
              </w:rPr>
              <w:t>'''''''''''</w:t>
            </w:r>
            <w:r w:rsidR="000F1A90" w:rsidRPr="000F1A90">
              <w:rPr>
                <w:color w:val="000000" w:themeColor="text1"/>
                <w:vertAlign w:val="superscript"/>
              </w:rPr>
              <w:t>13</w:t>
            </w:r>
            <w:r w:rsidRPr="000F1A90">
              <w:rPr>
                <w:color w:val="000000" w:themeColor="text1"/>
                <w:vertAlign w:val="superscript"/>
              </w:rPr>
              <w:t xml:space="preserve"> </w:t>
            </w:r>
          </w:p>
        </w:tc>
      </w:tr>
      <w:tr w:rsidR="00C16E86" w:rsidRPr="00901D86" w14:paraId="36D9832A" w14:textId="77777777" w:rsidTr="00D655DC">
        <w:tc>
          <w:tcPr>
            <w:tcW w:w="9067" w:type="dxa"/>
            <w:gridSpan w:val="7"/>
            <w:shd w:val="clear" w:color="auto" w:fill="auto"/>
            <w:vAlign w:val="center"/>
          </w:tcPr>
          <w:p w14:paraId="6DAA3C55" w14:textId="77777777" w:rsidR="00C16E86" w:rsidRPr="00901D86" w:rsidRDefault="00C16E86" w:rsidP="001F7028">
            <w:pPr>
              <w:pStyle w:val="TableText0"/>
              <w:rPr>
                <w:rFonts w:cs="Arial"/>
                <w:b/>
                <w:color w:val="000000"/>
              </w:rPr>
            </w:pPr>
            <w:r w:rsidRPr="00901D86">
              <w:rPr>
                <w:rFonts w:cs="Arial"/>
                <w:b/>
                <w:color w:val="000000"/>
              </w:rPr>
              <w:t>Estimated financial implications for the PBS/RPBS</w:t>
            </w:r>
          </w:p>
        </w:tc>
      </w:tr>
      <w:tr w:rsidR="00C16E86" w:rsidRPr="000F1A90" w14:paraId="2725C89B" w14:textId="77777777" w:rsidTr="00D655DC">
        <w:tc>
          <w:tcPr>
            <w:tcW w:w="2263" w:type="dxa"/>
            <w:shd w:val="clear" w:color="auto" w:fill="auto"/>
            <w:vAlign w:val="center"/>
          </w:tcPr>
          <w:p w14:paraId="5189A684" w14:textId="77777777" w:rsidR="00C16E86" w:rsidRPr="00901D86" w:rsidRDefault="00C16E86" w:rsidP="007566A9">
            <w:pPr>
              <w:pStyle w:val="TableText0"/>
              <w:rPr>
                <w:vertAlign w:val="superscript"/>
              </w:rPr>
            </w:pPr>
            <w:r w:rsidRPr="00901D86">
              <w:t>Net cost to PBS/RPBS</w:t>
            </w:r>
            <w:r w:rsidR="00A53E0F" w:rsidRPr="00901D86">
              <w:t xml:space="preserve"> </w:t>
            </w:r>
            <w:r w:rsidRPr="00901D86">
              <w:rPr>
                <w:vertAlign w:val="superscript"/>
              </w:rPr>
              <w:t>b</w:t>
            </w:r>
          </w:p>
        </w:tc>
        <w:tc>
          <w:tcPr>
            <w:tcW w:w="1134" w:type="dxa"/>
            <w:shd w:val="clear" w:color="auto" w:fill="auto"/>
            <w:vAlign w:val="center"/>
          </w:tcPr>
          <w:p w14:paraId="28C60200" w14:textId="77777777" w:rsidR="00C16E86" w:rsidRPr="00901D86" w:rsidRDefault="002529D3" w:rsidP="001F7028">
            <w:pPr>
              <w:pStyle w:val="TableText0"/>
              <w:jc w:val="center"/>
              <w:rPr>
                <w:rFonts w:cs="Arial"/>
                <w:iCs/>
                <w:color w:val="000000"/>
              </w:rPr>
            </w:pPr>
            <w:r w:rsidRPr="00901D86">
              <w:rPr>
                <w:iCs/>
              </w:rPr>
              <w:t>-</w:t>
            </w:r>
            <w:r w:rsidR="00C16E86" w:rsidRPr="00901D86">
              <w:rPr>
                <w:iCs/>
              </w:rPr>
              <w:t>$</w:t>
            </w:r>
            <w:r w:rsidR="0031616A">
              <w:rPr>
                <w:iCs/>
                <w:noProof/>
                <w:color w:val="000000"/>
                <w:highlight w:val="black"/>
              </w:rPr>
              <w:t>''''''''''''''''''</w:t>
            </w:r>
            <w:r w:rsidR="000F1A90" w:rsidRPr="000F1A90">
              <w:rPr>
                <w:iCs/>
                <w:vertAlign w:val="superscript"/>
              </w:rPr>
              <w:t>10</w:t>
            </w:r>
          </w:p>
        </w:tc>
        <w:tc>
          <w:tcPr>
            <w:tcW w:w="1134" w:type="dxa"/>
            <w:shd w:val="clear" w:color="auto" w:fill="auto"/>
            <w:vAlign w:val="center"/>
          </w:tcPr>
          <w:p w14:paraId="4F4790FE" w14:textId="77777777" w:rsidR="00C16E86" w:rsidRPr="00901D86" w:rsidRDefault="00C16E86" w:rsidP="001F7028">
            <w:pPr>
              <w:pStyle w:val="TableText0"/>
              <w:jc w:val="center"/>
              <w:rPr>
                <w:rFonts w:cs="Arial"/>
                <w:iCs/>
                <w:color w:val="000000"/>
              </w:rPr>
            </w:pPr>
            <w:r w:rsidRPr="00901D86">
              <w:rPr>
                <w:iCs/>
              </w:rPr>
              <w:t>-$</w:t>
            </w:r>
            <w:r w:rsidR="0031616A">
              <w:rPr>
                <w:iCs/>
                <w:noProof/>
                <w:color w:val="000000"/>
                <w:highlight w:val="black"/>
              </w:rPr>
              <w:t>''''''''''''''''''''''</w:t>
            </w:r>
            <w:r w:rsidR="000F1A90" w:rsidRPr="000F1A90">
              <w:rPr>
                <w:iCs/>
                <w:vertAlign w:val="superscript"/>
              </w:rPr>
              <w:t>10</w:t>
            </w:r>
          </w:p>
        </w:tc>
        <w:tc>
          <w:tcPr>
            <w:tcW w:w="1134" w:type="dxa"/>
            <w:shd w:val="clear" w:color="auto" w:fill="auto"/>
            <w:vAlign w:val="center"/>
          </w:tcPr>
          <w:p w14:paraId="079235B2" w14:textId="77777777" w:rsidR="00C16E86" w:rsidRPr="00901D86" w:rsidRDefault="00C16E86" w:rsidP="001F7028">
            <w:pPr>
              <w:pStyle w:val="TableText0"/>
              <w:jc w:val="center"/>
              <w:rPr>
                <w:rFonts w:cs="Arial"/>
                <w:iCs/>
                <w:color w:val="000000"/>
              </w:rPr>
            </w:pPr>
            <w:r w:rsidRPr="00901D86">
              <w:rPr>
                <w:iCs/>
              </w:rPr>
              <w:t>-$</w:t>
            </w:r>
            <w:r w:rsidR="0031616A">
              <w:rPr>
                <w:iCs/>
                <w:noProof/>
                <w:color w:val="000000"/>
                <w:highlight w:val="black"/>
              </w:rPr>
              <w:t>''''''''''''''''''''''</w:t>
            </w:r>
            <w:r w:rsidR="000F1A90" w:rsidRPr="000F1A90">
              <w:rPr>
                <w:iCs/>
                <w:vertAlign w:val="superscript"/>
              </w:rPr>
              <w:t>10</w:t>
            </w:r>
          </w:p>
        </w:tc>
        <w:tc>
          <w:tcPr>
            <w:tcW w:w="1134" w:type="dxa"/>
            <w:shd w:val="clear" w:color="auto" w:fill="auto"/>
            <w:vAlign w:val="center"/>
          </w:tcPr>
          <w:p w14:paraId="0F22A3D7" w14:textId="77777777" w:rsidR="00C16E86" w:rsidRPr="00901D86" w:rsidRDefault="00C16E86" w:rsidP="001F7028">
            <w:pPr>
              <w:pStyle w:val="TableText0"/>
              <w:jc w:val="center"/>
              <w:rPr>
                <w:rFonts w:cs="Arial"/>
                <w:iCs/>
                <w:color w:val="000000"/>
              </w:rPr>
            </w:pPr>
            <w:r w:rsidRPr="00901D86">
              <w:rPr>
                <w:iCs/>
              </w:rPr>
              <w:t>-$</w:t>
            </w:r>
            <w:r w:rsidR="0031616A">
              <w:rPr>
                <w:iCs/>
                <w:noProof/>
                <w:color w:val="000000"/>
                <w:highlight w:val="black"/>
              </w:rPr>
              <w:t>'''''''''''''''''''''</w:t>
            </w:r>
            <w:r w:rsidR="000F1A90" w:rsidRPr="000F1A90">
              <w:rPr>
                <w:iCs/>
                <w:vertAlign w:val="superscript"/>
              </w:rPr>
              <w:t>10</w:t>
            </w:r>
          </w:p>
        </w:tc>
        <w:tc>
          <w:tcPr>
            <w:tcW w:w="1134" w:type="dxa"/>
            <w:shd w:val="clear" w:color="auto" w:fill="auto"/>
            <w:vAlign w:val="center"/>
          </w:tcPr>
          <w:p w14:paraId="3EF42F18" w14:textId="4AAF081D" w:rsidR="00C16E86" w:rsidRPr="00901D86" w:rsidRDefault="00C16E86" w:rsidP="001F7028">
            <w:pPr>
              <w:pStyle w:val="TableText0"/>
              <w:jc w:val="center"/>
              <w:rPr>
                <w:rFonts w:cs="Arial"/>
                <w:iCs/>
                <w:color w:val="000000"/>
              </w:rPr>
            </w:pPr>
            <w:r w:rsidRPr="00901D86">
              <w:rPr>
                <w:iCs/>
              </w:rPr>
              <w:t>-$</w:t>
            </w:r>
            <w:r w:rsidR="00E3279B">
              <w:rPr>
                <w:iCs/>
                <w:noProof/>
                <w:color w:val="000000"/>
                <w:highlight w:val="black"/>
              </w:rPr>
              <w:t>''''''''''''''''''''''</w:t>
            </w:r>
            <w:r w:rsidR="0031616A">
              <w:rPr>
                <w:iCs/>
                <w:noProof/>
                <w:color w:val="000000"/>
                <w:highlight w:val="black"/>
              </w:rPr>
              <w:t>'''''</w:t>
            </w:r>
            <w:r w:rsidR="000F1A90" w:rsidRPr="000F1A90">
              <w:rPr>
                <w:iCs/>
                <w:vertAlign w:val="superscript"/>
              </w:rPr>
              <w:t>6</w:t>
            </w:r>
          </w:p>
        </w:tc>
        <w:tc>
          <w:tcPr>
            <w:tcW w:w="1134" w:type="dxa"/>
            <w:shd w:val="clear" w:color="auto" w:fill="auto"/>
            <w:vAlign w:val="center"/>
          </w:tcPr>
          <w:p w14:paraId="38BF8A34" w14:textId="77777777" w:rsidR="00C16E86" w:rsidRPr="00901D86" w:rsidRDefault="00C16E86" w:rsidP="001F7028">
            <w:pPr>
              <w:pStyle w:val="TableText0"/>
              <w:jc w:val="center"/>
              <w:rPr>
                <w:rFonts w:cs="Arial"/>
                <w:iCs/>
                <w:color w:val="000000"/>
              </w:rPr>
            </w:pPr>
            <w:r w:rsidRPr="00901D86">
              <w:rPr>
                <w:iCs/>
              </w:rPr>
              <w:t>-$</w:t>
            </w:r>
            <w:r w:rsidR="0031616A">
              <w:rPr>
                <w:iCs/>
                <w:noProof/>
                <w:color w:val="000000"/>
                <w:highlight w:val="black"/>
              </w:rPr>
              <w:t>'''''''''''''''''''''''''</w:t>
            </w:r>
            <w:r w:rsidR="000F1A90" w:rsidRPr="000F1A90">
              <w:rPr>
                <w:iCs/>
                <w:vertAlign w:val="superscript"/>
              </w:rPr>
              <w:t>6</w:t>
            </w:r>
          </w:p>
        </w:tc>
      </w:tr>
    </w:tbl>
    <w:p w14:paraId="6F8DA25F" w14:textId="77777777" w:rsidR="00C16E86" w:rsidRPr="00901D86" w:rsidRDefault="00C16E86" w:rsidP="001F7028">
      <w:pPr>
        <w:keepNext/>
        <w:rPr>
          <w:rFonts w:ascii="Arial Narrow" w:hAnsi="Arial Narrow"/>
          <w:sz w:val="18"/>
          <w:szCs w:val="18"/>
        </w:rPr>
      </w:pPr>
      <w:r w:rsidRPr="00901D86">
        <w:rPr>
          <w:rFonts w:ascii="Arial Narrow" w:hAnsi="Arial Narrow"/>
          <w:sz w:val="18"/>
          <w:szCs w:val="18"/>
        </w:rPr>
        <w:t>Source: Table 4.11 and 4.12, p 216 and 218 of the submission.</w:t>
      </w:r>
    </w:p>
    <w:p w14:paraId="279AFBF7" w14:textId="77777777" w:rsidR="00C16E86" w:rsidRPr="00901D86" w:rsidRDefault="00C16E86" w:rsidP="001F7028">
      <w:pPr>
        <w:keepNext/>
        <w:rPr>
          <w:rFonts w:ascii="Arial Narrow" w:hAnsi="Arial Narrow"/>
          <w:sz w:val="18"/>
          <w:szCs w:val="18"/>
        </w:rPr>
      </w:pPr>
      <w:r w:rsidRPr="00901D86">
        <w:rPr>
          <w:rFonts w:ascii="Arial Narrow" w:hAnsi="Arial Narrow"/>
          <w:sz w:val="18"/>
          <w:szCs w:val="18"/>
        </w:rPr>
        <w:t>GUS=guselkumab; ADA=adalimumab; INF=infliximab; ETN=etanercept; GOL=golimumab; CZP=certolizumab pegol; UST=ustekinumab; SEC=secukinumab; IXE=ixekizumab; TOF=tofacitinib</w:t>
      </w:r>
    </w:p>
    <w:p w14:paraId="7FC10A78" w14:textId="77777777" w:rsidR="00733C61" w:rsidRPr="00901D86" w:rsidRDefault="00C16E86" w:rsidP="00733C61">
      <w:pPr>
        <w:keepNext/>
        <w:tabs>
          <w:tab w:val="left" w:pos="284"/>
        </w:tabs>
        <w:rPr>
          <w:rFonts w:ascii="Arial Narrow" w:hAnsi="Arial Narrow"/>
          <w:sz w:val="18"/>
          <w:szCs w:val="18"/>
        </w:rPr>
      </w:pPr>
      <w:r w:rsidRPr="00901D86">
        <w:rPr>
          <w:rFonts w:ascii="Arial Narrow" w:hAnsi="Arial Narrow"/>
          <w:sz w:val="18"/>
          <w:szCs w:val="18"/>
          <w:vertAlign w:val="superscript"/>
        </w:rPr>
        <w:t>a</w:t>
      </w:r>
      <w:r w:rsidR="00733C61" w:rsidRPr="00901D86">
        <w:rPr>
          <w:rFonts w:ascii="Arial Narrow" w:hAnsi="Arial Narrow"/>
          <w:sz w:val="18"/>
          <w:szCs w:val="18"/>
        </w:rPr>
        <w:t xml:space="preserve"> Corrected for an underestimate of the number of guselkumab scripts. </w:t>
      </w:r>
    </w:p>
    <w:p w14:paraId="2BBB9255" w14:textId="77777777" w:rsidR="00C16E86" w:rsidRPr="00901D86" w:rsidRDefault="00733C61" w:rsidP="00733C61">
      <w:pPr>
        <w:keepNext/>
        <w:rPr>
          <w:rFonts w:ascii="Arial Narrow" w:hAnsi="Arial Narrow"/>
          <w:sz w:val="18"/>
          <w:szCs w:val="18"/>
        </w:rPr>
      </w:pPr>
      <w:r w:rsidRPr="00901D86">
        <w:rPr>
          <w:rFonts w:ascii="Arial Narrow" w:hAnsi="Arial Narrow"/>
          <w:sz w:val="18"/>
          <w:szCs w:val="18"/>
          <w:vertAlign w:val="superscript"/>
        </w:rPr>
        <w:t>b</w:t>
      </w:r>
      <w:r w:rsidRPr="00901D86">
        <w:rPr>
          <w:rFonts w:ascii="Arial Narrow" w:hAnsi="Arial Narrow"/>
          <w:sz w:val="18"/>
          <w:szCs w:val="18"/>
        </w:rPr>
        <w:t xml:space="preserve"> </w:t>
      </w:r>
      <w:r w:rsidR="00C16E86" w:rsidRPr="00901D86">
        <w:rPr>
          <w:rFonts w:ascii="Arial Narrow" w:hAnsi="Arial Narrow"/>
          <w:sz w:val="18"/>
          <w:szCs w:val="18"/>
        </w:rPr>
        <w:t>less co</w:t>
      </w:r>
      <w:r w:rsidR="00201ED7" w:rsidRPr="00901D86">
        <w:rPr>
          <w:rFonts w:ascii="Arial Narrow" w:hAnsi="Arial Narrow"/>
          <w:sz w:val="18"/>
          <w:szCs w:val="18"/>
        </w:rPr>
        <w:t>-</w:t>
      </w:r>
      <w:r w:rsidR="00C16E86" w:rsidRPr="00901D86">
        <w:rPr>
          <w:rFonts w:ascii="Arial Narrow" w:hAnsi="Arial Narrow"/>
          <w:sz w:val="18"/>
          <w:szCs w:val="18"/>
        </w:rPr>
        <w:t>payment</w:t>
      </w:r>
    </w:p>
    <w:p w14:paraId="55E9A0B8" w14:textId="77777777" w:rsidR="00ED76C4" w:rsidRDefault="00733C61" w:rsidP="00ED76C4">
      <w:pPr>
        <w:keepNext/>
        <w:rPr>
          <w:rFonts w:ascii="Arial Narrow" w:hAnsi="Arial Narrow"/>
          <w:sz w:val="18"/>
          <w:szCs w:val="18"/>
        </w:rPr>
      </w:pPr>
      <w:r w:rsidRPr="00ED76C4">
        <w:rPr>
          <w:rFonts w:ascii="Arial Narrow" w:hAnsi="Arial Narrow"/>
          <w:sz w:val="18"/>
          <w:szCs w:val="18"/>
        </w:rPr>
        <w:t xml:space="preserve">c </w:t>
      </w:r>
      <w:r w:rsidR="00C16E86" w:rsidRPr="00901D86">
        <w:rPr>
          <w:rFonts w:ascii="Arial Narrow" w:hAnsi="Arial Narrow"/>
          <w:sz w:val="18"/>
          <w:szCs w:val="18"/>
        </w:rPr>
        <w:t>effective price for guselkumab</w:t>
      </w:r>
    </w:p>
    <w:p w14:paraId="7EC78483" w14:textId="77777777" w:rsidR="00ED76C4" w:rsidRPr="00B00B7A" w:rsidRDefault="00ED76C4" w:rsidP="00ED76C4">
      <w:pPr>
        <w:keepNext/>
        <w:rPr>
          <w:rFonts w:ascii="Arial Narrow" w:hAnsi="Arial Narrow"/>
          <w:i/>
          <w:sz w:val="18"/>
          <w:szCs w:val="18"/>
        </w:rPr>
      </w:pPr>
      <w:r w:rsidRPr="00B00B7A">
        <w:rPr>
          <w:rFonts w:ascii="Arial Narrow" w:hAnsi="Arial Narrow"/>
          <w:i/>
          <w:sz w:val="18"/>
          <w:szCs w:val="18"/>
        </w:rPr>
        <w:t xml:space="preserve">The redacted values correspond to the following ranges: </w:t>
      </w:r>
    </w:p>
    <w:p w14:paraId="47339558" w14:textId="77777777" w:rsidR="00ED76C4" w:rsidRPr="00B00B7A" w:rsidRDefault="00ED76C4" w:rsidP="00ED76C4">
      <w:pPr>
        <w:keepNext/>
        <w:rPr>
          <w:rFonts w:ascii="Arial Narrow" w:hAnsi="Arial Narrow"/>
          <w:i/>
          <w:sz w:val="18"/>
          <w:szCs w:val="18"/>
        </w:rPr>
      </w:pPr>
      <w:r w:rsidRPr="00B00B7A">
        <w:rPr>
          <w:rFonts w:ascii="Arial Narrow" w:hAnsi="Arial Narrow"/>
          <w:i/>
          <w:sz w:val="18"/>
          <w:szCs w:val="18"/>
          <w:vertAlign w:val="superscript"/>
        </w:rPr>
        <w:t>1</w:t>
      </w:r>
      <w:r w:rsidRPr="00B00B7A">
        <w:rPr>
          <w:rFonts w:ascii="Arial Narrow" w:hAnsi="Arial Narrow"/>
          <w:i/>
          <w:sz w:val="18"/>
          <w:szCs w:val="18"/>
        </w:rPr>
        <w:t>5,000 to &lt;10,000</w:t>
      </w:r>
    </w:p>
    <w:p w14:paraId="20F51F45" w14:textId="77777777" w:rsidR="00ED76C4" w:rsidRPr="00B00B7A" w:rsidRDefault="00ED76C4" w:rsidP="00ED76C4">
      <w:pPr>
        <w:keepNext/>
        <w:rPr>
          <w:rFonts w:ascii="Arial Narrow" w:hAnsi="Arial Narrow"/>
          <w:i/>
          <w:sz w:val="18"/>
          <w:szCs w:val="18"/>
        </w:rPr>
      </w:pPr>
      <w:r w:rsidRPr="00B00B7A">
        <w:rPr>
          <w:rFonts w:ascii="Arial Narrow" w:hAnsi="Arial Narrow"/>
          <w:i/>
          <w:sz w:val="18"/>
          <w:szCs w:val="18"/>
          <w:vertAlign w:val="superscript"/>
        </w:rPr>
        <w:t>2</w:t>
      </w:r>
      <w:r w:rsidRPr="00B00B7A">
        <w:rPr>
          <w:rFonts w:ascii="Arial Narrow" w:hAnsi="Arial Narrow"/>
          <w:i/>
          <w:sz w:val="18"/>
          <w:szCs w:val="18"/>
        </w:rPr>
        <w:t>10,000 to &lt;20,000</w:t>
      </w:r>
    </w:p>
    <w:p w14:paraId="76BD6CC9" w14:textId="77777777" w:rsidR="00ED76C4" w:rsidRPr="00B00B7A" w:rsidRDefault="00ED76C4" w:rsidP="00B00B7A">
      <w:pPr>
        <w:keepNext/>
        <w:rPr>
          <w:rFonts w:ascii="Arial Narrow" w:hAnsi="Arial Narrow"/>
          <w:i/>
          <w:sz w:val="18"/>
          <w:szCs w:val="18"/>
        </w:rPr>
      </w:pPr>
      <w:r w:rsidRPr="00B00B7A">
        <w:rPr>
          <w:rFonts w:ascii="Arial Narrow" w:hAnsi="Arial Narrow"/>
          <w:i/>
          <w:sz w:val="18"/>
          <w:szCs w:val="18"/>
          <w:vertAlign w:val="superscript"/>
        </w:rPr>
        <w:t>3</w:t>
      </w:r>
      <w:r w:rsidRPr="00B00B7A">
        <w:rPr>
          <w:rFonts w:ascii="Arial Narrow" w:hAnsi="Arial Narrow"/>
          <w:i/>
          <w:sz w:val="18"/>
          <w:szCs w:val="18"/>
        </w:rPr>
        <w:t>20,000 to &lt;30,000</w:t>
      </w:r>
    </w:p>
    <w:p w14:paraId="5C03493D" w14:textId="77777777" w:rsidR="00B00B7A" w:rsidRDefault="00B00B7A" w:rsidP="00B00B7A">
      <w:pPr>
        <w:keepNext/>
        <w:rPr>
          <w:rFonts w:ascii="Arial Narrow" w:hAnsi="Arial Narrow"/>
          <w:i/>
          <w:sz w:val="18"/>
          <w:szCs w:val="18"/>
        </w:rPr>
      </w:pPr>
      <w:r w:rsidRPr="00B00B7A">
        <w:rPr>
          <w:rFonts w:ascii="Arial Narrow" w:hAnsi="Arial Narrow"/>
          <w:i/>
          <w:sz w:val="18"/>
          <w:szCs w:val="18"/>
          <w:vertAlign w:val="superscript"/>
        </w:rPr>
        <w:t>4</w:t>
      </w:r>
      <w:r w:rsidR="00ED76C4" w:rsidRPr="00B00B7A">
        <w:rPr>
          <w:rFonts w:ascii="Arial Narrow" w:hAnsi="Arial Narrow"/>
          <w:i/>
          <w:sz w:val="18"/>
          <w:szCs w:val="18"/>
        </w:rPr>
        <w:t>500 to &lt;5,000</w:t>
      </w:r>
    </w:p>
    <w:p w14:paraId="051D8A7F" w14:textId="77777777" w:rsidR="00B00B7A" w:rsidRDefault="00B00B7A" w:rsidP="00B00B7A">
      <w:pPr>
        <w:keepNext/>
        <w:rPr>
          <w:rFonts w:ascii="Arial Narrow" w:hAnsi="Arial Narrow"/>
          <w:i/>
          <w:sz w:val="18"/>
          <w:szCs w:val="18"/>
        </w:rPr>
      </w:pPr>
      <w:r w:rsidRPr="00B00B7A">
        <w:rPr>
          <w:rFonts w:ascii="Arial Narrow" w:hAnsi="Arial Narrow"/>
          <w:i/>
          <w:sz w:val="18"/>
          <w:szCs w:val="18"/>
          <w:vertAlign w:val="superscript"/>
        </w:rPr>
        <w:t>5</w:t>
      </w:r>
      <w:r>
        <w:rPr>
          <w:rFonts w:ascii="Arial Narrow" w:hAnsi="Arial Narrow"/>
          <w:i/>
          <w:sz w:val="18"/>
          <w:szCs w:val="18"/>
        </w:rPr>
        <w:t>30,000 to &lt;40,000</w:t>
      </w:r>
    </w:p>
    <w:p w14:paraId="5956DBBD" w14:textId="77777777" w:rsidR="00522BE0" w:rsidRDefault="00522BE0" w:rsidP="00B00B7A">
      <w:pPr>
        <w:keepNext/>
        <w:rPr>
          <w:rFonts w:ascii="Arial Narrow" w:hAnsi="Arial Narrow"/>
          <w:i/>
          <w:sz w:val="18"/>
          <w:szCs w:val="18"/>
        </w:rPr>
      </w:pPr>
      <w:r w:rsidRPr="00522BE0">
        <w:rPr>
          <w:rFonts w:ascii="Arial Narrow" w:hAnsi="Arial Narrow"/>
          <w:i/>
          <w:sz w:val="18"/>
          <w:szCs w:val="18"/>
          <w:vertAlign w:val="superscript"/>
        </w:rPr>
        <w:t>6</w:t>
      </w:r>
      <w:r>
        <w:rPr>
          <w:rFonts w:ascii="Arial Narrow" w:hAnsi="Arial Narrow"/>
          <w:i/>
          <w:sz w:val="18"/>
          <w:szCs w:val="18"/>
        </w:rPr>
        <w:t>$10 million to &lt;$20 million</w:t>
      </w:r>
    </w:p>
    <w:p w14:paraId="7438C4F0" w14:textId="77777777" w:rsidR="00522BE0" w:rsidRDefault="00522BE0" w:rsidP="00B00B7A">
      <w:pPr>
        <w:keepNext/>
        <w:rPr>
          <w:rFonts w:ascii="Arial Narrow" w:hAnsi="Arial Narrow"/>
          <w:i/>
          <w:sz w:val="18"/>
          <w:szCs w:val="18"/>
        </w:rPr>
      </w:pPr>
      <w:r w:rsidRPr="00522BE0">
        <w:rPr>
          <w:rFonts w:ascii="Arial Narrow" w:hAnsi="Arial Narrow"/>
          <w:i/>
          <w:sz w:val="18"/>
          <w:szCs w:val="18"/>
          <w:vertAlign w:val="superscript"/>
        </w:rPr>
        <w:t>7</w:t>
      </w:r>
      <w:r>
        <w:rPr>
          <w:rFonts w:ascii="Arial Narrow" w:hAnsi="Arial Narrow"/>
          <w:i/>
          <w:sz w:val="18"/>
          <w:szCs w:val="18"/>
        </w:rPr>
        <w:t>$20 million to &lt;$30 million</w:t>
      </w:r>
    </w:p>
    <w:p w14:paraId="40E81EE1" w14:textId="77777777" w:rsidR="00522BE0" w:rsidRDefault="00522BE0" w:rsidP="00B00B7A">
      <w:pPr>
        <w:keepNext/>
        <w:rPr>
          <w:rFonts w:ascii="Arial Narrow" w:hAnsi="Arial Narrow"/>
          <w:i/>
          <w:sz w:val="18"/>
          <w:szCs w:val="18"/>
        </w:rPr>
      </w:pPr>
      <w:r w:rsidRPr="00522BE0">
        <w:rPr>
          <w:rFonts w:ascii="Arial Narrow" w:hAnsi="Arial Narrow"/>
          <w:i/>
          <w:sz w:val="18"/>
          <w:szCs w:val="18"/>
          <w:vertAlign w:val="superscript"/>
        </w:rPr>
        <w:t>8</w:t>
      </w:r>
      <w:r>
        <w:rPr>
          <w:rFonts w:ascii="Arial Narrow" w:hAnsi="Arial Narrow"/>
          <w:i/>
          <w:sz w:val="18"/>
          <w:szCs w:val="18"/>
        </w:rPr>
        <w:t>$30 million to &lt;$40 million</w:t>
      </w:r>
    </w:p>
    <w:p w14:paraId="23F56299" w14:textId="77777777" w:rsidR="00522BE0" w:rsidRDefault="00522BE0" w:rsidP="00B00B7A">
      <w:pPr>
        <w:keepNext/>
        <w:rPr>
          <w:rFonts w:ascii="Arial Narrow" w:hAnsi="Arial Narrow"/>
          <w:i/>
          <w:sz w:val="18"/>
          <w:szCs w:val="18"/>
        </w:rPr>
      </w:pPr>
      <w:r w:rsidRPr="00522BE0">
        <w:rPr>
          <w:rFonts w:ascii="Arial Narrow" w:hAnsi="Arial Narrow"/>
          <w:i/>
          <w:sz w:val="18"/>
          <w:szCs w:val="18"/>
          <w:vertAlign w:val="superscript"/>
        </w:rPr>
        <w:t>9</w:t>
      </w:r>
      <w:r>
        <w:rPr>
          <w:rFonts w:ascii="Arial Narrow" w:hAnsi="Arial Narrow"/>
          <w:i/>
          <w:sz w:val="18"/>
          <w:szCs w:val="18"/>
        </w:rPr>
        <w:t>$4</w:t>
      </w:r>
      <w:r w:rsidR="00BC744F">
        <w:rPr>
          <w:rFonts w:ascii="Arial Narrow" w:hAnsi="Arial Narrow"/>
          <w:i/>
          <w:sz w:val="18"/>
          <w:szCs w:val="18"/>
        </w:rPr>
        <w:t>0</w:t>
      </w:r>
      <w:r>
        <w:rPr>
          <w:rFonts w:ascii="Arial Narrow" w:hAnsi="Arial Narrow"/>
          <w:i/>
          <w:sz w:val="18"/>
          <w:szCs w:val="18"/>
        </w:rPr>
        <w:t xml:space="preserve"> million to &lt;$5</w:t>
      </w:r>
      <w:r w:rsidR="00BC744F">
        <w:rPr>
          <w:rFonts w:ascii="Arial Narrow" w:hAnsi="Arial Narrow"/>
          <w:i/>
          <w:sz w:val="18"/>
          <w:szCs w:val="18"/>
        </w:rPr>
        <w:t>0</w:t>
      </w:r>
      <w:r>
        <w:rPr>
          <w:rFonts w:ascii="Arial Narrow" w:hAnsi="Arial Narrow"/>
          <w:i/>
          <w:sz w:val="18"/>
          <w:szCs w:val="18"/>
        </w:rPr>
        <w:t xml:space="preserve"> million</w:t>
      </w:r>
    </w:p>
    <w:p w14:paraId="17D45EA7" w14:textId="77777777" w:rsidR="00C93762" w:rsidRDefault="00C93762" w:rsidP="00B00B7A">
      <w:pPr>
        <w:keepNext/>
        <w:rPr>
          <w:rFonts w:ascii="Arial Narrow" w:hAnsi="Arial Narrow"/>
          <w:i/>
          <w:sz w:val="18"/>
          <w:szCs w:val="18"/>
        </w:rPr>
      </w:pPr>
      <w:r w:rsidRPr="00C93762">
        <w:rPr>
          <w:rFonts w:ascii="Arial Narrow" w:hAnsi="Arial Narrow"/>
          <w:i/>
          <w:sz w:val="18"/>
          <w:szCs w:val="18"/>
          <w:vertAlign w:val="superscript"/>
        </w:rPr>
        <w:t>10</w:t>
      </w:r>
      <w:r>
        <w:rPr>
          <w:rFonts w:ascii="Arial Narrow" w:hAnsi="Arial Narrow"/>
          <w:i/>
          <w:sz w:val="18"/>
          <w:szCs w:val="18"/>
        </w:rPr>
        <w:t>$0 to &lt;$10 million</w:t>
      </w:r>
    </w:p>
    <w:p w14:paraId="493FE2B1" w14:textId="77777777" w:rsidR="00C93762" w:rsidRPr="000F1A90" w:rsidRDefault="00C93762" w:rsidP="00B00B7A">
      <w:pPr>
        <w:keepNext/>
        <w:rPr>
          <w:rFonts w:ascii="Arial Narrow" w:hAnsi="Arial Narrow"/>
          <w:i/>
          <w:sz w:val="18"/>
          <w:szCs w:val="18"/>
        </w:rPr>
      </w:pPr>
      <w:r w:rsidRPr="000F1A90">
        <w:rPr>
          <w:rFonts w:ascii="Arial Narrow" w:hAnsi="Arial Narrow"/>
          <w:i/>
          <w:sz w:val="18"/>
          <w:szCs w:val="18"/>
          <w:vertAlign w:val="superscript"/>
        </w:rPr>
        <w:t>11</w:t>
      </w:r>
      <w:r w:rsidRPr="000F1A90">
        <w:rPr>
          <w:rFonts w:ascii="Arial Narrow" w:hAnsi="Arial Narrow"/>
          <w:i/>
          <w:sz w:val="18"/>
          <w:szCs w:val="18"/>
        </w:rPr>
        <w:t>&lt;500</w:t>
      </w:r>
    </w:p>
    <w:p w14:paraId="32E878B8" w14:textId="77777777" w:rsidR="000F1A90" w:rsidRDefault="000F1A90" w:rsidP="00B00B7A">
      <w:pPr>
        <w:keepNext/>
        <w:rPr>
          <w:rFonts w:ascii="Arial Narrow" w:hAnsi="Arial Narrow"/>
          <w:i/>
          <w:sz w:val="18"/>
          <w:szCs w:val="18"/>
        </w:rPr>
      </w:pPr>
      <w:r w:rsidRPr="000F1A90">
        <w:rPr>
          <w:rFonts w:ascii="Arial Narrow" w:hAnsi="Arial Narrow"/>
          <w:i/>
          <w:sz w:val="18"/>
          <w:szCs w:val="18"/>
          <w:vertAlign w:val="superscript"/>
        </w:rPr>
        <w:t>12</w:t>
      </w:r>
      <w:r w:rsidRPr="000F1A90">
        <w:rPr>
          <w:rFonts w:ascii="Arial Narrow" w:hAnsi="Arial Narrow"/>
          <w:i/>
          <w:sz w:val="18"/>
          <w:szCs w:val="18"/>
        </w:rPr>
        <w:t>$5</w:t>
      </w:r>
      <w:r w:rsidR="00BC744F">
        <w:rPr>
          <w:rFonts w:ascii="Arial Narrow" w:hAnsi="Arial Narrow"/>
          <w:i/>
          <w:sz w:val="18"/>
          <w:szCs w:val="18"/>
        </w:rPr>
        <w:t>0</w:t>
      </w:r>
      <w:r w:rsidRPr="000F1A90">
        <w:rPr>
          <w:rFonts w:ascii="Arial Narrow" w:hAnsi="Arial Narrow"/>
          <w:i/>
          <w:sz w:val="18"/>
          <w:szCs w:val="18"/>
        </w:rPr>
        <w:t xml:space="preserve"> to &lt;$6</w:t>
      </w:r>
      <w:r w:rsidR="00BC744F">
        <w:rPr>
          <w:rFonts w:ascii="Arial Narrow" w:hAnsi="Arial Narrow"/>
          <w:i/>
          <w:sz w:val="18"/>
          <w:szCs w:val="18"/>
        </w:rPr>
        <w:t>0</w:t>
      </w:r>
      <w:r w:rsidRPr="000F1A90">
        <w:rPr>
          <w:rFonts w:ascii="Arial Narrow" w:hAnsi="Arial Narrow"/>
          <w:i/>
          <w:sz w:val="18"/>
          <w:szCs w:val="18"/>
        </w:rPr>
        <w:t xml:space="preserve"> million</w:t>
      </w:r>
    </w:p>
    <w:p w14:paraId="1B6BEB36" w14:textId="77777777" w:rsidR="007F4A0D" w:rsidRDefault="000F1A90" w:rsidP="00B00B7A">
      <w:pPr>
        <w:keepNext/>
        <w:rPr>
          <w:rFonts w:ascii="Arial Narrow" w:hAnsi="Arial Narrow"/>
          <w:i/>
          <w:sz w:val="18"/>
          <w:szCs w:val="18"/>
        </w:rPr>
      </w:pPr>
      <w:r w:rsidRPr="000F1A90">
        <w:rPr>
          <w:rFonts w:ascii="Arial Narrow" w:hAnsi="Arial Narrow"/>
          <w:i/>
          <w:sz w:val="18"/>
          <w:szCs w:val="18"/>
          <w:vertAlign w:val="superscript"/>
        </w:rPr>
        <w:t>13</w:t>
      </w:r>
      <w:r>
        <w:rPr>
          <w:rFonts w:ascii="Arial Narrow" w:hAnsi="Arial Narrow"/>
          <w:i/>
          <w:sz w:val="18"/>
          <w:szCs w:val="18"/>
        </w:rPr>
        <w:t>$6</w:t>
      </w:r>
      <w:r w:rsidR="00BC744F">
        <w:rPr>
          <w:rFonts w:ascii="Arial Narrow" w:hAnsi="Arial Narrow"/>
          <w:i/>
          <w:sz w:val="18"/>
          <w:szCs w:val="18"/>
        </w:rPr>
        <w:t>0</w:t>
      </w:r>
      <w:r>
        <w:rPr>
          <w:rFonts w:ascii="Arial Narrow" w:hAnsi="Arial Narrow"/>
          <w:i/>
          <w:sz w:val="18"/>
          <w:szCs w:val="18"/>
        </w:rPr>
        <w:t xml:space="preserve"> million to &lt;$7</w:t>
      </w:r>
      <w:r w:rsidR="00BC744F">
        <w:rPr>
          <w:rFonts w:ascii="Arial Narrow" w:hAnsi="Arial Narrow"/>
          <w:i/>
          <w:sz w:val="18"/>
          <w:szCs w:val="18"/>
        </w:rPr>
        <w:t>0</w:t>
      </w:r>
      <w:r>
        <w:rPr>
          <w:rFonts w:ascii="Arial Narrow" w:hAnsi="Arial Narrow"/>
          <w:i/>
          <w:sz w:val="18"/>
          <w:szCs w:val="18"/>
        </w:rPr>
        <w:t>million</w:t>
      </w:r>
    </w:p>
    <w:p w14:paraId="162B2B38" w14:textId="77777777" w:rsidR="00C16E86" w:rsidRPr="00901D86" w:rsidRDefault="00C16E86" w:rsidP="00B00B7A">
      <w:pPr>
        <w:keepNext/>
        <w:rPr>
          <w:rFonts w:ascii="Arial Narrow" w:hAnsi="Arial Narrow"/>
          <w:sz w:val="18"/>
          <w:szCs w:val="18"/>
        </w:rPr>
      </w:pPr>
    </w:p>
    <w:p w14:paraId="1125CA74" w14:textId="77777777" w:rsidR="00642745" w:rsidRPr="00901D86" w:rsidRDefault="002268EF" w:rsidP="00FE2B75">
      <w:pPr>
        <w:pStyle w:val="3-BodyText"/>
        <w:numPr>
          <w:ilvl w:val="1"/>
          <w:numId w:val="5"/>
        </w:numPr>
      </w:pPr>
      <w:r w:rsidRPr="00901D86">
        <w:lastRenderedPageBreak/>
        <w:t>The total net cost saving to the PBS/RPBS of listing guselkumab</w:t>
      </w:r>
      <w:r w:rsidR="00434E42" w:rsidRPr="00901D86">
        <w:t xml:space="preserve"> was estimated to be </w:t>
      </w:r>
      <w:r w:rsidRPr="00901D86">
        <w:t>$</w:t>
      </w:r>
      <w:r w:rsidR="00980D5C">
        <w:t xml:space="preserve">10 to &lt;$20 </w:t>
      </w:r>
      <w:r w:rsidRPr="00901D86">
        <w:t>million</w:t>
      </w:r>
      <w:r w:rsidR="00434E42" w:rsidRPr="00901D86">
        <w:t xml:space="preserve"> in Year 6, and a total of $</w:t>
      </w:r>
      <w:r w:rsidR="00980D5C">
        <w:t>30 to &lt;$40</w:t>
      </w:r>
      <w:r w:rsidR="00434E42" w:rsidRPr="00901D86">
        <w:t xml:space="preserve"> million</w:t>
      </w:r>
      <w:r w:rsidRPr="00901D86">
        <w:t xml:space="preserve"> in the first 6 years of listing.</w:t>
      </w:r>
    </w:p>
    <w:p w14:paraId="71D48613" w14:textId="29FF8823" w:rsidR="00236B65" w:rsidRPr="00901D86" w:rsidRDefault="00F16EFA" w:rsidP="00FE2B75">
      <w:pPr>
        <w:pStyle w:val="3-BodyText"/>
        <w:numPr>
          <w:ilvl w:val="1"/>
          <w:numId w:val="5"/>
        </w:numPr>
        <w:rPr>
          <w:rStyle w:val="CommentReference"/>
          <w:bCs/>
          <w:szCs w:val="24"/>
        </w:rPr>
      </w:pPr>
      <w:r w:rsidRPr="00901D86">
        <w:t>The PBAC noted the financial estimates were based on published prices for the substituted therapies</w:t>
      </w:r>
      <w:r w:rsidR="00901D86">
        <w:t xml:space="preserve">. </w:t>
      </w:r>
      <w:r w:rsidR="00A53E0F" w:rsidRPr="00901D86">
        <w:t xml:space="preserve"> </w:t>
      </w:r>
      <w:r w:rsidRPr="00901D86">
        <w:t xml:space="preserve"> </w:t>
      </w:r>
    </w:p>
    <w:p w14:paraId="0128811D" w14:textId="77777777" w:rsidR="008B54BE" w:rsidRPr="00901D86" w:rsidRDefault="008B54BE" w:rsidP="008B54BE">
      <w:pPr>
        <w:pStyle w:val="2-SectionHeading"/>
      </w:pPr>
      <w:bookmarkStart w:id="34" w:name="_Toc50643130"/>
      <w:r w:rsidRPr="00901D86">
        <w:t>PBAC Outcome</w:t>
      </w:r>
      <w:bookmarkStart w:id="35" w:name="_GoBack"/>
      <w:bookmarkEnd w:id="35"/>
    </w:p>
    <w:p w14:paraId="09EDF2E8" w14:textId="77777777" w:rsidR="0033086C" w:rsidRPr="00901D86" w:rsidRDefault="0033086C" w:rsidP="00FE2B75">
      <w:pPr>
        <w:pStyle w:val="3-BodyText"/>
        <w:numPr>
          <w:ilvl w:val="1"/>
          <w:numId w:val="5"/>
        </w:numPr>
      </w:pPr>
      <w:r w:rsidRPr="00901D86">
        <w:t xml:space="preserve">The PBAC recommended the Authority Required listing for guselkumab </w:t>
      </w:r>
      <w:r w:rsidR="00185D30" w:rsidRPr="00901D86">
        <w:t xml:space="preserve">on a cost minimisation basis </w:t>
      </w:r>
      <w:r w:rsidRPr="00901D86">
        <w:t>with the least costly biological disease modifying anti-rheumatic drug (bDMARD) for severe psoriatic arthritis (PsA). In making this recommendation, the PBAC accepted that any of the currently PBS listed bDMARDs for severe PsA could be an alternative therapy to guselkumab.</w:t>
      </w:r>
      <w:r w:rsidR="00185D30" w:rsidRPr="00901D86">
        <w:t xml:space="preserve"> </w:t>
      </w:r>
      <w:r w:rsidRPr="00901D86">
        <w:t>The PBAC considered that</w:t>
      </w:r>
      <w:r w:rsidR="00185D30" w:rsidRPr="00901D86">
        <w:t xml:space="preserve"> </w:t>
      </w:r>
      <w:r w:rsidRPr="00901D86">
        <w:t xml:space="preserve">guselkumab must </w:t>
      </w:r>
      <w:r w:rsidR="00185D30" w:rsidRPr="00901D86">
        <w:t xml:space="preserve">be less expensive than the </w:t>
      </w:r>
      <w:r w:rsidRPr="00901D86">
        <w:t>‘higher tier’ bDMARD</w:t>
      </w:r>
      <w:r w:rsidR="00D175F5" w:rsidRPr="00901D86">
        <w:t>s to account for</w:t>
      </w:r>
      <w:r w:rsidR="004E3C1D" w:rsidRPr="00901D86">
        <w:t xml:space="preserve"> the </w:t>
      </w:r>
      <w:r w:rsidR="009D42E1" w:rsidRPr="00901D86">
        <w:t xml:space="preserve">lack </w:t>
      </w:r>
      <w:r w:rsidR="00EF4D59">
        <w:t xml:space="preserve">of </w:t>
      </w:r>
      <w:r w:rsidR="004E3C1D" w:rsidRPr="00901D86">
        <w:t xml:space="preserve">evidence to support </w:t>
      </w:r>
      <w:r w:rsidR="009D42E1" w:rsidRPr="00901D86">
        <w:t>non-inferiority to the higher tier medicines</w:t>
      </w:r>
      <w:r w:rsidR="00416F73">
        <w:t xml:space="preserve">, </w:t>
      </w:r>
      <w:r w:rsidR="00416F73" w:rsidRPr="00520C64">
        <w:t>and could not be any more costly than any of the ‘lower tier’ bDMARDs currently listed on the PBS for this condition</w:t>
      </w:r>
      <w:r w:rsidR="009D42E1" w:rsidRPr="00520C64">
        <w:t>.</w:t>
      </w:r>
    </w:p>
    <w:p w14:paraId="088C58B2" w14:textId="77777777" w:rsidR="0033086C" w:rsidRPr="00901D86" w:rsidRDefault="0033086C" w:rsidP="00FE2B75">
      <w:pPr>
        <w:pStyle w:val="3-BodyText"/>
        <w:numPr>
          <w:ilvl w:val="1"/>
          <w:numId w:val="5"/>
        </w:numPr>
      </w:pPr>
      <w:r w:rsidRPr="00901D86">
        <w:t xml:space="preserve">The PBAC noted that nine alternative bDMARDs were listed on the PBS for the treatment of PsA at the time of consideration. The PBAC considered that while the clinical need for an additional treatment is low, </w:t>
      </w:r>
      <w:r w:rsidR="00185D30" w:rsidRPr="00901D86">
        <w:t>the addition of another option may be useful for some patients</w:t>
      </w:r>
      <w:r w:rsidRPr="00901D86">
        <w:rPr>
          <w:bCs/>
        </w:rPr>
        <w:t>.</w:t>
      </w:r>
    </w:p>
    <w:p w14:paraId="0B335C4D" w14:textId="77777777" w:rsidR="00185D30" w:rsidRPr="00901D86" w:rsidRDefault="00185D30" w:rsidP="00C3227B">
      <w:pPr>
        <w:pStyle w:val="3-BodyText"/>
      </w:pPr>
      <w:r w:rsidRPr="00C3227B">
        <w:t xml:space="preserve">The PBAC considered the equi-effective doses of guselkumab </w:t>
      </w:r>
      <w:r w:rsidR="00E82446" w:rsidRPr="00C3227B">
        <w:t>(</w:t>
      </w:r>
      <w:r w:rsidRPr="00C3227B">
        <w:t xml:space="preserve">100 mg </w:t>
      </w:r>
      <w:r w:rsidR="00E82446" w:rsidRPr="00C3227B">
        <w:t>at week 0 and</w:t>
      </w:r>
      <w:r w:rsidR="00E82446" w:rsidRPr="00901D86">
        <w:t xml:space="preserve"> 4 then </w:t>
      </w:r>
      <w:r w:rsidRPr="00901D86">
        <w:t xml:space="preserve">every 8 weeks) and alternative bDMARDs could be derived </w:t>
      </w:r>
      <w:r w:rsidR="00416F73">
        <w:t>from</w:t>
      </w:r>
      <w:r w:rsidRPr="00901D86">
        <w:t xml:space="preserve"> </w:t>
      </w:r>
      <w:r w:rsidR="00416F73">
        <w:t>the product information and with reference to previously recommended equi</w:t>
      </w:r>
      <w:r w:rsidR="00416F73">
        <w:noBreakHyphen/>
        <w:t>effective doses collated in the PBS Therapeutic Relativity Sheets</w:t>
      </w:r>
      <w:r w:rsidRPr="00901D86">
        <w:t>.</w:t>
      </w:r>
      <w:r w:rsidR="006D7C9A" w:rsidRPr="00901D86">
        <w:t xml:space="preserve"> The cost minimisation analysis should be conducted over two years using approved ex-manufacturer prices consistent with methodology previously accepted by the PBAC for </w:t>
      </w:r>
      <w:r w:rsidR="001B0FB2" w:rsidRPr="00901D86">
        <w:t>bDMARDs</w:t>
      </w:r>
      <w:r w:rsidR="006D7C9A" w:rsidRPr="00901D86">
        <w:t>.</w:t>
      </w:r>
    </w:p>
    <w:p w14:paraId="4C68B792" w14:textId="77777777" w:rsidR="002F00D5" w:rsidRPr="00901D86" w:rsidRDefault="002F00D5" w:rsidP="00FE2B75">
      <w:pPr>
        <w:pStyle w:val="3-BodyText"/>
        <w:numPr>
          <w:ilvl w:val="1"/>
          <w:numId w:val="5"/>
        </w:numPr>
      </w:pPr>
      <w:r w:rsidRPr="00901D86">
        <w:t>The PBAC considered the nominated comparators of ustekinumab</w:t>
      </w:r>
      <w:r w:rsidR="004544E5" w:rsidRPr="00901D86">
        <w:t xml:space="preserve"> (primary comparator)</w:t>
      </w:r>
      <w:r w:rsidRPr="00901D86">
        <w:t xml:space="preserve">, certolizumab pegol, secukinumab, tofacitinib and adalimumab were reasonable; however, noted any of the </w:t>
      </w:r>
      <w:r w:rsidR="00EF4D59">
        <w:t>bDMARDs</w:t>
      </w:r>
      <w:r w:rsidRPr="00901D86">
        <w:t xml:space="preserve"> currently listed on the PBS for PsA were relevant alternative therapies. </w:t>
      </w:r>
      <w:r w:rsidR="009D42E1" w:rsidRPr="00901D86">
        <w:t>The PBAC noted no evidence demonstrating superiority against any of the other alternative therapies was provided.</w:t>
      </w:r>
    </w:p>
    <w:p w14:paraId="68574A12" w14:textId="77777777" w:rsidR="00E82446" w:rsidRPr="00901D86" w:rsidRDefault="00E82446" w:rsidP="00FE2B75">
      <w:pPr>
        <w:pStyle w:val="3-BodyText"/>
        <w:numPr>
          <w:ilvl w:val="1"/>
          <w:numId w:val="5"/>
        </w:numPr>
      </w:pPr>
      <w:r w:rsidRPr="00901D86">
        <w:t>The PBAC noted non-inferiority margins were not met for</w:t>
      </w:r>
      <w:r w:rsidR="000A13C3" w:rsidRPr="00901D86">
        <w:t xml:space="preserve"> the indirect comparison</w:t>
      </w:r>
      <w:r w:rsidRPr="00901D86">
        <w:t xml:space="preserve"> of guselk</w:t>
      </w:r>
      <w:r w:rsidR="000A13C3" w:rsidRPr="00901D86">
        <w:t xml:space="preserve">umab to ustekinumab </w:t>
      </w:r>
      <w:r w:rsidR="003B7462">
        <w:t xml:space="preserve">(lower tier medicine) </w:t>
      </w:r>
      <w:r w:rsidR="000A13C3" w:rsidRPr="00901D86">
        <w:t>for the ACR50 outcome at 16 weeks</w:t>
      </w:r>
      <w:r w:rsidRPr="00901D86">
        <w:t>.</w:t>
      </w:r>
      <w:r w:rsidR="00A53E0F" w:rsidRPr="00901D86">
        <w:t xml:space="preserve"> </w:t>
      </w:r>
      <w:r w:rsidRPr="00901D86">
        <w:t xml:space="preserve">However, the </w:t>
      </w:r>
      <w:r w:rsidR="000A13C3" w:rsidRPr="00901D86">
        <w:t xml:space="preserve">PBAC noted the lower 95% CI </w:t>
      </w:r>
      <w:r w:rsidR="001B0FB2" w:rsidRPr="00901D86">
        <w:t xml:space="preserve">(0.28) </w:t>
      </w:r>
      <w:r w:rsidR="000A13C3" w:rsidRPr="00901D86">
        <w:t>was</w:t>
      </w:r>
      <w:r w:rsidRPr="00901D86">
        <w:t xml:space="preserve"> reasonably simila</w:t>
      </w:r>
      <w:r w:rsidR="000A13C3" w:rsidRPr="00901D86">
        <w:t>r to the non-inferiority margin</w:t>
      </w:r>
      <w:r w:rsidR="001B0FB2" w:rsidRPr="00901D86">
        <w:t xml:space="preserve"> (0.29)</w:t>
      </w:r>
      <w:r w:rsidRPr="00901D86">
        <w:t xml:space="preserve">, </w:t>
      </w:r>
      <w:r w:rsidR="000A13C3" w:rsidRPr="00901D86">
        <w:t xml:space="preserve">non-inferiority was met for ACR50 </w:t>
      </w:r>
      <w:r w:rsidR="001B0FB2" w:rsidRPr="00901D86">
        <w:t xml:space="preserve">at </w:t>
      </w:r>
      <w:r w:rsidR="000A13C3" w:rsidRPr="00901D86">
        <w:t xml:space="preserve">24 weeks </w:t>
      </w:r>
      <w:r w:rsidRPr="00901D86">
        <w:t>and there was some heterogeneity in placebo response across the studies that may bias against guselkumab.</w:t>
      </w:r>
      <w:r w:rsidR="00A53E0F" w:rsidRPr="00901D86">
        <w:t xml:space="preserve"> </w:t>
      </w:r>
      <w:r w:rsidR="000A13C3" w:rsidRPr="00901D86">
        <w:t xml:space="preserve">The PBAC considered that, overall, the claim of non-inferior comparative effectiveness compared to ustekinumab was reasonably supported by the data. </w:t>
      </w:r>
    </w:p>
    <w:p w14:paraId="77C17797" w14:textId="77777777" w:rsidR="00297EA9" w:rsidRPr="00901D86" w:rsidRDefault="00297EA9" w:rsidP="00FE2B75">
      <w:pPr>
        <w:pStyle w:val="3-BodyText"/>
        <w:numPr>
          <w:ilvl w:val="1"/>
          <w:numId w:val="5"/>
        </w:numPr>
      </w:pPr>
      <w:r w:rsidRPr="00901D86">
        <w:lastRenderedPageBreak/>
        <w:t>The PBAC considered that the claim of non-inferior comparative effectiveness compared to certolizumab pegol and tofacit</w:t>
      </w:r>
      <w:r w:rsidR="003E0250" w:rsidRPr="00901D86">
        <w:t>i</w:t>
      </w:r>
      <w:r w:rsidRPr="00901D86">
        <w:t xml:space="preserve">nib </w:t>
      </w:r>
      <w:r w:rsidR="003B7462">
        <w:t xml:space="preserve">(lower tier medicines) </w:t>
      </w:r>
      <w:r w:rsidRPr="00901D86">
        <w:t xml:space="preserve">was reasonably supported by the data. The PBAC noted </w:t>
      </w:r>
      <w:r w:rsidR="0064503C" w:rsidRPr="00901D86">
        <w:t xml:space="preserve">there was a statistically significant difference in favour of secukinumab </w:t>
      </w:r>
      <w:r w:rsidR="003B7462">
        <w:t xml:space="preserve">(lower tier medicine) </w:t>
      </w:r>
      <w:r w:rsidR="0064503C" w:rsidRPr="00901D86">
        <w:t xml:space="preserve">for </w:t>
      </w:r>
      <w:r w:rsidR="003E0250" w:rsidRPr="00901D86">
        <w:t xml:space="preserve">the </w:t>
      </w:r>
      <w:r w:rsidR="0064503C" w:rsidRPr="00901D86">
        <w:t>ACR50 outcome</w:t>
      </w:r>
      <w:r w:rsidR="001B0FB2" w:rsidRPr="00901D86">
        <w:t xml:space="preserve">. The PBAC noted there was no statistically significant difference for the ACR20 outcome </w:t>
      </w:r>
      <w:r w:rsidR="003919A4" w:rsidRPr="00901D86">
        <w:t xml:space="preserve">(and the non-inferiority margin was met) </w:t>
      </w:r>
      <w:r w:rsidR="00A64598" w:rsidRPr="00901D86">
        <w:t>and differences</w:t>
      </w:r>
      <w:r w:rsidR="003919A4" w:rsidRPr="00901D86">
        <w:t xml:space="preserve"> </w:t>
      </w:r>
      <w:r w:rsidR="001B0FB2" w:rsidRPr="00901D86">
        <w:t>in placebo response rates across the studies may bias</w:t>
      </w:r>
      <w:r w:rsidR="003919A4" w:rsidRPr="00901D86">
        <w:t xml:space="preserve"> against guselkumab</w:t>
      </w:r>
      <w:r w:rsidR="0064503C" w:rsidRPr="00901D86">
        <w:t>.</w:t>
      </w:r>
      <w:r w:rsidR="003E0250" w:rsidRPr="00901D86">
        <w:t xml:space="preserve"> </w:t>
      </w:r>
      <w:r w:rsidR="003919A4" w:rsidRPr="00901D86">
        <w:t xml:space="preserve">The PBAC considered that, overall, the claim of non-inferior comparative effectiveness compared to secukinumab was reasonable. </w:t>
      </w:r>
    </w:p>
    <w:p w14:paraId="5415E101" w14:textId="77777777" w:rsidR="00410EBB" w:rsidRPr="00901D86" w:rsidRDefault="00A64598" w:rsidP="00FE2B75">
      <w:pPr>
        <w:pStyle w:val="3-BodyText"/>
        <w:numPr>
          <w:ilvl w:val="1"/>
          <w:numId w:val="5"/>
        </w:numPr>
      </w:pPr>
      <w:r w:rsidRPr="00901D86">
        <w:t xml:space="preserve">The PBAC </w:t>
      </w:r>
      <w:r w:rsidR="00A925EA">
        <w:t xml:space="preserve">agreed with the submission that </w:t>
      </w:r>
      <w:r w:rsidRPr="00901D86">
        <w:t xml:space="preserve">the evidence presented for </w:t>
      </w:r>
      <w:r w:rsidR="003E0250" w:rsidRPr="00901D86">
        <w:t xml:space="preserve">the </w:t>
      </w:r>
      <w:r w:rsidRPr="00901D86">
        <w:t xml:space="preserve">ACR20 </w:t>
      </w:r>
      <w:r w:rsidR="003E0250" w:rsidRPr="00901D86">
        <w:t xml:space="preserve">and </w:t>
      </w:r>
      <w:r w:rsidRPr="00901D86">
        <w:t xml:space="preserve">ACR50 </w:t>
      </w:r>
      <w:r w:rsidR="003E0250" w:rsidRPr="00901D86">
        <w:t xml:space="preserve">outcomes </w:t>
      </w:r>
      <w:r w:rsidRPr="00901D86">
        <w:t>did not support non-inferiority of guselkumab to adalimumab</w:t>
      </w:r>
      <w:r w:rsidR="003B7462">
        <w:t xml:space="preserve"> (higher tier medicine)</w:t>
      </w:r>
      <w:r w:rsidR="003E0250" w:rsidRPr="00901D86">
        <w:t xml:space="preserve"> for comparative effectiveness</w:t>
      </w:r>
      <w:r w:rsidR="00A925EA">
        <w:t xml:space="preserve"> (paragraph 6.26)</w:t>
      </w:r>
      <w:r w:rsidR="00901D86">
        <w:t xml:space="preserve">. </w:t>
      </w:r>
      <w:r w:rsidR="00A53E0F" w:rsidRPr="00901D86">
        <w:t xml:space="preserve"> </w:t>
      </w:r>
    </w:p>
    <w:p w14:paraId="6665B4A9" w14:textId="77777777" w:rsidR="00267C2F" w:rsidRPr="00901D86" w:rsidRDefault="003919A4" w:rsidP="00FE2B75">
      <w:pPr>
        <w:pStyle w:val="3-BodyText"/>
        <w:numPr>
          <w:ilvl w:val="1"/>
          <w:numId w:val="5"/>
        </w:numPr>
      </w:pPr>
      <w:r w:rsidRPr="00901D86">
        <w:t xml:space="preserve">The PBAC considered that the claim of non-inferior comparative safety </w:t>
      </w:r>
      <w:r w:rsidR="003E0250" w:rsidRPr="00901D86">
        <w:t xml:space="preserve">of guselkumab compared to </w:t>
      </w:r>
      <w:r w:rsidRPr="00901D86">
        <w:t>ustekinumab, secukinumab, tofacit</w:t>
      </w:r>
      <w:r w:rsidR="003E0250" w:rsidRPr="00901D86">
        <w:t>i</w:t>
      </w:r>
      <w:r w:rsidRPr="00901D86">
        <w:t>nib certolizumab pegol and adalimumab was reasonably supported by the data</w:t>
      </w:r>
      <w:r w:rsidR="003E0250" w:rsidRPr="00901D86">
        <w:t>.</w:t>
      </w:r>
    </w:p>
    <w:p w14:paraId="66D0944E" w14:textId="77777777" w:rsidR="006A0115" w:rsidRPr="00901D86" w:rsidRDefault="00410EBB" w:rsidP="00A925EA">
      <w:pPr>
        <w:pStyle w:val="3-BodyText"/>
      </w:pPr>
      <w:r w:rsidRPr="00901D86">
        <w:t xml:space="preserve">The PBAC considered that guselkumab would be classed as a ‘lower tier’ bDMARD </w:t>
      </w:r>
      <w:r w:rsidR="004E3C1D" w:rsidRPr="00901D86">
        <w:t xml:space="preserve">for the treatment of PsA </w:t>
      </w:r>
      <w:r w:rsidRPr="00901D86">
        <w:t xml:space="preserve">given its non-inferiority to other ‘lower tier’ bDMARDs. </w:t>
      </w:r>
      <w:r w:rsidR="00A925EA" w:rsidRPr="00A925EA">
        <w:t>The PBAC considered that when listing a new ‘lower tier’ bDMARD it should not be priced the same or higher than a ‘higher tier’ bDMARD. The PBAC considered that guselkumab, should be cost-minimised to the lowest cost alternative bDMARD for PsA, and must be less expensive than the ‘higher tier’ bDMARDs</w:t>
      </w:r>
      <w:r w:rsidR="0019569E">
        <w:t>.</w:t>
      </w:r>
    </w:p>
    <w:p w14:paraId="6AD6572A" w14:textId="77777777" w:rsidR="00CD2D84" w:rsidRPr="00901D86" w:rsidRDefault="00CD2D84" w:rsidP="00FE2B75">
      <w:pPr>
        <w:pStyle w:val="3-BodyText"/>
        <w:numPr>
          <w:ilvl w:val="1"/>
          <w:numId w:val="5"/>
        </w:numPr>
      </w:pPr>
      <w:r w:rsidRPr="00901D86">
        <w:t>The PBAC considered it would be appropriate to align the listing of guselkumab with the other written authority bDMARD listings for PsA, and that flow-on changes to notes in the other listings to include guselkumab in the list of therapies would be required to facilitate the listing. The PBAC noted that the sponsor had not requested a grandfather listing.</w:t>
      </w:r>
    </w:p>
    <w:p w14:paraId="3BDAD680" w14:textId="77777777" w:rsidR="00F8772E" w:rsidRPr="00901D86" w:rsidRDefault="00306407" w:rsidP="00FE2B75">
      <w:pPr>
        <w:pStyle w:val="3-BodyText"/>
        <w:numPr>
          <w:ilvl w:val="1"/>
          <w:numId w:val="5"/>
        </w:numPr>
      </w:pPr>
      <w:r w:rsidRPr="00901D86">
        <w:t>The PBAC</w:t>
      </w:r>
      <w:r w:rsidR="009D42E1" w:rsidRPr="00901D86">
        <w:t xml:space="preserve"> considered the restriction should include </w:t>
      </w:r>
      <w:r w:rsidRPr="00901D86">
        <w:t xml:space="preserve">a </w:t>
      </w:r>
      <w:r w:rsidR="009D42E1" w:rsidRPr="00901D86">
        <w:t>n</w:t>
      </w:r>
      <w:r w:rsidRPr="00901D86">
        <w:t xml:space="preserve">ote specifying </w:t>
      </w:r>
      <w:r w:rsidRPr="00901D86">
        <w:rPr>
          <w:iCs/>
        </w:rPr>
        <w:t xml:space="preserve">“No increase in the maximum quantity or number of units may be authorised” </w:t>
      </w:r>
      <w:r w:rsidRPr="00901D86">
        <w:t xml:space="preserve">to ensure the cost-effective </w:t>
      </w:r>
      <w:r w:rsidR="009D42E1" w:rsidRPr="00901D86">
        <w:t xml:space="preserve">100 mg q8w </w:t>
      </w:r>
      <w:r w:rsidRPr="00901D86">
        <w:t>dosing regimen is adhered to</w:t>
      </w:r>
      <w:r w:rsidRPr="00901D86">
        <w:rPr>
          <w:iCs/>
        </w:rPr>
        <w:t>.</w:t>
      </w:r>
    </w:p>
    <w:p w14:paraId="5563CA3C" w14:textId="77777777" w:rsidR="004E3C1D" w:rsidRPr="00901D86" w:rsidRDefault="004E3C1D" w:rsidP="00FE2B75">
      <w:pPr>
        <w:pStyle w:val="3-BodyText"/>
        <w:numPr>
          <w:ilvl w:val="1"/>
          <w:numId w:val="5"/>
        </w:numPr>
      </w:pPr>
      <w:r w:rsidRPr="00901D86">
        <w:t xml:space="preserve">The PBAC considered that the listing of guselkumab for PsA based on a cost minimisation basis with the least costly bDMARD </w:t>
      </w:r>
      <w:r w:rsidR="00D3378A">
        <w:t xml:space="preserve">(as recommended in paragraph 7.9) </w:t>
      </w:r>
      <w:r w:rsidRPr="00901D86">
        <w:t xml:space="preserve">using effective prices </w:t>
      </w:r>
      <w:r w:rsidR="00C9538D">
        <w:t>sh</w:t>
      </w:r>
      <w:r w:rsidR="00C9538D" w:rsidRPr="00901D86">
        <w:t xml:space="preserve">ould </w:t>
      </w:r>
      <w:r w:rsidRPr="00901D86">
        <w:t xml:space="preserve">result in no </w:t>
      </w:r>
      <w:r w:rsidR="00862E15">
        <w:t>increase in</w:t>
      </w:r>
      <w:r w:rsidR="00862E15" w:rsidRPr="00901D86">
        <w:t xml:space="preserve"> </w:t>
      </w:r>
      <w:r w:rsidR="00862E15">
        <w:t xml:space="preserve">net </w:t>
      </w:r>
      <w:r w:rsidRPr="00901D86">
        <w:t xml:space="preserve">cost to the PBS. </w:t>
      </w:r>
    </w:p>
    <w:p w14:paraId="7052428D" w14:textId="77777777" w:rsidR="004538BD" w:rsidRPr="00901D86" w:rsidRDefault="004538BD" w:rsidP="00FE2B75">
      <w:pPr>
        <w:pStyle w:val="3-BodyText"/>
        <w:numPr>
          <w:ilvl w:val="1"/>
          <w:numId w:val="5"/>
        </w:numPr>
      </w:pPr>
      <w:r w:rsidRPr="00901D86">
        <w:t>The PBAC noted that its recommendation was on a cost-minimisation basis and advised that, because guselkumab is not expected to provide a substantial and clinically relevant improvement in efficacy, or reduction of toxicity, over alternative therapies, or not expected to address a high and urgent unmet clinical need given the presence of an alternative therapy, the criteria prescribed by the National Health (Pharmaceuticals and Vaccines – Cost Recovery) Regulations 2009 for Pricing Pathway A were not met.</w:t>
      </w:r>
    </w:p>
    <w:p w14:paraId="1ED00480" w14:textId="77777777" w:rsidR="005F2374" w:rsidRPr="00901D86" w:rsidRDefault="005904EA" w:rsidP="00FE2B75">
      <w:pPr>
        <w:pStyle w:val="3-BodyText"/>
        <w:numPr>
          <w:ilvl w:val="1"/>
          <w:numId w:val="5"/>
        </w:numPr>
      </w:pPr>
      <w:r w:rsidRPr="00901D86">
        <w:t>T</w:t>
      </w:r>
      <w:r w:rsidR="0001156B" w:rsidRPr="00901D86">
        <w:t>he PBAC noted that t</w:t>
      </w:r>
      <w:r w:rsidRPr="00901D86">
        <w:t xml:space="preserve">his submission is not eligible for </w:t>
      </w:r>
      <w:r w:rsidR="005F2374" w:rsidRPr="00901D86">
        <w:t>an Independent Review</w:t>
      </w:r>
      <w:r w:rsidRPr="00901D86">
        <w:t xml:space="preserve"> as it received a positive recommendation</w:t>
      </w:r>
      <w:r w:rsidR="005F2374" w:rsidRPr="00901D86">
        <w:t>.</w:t>
      </w:r>
    </w:p>
    <w:p w14:paraId="2D495DEB" w14:textId="77777777" w:rsidR="008B54BE" w:rsidRPr="00A13048" w:rsidRDefault="008B54BE" w:rsidP="0019569E">
      <w:pPr>
        <w:pStyle w:val="3-BodyText"/>
        <w:numPr>
          <w:ilvl w:val="0"/>
          <w:numId w:val="0"/>
        </w:numPr>
        <w:rPr>
          <w:b/>
        </w:rPr>
      </w:pPr>
      <w:r w:rsidRPr="00901D86">
        <w:rPr>
          <w:b/>
        </w:rPr>
        <w:lastRenderedPageBreak/>
        <w:t>Outcome:</w:t>
      </w:r>
      <w:r w:rsidRPr="00901D86">
        <w:rPr>
          <w:b/>
        </w:rPr>
        <w:br/>
      </w:r>
      <w:r w:rsidR="00DF3097" w:rsidRPr="00901D86">
        <w:t>Recommended</w:t>
      </w:r>
      <w:r w:rsidRPr="00901D86">
        <w:rPr>
          <w:b/>
        </w:rPr>
        <w:br/>
      </w:r>
    </w:p>
    <w:p w14:paraId="72A4DBC8" w14:textId="77777777" w:rsidR="008B54BE" w:rsidRPr="00901D86" w:rsidRDefault="008B54BE" w:rsidP="008B54BE">
      <w:pPr>
        <w:pStyle w:val="2-SectionHeading"/>
      </w:pPr>
      <w:r w:rsidRPr="00901D86">
        <w:t>Recommended listing</w:t>
      </w:r>
    </w:p>
    <w:bookmarkEnd w:id="34"/>
    <w:p w14:paraId="39907893" w14:textId="77777777" w:rsidR="007A2F3E" w:rsidRDefault="007A2F3E" w:rsidP="007A2F3E">
      <w:pPr>
        <w:pStyle w:val="3-BodyText"/>
        <w:numPr>
          <w:ilvl w:val="0"/>
          <w:numId w:val="0"/>
        </w:numPr>
      </w:pPr>
      <w:r>
        <w:t>8.1</w:t>
      </w:r>
      <w:r>
        <w:tab/>
        <w:t>Add indication (severe psoriatic arthritis) to guselkumab as follows:</w:t>
      </w:r>
    </w:p>
    <w:p w14:paraId="766E6F0C" w14:textId="77777777" w:rsidR="007A2F3E" w:rsidRDefault="007A2F3E" w:rsidP="007A2F3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1418"/>
        <w:gridCol w:w="992"/>
        <w:gridCol w:w="851"/>
        <w:gridCol w:w="708"/>
        <w:gridCol w:w="1134"/>
      </w:tblGrid>
      <w:tr w:rsidR="007A2F3E" w:rsidRPr="00500077" w14:paraId="265D9708" w14:textId="77777777" w:rsidTr="007A2F3E">
        <w:trPr>
          <w:cantSplit/>
          <w:trHeight w:val="471"/>
        </w:trPr>
        <w:tc>
          <w:tcPr>
            <w:tcW w:w="3964" w:type="dxa"/>
            <w:gridSpan w:val="2"/>
          </w:tcPr>
          <w:p w14:paraId="05A722CA" w14:textId="77777777" w:rsidR="007A2F3E" w:rsidRDefault="007A2F3E" w:rsidP="007A2F3E">
            <w:pPr>
              <w:keepNext/>
              <w:rPr>
                <w:rFonts w:ascii="Arial Narrow" w:eastAsiaTheme="minorHAnsi" w:hAnsi="Arial Narrow"/>
                <w:b/>
                <w:sz w:val="18"/>
                <w:szCs w:val="18"/>
              </w:rPr>
            </w:pPr>
            <w:r>
              <w:rPr>
                <w:rFonts w:ascii="Arial Narrow" w:eastAsiaTheme="minorHAnsi" w:hAnsi="Arial Narrow"/>
                <w:b/>
                <w:sz w:val="18"/>
                <w:szCs w:val="18"/>
              </w:rPr>
              <w:t>MEDICINAL PRODUCT</w:t>
            </w:r>
          </w:p>
          <w:p w14:paraId="77EE4392" w14:textId="77777777" w:rsidR="007A2F3E" w:rsidRPr="00500077" w:rsidRDefault="007A2F3E" w:rsidP="007A2F3E">
            <w:pPr>
              <w:keepNext/>
              <w:rPr>
                <w:rFonts w:ascii="Arial Narrow" w:eastAsiaTheme="minorHAnsi" w:hAnsi="Arial Narrow"/>
                <w:b/>
                <w:sz w:val="18"/>
                <w:szCs w:val="18"/>
              </w:rPr>
            </w:pPr>
            <w:r>
              <w:rPr>
                <w:rFonts w:ascii="Arial Narrow" w:eastAsiaTheme="minorHAnsi" w:hAnsi="Arial Narrow"/>
                <w:b/>
                <w:sz w:val="18"/>
                <w:szCs w:val="18"/>
              </w:rPr>
              <w:t>medicinal product pack</w:t>
            </w:r>
          </w:p>
        </w:tc>
        <w:tc>
          <w:tcPr>
            <w:tcW w:w="1418" w:type="dxa"/>
          </w:tcPr>
          <w:p w14:paraId="0AA32DFB" w14:textId="77777777" w:rsidR="007A2F3E" w:rsidRPr="00500077" w:rsidRDefault="007A2F3E" w:rsidP="007A2F3E">
            <w:pPr>
              <w:keepNext/>
              <w:ind w:left="-108"/>
              <w:jc w:val="center"/>
              <w:rPr>
                <w:rFonts w:ascii="Arial Narrow" w:eastAsiaTheme="minorHAnsi" w:hAnsi="Arial Narrow"/>
                <w:b/>
                <w:sz w:val="18"/>
                <w:szCs w:val="18"/>
              </w:rPr>
            </w:pPr>
            <w:r w:rsidRPr="00500077">
              <w:rPr>
                <w:rFonts w:ascii="Arial Narrow" w:eastAsiaTheme="minorHAnsi" w:hAnsi="Arial Narrow"/>
                <w:b/>
                <w:sz w:val="18"/>
                <w:szCs w:val="18"/>
              </w:rPr>
              <w:t>PBS item code</w:t>
            </w:r>
          </w:p>
        </w:tc>
        <w:tc>
          <w:tcPr>
            <w:tcW w:w="992" w:type="dxa"/>
          </w:tcPr>
          <w:p w14:paraId="3127A610" w14:textId="77777777" w:rsidR="007A2F3E" w:rsidRPr="00500077" w:rsidRDefault="007A2F3E" w:rsidP="007A2F3E">
            <w:pPr>
              <w:keepNext/>
              <w:ind w:left="-108"/>
              <w:jc w:val="center"/>
              <w:rPr>
                <w:rFonts w:ascii="Arial Narrow" w:eastAsiaTheme="minorHAnsi" w:hAnsi="Arial Narrow"/>
                <w:b/>
                <w:sz w:val="18"/>
                <w:szCs w:val="18"/>
              </w:rPr>
            </w:pPr>
            <w:r w:rsidRPr="00500077">
              <w:rPr>
                <w:rFonts w:ascii="Arial Narrow" w:eastAsiaTheme="minorHAnsi" w:hAnsi="Arial Narrow"/>
                <w:b/>
                <w:sz w:val="18"/>
                <w:szCs w:val="18"/>
              </w:rPr>
              <w:t>Max. qty packs</w:t>
            </w:r>
          </w:p>
        </w:tc>
        <w:tc>
          <w:tcPr>
            <w:tcW w:w="851" w:type="dxa"/>
          </w:tcPr>
          <w:p w14:paraId="591A9046" w14:textId="77777777" w:rsidR="007A2F3E" w:rsidRPr="00500077" w:rsidRDefault="007A2F3E" w:rsidP="007A2F3E">
            <w:pPr>
              <w:keepNext/>
              <w:ind w:left="-108"/>
              <w:jc w:val="center"/>
              <w:rPr>
                <w:rFonts w:ascii="Arial Narrow" w:eastAsiaTheme="minorHAnsi" w:hAnsi="Arial Narrow"/>
                <w:b/>
                <w:sz w:val="18"/>
                <w:szCs w:val="18"/>
              </w:rPr>
            </w:pPr>
            <w:r w:rsidRPr="00500077">
              <w:rPr>
                <w:rFonts w:ascii="Arial Narrow" w:eastAsiaTheme="minorHAnsi" w:hAnsi="Arial Narrow"/>
                <w:b/>
                <w:sz w:val="18"/>
                <w:szCs w:val="18"/>
              </w:rPr>
              <w:t>Max. qty units</w:t>
            </w:r>
          </w:p>
        </w:tc>
        <w:tc>
          <w:tcPr>
            <w:tcW w:w="708" w:type="dxa"/>
          </w:tcPr>
          <w:p w14:paraId="6B1DACD0" w14:textId="77777777" w:rsidR="007A2F3E" w:rsidRPr="00500077" w:rsidRDefault="007A2F3E" w:rsidP="007A2F3E">
            <w:pPr>
              <w:keepNext/>
              <w:ind w:left="-108"/>
              <w:jc w:val="center"/>
              <w:rPr>
                <w:rFonts w:ascii="Arial Narrow" w:eastAsiaTheme="minorHAnsi" w:hAnsi="Arial Narrow"/>
                <w:b/>
                <w:sz w:val="18"/>
                <w:szCs w:val="18"/>
              </w:rPr>
            </w:pPr>
            <w:r w:rsidRPr="00500077">
              <w:rPr>
                <w:rFonts w:ascii="Arial Narrow" w:eastAsiaTheme="minorHAnsi" w:hAnsi="Arial Narrow"/>
                <w:b/>
                <w:sz w:val="18"/>
                <w:szCs w:val="18"/>
              </w:rPr>
              <w:t>№.of</w:t>
            </w:r>
          </w:p>
          <w:p w14:paraId="6C7B8A2A" w14:textId="77777777" w:rsidR="007A2F3E" w:rsidRPr="00500077" w:rsidRDefault="007A2F3E" w:rsidP="007A2F3E">
            <w:pPr>
              <w:keepNext/>
              <w:ind w:left="-108"/>
              <w:jc w:val="center"/>
              <w:rPr>
                <w:rFonts w:ascii="Arial Narrow" w:eastAsiaTheme="minorHAnsi" w:hAnsi="Arial Narrow"/>
                <w:b/>
                <w:sz w:val="18"/>
                <w:szCs w:val="18"/>
              </w:rPr>
            </w:pPr>
            <w:r w:rsidRPr="00500077">
              <w:rPr>
                <w:rFonts w:ascii="Arial Narrow" w:eastAsiaTheme="minorHAnsi" w:hAnsi="Arial Narrow"/>
                <w:b/>
                <w:sz w:val="18"/>
                <w:szCs w:val="18"/>
              </w:rPr>
              <w:t>Rpts</w:t>
            </w:r>
          </w:p>
        </w:tc>
        <w:tc>
          <w:tcPr>
            <w:tcW w:w="1134" w:type="dxa"/>
          </w:tcPr>
          <w:p w14:paraId="5A706EF5" w14:textId="77777777" w:rsidR="007A2F3E" w:rsidRPr="00500077" w:rsidRDefault="007A2F3E" w:rsidP="007A2F3E">
            <w:pPr>
              <w:keepNext/>
              <w:rPr>
                <w:rFonts w:ascii="Arial Narrow" w:eastAsiaTheme="minorHAnsi" w:hAnsi="Arial Narrow"/>
                <w:b/>
                <w:sz w:val="18"/>
                <w:szCs w:val="18"/>
                <w:lang w:val="fr-FR"/>
              </w:rPr>
            </w:pPr>
            <w:r>
              <w:rPr>
                <w:rFonts w:ascii="Arial Narrow" w:eastAsiaTheme="minorHAnsi" w:hAnsi="Arial Narrow"/>
                <w:b/>
                <w:sz w:val="18"/>
                <w:szCs w:val="18"/>
              </w:rPr>
              <w:t>Available brands</w:t>
            </w:r>
          </w:p>
        </w:tc>
      </w:tr>
      <w:tr w:rsidR="007A2F3E" w:rsidRPr="00500077" w14:paraId="6DE6EAE7" w14:textId="77777777" w:rsidTr="007A2F3E">
        <w:trPr>
          <w:cantSplit/>
          <w:trHeight w:val="761"/>
        </w:trPr>
        <w:tc>
          <w:tcPr>
            <w:tcW w:w="3964" w:type="dxa"/>
            <w:gridSpan w:val="2"/>
          </w:tcPr>
          <w:p w14:paraId="6F77C234" w14:textId="77777777" w:rsidR="007A2F3E" w:rsidRPr="00500077" w:rsidRDefault="007A2F3E" w:rsidP="007A2F3E">
            <w:pPr>
              <w:keepNext/>
              <w:rPr>
                <w:rFonts w:ascii="Arial Narrow" w:eastAsiaTheme="minorHAnsi" w:hAnsi="Arial Narrow"/>
                <w:sz w:val="18"/>
                <w:szCs w:val="18"/>
              </w:rPr>
            </w:pPr>
            <w:r>
              <w:rPr>
                <w:rFonts w:ascii="Arial Narrow" w:eastAsiaTheme="minorHAnsi" w:hAnsi="Arial Narrow"/>
                <w:sz w:val="18"/>
                <w:szCs w:val="18"/>
              </w:rPr>
              <w:t>GUSELKUMAB</w:t>
            </w:r>
          </w:p>
          <w:p w14:paraId="60623CD9" w14:textId="77777777" w:rsidR="007A2F3E" w:rsidRPr="00500077" w:rsidRDefault="007A2F3E" w:rsidP="007A2F3E">
            <w:pPr>
              <w:keepNext/>
              <w:rPr>
                <w:rFonts w:ascii="Arial Narrow" w:eastAsiaTheme="minorHAnsi" w:hAnsi="Arial Narrow"/>
                <w:sz w:val="18"/>
                <w:szCs w:val="18"/>
              </w:rPr>
            </w:pPr>
          </w:p>
          <w:p w14:paraId="33C549B1" w14:textId="77777777" w:rsidR="007A2F3E" w:rsidRPr="00500077" w:rsidRDefault="007A2F3E" w:rsidP="007A2F3E">
            <w:pPr>
              <w:keepNext/>
              <w:rPr>
                <w:rFonts w:ascii="Arial Narrow" w:eastAsiaTheme="minorHAnsi" w:hAnsi="Arial Narrow"/>
                <w:sz w:val="18"/>
                <w:szCs w:val="18"/>
              </w:rPr>
            </w:pPr>
            <w:r w:rsidRPr="00500077">
              <w:rPr>
                <w:rFonts w:ascii="Arial Narrow" w:eastAsiaTheme="minorHAnsi" w:hAnsi="Arial Narrow"/>
                <w:sz w:val="18"/>
                <w:szCs w:val="18"/>
              </w:rPr>
              <w:t>guselkumab 100 mg/mL injection, 1 x 1 mL syringe</w:t>
            </w:r>
          </w:p>
        </w:tc>
        <w:tc>
          <w:tcPr>
            <w:tcW w:w="1418" w:type="dxa"/>
          </w:tcPr>
          <w:p w14:paraId="32A8E49E" w14:textId="77777777" w:rsidR="007A2F3E" w:rsidRPr="00500077" w:rsidRDefault="007A2F3E" w:rsidP="007A2F3E">
            <w:pPr>
              <w:keepNext/>
              <w:ind w:left="-108"/>
              <w:jc w:val="center"/>
              <w:rPr>
                <w:rFonts w:ascii="Arial Narrow" w:eastAsiaTheme="minorHAnsi" w:hAnsi="Arial Narrow"/>
                <w:sz w:val="18"/>
                <w:szCs w:val="18"/>
              </w:rPr>
            </w:pPr>
          </w:p>
          <w:p w14:paraId="145748A9" w14:textId="77777777" w:rsidR="007A2F3E" w:rsidRPr="00500077" w:rsidRDefault="007A2F3E" w:rsidP="007A2F3E">
            <w:pPr>
              <w:keepNext/>
              <w:ind w:left="-108"/>
              <w:jc w:val="center"/>
              <w:rPr>
                <w:rFonts w:ascii="Arial Narrow" w:eastAsiaTheme="minorHAnsi" w:hAnsi="Arial Narrow"/>
                <w:sz w:val="18"/>
                <w:szCs w:val="18"/>
              </w:rPr>
            </w:pPr>
          </w:p>
          <w:p w14:paraId="738B24E7" w14:textId="77777777" w:rsidR="007A2F3E" w:rsidRPr="00500077" w:rsidRDefault="007A2F3E" w:rsidP="007A2F3E">
            <w:pPr>
              <w:keepNext/>
              <w:ind w:left="-108"/>
              <w:jc w:val="center"/>
              <w:rPr>
                <w:rFonts w:ascii="Arial Narrow" w:eastAsiaTheme="minorHAnsi" w:hAnsi="Arial Narrow"/>
                <w:sz w:val="18"/>
                <w:szCs w:val="18"/>
              </w:rPr>
            </w:pPr>
            <w:r>
              <w:rPr>
                <w:rFonts w:ascii="Arial Narrow" w:eastAsiaTheme="minorHAnsi" w:hAnsi="Arial Narrow"/>
                <w:sz w:val="18"/>
                <w:szCs w:val="18"/>
              </w:rPr>
              <w:t>11614G</w:t>
            </w:r>
          </w:p>
        </w:tc>
        <w:tc>
          <w:tcPr>
            <w:tcW w:w="992" w:type="dxa"/>
          </w:tcPr>
          <w:p w14:paraId="3C13A3E2" w14:textId="77777777" w:rsidR="007A2F3E" w:rsidRPr="00500077" w:rsidRDefault="007A2F3E" w:rsidP="007A2F3E">
            <w:pPr>
              <w:keepNext/>
              <w:jc w:val="center"/>
              <w:rPr>
                <w:rFonts w:ascii="Arial Narrow" w:eastAsiaTheme="minorHAnsi" w:hAnsi="Arial Narrow"/>
                <w:sz w:val="18"/>
                <w:szCs w:val="18"/>
              </w:rPr>
            </w:pPr>
          </w:p>
          <w:p w14:paraId="5882F994" w14:textId="77777777" w:rsidR="007A2F3E" w:rsidRPr="00500077" w:rsidRDefault="007A2F3E" w:rsidP="007A2F3E">
            <w:pPr>
              <w:keepNext/>
              <w:ind w:left="-108"/>
              <w:jc w:val="center"/>
              <w:rPr>
                <w:rFonts w:ascii="Arial Narrow" w:eastAsiaTheme="minorHAnsi" w:hAnsi="Arial Narrow"/>
                <w:sz w:val="18"/>
                <w:szCs w:val="18"/>
              </w:rPr>
            </w:pPr>
          </w:p>
          <w:p w14:paraId="33AD92DC" w14:textId="77777777" w:rsidR="007A2F3E" w:rsidRPr="00500077" w:rsidRDefault="007A2F3E" w:rsidP="007A2F3E">
            <w:pPr>
              <w:keepNext/>
              <w:jc w:val="center"/>
              <w:rPr>
                <w:rFonts w:ascii="Arial Narrow" w:eastAsiaTheme="minorHAnsi" w:hAnsi="Arial Narrow"/>
                <w:sz w:val="18"/>
                <w:szCs w:val="18"/>
              </w:rPr>
            </w:pPr>
            <w:r w:rsidRPr="00500077">
              <w:rPr>
                <w:rFonts w:ascii="Arial Narrow" w:eastAsiaTheme="minorHAnsi" w:hAnsi="Arial Narrow"/>
                <w:sz w:val="18"/>
                <w:szCs w:val="18"/>
              </w:rPr>
              <w:t>1</w:t>
            </w:r>
          </w:p>
        </w:tc>
        <w:tc>
          <w:tcPr>
            <w:tcW w:w="851" w:type="dxa"/>
          </w:tcPr>
          <w:p w14:paraId="24E7D193" w14:textId="77777777" w:rsidR="007A2F3E" w:rsidRPr="00500077" w:rsidRDefault="007A2F3E" w:rsidP="007A2F3E">
            <w:pPr>
              <w:keepNext/>
              <w:ind w:left="-108"/>
              <w:jc w:val="center"/>
              <w:rPr>
                <w:rFonts w:ascii="Arial Narrow" w:eastAsiaTheme="minorHAnsi" w:hAnsi="Arial Narrow"/>
                <w:sz w:val="18"/>
                <w:szCs w:val="18"/>
              </w:rPr>
            </w:pPr>
          </w:p>
          <w:p w14:paraId="6C5FAB19" w14:textId="77777777" w:rsidR="007A2F3E" w:rsidRPr="00500077" w:rsidRDefault="007A2F3E" w:rsidP="007A2F3E">
            <w:pPr>
              <w:keepNext/>
              <w:rPr>
                <w:rFonts w:ascii="Arial Narrow" w:eastAsiaTheme="minorHAnsi" w:hAnsi="Arial Narrow"/>
                <w:sz w:val="18"/>
                <w:szCs w:val="18"/>
              </w:rPr>
            </w:pPr>
          </w:p>
          <w:p w14:paraId="2D33CEDA" w14:textId="77777777" w:rsidR="007A2F3E" w:rsidRPr="00500077" w:rsidRDefault="007A2F3E" w:rsidP="007A2F3E">
            <w:pPr>
              <w:keepNext/>
              <w:ind w:left="-108"/>
              <w:jc w:val="center"/>
              <w:rPr>
                <w:rFonts w:ascii="Arial Narrow" w:eastAsiaTheme="minorHAnsi" w:hAnsi="Arial Narrow"/>
                <w:sz w:val="18"/>
                <w:szCs w:val="18"/>
              </w:rPr>
            </w:pPr>
            <w:r>
              <w:rPr>
                <w:rFonts w:ascii="Arial Narrow" w:eastAsiaTheme="minorHAnsi" w:hAnsi="Arial Narrow"/>
                <w:sz w:val="18"/>
                <w:szCs w:val="18"/>
              </w:rPr>
              <w:t>1</w:t>
            </w:r>
          </w:p>
        </w:tc>
        <w:tc>
          <w:tcPr>
            <w:tcW w:w="708" w:type="dxa"/>
          </w:tcPr>
          <w:p w14:paraId="379342E9" w14:textId="77777777" w:rsidR="007A2F3E" w:rsidRPr="00500077" w:rsidRDefault="007A2F3E" w:rsidP="007A2F3E">
            <w:pPr>
              <w:keepNext/>
              <w:ind w:left="-108"/>
              <w:jc w:val="center"/>
              <w:rPr>
                <w:rFonts w:ascii="Arial Narrow" w:eastAsiaTheme="minorHAnsi" w:hAnsi="Arial Narrow"/>
                <w:sz w:val="18"/>
                <w:szCs w:val="18"/>
              </w:rPr>
            </w:pPr>
          </w:p>
          <w:p w14:paraId="277AA396" w14:textId="77777777" w:rsidR="007A2F3E" w:rsidRPr="00500077" w:rsidRDefault="007A2F3E" w:rsidP="007A2F3E">
            <w:pPr>
              <w:keepNext/>
              <w:ind w:left="-108"/>
              <w:jc w:val="center"/>
              <w:rPr>
                <w:rFonts w:ascii="Arial Narrow" w:eastAsiaTheme="minorHAnsi" w:hAnsi="Arial Narrow"/>
                <w:sz w:val="18"/>
                <w:szCs w:val="18"/>
              </w:rPr>
            </w:pPr>
          </w:p>
          <w:p w14:paraId="26E27B26" w14:textId="77777777" w:rsidR="007A2F3E" w:rsidRPr="00500077" w:rsidRDefault="007A2F3E" w:rsidP="007A2F3E">
            <w:pPr>
              <w:keepNext/>
              <w:ind w:left="-108"/>
              <w:jc w:val="center"/>
              <w:rPr>
                <w:rFonts w:ascii="Arial Narrow" w:eastAsiaTheme="minorHAnsi" w:hAnsi="Arial Narrow"/>
                <w:sz w:val="18"/>
                <w:szCs w:val="18"/>
              </w:rPr>
            </w:pPr>
            <w:r>
              <w:rPr>
                <w:rFonts w:ascii="Arial Narrow" w:eastAsiaTheme="minorHAnsi" w:hAnsi="Arial Narrow"/>
                <w:sz w:val="18"/>
                <w:szCs w:val="18"/>
              </w:rPr>
              <w:t>2</w:t>
            </w:r>
          </w:p>
          <w:p w14:paraId="599B297C" w14:textId="77777777" w:rsidR="007A2F3E" w:rsidRPr="00500077" w:rsidRDefault="007A2F3E" w:rsidP="007A2F3E">
            <w:pPr>
              <w:keepNext/>
              <w:rPr>
                <w:rFonts w:ascii="Arial Narrow" w:eastAsiaTheme="minorHAnsi" w:hAnsi="Arial Narrow"/>
                <w:sz w:val="18"/>
                <w:szCs w:val="18"/>
              </w:rPr>
            </w:pPr>
          </w:p>
        </w:tc>
        <w:tc>
          <w:tcPr>
            <w:tcW w:w="1134" w:type="dxa"/>
          </w:tcPr>
          <w:p w14:paraId="30935B3B" w14:textId="77777777" w:rsidR="007A2F3E" w:rsidRPr="00500077" w:rsidRDefault="007A2F3E" w:rsidP="007A2F3E">
            <w:pPr>
              <w:keepNext/>
              <w:rPr>
                <w:rFonts w:ascii="Arial Narrow" w:eastAsiaTheme="minorHAnsi" w:hAnsi="Arial Narrow"/>
                <w:sz w:val="18"/>
                <w:szCs w:val="18"/>
              </w:rPr>
            </w:pPr>
          </w:p>
          <w:p w14:paraId="201FB077" w14:textId="77777777" w:rsidR="007A2F3E" w:rsidRPr="00500077" w:rsidRDefault="007A2F3E" w:rsidP="007A2F3E">
            <w:pPr>
              <w:keepNext/>
              <w:rPr>
                <w:rFonts w:ascii="Arial Narrow" w:eastAsiaTheme="minorHAnsi" w:hAnsi="Arial Narrow"/>
                <w:sz w:val="18"/>
                <w:szCs w:val="18"/>
              </w:rPr>
            </w:pPr>
          </w:p>
          <w:p w14:paraId="7AC18A63" w14:textId="77777777" w:rsidR="007A2F3E" w:rsidRPr="00500077" w:rsidRDefault="007A2F3E" w:rsidP="007A2F3E">
            <w:pPr>
              <w:keepNext/>
              <w:rPr>
                <w:rFonts w:ascii="Arial Narrow" w:eastAsiaTheme="minorHAnsi" w:hAnsi="Arial Narrow"/>
                <w:sz w:val="18"/>
                <w:szCs w:val="18"/>
              </w:rPr>
            </w:pPr>
            <w:r>
              <w:rPr>
                <w:rFonts w:ascii="Arial Narrow" w:eastAsiaTheme="minorHAnsi" w:hAnsi="Arial Narrow"/>
                <w:sz w:val="18"/>
                <w:szCs w:val="18"/>
              </w:rPr>
              <w:t>Tremfya</w:t>
            </w:r>
          </w:p>
        </w:tc>
      </w:tr>
      <w:tr w:rsidR="007A2F3E" w:rsidRPr="00500077" w14:paraId="75B101C2" w14:textId="77777777" w:rsidTr="007A2F3E">
        <w:trPr>
          <w:cantSplit/>
          <w:trHeight w:val="347"/>
        </w:trPr>
        <w:tc>
          <w:tcPr>
            <w:tcW w:w="3964" w:type="dxa"/>
            <w:gridSpan w:val="2"/>
          </w:tcPr>
          <w:p w14:paraId="4ECE9255" w14:textId="77777777" w:rsidR="007A2F3E" w:rsidRPr="00500077" w:rsidRDefault="007A2F3E" w:rsidP="007A2F3E">
            <w:pPr>
              <w:keepNext/>
              <w:rPr>
                <w:rFonts w:ascii="Arial Narrow" w:eastAsiaTheme="minorHAnsi" w:hAnsi="Arial Narrow"/>
                <w:sz w:val="18"/>
                <w:szCs w:val="18"/>
              </w:rPr>
            </w:pPr>
            <w:r w:rsidRPr="00500077">
              <w:rPr>
                <w:rFonts w:ascii="Arial Narrow" w:eastAsiaTheme="minorHAnsi" w:hAnsi="Arial Narrow"/>
                <w:sz w:val="18"/>
                <w:szCs w:val="18"/>
              </w:rPr>
              <w:t xml:space="preserve">guselkumab 100 mg/mL injection, 1 x 1 mL </w:t>
            </w:r>
            <w:r>
              <w:rPr>
                <w:rFonts w:ascii="Arial Narrow" w:eastAsiaTheme="minorHAnsi" w:hAnsi="Arial Narrow"/>
                <w:sz w:val="18"/>
                <w:szCs w:val="18"/>
              </w:rPr>
              <w:t>pen device</w:t>
            </w:r>
          </w:p>
        </w:tc>
        <w:tc>
          <w:tcPr>
            <w:tcW w:w="1418" w:type="dxa"/>
          </w:tcPr>
          <w:p w14:paraId="65D0AECD" w14:textId="77777777" w:rsidR="007A2F3E" w:rsidRPr="00500077" w:rsidRDefault="007A2F3E" w:rsidP="007A2F3E">
            <w:pPr>
              <w:keepNext/>
              <w:ind w:left="-108"/>
              <w:jc w:val="center"/>
              <w:rPr>
                <w:rFonts w:ascii="Arial Narrow" w:eastAsiaTheme="minorHAnsi" w:hAnsi="Arial Narrow"/>
                <w:sz w:val="18"/>
                <w:szCs w:val="18"/>
              </w:rPr>
            </w:pPr>
            <w:r w:rsidRPr="00500077">
              <w:rPr>
                <w:rFonts w:ascii="Arial Narrow" w:eastAsiaTheme="minorHAnsi" w:hAnsi="Arial Narrow"/>
                <w:sz w:val="18"/>
                <w:szCs w:val="18"/>
              </w:rPr>
              <w:t>NEW</w:t>
            </w:r>
          </w:p>
        </w:tc>
        <w:tc>
          <w:tcPr>
            <w:tcW w:w="992" w:type="dxa"/>
          </w:tcPr>
          <w:p w14:paraId="11CEEC35" w14:textId="77777777" w:rsidR="007A2F3E" w:rsidRPr="00500077" w:rsidRDefault="007A2F3E" w:rsidP="007A2F3E">
            <w:pPr>
              <w:keepNext/>
              <w:jc w:val="center"/>
              <w:rPr>
                <w:rFonts w:ascii="Arial Narrow" w:eastAsiaTheme="minorHAnsi" w:hAnsi="Arial Narrow"/>
                <w:sz w:val="18"/>
                <w:szCs w:val="18"/>
              </w:rPr>
            </w:pPr>
            <w:r w:rsidRPr="00500077">
              <w:rPr>
                <w:rFonts w:ascii="Arial Narrow" w:eastAsiaTheme="minorHAnsi" w:hAnsi="Arial Narrow"/>
                <w:sz w:val="18"/>
                <w:szCs w:val="18"/>
              </w:rPr>
              <w:t>1</w:t>
            </w:r>
          </w:p>
        </w:tc>
        <w:tc>
          <w:tcPr>
            <w:tcW w:w="851" w:type="dxa"/>
          </w:tcPr>
          <w:p w14:paraId="4A4858C9" w14:textId="77777777" w:rsidR="007A2F3E" w:rsidRPr="00500077" w:rsidRDefault="007A2F3E" w:rsidP="007A2F3E">
            <w:pPr>
              <w:keepNext/>
              <w:ind w:left="-108"/>
              <w:jc w:val="center"/>
              <w:rPr>
                <w:rFonts w:ascii="Arial Narrow" w:eastAsiaTheme="minorHAnsi" w:hAnsi="Arial Narrow"/>
                <w:sz w:val="18"/>
                <w:szCs w:val="18"/>
              </w:rPr>
            </w:pPr>
            <w:r>
              <w:rPr>
                <w:rFonts w:ascii="Arial Narrow" w:eastAsiaTheme="minorHAnsi" w:hAnsi="Arial Narrow"/>
                <w:sz w:val="18"/>
                <w:szCs w:val="18"/>
              </w:rPr>
              <w:t>1</w:t>
            </w:r>
          </w:p>
        </w:tc>
        <w:tc>
          <w:tcPr>
            <w:tcW w:w="708" w:type="dxa"/>
          </w:tcPr>
          <w:p w14:paraId="54830550" w14:textId="77777777" w:rsidR="007A2F3E" w:rsidRPr="00500077" w:rsidRDefault="007A2F3E" w:rsidP="007A2F3E">
            <w:pPr>
              <w:keepNext/>
              <w:ind w:left="-108"/>
              <w:jc w:val="center"/>
              <w:rPr>
                <w:rFonts w:ascii="Arial Narrow" w:eastAsiaTheme="minorHAnsi" w:hAnsi="Arial Narrow"/>
                <w:sz w:val="18"/>
                <w:szCs w:val="18"/>
              </w:rPr>
            </w:pPr>
            <w:r>
              <w:rPr>
                <w:rFonts w:ascii="Arial Narrow" w:eastAsiaTheme="minorHAnsi" w:hAnsi="Arial Narrow"/>
                <w:sz w:val="18"/>
                <w:szCs w:val="18"/>
              </w:rPr>
              <w:t>2</w:t>
            </w:r>
          </w:p>
        </w:tc>
        <w:tc>
          <w:tcPr>
            <w:tcW w:w="1134" w:type="dxa"/>
          </w:tcPr>
          <w:p w14:paraId="416FB64A" w14:textId="77777777" w:rsidR="007A2F3E" w:rsidRPr="00500077" w:rsidRDefault="007A2F3E" w:rsidP="007A2F3E">
            <w:pPr>
              <w:keepNext/>
              <w:rPr>
                <w:rFonts w:ascii="Arial Narrow" w:eastAsiaTheme="minorHAnsi" w:hAnsi="Arial Narrow"/>
                <w:sz w:val="18"/>
                <w:szCs w:val="18"/>
              </w:rPr>
            </w:pPr>
            <w:r>
              <w:rPr>
                <w:rFonts w:ascii="Arial Narrow" w:eastAsiaTheme="minorHAnsi" w:hAnsi="Arial Narrow"/>
                <w:sz w:val="18"/>
                <w:szCs w:val="18"/>
              </w:rPr>
              <w:t>Tremfya</w:t>
            </w:r>
          </w:p>
        </w:tc>
      </w:tr>
      <w:tr w:rsidR="007A2F3E" w:rsidRPr="00D8428B" w14:paraId="0929221F"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29D5741" w14:textId="77777777" w:rsidR="007A2F3E" w:rsidRPr="00D8428B" w:rsidRDefault="007A2F3E" w:rsidP="007A2F3E">
            <w:pPr>
              <w:rPr>
                <w:rFonts w:ascii="Arial Narrow" w:eastAsiaTheme="minorHAnsi" w:hAnsi="Arial Narrow"/>
                <w:b/>
                <w:sz w:val="18"/>
                <w:szCs w:val="18"/>
              </w:rPr>
            </w:pPr>
          </w:p>
        </w:tc>
      </w:tr>
      <w:tr w:rsidR="007A2F3E" w:rsidRPr="00D8428B" w14:paraId="7202A1C9"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A0EBA02" w14:textId="77777777" w:rsidR="007A2F3E" w:rsidRPr="00D8428B" w:rsidRDefault="007A2F3E" w:rsidP="007A2F3E">
            <w:pPr>
              <w:rPr>
                <w:rFonts w:ascii="Arial Narrow" w:eastAsiaTheme="minorHAnsi" w:hAnsi="Arial Narrow"/>
                <w:b/>
                <w:sz w:val="18"/>
                <w:szCs w:val="18"/>
              </w:rPr>
            </w:pPr>
            <w:r>
              <w:rPr>
                <w:rFonts w:ascii="Arial Narrow" w:eastAsiaTheme="minorHAnsi" w:hAnsi="Arial Narrow"/>
                <w:b/>
                <w:sz w:val="18"/>
                <w:szCs w:val="18"/>
                <w:lang w:val="en-GB"/>
              </w:rPr>
              <w:t>R</w:t>
            </w:r>
            <w:r w:rsidRPr="00D8428B">
              <w:rPr>
                <w:rFonts w:ascii="Arial Narrow" w:eastAsiaTheme="minorHAnsi" w:hAnsi="Arial Narrow"/>
                <w:b/>
                <w:sz w:val="18"/>
                <w:szCs w:val="18"/>
              </w:rPr>
              <w:t>estriction Summary 9</w:t>
            </w:r>
            <w:r>
              <w:rPr>
                <w:rFonts w:ascii="Arial Narrow" w:eastAsiaTheme="minorHAnsi" w:hAnsi="Arial Narrow"/>
                <w:b/>
                <w:sz w:val="18"/>
                <w:szCs w:val="18"/>
              </w:rPr>
              <w:t>192</w:t>
            </w:r>
            <w:r w:rsidRPr="00D8428B">
              <w:rPr>
                <w:rFonts w:ascii="Arial Narrow" w:eastAsiaTheme="minorHAnsi" w:hAnsi="Arial Narrow"/>
                <w:b/>
                <w:sz w:val="18"/>
                <w:szCs w:val="18"/>
              </w:rPr>
              <w:t xml:space="preserve"> / Treatment of Concept: </w:t>
            </w:r>
            <w:r>
              <w:rPr>
                <w:rFonts w:ascii="Arial Narrow" w:eastAsiaTheme="minorHAnsi" w:hAnsi="Arial Narrow"/>
                <w:b/>
                <w:sz w:val="18"/>
                <w:szCs w:val="18"/>
              </w:rPr>
              <w:t>9184 (as per ixekizumab; current as at 1 November 2020)</w:t>
            </w:r>
          </w:p>
        </w:tc>
      </w:tr>
      <w:tr w:rsidR="007A2F3E" w:rsidRPr="00D8428B" w14:paraId="3155A089" w14:textId="77777777" w:rsidTr="007A2F3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6A058BA9" w14:textId="77777777" w:rsidR="007A2F3E" w:rsidRPr="00DA55F8" w:rsidRDefault="007A2F3E" w:rsidP="007A2F3E">
            <w:pPr>
              <w:jc w:val="center"/>
              <w:rPr>
                <w:rFonts w:ascii="Arial Narrow" w:eastAsiaTheme="minorHAnsi"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71CBC51B" w14:textId="77777777" w:rsidR="007A2F3E" w:rsidRPr="00D8428B" w:rsidRDefault="007A2F3E" w:rsidP="007A2F3E">
            <w:pPr>
              <w:rPr>
                <w:rFonts w:ascii="Arial Narrow" w:eastAsiaTheme="minorHAnsi" w:hAnsi="Arial Narrow"/>
                <w:sz w:val="18"/>
                <w:szCs w:val="18"/>
              </w:rPr>
            </w:pPr>
            <w:r w:rsidRPr="00D8428B">
              <w:rPr>
                <w:rFonts w:ascii="Arial Narrow" w:eastAsiaTheme="minorHAnsi" w:hAnsi="Arial Narrow"/>
                <w:b/>
                <w:sz w:val="18"/>
                <w:szCs w:val="18"/>
              </w:rPr>
              <w:t xml:space="preserve">Category / Program: </w:t>
            </w:r>
            <w:r>
              <w:rPr>
                <w:rFonts w:ascii="Arial Narrow" w:eastAsiaTheme="minorHAnsi" w:hAnsi="Arial Narrow"/>
                <w:sz w:val="18"/>
                <w:szCs w:val="18"/>
              </w:rPr>
              <w:t xml:space="preserve"> </w:t>
            </w:r>
            <w:r w:rsidRPr="00D8428B">
              <w:rPr>
                <w:rFonts w:ascii="Arial Narrow" w:eastAsiaTheme="minorHAnsi" w:hAnsi="Arial Narrow"/>
                <w:sz w:val="18"/>
                <w:szCs w:val="18"/>
              </w:rPr>
              <w:t xml:space="preserve">GENERAL – General Schedule (Code GE) </w:t>
            </w:r>
          </w:p>
        </w:tc>
      </w:tr>
      <w:tr w:rsidR="007A2F3E" w:rsidRPr="00D8428B" w14:paraId="348C31F9" w14:textId="77777777" w:rsidTr="007A2F3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3CFC67D5" w14:textId="77777777" w:rsidR="007A2F3E" w:rsidRPr="00D8428B" w:rsidRDefault="007A2F3E" w:rsidP="007A2F3E">
            <w:pPr>
              <w:rPr>
                <w:rFonts w:ascii="Arial Narrow" w:eastAsiaTheme="minorHAnsi"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3A283BD5" w14:textId="77777777" w:rsidR="007A2F3E" w:rsidRPr="00D8428B" w:rsidRDefault="007A2F3E" w:rsidP="007A2F3E">
            <w:pPr>
              <w:rPr>
                <w:rFonts w:ascii="Arial Narrow" w:eastAsiaTheme="minorHAnsi" w:hAnsi="Arial Narrow"/>
                <w:b/>
                <w:sz w:val="18"/>
                <w:szCs w:val="18"/>
              </w:rPr>
            </w:pPr>
            <w:r w:rsidRPr="00D8428B">
              <w:rPr>
                <w:rFonts w:ascii="Arial Narrow" w:eastAsiaTheme="minorHAnsi" w:hAnsi="Arial Narrow"/>
                <w:b/>
                <w:sz w:val="18"/>
                <w:szCs w:val="18"/>
              </w:rPr>
              <w:t>Prescriber type:</w:t>
            </w:r>
            <w:r>
              <w:rPr>
                <w:rFonts w:ascii="Arial Narrow" w:eastAsiaTheme="minorHAnsi" w:hAnsi="Arial Narrow"/>
                <w:b/>
                <w:sz w:val="18"/>
                <w:szCs w:val="18"/>
              </w:rPr>
              <w:t xml:space="preserve"> </w:t>
            </w:r>
            <w:r w:rsidRPr="00D8428B">
              <w:rPr>
                <w:rFonts w:ascii="Arial Narrow" w:eastAsiaTheme="minorHAnsi" w:hAnsi="Arial Narrow"/>
                <w:b/>
                <w:sz w:val="18"/>
                <w:szCs w:val="18"/>
              </w:rPr>
              <w:t xml:space="preserve"> </w:t>
            </w:r>
            <w:r w:rsidRPr="00D8428B">
              <w:rPr>
                <w:rFonts w:ascii="Arial Narrow" w:eastAsiaTheme="minorHAnsi" w:hAnsi="Arial Narrow"/>
                <w:sz w:val="18"/>
                <w:szCs w:val="18"/>
              </w:rPr>
              <w:fldChar w:fldCharType="begin">
                <w:ffData>
                  <w:name w:val=""/>
                  <w:enabled/>
                  <w:calcOnExit w:val="0"/>
                  <w:checkBox>
                    <w:sizeAuto/>
                    <w:default w:val="1"/>
                  </w:checkBox>
                </w:ffData>
              </w:fldChar>
            </w:r>
            <w:r w:rsidRPr="00D8428B">
              <w:rPr>
                <w:rFonts w:ascii="Arial Narrow" w:eastAsiaTheme="minorHAnsi" w:hAnsi="Arial Narrow"/>
                <w:sz w:val="18"/>
                <w:szCs w:val="18"/>
              </w:rPr>
              <w:instrText xml:space="preserve"> FORMCHECKBOX </w:instrText>
            </w:r>
            <w:r w:rsidR="0001012F">
              <w:rPr>
                <w:rFonts w:ascii="Arial Narrow" w:eastAsiaTheme="minorHAnsi" w:hAnsi="Arial Narrow"/>
                <w:sz w:val="18"/>
                <w:szCs w:val="18"/>
              </w:rPr>
            </w:r>
            <w:r w:rsidR="0001012F">
              <w:rPr>
                <w:rFonts w:ascii="Arial Narrow" w:eastAsiaTheme="minorHAnsi" w:hAnsi="Arial Narrow"/>
                <w:sz w:val="18"/>
                <w:szCs w:val="18"/>
              </w:rPr>
              <w:fldChar w:fldCharType="separate"/>
            </w:r>
            <w:r w:rsidRPr="00D8428B">
              <w:rPr>
                <w:rFonts w:ascii="Arial Narrow" w:eastAsiaTheme="minorHAnsi" w:hAnsi="Arial Narrow"/>
                <w:sz w:val="18"/>
                <w:szCs w:val="18"/>
              </w:rPr>
              <w:fldChar w:fldCharType="end"/>
            </w:r>
            <w:r w:rsidRPr="00D8428B">
              <w:rPr>
                <w:rFonts w:ascii="Arial Narrow" w:eastAsiaTheme="minorHAnsi" w:hAnsi="Arial Narrow"/>
                <w:sz w:val="18"/>
                <w:szCs w:val="18"/>
              </w:rPr>
              <w:t>Medical Practitioners</w:t>
            </w:r>
          </w:p>
        </w:tc>
      </w:tr>
      <w:tr w:rsidR="007A2F3E" w:rsidRPr="00D8428B" w14:paraId="2CEC9A9D" w14:textId="77777777" w:rsidTr="007A2F3E">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0165DDE6" w14:textId="77777777" w:rsidR="007A2F3E" w:rsidRPr="00D8428B" w:rsidRDefault="007A2F3E" w:rsidP="007A2F3E">
            <w:pPr>
              <w:rPr>
                <w:rFonts w:ascii="Arial Narrow" w:eastAsiaTheme="minorHAnsi"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3BFE7C20" w14:textId="77777777" w:rsidR="007A2F3E" w:rsidRPr="00D8428B" w:rsidRDefault="007A2F3E" w:rsidP="007A2F3E">
            <w:pPr>
              <w:rPr>
                <w:rFonts w:ascii="Arial Narrow" w:eastAsia="Calibri" w:hAnsi="Arial Narrow"/>
                <w:sz w:val="18"/>
                <w:szCs w:val="18"/>
              </w:rPr>
            </w:pPr>
            <w:r w:rsidRPr="00D8428B">
              <w:rPr>
                <w:rFonts w:ascii="Arial Narrow" w:eastAsiaTheme="minorHAnsi" w:hAnsi="Arial Narrow"/>
                <w:b/>
                <w:sz w:val="18"/>
                <w:szCs w:val="18"/>
              </w:rPr>
              <w:t>Restriction Type</w:t>
            </w:r>
            <w:r>
              <w:rPr>
                <w:rFonts w:ascii="Arial Narrow" w:eastAsiaTheme="minorHAnsi" w:hAnsi="Arial Narrow"/>
                <w:b/>
                <w:sz w:val="18"/>
                <w:szCs w:val="18"/>
              </w:rPr>
              <w:t>:</w:t>
            </w:r>
            <w:r w:rsidRPr="00D8428B">
              <w:rPr>
                <w:rFonts w:ascii="Arial Narrow" w:eastAsiaTheme="minorHAnsi" w:hAnsi="Arial Narrow"/>
                <w:b/>
                <w:sz w:val="18"/>
                <w:szCs w:val="18"/>
              </w:rPr>
              <w:t xml:space="preserve"> </w:t>
            </w:r>
            <w:r w:rsidRPr="00D8428B">
              <w:rPr>
                <w:rFonts w:ascii="Arial Narrow" w:eastAsia="Calibri" w:hAnsi="Arial Narrow"/>
                <w:sz w:val="18"/>
                <w:szCs w:val="18"/>
              </w:rPr>
              <w:fldChar w:fldCharType="begin">
                <w:ffData>
                  <w:name w:val=""/>
                  <w:enabled/>
                  <w:calcOnExit w:val="0"/>
                  <w:checkBox>
                    <w:sizeAuto/>
                    <w:default w:val="1"/>
                  </w:checkBox>
                </w:ffData>
              </w:fldChar>
            </w:r>
            <w:r w:rsidRPr="00D8428B">
              <w:rPr>
                <w:rFonts w:ascii="Arial Narrow" w:eastAsia="Calibri" w:hAnsi="Arial Narrow"/>
                <w:sz w:val="18"/>
                <w:szCs w:val="18"/>
              </w:rPr>
              <w:instrText xml:space="preserve"> FORMCHECKBOX </w:instrText>
            </w:r>
            <w:r w:rsidR="0001012F">
              <w:rPr>
                <w:rFonts w:ascii="Arial Narrow" w:eastAsia="Calibri" w:hAnsi="Arial Narrow"/>
                <w:sz w:val="18"/>
                <w:szCs w:val="18"/>
              </w:rPr>
            </w:r>
            <w:r w:rsidR="0001012F">
              <w:rPr>
                <w:rFonts w:ascii="Arial Narrow" w:eastAsia="Calibri" w:hAnsi="Arial Narrow"/>
                <w:sz w:val="18"/>
                <w:szCs w:val="18"/>
              </w:rPr>
              <w:fldChar w:fldCharType="separate"/>
            </w:r>
            <w:r w:rsidRPr="00D8428B">
              <w:rPr>
                <w:rFonts w:ascii="Arial Narrow" w:eastAsia="Calibri" w:hAnsi="Arial Narrow"/>
                <w:sz w:val="18"/>
                <w:szCs w:val="18"/>
              </w:rPr>
              <w:fldChar w:fldCharType="end"/>
            </w:r>
            <w:r w:rsidRPr="00D8428B">
              <w:rPr>
                <w:rFonts w:ascii="Arial Narrow" w:eastAsia="Calibri" w:hAnsi="Arial Narrow"/>
                <w:sz w:val="18"/>
                <w:szCs w:val="18"/>
              </w:rPr>
              <w:t>Authority Required – non-immediate/delayed assessment by Services Australia (in-writing only via mail/postal service or electronic upload to Hobart</w:t>
            </w:r>
            <w:r>
              <w:rPr>
                <w:rFonts w:ascii="Arial Narrow" w:eastAsia="Calibri" w:hAnsi="Arial Narrow"/>
                <w:sz w:val="18"/>
                <w:szCs w:val="18"/>
              </w:rPr>
              <w:t>)</w:t>
            </w:r>
            <w:r w:rsidRPr="00D8428B">
              <w:rPr>
                <w:rFonts w:ascii="Arial Narrow" w:eastAsia="Calibri" w:hAnsi="Arial Narrow"/>
                <w:sz w:val="18"/>
                <w:szCs w:val="18"/>
              </w:rPr>
              <w:t xml:space="preserve"> </w:t>
            </w:r>
          </w:p>
        </w:tc>
      </w:tr>
      <w:tr w:rsidR="007A2F3E" w:rsidRPr="00D8428B" w14:paraId="74B0665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BF446D0"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354D61DF" w14:textId="77777777" w:rsidR="007A2F3E" w:rsidRPr="00EB26EA" w:rsidRDefault="007A2F3E" w:rsidP="007A2F3E">
            <w:pPr>
              <w:rPr>
                <w:rFonts w:ascii="Arial Narrow" w:hAnsi="Arial Narrow"/>
                <w:b/>
                <w:bCs/>
                <w:i/>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i/>
                <w:color w:val="333333"/>
                <w:sz w:val="18"/>
                <w:szCs w:val="18"/>
              </w:rPr>
              <w:t>(</w:t>
            </w:r>
            <w:r>
              <w:rPr>
                <w:rFonts w:ascii="Arial Narrow" w:hAnsi="Arial Narrow"/>
                <w:bCs/>
                <w:i/>
                <w:color w:val="333333"/>
                <w:sz w:val="18"/>
                <w:szCs w:val="18"/>
              </w:rPr>
              <w:t>------</w:t>
            </w:r>
            <w:r w:rsidRPr="00EB26EA">
              <w:rPr>
                <w:rFonts w:ascii="Arial Narrow" w:hAnsi="Arial Narrow"/>
                <w:bCs/>
                <w:i/>
                <w:color w:val="333333"/>
                <w:sz w:val="18"/>
                <w:szCs w:val="18"/>
              </w:rPr>
              <w:t>see end of document for updated concept</w:t>
            </w:r>
            <w:r>
              <w:rPr>
                <w:rFonts w:ascii="Arial Narrow" w:hAnsi="Arial Narrow"/>
                <w:bCs/>
                <w:i/>
                <w:color w:val="333333"/>
                <w:sz w:val="18"/>
                <w:szCs w:val="18"/>
              </w:rPr>
              <w:t>--------</w:t>
            </w:r>
            <w:r w:rsidRPr="00EB26EA">
              <w:rPr>
                <w:rFonts w:ascii="Arial Narrow" w:hAnsi="Arial Narrow"/>
                <w:bCs/>
                <w:i/>
                <w:color w:val="333333"/>
                <w:sz w:val="18"/>
                <w:szCs w:val="18"/>
              </w:rPr>
              <w:t>)</w:t>
            </w:r>
          </w:p>
        </w:tc>
      </w:tr>
      <w:tr w:rsidR="007A2F3E" w:rsidRPr="00D8428B" w14:paraId="075BFA51"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E536955"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50FCA53D"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color w:val="333333"/>
                <w:sz w:val="18"/>
                <w:szCs w:val="18"/>
              </w:rPr>
              <w:t>No increase in the maximum quantity or number of units may be authorised.</w:t>
            </w:r>
          </w:p>
        </w:tc>
      </w:tr>
      <w:tr w:rsidR="007A2F3E" w:rsidRPr="00D8428B" w14:paraId="3CB4353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E9EB12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8FEA95D"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No increase in the maximum number of repeats may be authorised.</w:t>
            </w:r>
          </w:p>
        </w:tc>
      </w:tr>
      <w:tr w:rsidR="007A2F3E" w:rsidRPr="00D8428B" w14:paraId="5A3AB691"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86A766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74DAEE0" w14:textId="77777777" w:rsidR="007A2F3E" w:rsidRPr="00EB26EA"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Spe</w:t>
            </w:r>
            <w:r>
              <w:rPr>
                <w:rFonts w:ascii="Arial Narrow" w:hAnsi="Arial Narrow"/>
                <w:bCs/>
                <w:color w:val="333333"/>
                <w:sz w:val="18"/>
                <w:szCs w:val="18"/>
              </w:rPr>
              <w:t>cial Pricing Arrangements apply</w:t>
            </w:r>
          </w:p>
        </w:tc>
      </w:tr>
      <w:tr w:rsidR="007A2F3E" w:rsidRPr="00D8428B" w14:paraId="078FA377"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197AC7CC"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64F9EE6"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Indication:</w:t>
            </w:r>
            <w:r w:rsidRPr="00D8428B">
              <w:rPr>
                <w:rFonts w:ascii="Arial Narrow" w:hAnsi="Arial Narrow"/>
                <w:color w:val="333333"/>
                <w:sz w:val="18"/>
                <w:szCs w:val="18"/>
              </w:rPr>
              <w:t xml:space="preserve"> Severe psoriatic arthritis</w:t>
            </w:r>
          </w:p>
        </w:tc>
      </w:tr>
      <w:tr w:rsidR="007A2F3E" w:rsidRPr="00D8428B" w14:paraId="3A3662A3"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7ED1C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8421543"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Phase:</w:t>
            </w:r>
            <w:r w:rsidRPr="00D8428B">
              <w:rPr>
                <w:rFonts w:ascii="Arial Narrow" w:hAnsi="Arial Narrow"/>
                <w:color w:val="333333"/>
                <w:sz w:val="18"/>
                <w:szCs w:val="18"/>
              </w:rPr>
              <w:t xml:space="preserve"> Initial treatment – Initial 1 (new patient)</w:t>
            </w:r>
          </w:p>
        </w:tc>
      </w:tr>
      <w:tr w:rsidR="007A2F3E" w:rsidRPr="00D8428B" w14:paraId="0DC75807"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5372E300"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97B6464"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criteria:</w:t>
            </w:r>
          </w:p>
        </w:tc>
      </w:tr>
      <w:tr w:rsidR="007A2F3E" w:rsidRPr="00D8428B" w14:paraId="4A29CC6C"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3388B63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EC36C98"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rheumatologist; or</w:t>
            </w:r>
          </w:p>
        </w:tc>
      </w:tr>
      <w:tr w:rsidR="007A2F3E" w:rsidRPr="00D8428B" w14:paraId="08E1B7E2"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409436D5"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1085CED"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clinical immunologist with expertise in the management of psoriatic arthritis</w:t>
            </w:r>
          </w:p>
        </w:tc>
      </w:tr>
      <w:tr w:rsidR="007A2F3E" w:rsidRPr="00D8428B" w14:paraId="7E522C6B"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6580D0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AF89AAA"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AND</w:t>
            </w:r>
          </w:p>
        </w:tc>
      </w:tr>
      <w:tr w:rsidR="007A2F3E" w:rsidRPr="00D8428B" w14:paraId="491F9B33"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17EFBB5"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F8B2BE3"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4D7772CF"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C91D78E"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62074F3B"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not have received PBS-subsidised treatment with a biological medicine for this condition</w:t>
            </w:r>
          </w:p>
        </w:tc>
      </w:tr>
      <w:tr w:rsidR="007A2F3E" w:rsidRPr="00D8428B" w14:paraId="0D5FA862"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A7C4A0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0D3034A0"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6758A13F"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CB6B4E"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BE04F8C"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261B8F3E"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E2EE39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7DE4C21"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failed to achieve an adequate response to methotrexate at a dose of at least 20 mg weekly for a minimum period of 3 months</w:t>
            </w:r>
          </w:p>
        </w:tc>
      </w:tr>
      <w:tr w:rsidR="007A2F3E" w:rsidRPr="00D8428B" w14:paraId="36A3174A"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A52FDBE"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CDD08B0"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3709801A"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C1331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3D1146D"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5E3CEF0E"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2842B8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385C756"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failed to achieve an adequate response to sulfasalazine at a dose of at least 2 g per day for a minimum period of 3 months; or</w:t>
            </w:r>
          </w:p>
        </w:tc>
      </w:tr>
      <w:tr w:rsidR="007A2F3E" w:rsidRPr="00D8428B" w14:paraId="71DE24B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2ABE17F"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6F6B72D"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failed to achieve an adequate response to leflunomide at a dose of up to 20 mg daily for a minimum period of 3 months</w:t>
            </w:r>
          </w:p>
        </w:tc>
      </w:tr>
      <w:tr w:rsidR="007A2F3E" w:rsidRPr="00D8428B" w14:paraId="111BB4D3"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338BEB"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3E8BB7EC"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4554F6A1"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EF4BF31"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3E57B203"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32B8BD70"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7865AA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8507C2E"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not receive more than 20 weeks of treatment under this restriction</w:t>
            </w:r>
          </w:p>
        </w:tc>
      </w:tr>
      <w:tr w:rsidR="007A2F3E" w:rsidRPr="00D8428B" w14:paraId="7F138504"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484B8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4864BB8"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3F216522"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AE2ECFB"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EAA1CD8"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Population criteria:</w:t>
            </w:r>
          </w:p>
        </w:tc>
      </w:tr>
      <w:tr w:rsidR="007A2F3E" w:rsidRPr="00D8428B" w14:paraId="2D965B60"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F319AF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D122EB3"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be aged 18 years or older</w:t>
            </w:r>
          </w:p>
        </w:tc>
      </w:tr>
      <w:tr w:rsidR="007A2F3E" w:rsidRPr="00D8428B" w14:paraId="5DD116E9" w14:textId="77777777" w:rsidTr="007A2F3E">
        <w:tblPrEx>
          <w:tblCellMar>
            <w:top w:w="15" w:type="dxa"/>
            <w:left w:w="15" w:type="dxa"/>
            <w:bottom w:w="15" w:type="dxa"/>
            <w:right w:w="15" w:type="dxa"/>
          </w:tblCellMar>
          <w:tblLook w:val="04A0" w:firstRow="1" w:lastRow="0" w:firstColumn="1" w:lastColumn="0" w:noHBand="0" w:noVBand="1"/>
        </w:tblPrEx>
        <w:trPr>
          <w:trHeight w:val="660"/>
        </w:trPr>
        <w:tc>
          <w:tcPr>
            <w:tcW w:w="981" w:type="dxa"/>
            <w:vAlign w:val="center"/>
          </w:tcPr>
          <w:p w14:paraId="7C3C3D40"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E06B61D"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Prescribing instructions:</w:t>
            </w:r>
          </w:p>
          <w:p w14:paraId="528545BC" w14:textId="77777777" w:rsidR="007A2F3E" w:rsidRPr="00D8428B" w:rsidRDefault="007A2F3E" w:rsidP="007A2F3E">
            <w:pPr>
              <w:autoSpaceDE w:val="0"/>
              <w:autoSpaceDN w:val="0"/>
              <w:adjustRightInd w:val="0"/>
              <w:rPr>
                <w:rFonts w:ascii="Arial Narrow" w:hAnsi="Arial Narrow"/>
                <w:b/>
                <w:color w:val="333333"/>
                <w:sz w:val="18"/>
                <w:szCs w:val="18"/>
              </w:rPr>
            </w:pPr>
            <w:r w:rsidRPr="00D8428B">
              <w:rPr>
                <w:rFonts w:ascii="Arial Narrow" w:eastAsiaTheme="minorHAnsi" w:hAnsi="Arial Narrow" w:cs="Arial Narrow"/>
                <w:iCs/>
                <w:sz w:val="18"/>
                <w:szCs w:val="20"/>
              </w:rPr>
              <w:t>Where treatment with methotrexate, sulfasalazine or leflunomide is contraindicated according to the relevant TGA-approved Product Information, details must be provided at the time of application.</w:t>
            </w:r>
          </w:p>
        </w:tc>
      </w:tr>
      <w:tr w:rsidR="007A2F3E" w:rsidRPr="00D8428B" w14:paraId="0254C12B"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3968CBC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45E50B0"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Prescribing instructions:</w:t>
            </w:r>
          </w:p>
          <w:p w14:paraId="314A16AD" w14:textId="77777777" w:rsidR="007A2F3E" w:rsidRPr="00D8428B" w:rsidRDefault="007A2F3E" w:rsidP="007A2F3E">
            <w:pPr>
              <w:rPr>
                <w:rFonts w:ascii="Arial Narrow" w:hAnsi="Arial Narrow"/>
                <w:b/>
                <w:color w:val="333333"/>
                <w:sz w:val="18"/>
                <w:szCs w:val="18"/>
              </w:rPr>
            </w:pPr>
            <w:r w:rsidRPr="00D8428B">
              <w:rPr>
                <w:rFonts w:ascii="Arial Narrow" w:hAnsi="Arial Narrow"/>
                <w:color w:val="333333"/>
                <w:sz w:val="18"/>
                <w:szCs w:val="18"/>
              </w:rP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tc>
      </w:tr>
      <w:tr w:rsidR="007A2F3E" w:rsidRPr="00D8428B" w14:paraId="79EF2F9F" w14:textId="77777777" w:rsidTr="00614ABF">
        <w:tblPrEx>
          <w:tblCellMar>
            <w:top w:w="15" w:type="dxa"/>
            <w:left w:w="15" w:type="dxa"/>
            <w:bottom w:w="15" w:type="dxa"/>
            <w:right w:w="15" w:type="dxa"/>
          </w:tblCellMar>
          <w:tblLook w:val="04A0" w:firstRow="1" w:lastRow="0" w:firstColumn="1" w:lastColumn="0" w:noHBand="0" w:noVBand="1"/>
        </w:tblPrEx>
        <w:trPr>
          <w:trHeight w:val="2685"/>
        </w:trPr>
        <w:tc>
          <w:tcPr>
            <w:tcW w:w="981" w:type="dxa"/>
            <w:vAlign w:val="center"/>
          </w:tcPr>
          <w:p w14:paraId="08834BB1"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2FFB7A34"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Prescribing Instructions:</w:t>
            </w:r>
          </w:p>
          <w:p w14:paraId="5D8BF080"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The following initiation criteria indicate failure to achieve an adequate response and must be demonstrated in all patients at the time of the initial application:</w:t>
            </w:r>
          </w:p>
          <w:p w14:paraId="5C96445D"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an elevated erythrocyte sedimentation rate (ESR) greater than 25 mm per hour or a C-reactive protein (CRP) level greater than 15 mg per L; and</w:t>
            </w:r>
          </w:p>
          <w:p w14:paraId="0BC98E7D"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either</w:t>
            </w:r>
          </w:p>
          <w:p w14:paraId="4E6BF7B3"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(a) an active joint count of at least 20 active (swollen and tender) joints; or</w:t>
            </w:r>
          </w:p>
          <w:p w14:paraId="1F0A60E6"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(b) at least 4 active joints from the following list of major joints:</w:t>
            </w:r>
          </w:p>
          <w:p w14:paraId="6C342D58"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(i) elbow, wrist, knee and/or ankle (assessed as swollen and tender); and/or</w:t>
            </w:r>
          </w:p>
          <w:p w14:paraId="28BC8859"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(ii) shoulder and/or hip (assessed as pain in passive movement and restriction of passive movement, where pain and limitation of movement are due to active disease and not irreversible damage such as joint destruction or bony overgrowth).</w:t>
            </w:r>
          </w:p>
          <w:p w14:paraId="63C79014" w14:textId="77777777" w:rsidR="007A2F3E" w:rsidRPr="00D8428B" w:rsidRDefault="007A2F3E" w:rsidP="007A2F3E">
            <w:pPr>
              <w:rPr>
                <w:rFonts w:ascii="Arial Narrow" w:hAnsi="Arial Narrow"/>
                <w:color w:val="333333"/>
                <w:sz w:val="18"/>
                <w:szCs w:val="18"/>
              </w:rPr>
            </w:pPr>
            <w:r w:rsidRPr="00D8428B">
              <w:rPr>
                <w:rFonts w:ascii="Arial Narrow" w:hAnsi="Arial Narrow"/>
                <w:bCs/>
                <w:color w:val="333333"/>
                <w:sz w:val="18"/>
                <w:szCs w:val="18"/>
              </w:rPr>
              <w:t>If the above requirement to demonstrate an elevated ESR or CRP cannot be met, the application must state the reasons why this criterion cannot be satisfied.</w:t>
            </w:r>
          </w:p>
        </w:tc>
      </w:tr>
      <w:tr w:rsidR="007A2F3E" w:rsidRPr="00D8428B" w14:paraId="1F4920B1"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6802D73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007BEA3"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542942A3"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The authority application must be made in writing and must include:</w:t>
            </w:r>
          </w:p>
          <w:p w14:paraId="4DEE55BC"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(1) a completed authority prescription form(s); and</w:t>
            </w:r>
          </w:p>
          <w:p w14:paraId="4B5BE410"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(2) a completed Severe Psoriatic Arthritis PBS Authority Application - Supporting Information Form.</w:t>
            </w:r>
          </w:p>
        </w:tc>
      </w:tr>
      <w:tr w:rsidR="007A2F3E" w:rsidRPr="00D8428B" w14:paraId="0397ED3F"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5377E8D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3A2C3EF9" w14:textId="77777777" w:rsidR="007A2F3E" w:rsidRPr="00FD1F4E" w:rsidRDefault="007A2F3E" w:rsidP="007A2F3E">
            <w:pPr>
              <w:rPr>
                <w:rFonts w:ascii="Arial Narrow" w:hAnsi="Arial Narrow"/>
                <w:b/>
                <w:bCs/>
                <w:color w:val="333333"/>
                <w:sz w:val="18"/>
                <w:szCs w:val="18"/>
              </w:rPr>
            </w:pPr>
            <w:r w:rsidRPr="00FD1F4E">
              <w:rPr>
                <w:rFonts w:ascii="Arial Narrow" w:hAnsi="Arial Narrow"/>
                <w:b/>
                <w:bCs/>
                <w:color w:val="333333"/>
                <w:sz w:val="18"/>
                <w:szCs w:val="18"/>
              </w:rPr>
              <w:t>Prescribing Instructions:</w:t>
            </w:r>
          </w:p>
          <w:p w14:paraId="4E789925" w14:textId="77777777" w:rsidR="007A2F3E" w:rsidRPr="00FD1F4E" w:rsidRDefault="007A2F3E" w:rsidP="007A2F3E">
            <w:pPr>
              <w:rPr>
                <w:rFonts w:ascii="Arial Narrow" w:hAnsi="Arial Narrow"/>
                <w:bCs/>
                <w:color w:val="333333"/>
                <w:sz w:val="18"/>
                <w:szCs w:val="18"/>
              </w:rPr>
            </w:pPr>
            <w:r w:rsidRPr="00FD1F4E">
              <w:rPr>
                <w:rFonts w:ascii="Arial Narrow" w:hAnsi="Arial Narrow"/>
                <w:bCs/>
                <w:color w:val="333333"/>
                <w:sz w:val="18"/>
                <w:szCs w:val="18"/>
              </w:rP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p>
        </w:tc>
      </w:tr>
      <w:tr w:rsidR="007A2F3E" w:rsidRPr="00D8428B" w14:paraId="60CB1925" w14:textId="77777777" w:rsidTr="007A2F3E">
        <w:tblPrEx>
          <w:tblCellMar>
            <w:top w:w="15" w:type="dxa"/>
            <w:left w:w="15" w:type="dxa"/>
            <w:bottom w:w="15" w:type="dxa"/>
            <w:right w:w="15" w:type="dxa"/>
          </w:tblCellMar>
          <w:tblLook w:val="04A0" w:firstRow="1" w:lastRow="0" w:firstColumn="1" w:lastColumn="0" w:noHBand="0" w:noVBand="1"/>
        </w:tblPrEx>
        <w:trPr>
          <w:trHeight w:val="620"/>
        </w:trPr>
        <w:tc>
          <w:tcPr>
            <w:tcW w:w="981" w:type="dxa"/>
            <w:vAlign w:val="center"/>
          </w:tcPr>
          <w:p w14:paraId="7675445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BCB3E6F"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0F26DBCE"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Where the response assessment is not submitted within this timeframe, the patient will be deemed to have failed to respond to treatment with this drug.</w:t>
            </w:r>
          </w:p>
        </w:tc>
      </w:tr>
      <w:tr w:rsidR="007A2F3E" w:rsidRPr="00D8428B" w14:paraId="6015FDCA"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6A9079D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439EAE9B"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399D3C10"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7A2F3E" w:rsidRPr="00D8428B" w14:paraId="17285FC7"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46B60F4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1747839" w14:textId="77777777" w:rsidR="007A2F3E" w:rsidRPr="00D8428B" w:rsidRDefault="007A2F3E" w:rsidP="007A2F3E">
            <w:pPr>
              <w:rPr>
                <w:rFonts w:ascii="Arial Narrow" w:hAnsi="Arial Narrow"/>
                <w:b/>
                <w:bCs/>
                <w:color w:val="333333"/>
                <w:sz w:val="18"/>
                <w:szCs w:val="18"/>
              </w:rPr>
            </w:pPr>
            <w:r w:rsidRPr="00D8428B">
              <w:rPr>
                <w:rFonts w:ascii="Arial Narrow" w:hAnsi="Arial Narrow"/>
                <w:b/>
                <w:bCs/>
                <w:color w:val="333333"/>
                <w:sz w:val="18"/>
                <w:szCs w:val="18"/>
              </w:rPr>
              <w:t>Administrative Advice:</w:t>
            </w:r>
          </w:p>
          <w:p w14:paraId="7C34F859" w14:textId="77777777" w:rsidR="007A2F3E" w:rsidRPr="00D8428B" w:rsidRDefault="007A2F3E" w:rsidP="007A2F3E">
            <w:pPr>
              <w:rPr>
                <w:rFonts w:ascii="Arial Narrow" w:hAnsi="Arial Narrow"/>
                <w:b/>
                <w:bCs/>
                <w:color w:val="333333"/>
                <w:sz w:val="18"/>
                <w:szCs w:val="18"/>
              </w:rPr>
            </w:pPr>
            <w:r w:rsidRPr="00D8428B">
              <w:rPr>
                <w:rFonts w:ascii="Arial Narrow" w:hAnsi="Arial Narrow"/>
                <w:bCs/>
                <w:color w:val="333333"/>
                <w:sz w:val="18"/>
                <w:szCs w:val="18"/>
              </w:rPr>
              <w:t xml:space="preserve">Details of the toxicities, including severity, which will be accepted as a reason for exempting a patient from the requirement for 3 months treatment with methotrexate and 3 months treatment with sulfasalazine or leflunomide can be found on the </w:t>
            </w:r>
            <w:r w:rsidRPr="00D47D86">
              <w:rPr>
                <w:rFonts w:ascii="Arial Narrow" w:hAnsi="Arial Narrow"/>
                <w:bCs/>
                <w:color w:val="333333"/>
                <w:sz w:val="18"/>
                <w:szCs w:val="18"/>
              </w:rPr>
              <w:t>Services Australia website (www.servicesaustralia.gov.au)</w:t>
            </w:r>
          </w:p>
        </w:tc>
      </w:tr>
      <w:tr w:rsidR="007A2F3E" w:rsidRPr="00D8428B" w14:paraId="4EFD896B" w14:textId="77777777" w:rsidTr="007A2F3E">
        <w:tblPrEx>
          <w:tblCellMar>
            <w:top w:w="15" w:type="dxa"/>
            <w:left w:w="15" w:type="dxa"/>
            <w:bottom w:w="15" w:type="dxa"/>
            <w:right w:w="15" w:type="dxa"/>
          </w:tblCellMar>
          <w:tblLook w:val="04A0" w:firstRow="1" w:lastRow="0" w:firstColumn="1" w:lastColumn="0" w:noHBand="0" w:noVBand="1"/>
        </w:tblPrEx>
        <w:trPr>
          <w:trHeight w:val="655"/>
        </w:trPr>
        <w:tc>
          <w:tcPr>
            <w:tcW w:w="981" w:type="dxa"/>
            <w:vAlign w:val="center"/>
          </w:tcPr>
          <w:p w14:paraId="02EF0913"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73BBEB9" w14:textId="77777777" w:rsidR="007A2F3E" w:rsidRPr="00D8428B" w:rsidRDefault="007A2F3E" w:rsidP="007A2F3E">
            <w:pPr>
              <w:rPr>
                <w:rFonts w:ascii="Arial Narrow" w:hAnsi="Arial Narrow"/>
                <w:b/>
                <w:bCs/>
                <w:color w:val="333333"/>
                <w:sz w:val="18"/>
                <w:szCs w:val="18"/>
              </w:rPr>
            </w:pPr>
            <w:r w:rsidRPr="00D8428B">
              <w:rPr>
                <w:rFonts w:ascii="Arial Narrow" w:hAnsi="Arial Narrow"/>
                <w:b/>
                <w:bCs/>
                <w:color w:val="333333"/>
                <w:sz w:val="18"/>
                <w:szCs w:val="18"/>
              </w:rPr>
              <w:t>Administrative Advice:</w:t>
            </w:r>
          </w:p>
          <w:p w14:paraId="3A10881E"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Any queries concerning the arrangements to prescribe may be directed to Services Australia on 1800 700 270 (hours of operation 8 a.m. to 5 p.m. EST Monday to Friday).</w:t>
            </w:r>
          </w:p>
          <w:p w14:paraId="2742A744" w14:textId="77777777" w:rsidR="007A2F3E" w:rsidRPr="00D8428B" w:rsidRDefault="007A2F3E" w:rsidP="007A2F3E">
            <w:pPr>
              <w:rPr>
                <w:rFonts w:ascii="Arial Narrow" w:hAnsi="Arial Narrow"/>
                <w:bCs/>
                <w:color w:val="333333"/>
                <w:sz w:val="18"/>
                <w:szCs w:val="18"/>
              </w:rPr>
            </w:pPr>
          </w:p>
          <w:p w14:paraId="4317904E"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 xml:space="preserve">Prescribing information (including Authority Application forms and other relevant documentation as applicable) is available on the Services Australia website at </w:t>
            </w:r>
            <w:r w:rsidRPr="0031616A">
              <w:rPr>
                <w:rFonts w:ascii="Arial Narrow" w:hAnsi="Arial Narrow"/>
                <w:bCs/>
                <w:sz w:val="18"/>
                <w:szCs w:val="18"/>
              </w:rPr>
              <w:t>www.servicesaustralia.gov.au</w:t>
            </w:r>
          </w:p>
          <w:p w14:paraId="7A07C771" w14:textId="77777777" w:rsidR="007A2F3E" w:rsidRPr="00D8428B" w:rsidRDefault="007A2F3E" w:rsidP="007A2F3E">
            <w:pPr>
              <w:rPr>
                <w:rFonts w:ascii="Arial Narrow" w:hAnsi="Arial Narrow"/>
                <w:bCs/>
                <w:color w:val="333333"/>
                <w:sz w:val="18"/>
                <w:szCs w:val="18"/>
              </w:rPr>
            </w:pPr>
          </w:p>
          <w:p w14:paraId="177B225B"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 xml:space="preserve">Applications for authority to prescribe should be submitted online using the form upload facility in Health Professional Online Services (HPOS) at </w:t>
            </w:r>
            <w:r w:rsidRPr="0031616A">
              <w:rPr>
                <w:rFonts w:ascii="Arial Narrow" w:hAnsi="Arial Narrow"/>
                <w:bCs/>
                <w:sz w:val="18"/>
                <w:szCs w:val="18"/>
              </w:rPr>
              <w:t>www.servicesaustralia.gov.au/hpos</w:t>
            </w:r>
          </w:p>
          <w:p w14:paraId="69E1AA8A" w14:textId="77777777" w:rsidR="007A2F3E" w:rsidRPr="00D8428B" w:rsidRDefault="007A2F3E" w:rsidP="007A2F3E">
            <w:pPr>
              <w:rPr>
                <w:rFonts w:ascii="Arial Narrow" w:hAnsi="Arial Narrow"/>
                <w:bCs/>
                <w:color w:val="333333"/>
                <w:sz w:val="18"/>
                <w:szCs w:val="18"/>
              </w:rPr>
            </w:pPr>
          </w:p>
          <w:p w14:paraId="115853CA"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Or mailed to:</w:t>
            </w:r>
          </w:p>
          <w:p w14:paraId="04933631"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Services Australia</w:t>
            </w:r>
          </w:p>
          <w:p w14:paraId="1E92A60F"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Complex Drugs</w:t>
            </w:r>
          </w:p>
          <w:p w14:paraId="7AF94006"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Reply Paid 9826</w:t>
            </w:r>
          </w:p>
          <w:p w14:paraId="471A1752" w14:textId="77777777" w:rsidR="007A2F3E" w:rsidRPr="00D8428B" w:rsidRDefault="007A2F3E" w:rsidP="007A2F3E">
            <w:pPr>
              <w:rPr>
                <w:rFonts w:ascii="Arial Narrow" w:hAnsi="Arial Narrow"/>
                <w:b/>
                <w:bCs/>
                <w:color w:val="333333"/>
                <w:sz w:val="18"/>
                <w:szCs w:val="18"/>
              </w:rPr>
            </w:pPr>
            <w:r w:rsidRPr="00D8428B">
              <w:rPr>
                <w:rFonts w:ascii="Arial Narrow" w:hAnsi="Arial Narrow"/>
                <w:bCs/>
                <w:color w:val="333333"/>
                <w:sz w:val="18"/>
                <w:szCs w:val="18"/>
              </w:rPr>
              <w:t>HOBART TAS 7001</w:t>
            </w:r>
          </w:p>
        </w:tc>
      </w:tr>
      <w:tr w:rsidR="007A2F3E" w:rsidRPr="00D8428B" w14:paraId="2814668B"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F8DA589" w14:textId="77777777" w:rsidR="007A2F3E" w:rsidRPr="00D8428B" w:rsidRDefault="007A2F3E" w:rsidP="007A2F3E">
            <w:pPr>
              <w:rPr>
                <w:rFonts w:ascii="Arial Narrow" w:eastAsiaTheme="minorHAnsi" w:hAnsi="Arial Narrow"/>
                <w:b/>
                <w:sz w:val="18"/>
                <w:szCs w:val="18"/>
              </w:rPr>
            </w:pPr>
          </w:p>
        </w:tc>
      </w:tr>
      <w:tr w:rsidR="007A2F3E" w:rsidRPr="00D8428B" w14:paraId="12577C26"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1AE9A05" w14:textId="77777777" w:rsidR="007A2F3E" w:rsidRPr="00D8428B" w:rsidRDefault="007A2F3E" w:rsidP="007A2F3E">
            <w:pPr>
              <w:rPr>
                <w:rFonts w:ascii="Arial Narrow" w:eastAsiaTheme="minorHAnsi" w:hAnsi="Arial Narrow"/>
                <w:b/>
                <w:sz w:val="18"/>
                <w:szCs w:val="18"/>
              </w:rPr>
            </w:pPr>
            <w:r w:rsidRPr="00D8428B">
              <w:rPr>
                <w:rFonts w:ascii="Arial Narrow" w:eastAsiaTheme="minorHAnsi" w:hAnsi="Arial Narrow"/>
                <w:b/>
                <w:sz w:val="18"/>
                <w:szCs w:val="18"/>
              </w:rPr>
              <w:t>Restriction Summary 9</w:t>
            </w:r>
            <w:r>
              <w:rPr>
                <w:rFonts w:ascii="Arial Narrow" w:eastAsiaTheme="minorHAnsi" w:hAnsi="Arial Narrow"/>
                <w:b/>
                <w:sz w:val="18"/>
                <w:szCs w:val="18"/>
              </w:rPr>
              <w:t>076</w:t>
            </w:r>
            <w:r w:rsidRPr="00D8428B">
              <w:rPr>
                <w:rFonts w:ascii="Arial Narrow" w:eastAsiaTheme="minorHAnsi" w:hAnsi="Arial Narrow"/>
                <w:b/>
                <w:sz w:val="18"/>
                <w:szCs w:val="18"/>
              </w:rPr>
              <w:t xml:space="preserve"> / Treatment of Concept: 91</w:t>
            </w:r>
            <w:r>
              <w:rPr>
                <w:rFonts w:ascii="Arial Narrow" w:eastAsiaTheme="minorHAnsi" w:hAnsi="Arial Narrow"/>
                <w:b/>
                <w:sz w:val="18"/>
                <w:szCs w:val="18"/>
              </w:rPr>
              <w:t>94 (as per ixekizumab; current as at 1 November 2020)</w:t>
            </w:r>
          </w:p>
        </w:tc>
      </w:tr>
      <w:tr w:rsidR="007A2F3E" w:rsidRPr="00D8428B" w14:paraId="67C15BE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1427879"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2E149C6A"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i/>
                <w:color w:val="333333"/>
                <w:sz w:val="18"/>
                <w:szCs w:val="18"/>
              </w:rPr>
              <w:t>(</w:t>
            </w:r>
            <w:r>
              <w:rPr>
                <w:rFonts w:ascii="Arial Narrow" w:hAnsi="Arial Narrow"/>
                <w:bCs/>
                <w:i/>
                <w:color w:val="333333"/>
                <w:sz w:val="18"/>
                <w:szCs w:val="18"/>
              </w:rPr>
              <w:t>------</w:t>
            </w:r>
            <w:r w:rsidRPr="00EB26EA">
              <w:rPr>
                <w:rFonts w:ascii="Arial Narrow" w:hAnsi="Arial Narrow"/>
                <w:bCs/>
                <w:i/>
                <w:color w:val="333333"/>
                <w:sz w:val="18"/>
                <w:szCs w:val="18"/>
              </w:rPr>
              <w:t>see end of document for updated concept</w:t>
            </w:r>
            <w:r>
              <w:rPr>
                <w:rFonts w:ascii="Arial Narrow" w:hAnsi="Arial Narrow"/>
                <w:bCs/>
                <w:i/>
                <w:color w:val="333333"/>
                <w:sz w:val="18"/>
                <w:szCs w:val="18"/>
              </w:rPr>
              <w:t>--------</w:t>
            </w:r>
            <w:r w:rsidRPr="00EB26EA">
              <w:rPr>
                <w:rFonts w:ascii="Arial Narrow" w:hAnsi="Arial Narrow"/>
                <w:bCs/>
                <w:i/>
                <w:color w:val="333333"/>
                <w:sz w:val="18"/>
                <w:szCs w:val="18"/>
              </w:rPr>
              <w:t>)</w:t>
            </w:r>
          </w:p>
        </w:tc>
      </w:tr>
      <w:tr w:rsidR="007A2F3E" w:rsidRPr="00D8428B" w14:paraId="0058CBC2"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FEFC578"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2C7785E7"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color w:val="333333"/>
                <w:sz w:val="18"/>
                <w:szCs w:val="18"/>
              </w:rPr>
              <w:t>No increase in the maximum quantity or number of units may be authorised.</w:t>
            </w:r>
          </w:p>
        </w:tc>
      </w:tr>
      <w:tr w:rsidR="007A2F3E" w:rsidRPr="00D8428B" w14:paraId="48934DE3"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98D86F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57FF2D2"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No increase in the maximum number of repeats may be authorised.</w:t>
            </w:r>
          </w:p>
        </w:tc>
      </w:tr>
      <w:tr w:rsidR="007A2F3E" w:rsidRPr="00D8428B" w14:paraId="70E0704C"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61FD10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DA227E0"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Spe</w:t>
            </w:r>
            <w:r>
              <w:rPr>
                <w:rFonts w:ascii="Arial Narrow" w:hAnsi="Arial Narrow"/>
                <w:bCs/>
                <w:color w:val="333333"/>
                <w:sz w:val="18"/>
                <w:szCs w:val="18"/>
              </w:rPr>
              <w:t>cial Pricing Arrangements apply</w:t>
            </w:r>
          </w:p>
        </w:tc>
      </w:tr>
      <w:tr w:rsidR="007A2F3E" w:rsidRPr="00D8428B" w14:paraId="5E699C26"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6D410F1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3ECCC61"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Indication:</w:t>
            </w:r>
            <w:r w:rsidRPr="00D8428B">
              <w:rPr>
                <w:rFonts w:ascii="Arial Narrow" w:hAnsi="Arial Narrow"/>
                <w:color w:val="333333"/>
                <w:sz w:val="18"/>
                <w:szCs w:val="18"/>
              </w:rPr>
              <w:t xml:space="preserve"> Severe psoriatic arthritis</w:t>
            </w:r>
          </w:p>
        </w:tc>
      </w:tr>
      <w:tr w:rsidR="007A2F3E" w:rsidRPr="00D8428B" w14:paraId="34F04F8E"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149841D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30227507"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Phase:</w:t>
            </w:r>
            <w:r w:rsidRPr="00D8428B">
              <w:rPr>
                <w:rFonts w:ascii="Arial Narrow" w:hAnsi="Arial Narrow"/>
                <w:color w:val="333333"/>
                <w:sz w:val="18"/>
                <w:szCs w:val="18"/>
              </w:rPr>
              <w:t xml:space="preserve"> Initial treatment – Initial 2 (change or recommencement of treatment after a break in biological medicine of less than 5 years)</w:t>
            </w:r>
          </w:p>
        </w:tc>
      </w:tr>
      <w:tr w:rsidR="007A2F3E" w:rsidRPr="00D8428B" w14:paraId="649E3009"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0228D56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38F8996"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criteria:</w:t>
            </w:r>
          </w:p>
        </w:tc>
      </w:tr>
      <w:tr w:rsidR="007A2F3E" w:rsidRPr="00D8428B" w14:paraId="42277606"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23A5B37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26E1DEA7"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rheumatologist; or</w:t>
            </w:r>
          </w:p>
        </w:tc>
      </w:tr>
      <w:tr w:rsidR="007A2F3E" w:rsidRPr="00D8428B" w14:paraId="21997F9C"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7EE7975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5A62300"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clinical immunologist with expertise in the management of psoriatic arthritis</w:t>
            </w:r>
          </w:p>
        </w:tc>
      </w:tr>
      <w:tr w:rsidR="007A2F3E" w:rsidRPr="00D8428B" w14:paraId="75F9F92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8C1378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477BDDD4"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AND</w:t>
            </w:r>
          </w:p>
        </w:tc>
      </w:tr>
      <w:tr w:rsidR="007A2F3E" w:rsidRPr="00D8428B" w14:paraId="38921997"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1D8905C"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3C26D3A4"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4CBDD7AE"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7EC759E"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25691E58"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received prior PBS-subsidised treatment with a biological medicine for this condition in this treatment cycle</w:t>
            </w:r>
          </w:p>
        </w:tc>
      </w:tr>
      <w:tr w:rsidR="007A2F3E" w:rsidRPr="00D8428B" w14:paraId="6EDCC15A"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A08138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2E1789C"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37ABD19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5F27AE1"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6260D3D7"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198DFB0A"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594A30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423F82E9"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not have already failed, or ceased to respond to, PBS-subsidised treatment with 3 biological medicines for this condition within this treatment cycle</w:t>
            </w:r>
          </w:p>
        </w:tc>
      </w:tr>
      <w:tr w:rsidR="007A2F3E" w:rsidRPr="00D8428B" w14:paraId="3D41AAC5"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6E472A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350FE144"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75736B73"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B4122D5"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CE201FF"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697A1960"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7EE167B"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33E168B1"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not have already failed, or ceased to respond to, PBS-subsidised treatment with this drug for this condition during the current treatment cycle</w:t>
            </w:r>
          </w:p>
        </w:tc>
      </w:tr>
      <w:tr w:rsidR="007A2F3E" w:rsidRPr="00D8428B" w14:paraId="10DE6C5D"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C2C783B"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10D28AE"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0D1A5556"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FEFD46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EB411C3"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7AB46F64"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648828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6C38CE4" w14:textId="77777777" w:rsidR="007A2F3E" w:rsidRDefault="007A2F3E" w:rsidP="007A2F3E">
            <w:pPr>
              <w:rPr>
                <w:rFonts w:ascii="Arial Narrow" w:hAnsi="Arial Narrow"/>
                <w:color w:val="333333"/>
                <w:sz w:val="18"/>
                <w:szCs w:val="18"/>
              </w:rPr>
            </w:pPr>
          </w:p>
          <w:p w14:paraId="7700F498" w14:textId="77777777" w:rsidR="007A2F3E" w:rsidRPr="00D8428B" w:rsidRDefault="007A2F3E" w:rsidP="007A2F3E">
            <w:pPr>
              <w:rPr>
                <w:rFonts w:ascii="Arial Narrow" w:hAnsi="Arial Narrow"/>
                <w:color w:val="333333"/>
                <w:sz w:val="18"/>
                <w:szCs w:val="18"/>
              </w:rPr>
            </w:pPr>
            <w:r w:rsidRPr="0019097C">
              <w:rPr>
                <w:rFonts w:ascii="Arial Narrow" w:hAnsi="Arial Narrow"/>
                <w:color w:val="333333"/>
                <w:sz w:val="18"/>
                <w:szCs w:val="18"/>
              </w:rPr>
              <w:t>Patient must not receive more than 20 weeks of treatment under this restriction</w:t>
            </w:r>
          </w:p>
        </w:tc>
      </w:tr>
      <w:tr w:rsidR="007A2F3E" w:rsidRPr="00D8428B" w14:paraId="78732F66"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722390D"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6F38CF3"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11577F64"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5EE5643"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3702C12"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Population criteria:</w:t>
            </w:r>
          </w:p>
        </w:tc>
      </w:tr>
      <w:tr w:rsidR="007A2F3E" w:rsidRPr="00D8428B" w14:paraId="779C152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4BED26D"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79B9B28"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be aged 18 years or older</w:t>
            </w:r>
          </w:p>
        </w:tc>
      </w:tr>
      <w:tr w:rsidR="007A2F3E" w:rsidRPr="00D8428B" w14:paraId="373141AF"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39E4B89C"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68B161C"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Prescribing instructions:</w:t>
            </w:r>
          </w:p>
          <w:p w14:paraId="70DBF70D" w14:textId="77777777" w:rsidR="007A2F3E" w:rsidRDefault="007A2F3E" w:rsidP="007A2F3E">
            <w:pPr>
              <w:rPr>
                <w:rFonts w:ascii="Arial Narrow" w:hAnsi="Arial Narrow"/>
                <w:color w:val="333333"/>
                <w:sz w:val="18"/>
                <w:szCs w:val="18"/>
              </w:rPr>
            </w:pPr>
          </w:p>
          <w:p w14:paraId="41A1A77B" w14:textId="77777777" w:rsidR="007A2F3E" w:rsidRPr="00A36605" w:rsidRDefault="007A2F3E" w:rsidP="007A2F3E">
            <w:pPr>
              <w:rPr>
                <w:rFonts w:ascii="Arial Narrow" w:hAnsi="Arial Narrow"/>
                <w:color w:val="333333"/>
                <w:sz w:val="18"/>
                <w:szCs w:val="18"/>
              </w:rPr>
            </w:pPr>
            <w:r w:rsidRPr="00A36605">
              <w:rPr>
                <w:rFonts w:ascii="Arial Narrow" w:hAnsi="Arial Narrow"/>
                <w:color w:val="333333"/>
                <w:sz w:val="18"/>
                <w:szCs w:val="18"/>
              </w:rPr>
              <w:t>The authority application must be made in writing and must include:</w:t>
            </w:r>
          </w:p>
          <w:p w14:paraId="71A2F9F7" w14:textId="77777777" w:rsidR="007A2F3E" w:rsidRPr="00A36605" w:rsidRDefault="007A2F3E" w:rsidP="007A2F3E">
            <w:pPr>
              <w:rPr>
                <w:rFonts w:ascii="Arial Narrow" w:hAnsi="Arial Narrow"/>
                <w:color w:val="333333"/>
                <w:sz w:val="18"/>
                <w:szCs w:val="18"/>
              </w:rPr>
            </w:pPr>
            <w:r w:rsidRPr="00A36605">
              <w:rPr>
                <w:rFonts w:ascii="Arial Narrow" w:hAnsi="Arial Narrow"/>
                <w:color w:val="333333"/>
                <w:sz w:val="18"/>
                <w:szCs w:val="18"/>
              </w:rPr>
              <w:t>(1) a completed authority prescription form(s); and</w:t>
            </w:r>
          </w:p>
          <w:p w14:paraId="145C623C" w14:textId="77777777" w:rsidR="007A2F3E" w:rsidRPr="00D8428B" w:rsidRDefault="007A2F3E" w:rsidP="007A2F3E">
            <w:pPr>
              <w:rPr>
                <w:rFonts w:ascii="Arial Narrow" w:hAnsi="Arial Narrow"/>
                <w:b/>
                <w:color w:val="333333"/>
                <w:sz w:val="18"/>
                <w:szCs w:val="18"/>
              </w:rPr>
            </w:pPr>
            <w:r w:rsidRPr="00A36605">
              <w:rPr>
                <w:rFonts w:ascii="Arial Narrow" w:hAnsi="Arial Narrow"/>
                <w:color w:val="333333"/>
                <w:sz w:val="18"/>
                <w:szCs w:val="18"/>
              </w:rPr>
              <w:t>(2) a completed Severe Psoriatic Arthritis PBS Authority Application - Supporting Information Form</w:t>
            </w:r>
          </w:p>
        </w:tc>
      </w:tr>
      <w:tr w:rsidR="007A2F3E" w:rsidRPr="00D8428B" w14:paraId="5401E28C" w14:textId="77777777" w:rsidTr="00614ABF">
        <w:tblPrEx>
          <w:tblCellMar>
            <w:top w:w="15" w:type="dxa"/>
            <w:left w:w="15" w:type="dxa"/>
            <w:bottom w:w="15" w:type="dxa"/>
            <w:right w:w="15" w:type="dxa"/>
          </w:tblCellMar>
          <w:tblLook w:val="04A0" w:firstRow="1" w:lastRow="0" w:firstColumn="1" w:lastColumn="0" w:noHBand="0" w:noVBand="1"/>
        </w:tblPrEx>
        <w:trPr>
          <w:trHeight w:val="938"/>
        </w:trPr>
        <w:tc>
          <w:tcPr>
            <w:tcW w:w="981" w:type="dxa"/>
            <w:vAlign w:val="center"/>
          </w:tcPr>
          <w:p w14:paraId="77B19EA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42062D4"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Prescribing Instructions:</w:t>
            </w:r>
          </w:p>
          <w:p w14:paraId="197C4A17" w14:textId="77777777" w:rsidR="007A2F3E" w:rsidRDefault="007A2F3E" w:rsidP="007A2F3E">
            <w:pPr>
              <w:rPr>
                <w:rFonts w:ascii="Arial Narrow" w:hAnsi="Arial Narrow"/>
                <w:bCs/>
                <w:color w:val="333333"/>
                <w:sz w:val="18"/>
                <w:szCs w:val="18"/>
              </w:rPr>
            </w:pPr>
          </w:p>
          <w:p w14:paraId="50331D8F" w14:textId="77777777" w:rsidR="007A2F3E" w:rsidRPr="00D8428B" w:rsidRDefault="007A2F3E" w:rsidP="007A2F3E">
            <w:pPr>
              <w:rPr>
                <w:rFonts w:ascii="Arial Narrow" w:hAnsi="Arial Narrow"/>
                <w:color w:val="333333"/>
                <w:sz w:val="18"/>
                <w:szCs w:val="18"/>
              </w:rPr>
            </w:pPr>
            <w:r w:rsidRPr="00A36605">
              <w:rPr>
                <w:rFonts w:ascii="Arial Narrow" w:hAnsi="Arial Narrow"/>
                <w:color w:val="333333"/>
                <w:sz w:val="18"/>
                <w:szCs w:val="18"/>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tc>
      </w:tr>
      <w:tr w:rsidR="007A2F3E" w:rsidRPr="00D8428B" w14:paraId="01F86C25"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675CE86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24CA58F"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01785F9B" w14:textId="77777777" w:rsidR="007A2F3E" w:rsidRPr="00D8428B" w:rsidRDefault="007A2F3E" w:rsidP="007A2F3E">
            <w:pPr>
              <w:rPr>
                <w:rFonts w:ascii="Arial Narrow" w:hAnsi="Arial Narrow"/>
                <w:bCs/>
                <w:color w:val="333333"/>
                <w:sz w:val="18"/>
                <w:szCs w:val="18"/>
              </w:rPr>
            </w:pPr>
            <w:r w:rsidRPr="00A36605">
              <w:rPr>
                <w:rFonts w:ascii="Arial Narrow" w:hAnsi="Arial Narrow"/>
                <w:bCs/>
                <w:color w:val="333333"/>
                <w:sz w:val="18"/>
                <w:szCs w:val="18"/>
              </w:rP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p>
        </w:tc>
      </w:tr>
      <w:tr w:rsidR="007A2F3E" w:rsidRPr="00D8428B" w14:paraId="07FB1ED7"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25968B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B12E5F8" w14:textId="77777777" w:rsidR="007A2F3E" w:rsidRPr="00997801" w:rsidRDefault="007A2F3E" w:rsidP="007A2F3E">
            <w:pPr>
              <w:rPr>
                <w:rFonts w:ascii="Arial Narrow" w:hAnsi="Arial Narrow"/>
                <w:b/>
                <w:bCs/>
                <w:color w:val="333333"/>
                <w:sz w:val="18"/>
                <w:szCs w:val="18"/>
              </w:rPr>
            </w:pPr>
            <w:r w:rsidRPr="00997801">
              <w:rPr>
                <w:rFonts w:ascii="Arial Narrow" w:hAnsi="Arial Narrow"/>
                <w:b/>
                <w:bCs/>
                <w:color w:val="333333"/>
                <w:sz w:val="18"/>
                <w:szCs w:val="18"/>
              </w:rPr>
              <w:t>Prescribing Instructions:</w:t>
            </w:r>
          </w:p>
          <w:p w14:paraId="0F0D301A" w14:textId="77777777" w:rsidR="007A2F3E" w:rsidRPr="00997801" w:rsidRDefault="007A2F3E" w:rsidP="007A2F3E">
            <w:pPr>
              <w:rPr>
                <w:rFonts w:ascii="Arial Narrow" w:hAnsi="Arial Narrow"/>
                <w:bCs/>
                <w:color w:val="333333"/>
                <w:sz w:val="18"/>
                <w:szCs w:val="18"/>
              </w:rPr>
            </w:pPr>
            <w:r w:rsidRPr="00997801">
              <w:rPr>
                <w:rFonts w:ascii="Arial Narrow" w:hAnsi="Arial Narrow"/>
                <w:bCs/>
                <w:color w:val="333333"/>
                <w:sz w:val="18"/>
                <w:szCs w:val="18"/>
              </w:rP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p>
        </w:tc>
      </w:tr>
      <w:tr w:rsidR="007A2F3E" w:rsidRPr="00D8428B" w14:paraId="6B222EDD" w14:textId="77777777" w:rsidTr="007A2F3E">
        <w:tblPrEx>
          <w:tblCellMar>
            <w:top w:w="15" w:type="dxa"/>
            <w:left w:w="15" w:type="dxa"/>
            <w:bottom w:w="15" w:type="dxa"/>
            <w:right w:w="15" w:type="dxa"/>
          </w:tblCellMar>
          <w:tblLook w:val="04A0" w:firstRow="1" w:lastRow="0" w:firstColumn="1" w:lastColumn="0" w:noHBand="0" w:noVBand="1"/>
        </w:tblPrEx>
        <w:trPr>
          <w:trHeight w:val="620"/>
        </w:trPr>
        <w:tc>
          <w:tcPr>
            <w:tcW w:w="981" w:type="dxa"/>
            <w:vAlign w:val="center"/>
          </w:tcPr>
          <w:p w14:paraId="47DAE19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330CC731"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0C426B7C"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Where the response assessment is not submitted within this timeframe, the patient will be deemed to have failed to respond to treatment with this drug.</w:t>
            </w:r>
          </w:p>
        </w:tc>
      </w:tr>
      <w:tr w:rsidR="007A2F3E" w:rsidRPr="00D8428B" w14:paraId="226FEF69" w14:textId="77777777" w:rsidTr="007A2F3E">
        <w:tblPrEx>
          <w:tblCellMar>
            <w:top w:w="15" w:type="dxa"/>
            <w:left w:w="15" w:type="dxa"/>
            <w:bottom w:w="15" w:type="dxa"/>
            <w:right w:w="15" w:type="dxa"/>
          </w:tblCellMar>
          <w:tblLook w:val="04A0" w:firstRow="1" w:lastRow="0" w:firstColumn="1" w:lastColumn="0" w:noHBand="0" w:noVBand="1"/>
        </w:tblPrEx>
        <w:trPr>
          <w:trHeight w:val="866"/>
        </w:trPr>
        <w:tc>
          <w:tcPr>
            <w:tcW w:w="981" w:type="dxa"/>
            <w:vAlign w:val="center"/>
          </w:tcPr>
          <w:p w14:paraId="196CC4AE"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CC20C5E"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3B616517"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7A2F3E" w:rsidRPr="00D8428B" w14:paraId="7846569F" w14:textId="77777777" w:rsidTr="007A2F3E">
        <w:tblPrEx>
          <w:tblCellMar>
            <w:top w:w="15" w:type="dxa"/>
            <w:left w:w="15" w:type="dxa"/>
            <w:bottom w:w="15" w:type="dxa"/>
            <w:right w:w="15" w:type="dxa"/>
          </w:tblCellMar>
          <w:tblLook w:val="04A0" w:firstRow="1" w:lastRow="0" w:firstColumn="1" w:lastColumn="0" w:noHBand="0" w:noVBand="1"/>
        </w:tblPrEx>
        <w:trPr>
          <w:trHeight w:val="866"/>
        </w:trPr>
        <w:tc>
          <w:tcPr>
            <w:tcW w:w="981" w:type="dxa"/>
            <w:vAlign w:val="center"/>
          </w:tcPr>
          <w:p w14:paraId="3B4050A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D622740" w14:textId="77777777" w:rsidR="007A2F3E" w:rsidRPr="00997801" w:rsidRDefault="007A2F3E" w:rsidP="007A2F3E">
            <w:pPr>
              <w:rPr>
                <w:rFonts w:ascii="Arial Narrow" w:hAnsi="Arial Narrow"/>
                <w:b/>
                <w:bCs/>
                <w:color w:val="333333"/>
                <w:sz w:val="18"/>
                <w:szCs w:val="18"/>
              </w:rPr>
            </w:pPr>
            <w:r w:rsidRPr="00997801">
              <w:rPr>
                <w:rFonts w:ascii="Arial Narrow" w:hAnsi="Arial Narrow"/>
                <w:b/>
                <w:bCs/>
                <w:color w:val="333333"/>
                <w:sz w:val="18"/>
                <w:szCs w:val="18"/>
              </w:rPr>
              <w:t>Prescribing Instructions:</w:t>
            </w:r>
          </w:p>
          <w:p w14:paraId="29889845" w14:textId="77777777" w:rsidR="007A2F3E" w:rsidRPr="00997801" w:rsidRDefault="007A2F3E" w:rsidP="007A2F3E">
            <w:pPr>
              <w:rPr>
                <w:rFonts w:ascii="Arial Narrow" w:hAnsi="Arial Narrow"/>
                <w:bCs/>
                <w:color w:val="333333"/>
                <w:sz w:val="18"/>
                <w:szCs w:val="18"/>
              </w:rPr>
            </w:pPr>
            <w:r w:rsidRPr="00997801">
              <w:rPr>
                <w:rFonts w:ascii="Arial Narrow" w:hAnsi="Arial Narrow"/>
                <w:bCs/>
                <w:color w:val="333333"/>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7A2F3E" w:rsidRPr="00D8428B" w14:paraId="54AD4AAA" w14:textId="77777777" w:rsidTr="007A2F3E">
        <w:tblPrEx>
          <w:tblCellMar>
            <w:top w:w="15" w:type="dxa"/>
            <w:left w:w="15" w:type="dxa"/>
            <w:bottom w:w="15" w:type="dxa"/>
            <w:right w:w="15" w:type="dxa"/>
          </w:tblCellMar>
          <w:tblLook w:val="04A0" w:firstRow="1" w:lastRow="0" w:firstColumn="1" w:lastColumn="0" w:noHBand="0" w:noVBand="1"/>
        </w:tblPrEx>
        <w:trPr>
          <w:trHeight w:val="229"/>
        </w:trPr>
        <w:tc>
          <w:tcPr>
            <w:tcW w:w="981" w:type="dxa"/>
            <w:vAlign w:val="center"/>
          </w:tcPr>
          <w:p w14:paraId="3D75FD8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28B45DB" w14:textId="77777777" w:rsidR="007A2F3E" w:rsidRPr="00D8428B" w:rsidRDefault="007A2F3E" w:rsidP="007A2F3E">
            <w:pPr>
              <w:rPr>
                <w:rFonts w:ascii="Arial Narrow" w:hAnsi="Arial Narrow"/>
                <w:b/>
                <w:bCs/>
                <w:color w:val="333333"/>
                <w:sz w:val="18"/>
                <w:szCs w:val="18"/>
              </w:rPr>
            </w:pPr>
            <w:r w:rsidRPr="00D8428B">
              <w:rPr>
                <w:rFonts w:ascii="Arial Narrow" w:hAnsi="Arial Narrow"/>
                <w:b/>
                <w:bCs/>
                <w:color w:val="333333"/>
                <w:sz w:val="18"/>
                <w:szCs w:val="18"/>
              </w:rPr>
              <w:t>Administrative Advice:</w:t>
            </w:r>
          </w:p>
          <w:p w14:paraId="6403D665"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Any queries concerning the arrangements to prescribe may be directed to Services Australia on 1800 700 270 (hours of operation 8 a.m. to 5 p.m. EST Monday to Friday).</w:t>
            </w:r>
          </w:p>
          <w:p w14:paraId="0244DA01" w14:textId="77777777" w:rsidR="007A2F3E" w:rsidRPr="00D8428B" w:rsidRDefault="007A2F3E" w:rsidP="007A2F3E">
            <w:pPr>
              <w:rPr>
                <w:rFonts w:ascii="Arial Narrow" w:hAnsi="Arial Narrow"/>
                <w:bCs/>
                <w:color w:val="333333"/>
                <w:sz w:val="18"/>
                <w:szCs w:val="18"/>
              </w:rPr>
            </w:pPr>
          </w:p>
          <w:p w14:paraId="266C0EC3"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 xml:space="preserve">Prescribing information (including Authority Application forms and other relevant documentation as applicable) is available on the Services Australia website at </w:t>
            </w:r>
            <w:r w:rsidRPr="0031616A">
              <w:rPr>
                <w:rFonts w:ascii="Arial Narrow" w:hAnsi="Arial Narrow"/>
                <w:bCs/>
                <w:sz w:val="18"/>
                <w:szCs w:val="18"/>
              </w:rPr>
              <w:t>www.servicesaustralia.gov.au</w:t>
            </w:r>
          </w:p>
          <w:p w14:paraId="1A7F23BD" w14:textId="77777777" w:rsidR="007A2F3E" w:rsidRPr="00D8428B" w:rsidRDefault="007A2F3E" w:rsidP="007A2F3E">
            <w:pPr>
              <w:rPr>
                <w:rFonts w:ascii="Arial Narrow" w:hAnsi="Arial Narrow"/>
                <w:bCs/>
                <w:color w:val="333333"/>
                <w:sz w:val="18"/>
                <w:szCs w:val="18"/>
              </w:rPr>
            </w:pPr>
          </w:p>
          <w:p w14:paraId="1A8ACC6D"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 xml:space="preserve">Applications for authority to prescribe should be submitted online using the form upload facility in Health Professional Online Services (HPOS) at </w:t>
            </w:r>
            <w:r w:rsidRPr="0031616A">
              <w:rPr>
                <w:rFonts w:ascii="Arial Narrow" w:hAnsi="Arial Narrow"/>
                <w:bCs/>
                <w:sz w:val="18"/>
                <w:szCs w:val="18"/>
              </w:rPr>
              <w:t>www.servicesaustralia.gov.au/hpos</w:t>
            </w:r>
          </w:p>
          <w:p w14:paraId="59D11F01" w14:textId="77777777" w:rsidR="007A2F3E" w:rsidRPr="00D8428B" w:rsidRDefault="007A2F3E" w:rsidP="007A2F3E">
            <w:pPr>
              <w:rPr>
                <w:rFonts w:ascii="Arial Narrow" w:hAnsi="Arial Narrow"/>
                <w:bCs/>
                <w:color w:val="333333"/>
                <w:sz w:val="18"/>
                <w:szCs w:val="18"/>
              </w:rPr>
            </w:pPr>
          </w:p>
          <w:p w14:paraId="469F460D"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Or mailed to:</w:t>
            </w:r>
          </w:p>
          <w:p w14:paraId="674F2EA5"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Services Australia</w:t>
            </w:r>
          </w:p>
          <w:p w14:paraId="63BD6C8C"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Complex Drugs</w:t>
            </w:r>
          </w:p>
          <w:p w14:paraId="74FA1351"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Reply Paid 9826</w:t>
            </w:r>
          </w:p>
          <w:p w14:paraId="38C4102C" w14:textId="77777777" w:rsidR="007A2F3E" w:rsidRPr="00D8428B" w:rsidRDefault="007A2F3E" w:rsidP="007A2F3E">
            <w:pPr>
              <w:rPr>
                <w:rFonts w:ascii="Arial Narrow" w:hAnsi="Arial Narrow"/>
                <w:b/>
                <w:bCs/>
                <w:color w:val="333333"/>
                <w:sz w:val="18"/>
                <w:szCs w:val="18"/>
              </w:rPr>
            </w:pPr>
            <w:r w:rsidRPr="00D8428B">
              <w:rPr>
                <w:rFonts w:ascii="Arial Narrow" w:hAnsi="Arial Narrow"/>
                <w:bCs/>
                <w:color w:val="333333"/>
                <w:sz w:val="18"/>
                <w:szCs w:val="18"/>
              </w:rPr>
              <w:t>HOBART TAS 7001</w:t>
            </w:r>
          </w:p>
        </w:tc>
      </w:tr>
      <w:tr w:rsidR="007A2F3E" w:rsidRPr="00D8428B" w14:paraId="4B57D1A4"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7163E11" w14:textId="77777777" w:rsidR="007A2F3E" w:rsidRPr="00D8428B" w:rsidRDefault="007A2F3E" w:rsidP="007A2F3E">
            <w:pPr>
              <w:rPr>
                <w:rFonts w:ascii="Arial Narrow" w:eastAsiaTheme="minorHAnsi" w:hAnsi="Arial Narrow"/>
                <w:b/>
                <w:sz w:val="18"/>
                <w:szCs w:val="18"/>
              </w:rPr>
            </w:pPr>
          </w:p>
        </w:tc>
      </w:tr>
      <w:tr w:rsidR="007A2F3E" w:rsidRPr="00D8428B" w14:paraId="71463680"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31254A7" w14:textId="77777777" w:rsidR="007A2F3E" w:rsidRPr="00D8428B" w:rsidRDefault="007A2F3E" w:rsidP="007A2F3E">
            <w:pPr>
              <w:rPr>
                <w:rFonts w:ascii="Arial Narrow" w:eastAsiaTheme="minorHAnsi" w:hAnsi="Arial Narrow"/>
                <w:b/>
                <w:sz w:val="18"/>
                <w:szCs w:val="18"/>
              </w:rPr>
            </w:pPr>
            <w:r w:rsidRPr="004F66BE">
              <w:rPr>
                <w:rFonts w:ascii="Arial Narrow" w:eastAsiaTheme="minorHAnsi" w:hAnsi="Arial Narrow"/>
                <w:b/>
                <w:sz w:val="18"/>
                <w:szCs w:val="18"/>
              </w:rPr>
              <w:t>Restriction Summary 9</w:t>
            </w:r>
            <w:r>
              <w:rPr>
                <w:rFonts w:ascii="Arial Narrow" w:eastAsiaTheme="minorHAnsi" w:hAnsi="Arial Narrow"/>
                <w:b/>
                <w:sz w:val="18"/>
                <w:szCs w:val="18"/>
              </w:rPr>
              <w:t>193</w:t>
            </w:r>
            <w:r w:rsidRPr="004F66BE">
              <w:rPr>
                <w:rFonts w:ascii="Arial Narrow" w:eastAsiaTheme="minorHAnsi" w:hAnsi="Arial Narrow"/>
                <w:b/>
                <w:sz w:val="18"/>
                <w:szCs w:val="18"/>
              </w:rPr>
              <w:t xml:space="preserve"> / Treatment of Concept: 91</w:t>
            </w:r>
            <w:r>
              <w:rPr>
                <w:rFonts w:ascii="Arial Narrow" w:eastAsiaTheme="minorHAnsi" w:hAnsi="Arial Narrow"/>
                <w:b/>
                <w:sz w:val="18"/>
                <w:szCs w:val="18"/>
              </w:rPr>
              <w:t>18</w:t>
            </w:r>
            <w:r w:rsidRPr="004F66BE">
              <w:rPr>
                <w:rFonts w:ascii="Arial Narrow" w:eastAsiaTheme="minorHAnsi" w:hAnsi="Arial Narrow"/>
                <w:b/>
                <w:sz w:val="18"/>
                <w:szCs w:val="18"/>
              </w:rPr>
              <w:t xml:space="preserve"> (as per ixekizumab; current as at 1 November 2020)</w:t>
            </w:r>
          </w:p>
        </w:tc>
      </w:tr>
      <w:tr w:rsidR="007A2F3E" w:rsidRPr="00D8428B" w14:paraId="14A5BDD0"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A5B04F"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48698F28"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i/>
                <w:color w:val="333333"/>
                <w:sz w:val="18"/>
                <w:szCs w:val="18"/>
              </w:rPr>
              <w:t>(</w:t>
            </w:r>
            <w:r>
              <w:rPr>
                <w:rFonts w:ascii="Arial Narrow" w:hAnsi="Arial Narrow"/>
                <w:bCs/>
                <w:i/>
                <w:color w:val="333333"/>
                <w:sz w:val="18"/>
                <w:szCs w:val="18"/>
              </w:rPr>
              <w:t>------</w:t>
            </w:r>
            <w:r w:rsidRPr="00EB26EA">
              <w:rPr>
                <w:rFonts w:ascii="Arial Narrow" w:hAnsi="Arial Narrow"/>
                <w:bCs/>
                <w:i/>
                <w:color w:val="333333"/>
                <w:sz w:val="18"/>
                <w:szCs w:val="18"/>
              </w:rPr>
              <w:t>see end of document for updated concept</w:t>
            </w:r>
            <w:r>
              <w:rPr>
                <w:rFonts w:ascii="Arial Narrow" w:hAnsi="Arial Narrow"/>
                <w:bCs/>
                <w:i/>
                <w:color w:val="333333"/>
                <w:sz w:val="18"/>
                <w:szCs w:val="18"/>
              </w:rPr>
              <w:t>--------</w:t>
            </w:r>
            <w:r w:rsidRPr="00EB26EA">
              <w:rPr>
                <w:rFonts w:ascii="Arial Narrow" w:hAnsi="Arial Narrow"/>
                <w:bCs/>
                <w:i/>
                <w:color w:val="333333"/>
                <w:sz w:val="18"/>
                <w:szCs w:val="18"/>
              </w:rPr>
              <w:t>)</w:t>
            </w:r>
          </w:p>
        </w:tc>
      </w:tr>
      <w:tr w:rsidR="007A2F3E" w:rsidRPr="00D8428B" w14:paraId="02A4B7C2"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56F8498"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123E7F42"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color w:val="333333"/>
                <w:sz w:val="18"/>
                <w:szCs w:val="18"/>
              </w:rPr>
              <w:t>No increase in the maximum quantity or number of units may be authorised.</w:t>
            </w:r>
          </w:p>
        </w:tc>
      </w:tr>
      <w:tr w:rsidR="007A2F3E" w:rsidRPr="00D8428B" w14:paraId="3BF04F8F"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42A4A7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577B1E3"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No increase in the maximum number of repeats may be authorised.</w:t>
            </w:r>
          </w:p>
        </w:tc>
      </w:tr>
      <w:tr w:rsidR="007A2F3E" w:rsidRPr="00D8428B" w14:paraId="3F80B487"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D29066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9E77502"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Spe</w:t>
            </w:r>
            <w:r>
              <w:rPr>
                <w:rFonts w:ascii="Arial Narrow" w:hAnsi="Arial Narrow"/>
                <w:bCs/>
                <w:color w:val="333333"/>
                <w:sz w:val="18"/>
                <w:szCs w:val="18"/>
              </w:rPr>
              <w:t>cial Pricing Arrangements apply</w:t>
            </w:r>
          </w:p>
        </w:tc>
      </w:tr>
      <w:tr w:rsidR="007A2F3E" w:rsidRPr="00D8428B" w14:paraId="39AEFC83"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479A80F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0D52B9CF"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Indication:</w:t>
            </w:r>
            <w:r w:rsidRPr="00D8428B">
              <w:rPr>
                <w:rFonts w:ascii="Arial Narrow" w:hAnsi="Arial Narrow"/>
                <w:color w:val="333333"/>
                <w:sz w:val="18"/>
                <w:szCs w:val="18"/>
              </w:rPr>
              <w:t xml:space="preserve"> Severe psoriatic arthritis</w:t>
            </w:r>
          </w:p>
        </w:tc>
      </w:tr>
      <w:tr w:rsidR="007A2F3E" w:rsidRPr="00D8428B" w14:paraId="2EE41021"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0919FDEB"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452EC90F"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Phase:</w:t>
            </w:r>
            <w:r w:rsidRPr="00D8428B">
              <w:rPr>
                <w:rFonts w:ascii="Arial Narrow" w:hAnsi="Arial Narrow"/>
                <w:color w:val="333333"/>
                <w:sz w:val="18"/>
                <w:szCs w:val="18"/>
              </w:rPr>
              <w:t xml:space="preserve"> Initial treatment – Initial 3 (recommencement of treatment after a break in biological medicine of more than 5 years)</w:t>
            </w:r>
          </w:p>
        </w:tc>
      </w:tr>
      <w:tr w:rsidR="007A2F3E" w:rsidRPr="00D8428B" w14:paraId="77F26CB8"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7E4B86FE"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3286C9A4"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criteria:</w:t>
            </w:r>
          </w:p>
        </w:tc>
      </w:tr>
      <w:tr w:rsidR="007A2F3E" w:rsidRPr="00D8428B" w14:paraId="6EDC0005"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2A41CE60"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3996F259"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rheumatologist; or</w:t>
            </w:r>
          </w:p>
        </w:tc>
      </w:tr>
      <w:tr w:rsidR="007A2F3E" w:rsidRPr="00D8428B" w14:paraId="1829A791"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08F9A8CB"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6CCD39A7"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clinical immunologist with expertise in the management of psoriatic arthritis</w:t>
            </w:r>
          </w:p>
        </w:tc>
      </w:tr>
      <w:tr w:rsidR="007A2F3E" w:rsidRPr="00D8428B" w14:paraId="38C83802"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10E2EBC"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8239998"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AND</w:t>
            </w:r>
          </w:p>
        </w:tc>
      </w:tr>
      <w:tr w:rsidR="007A2F3E" w:rsidRPr="00D8428B" w14:paraId="746F273D"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196BC1"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E47D2D0"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708513AB"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741396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4C443A80"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previously received PBS-subsidised treatment with a biological medicine for this condition</w:t>
            </w:r>
          </w:p>
        </w:tc>
      </w:tr>
      <w:tr w:rsidR="007A2F3E" w:rsidRPr="00D8428B" w14:paraId="298AB520"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C5078C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636A5FC"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0DD6545E"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9535AC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DCE4914"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3C626FD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6F544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3401994A"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a break in treatment of 5 years or more from the most recently approved PBS-subsidised biological medicine for this condition</w:t>
            </w:r>
          </w:p>
        </w:tc>
      </w:tr>
      <w:tr w:rsidR="007A2F3E" w:rsidRPr="00D8428B" w14:paraId="1D01E502"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76981A5"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59F580F"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1F8A3A5D"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CBB41FC"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6DF4C97"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0435DD9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4EDBEC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FBCAC95"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The condition must have an elevated erythrocyte sedimentation rate (ESR) greater than 25 mm per hour; or</w:t>
            </w:r>
          </w:p>
        </w:tc>
      </w:tr>
      <w:tr w:rsidR="007A2F3E" w:rsidRPr="00D8428B" w14:paraId="6FCF2926"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182E7A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35FE1743"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The condition must have a C-reactive protein (CRP) level greater than 15 mg per L</w:t>
            </w:r>
          </w:p>
        </w:tc>
      </w:tr>
      <w:tr w:rsidR="007A2F3E" w:rsidRPr="00D8428B" w14:paraId="5FDB4BF5"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6A7F6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5A68224"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1EC3369B"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AFDEEA3"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AB8CDFC"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6988249D"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212AE1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1ADF475"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The condition must have either (a) a total active joint count of at least 20 active (swollen and tender) joints; or (b) at least 4 active major joints</w:t>
            </w:r>
          </w:p>
        </w:tc>
      </w:tr>
      <w:tr w:rsidR="007A2F3E" w:rsidRPr="00D8428B" w14:paraId="39C0AD3D"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6F17B65"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9179BCC"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27BA653E"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FC2C59E"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E240AAD"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4CBBE36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4CABF8F"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123A817" w14:textId="77777777" w:rsidR="007A2F3E" w:rsidRDefault="007A2F3E" w:rsidP="007A2F3E">
            <w:pPr>
              <w:rPr>
                <w:rFonts w:ascii="Arial Narrow" w:hAnsi="Arial Narrow"/>
                <w:color w:val="333333"/>
                <w:sz w:val="18"/>
                <w:szCs w:val="18"/>
              </w:rPr>
            </w:pPr>
          </w:p>
          <w:p w14:paraId="2FF45DB6" w14:textId="77777777" w:rsidR="007A2F3E" w:rsidRPr="00D8428B" w:rsidRDefault="007A2F3E" w:rsidP="007A2F3E">
            <w:pPr>
              <w:rPr>
                <w:rFonts w:ascii="Arial Narrow" w:hAnsi="Arial Narrow"/>
                <w:color w:val="333333"/>
                <w:sz w:val="18"/>
                <w:szCs w:val="18"/>
              </w:rPr>
            </w:pPr>
            <w:r w:rsidRPr="004F66BE">
              <w:rPr>
                <w:rFonts w:ascii="Arial Narrow" w:hAnsi="Arial Narrow"/>
                <w:color w:val="333333"/>
                <w:sz w:val="18"/>
                <w:szCs w:val="18"/>
              </w:rPr>
              <w:t>Patient must not receive more than 20 weeks of treatment under this restriction</w:t>
            </w:r>
          </w:p>
        </w:tc>
      </w:tr>
      <w:tr w:rsidR="007A2F3E" w:rsidRPr="00D8428B" w14:paraId="2DB80162"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F101A3F"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7CBBA55"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06BD4CBF"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719D06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45D34C0"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Population criteria:</w:t>
            </w:r>
          </w:p>
        </w:tc>
      </w:tr>
      <w:tr w:rsidR="007A2F3E" w:rsidRPr="00D8428B" w14:paraId="21EE7120"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735E83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A199177"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be aged 18 years or older</w:t>
            </w:r>
          </w:p>
        </w:tc>
      </w:tr>
      <w:tr w:rsidR="007A2F3E" w:rsidRPr="00D8428B" w14:paraId="3CC51E15"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5376ABDF"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AAC5C49"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Prescribing instructions:</w:t>
            </w:r>
          </w:p>
          <w:p w14:paraId="115D20EF" w14:textId="77777777" w:rsidR="007A2F3E" w:rsidRPr="00D8428B" w:rsidRDefault="007A2F3E" w:rsidP="007A2F3E">
            <w:pPr>
              <w:rPr>
                <w:rFonts w:ascii="Arial Narrow" w:hAnsi="Arial Narrow"/>
                <w:b/>
                <w:color w:val="333333"/>
                <w:sz w:val="18"/>
                <w:szCs w:val="18"/>
              </w:rPr>
            </w:pPr>
            <w:r w:rsidRPr="00D8428B">
              <w:rPr>
                <w:rFonts w:ascii="Arial Narrow" w:hAnsi="Arial Narrow"/>
                <w:color w:val="333333"/>
                <w:sz w:val="18"/>
                <w:szCs w:val="18"/>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tc>
      </w:tr>
      <w:tr w:rsidR="007A2F3E" w:rsidRPr="00D8428B" w14:paraId="50E1D8C0" w14:textId="77777777" w:rsidTr="007A2F3E">
        <w:tblPrEx>
          <w:tblCellMar>
            <w:top w:w="15" w:type="dxa"/>
            <w:left w:w="15" w:type="dxa"/>
            <w:bottom w:w="15" w:type="dxa"/>
            <w:right w:w="15" w:type="dxa"/>
          </w:tblCellMar>
          <w:tblLook w:val="04A0" w:firstRow="1" w:lastRow="0" w:firstColumn="1" w:lastColumn="0" w:noHBand="0" w:noVBand="1"/>
        </w:tblPrEx>
        <w:trPr>
          <w:trHeight w:val="453"/>
        </w:trPr>
        <w:tc>
          <w:tcPr>
            <w:tcW w:w="981" w:type="dxa"/>
            <w:vAlign w:val="center"/>
          </w:tcPr>
          <w:p w14:paraId="711FDA60"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E099167"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Prescribing instructions:</w:t>
            </w:r>
          </w:p>
          <w:p w14:paraId="001C186E" w14:textId="77777777" w:rsidR="007A2F3E" w:rsidRPr="00D8428B" w:rsidRDefault="007A2F3E" w:rsidP="007A2F3E">
            <w:pPr>
              <w:autoSpaceDE w:val="0"/>
              <w:autoSpaceDN w:val="0"/>
              <w:adjustRightInd w:val="0"/>
              <w:rPr>
                <w:rFonts w:ascii="Arial Narrow" w:hAnsi="Arial Narrow"/>
                <w:b/>
                <w:color w:val="333333"/>
                <w:sz w:val="18"/>
                <w:szCs w:val="18"/>
              </w:rPr>
            </w:pPr>
            <w:r w:rsidRPr="00D8428B">
              <w:rPr>
                <w:rFonts w:ascii="Arial Narrow" w:eastAsiaTheme="minorHAnsi" w:hAnsi="Arial Narrow" w:cs="Arial Narrow"/>
                <w:iCs/>
                <w:sz w:val="18"/>
                <w:szCs w:val="20"/>
              </w:rPr>
              <w:t>All measures of joint count and ESR and/or CRP must be no more than one month old at the time of initial application.</w:t>
            </w:r>
          </w:p>
        </w:tc>
      </w:tr>
      <w:tr w:rsidR="007A2F3E" w:rsidRPr="00D8428B" w14:paraId="548AEED2" w14:textId="77777777" w:rsidTr="007A2F3E">
        <w:tblPrEx>
          <w:tblCellMar>
            <w:top w:w="15" w:type="dxa"/>
            <w:left w:w="15" w:type="dxa"/>
            <w:bottom w:w="15" w:type="dxa"/>
            <w:right w:w="15" w:type="dxa"/>
          </w:tblCellMar>
          <w:tblLook w:val="04A0" w:firstRow="1" w:lastRow="0" w:firstColumn="1" w:lastColumn="0" w:noHBand="0" w:noVBand="1"/>
        </w:tblPrEx>
        <w:trPr>
          <w:trHeight w:val="620"/>
        </w:trPr>
        <w:tc>
          <w:tcPr>
            <w:tcW w:w="981" w:type="dxa"/>
            <w:vAlign w:val="center"/>
          </w:tcPr>
          <w:p w14:paraId="03451EB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DB7EFA2"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Prescribing instructions:</w:t>
            </w:r>
          </w:p>
          <w:p w14:paraId="6470C037" w14:textId="77777777" w:rsidR="007A2F3E" w:rsidRPr="00D8428B" w:rsidRDefault="007A2F3E" w:rsidP="007A2F3E">
            <w:pPr>
              <w:rPr>
                <w:rFonts w:ascii="Arial Narrow" w:hAnsi="Arial Narrow"/>
                <w:b/>
                <w:color w:val="333333"/>
                <w:sz w:val="18"/>
                <w:szCs w:val="18"/>
              </w:rPr>
            </w:pPr>
            <w:r w:rsidRPr="00D8428B">
              <w:rPr>
                <w:rFonts w:ascii="Arial Narrow" w:hAnsi="Arial Narrow"/>
                <w:color w:val="333333"/>
                <w:sz w:val="18"/>
                <w:szCs w:val="18"/>
              </w:rPr>
              <w:t>If the above requirement to demonstrate an elevated ESR or CRP cannot be met, the application must state the reasons why this criterion cannot be satisfied.</w:t>
            </w:r>
          </w:p>
        </w:tc>
      </w:tr>
      <w:tr w:rsidR="007A2F3E" w:rsidRPr="00D8428B" w14:paraId="08A6456E" w14:textId="77777777" w:rsidTr="007A2F3E">
        <w:tblPrEx>
          <w:tblCellMar>
            <w:top w:w="15" w:type="dxa"/>
            <w:left w:w="15" w:type="dxa"/>
            <w:bottom w:w="15" w:type="dxa"/>
            <w:right w:w="15" w:type="dxa"/>
          </w:tblCellMar>
          <w:tblLook w:val="04A0" w:firstRow="1" w:lastRow="0" w:firstColumn="1" w:lastColumn="0" w:noHBand="0" w:noVBand="1"/>
        </w:tblPrEx>
        <w:trPr>
          <w:trHeight w:val="1033"/>
        </w:trPr>
        <w:tc>
          <w:tcPr>
            <w:tcW w:w="981" w:type="dxa"/>
            <w:vAlign w:val="center"/>
          </w:tcPr>
          <w:p w14:paraId="70F8DD41"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64D0731"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Prescribing Instructions:</w:t>
            </w:r>
          </w:p>
          <w:p w14:paraId="2419B0F4" w14:textId="77777777" w:rsidR="007A2F3E" w:rsidRPr="00D8428B" w:rsidRDefault="007A2F3E" w:rsidP="007A2F3E">
            <w:pPr>
              <w:rPr>
                <w:rFonts w:ascii="Arial Narrow" w:hAnsi="Arial Narrow"/>
                <w:color w:val="333333"/>
                <w:sz w:val="18"/>
                <w:szCs w:val="18"/>
              </w:rPr>
            </w:pPr>
            <w:r w:rsidRPr="00D8428B">
              <w:rPr>
                <w:rFonts w:ascii="Arial Narrow" w:hAnsi="Arial Narrow"/>
                <w:bCs/>
                <w:color w:val="333333"/>
                <w:sz w:val="18"/>
                <w:szCs w:val="18"/>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tc>
      </w:tr>
      <w:tr w:rsidR="007A2F3E" w:rsidRPr="00D8428B" w14:paraId="19B5E2EF"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6DC236B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4EB92B2C"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30BA0F07"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The authority application must be made in writing and must include:</w:t>
            </w:r>
          </w:p>
          <w:p w14:paraId="6CDF436D"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(1) a completed authority prescription form(s); and</w:t>
            </w:r>
          </w:p>
          <w:p w14:paraId="4C2A9C2A"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(2) a completed Severe Psoriatic Arthritis PBS Authority Application - Supporting Information Form.</w:t>
            </w:r>
          </w:p>
        </w:tc>
      </w:tr>
      <w:tr w:rsidR="007A2F3E" w:rsidRPr="00D8428B" w14:paraId="76102CCC"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71CF9EF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4512A07B"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76A3696B"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p>
        </w:tc>
      </w:tr>
      <w:tr w:rsidR="007A2F3E" w:rsidRPr="00D8428B" w14:paraId="1E244E3C" w14:textId="77777777" w:rsidTr="007A2F3E">
        <w:tblPrEx>
          <w:tblCellMar>
            <w:top w:w="15" w:type="dxa"/>
            <w:left w:w="15" w:type="dxa"/>
            <w:bottom w:w="15" w:type="dxa"/>
            <w:right w:w="15" w:type="dxa"/>
          </w:tblCellMar>
          <w:tblLook w:val="04A0" w:firstRow="1" w:lastRow="0" w:firstColumn="1" w:lastColumn="0" w:noHBand="0" w:noVBand="1"/>
        </w:tblPrEx>
        <w:trPr>
          <w:trHeight w:val="242"/>
        </w:trPr>
        <w:tc>
          <w:tcPr>
            <w:tcW w:w="981" w:type="dxa"/>
            <w:vAlign w:val="center"/>
          </w:tcPr>
          <w:p w14:paraId="659382EC"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7127877" w14:textId="77777777" w:rsidR="007A2F3E" w:rsidRPr="004F66BE" w:rsidRDefault="007A2F3E" w:rsidP="007A2F3E">
            <w:pPr>
              <w:rPr>
                <w:rFonts w:ascii="Arial Narrow" w:hAnsi="Arial Narrow"/>
                <w:b/>
                <w:bCs/>
                <w:color w:val="333333"/>
                <w:sz w:val="18"/>
                <w:szCs w:val="18"/>
              </w:rPr>
            </w:pPr>
            <w:r w:rsidRPr="004F66BE">
              <w:rPr>
                <w:rFonts w:ascii="Arial Narrow" w:hAnsi="Arial Narrow"/>
                <w:b/>
                <w:bCs/>
                <w:color w:val="333333"/>
                <w:sz w:val="18"/>
                <w:szCs w:val="18"/>
              </w:rPr>
              <w:t>Prescribing Instructions:</w:t>
            </w:r>
          </w:p>
          <w:p w14:paraId="4AA45A2D" w14:textId="77777777" w:rsidR="007A2F3E" w:rsidRPr="004F66BE" w:rsidRDefault="007A2F3E" w:rsidP="007A2F3E">
            <w:pPr>
              <w:rPr>
                <w:rFonts w:ascii="Arial Narrow" w:hAnsi="Arial Narrow"/>
                <w:bCs/>
                <w:color w:val="333333"/>
                <w:sz w:val="18"/>
                <w:szCs w:val="18"/>
              </w:rPr>
            </w:pPr>
            <w:r w:rsidRPr="004F66BE">
              <w:rPr>
                <w:rFonts w:ascii="Arial Narrow" w:hAnsi="Arial Narrow"/>
                <w:bCs/>
                <w:color w:val="333333"/>
                <w:sz w:val="18"/>
                <w:szCs w:val="18"/>
              </w:rP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p>
        </w:tc>
      </w:tr>
      <w:tr w:rsidR="007A2F3E" w:rsidRPr="00D8428B" w14:paraId="19BE7DAF"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1DA1E1F"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7C292A8" w14:textId="77777777" w:rsidR="007A2F3E" w:rsidRPr="004F66BE" w:rsidRDefault="007A2F3E" w:rsidP="007A2F3E">
            <w:pPr>
              <w:rPr>
                <w:rFonts w:ascii="Arial Narrow" w:hAnsi="Arial Narrow"/>
                <w:b/>
                <w:bCs/>
                <w:color w:val="333333"/>
                <w:sz w:val="18"/>
                <w:szCs w:val="18"/>
              </w:rPr>
            </w:pPr>
            <w:r w:rsidRPr="004F66BE">
              <w:rPr>
                <w:rFonts w:ascii="Arial Narrow" w:hAnsi="Arial Narrow"/>
                <w:b/>
                <w:bCs/>
                <w:color w:val="333333"/>
                <w:sz w:val="18"/>
                <w:szCs w:val="18"/>
              </w:rPr>
              <w:t>Prescribing Instructions:</w:t>
            </w:r>
          </w:p>
          <w:p w14:paraId="5E81198F" w14:textId="77777777" w:rsidR="007A2F3E" w:rsidRPr="004F66BE" w:rsidRDefault="007A2F3E" w:rsidP="007A2F3E">
            <w:pPr>
              <w:rPr>
                <w:rFonts w:ascii="Arial Narrow" w:hAnsi="Arial Narrow"/>
                <w:bCs/>
                <w:color w:val="333333"/>
                <w:sz w:val="18"/>
                <w:szCs w:val="18"/>
              </w:rPr>
            </w:pPr>
            <w:r w:rsidRPr="004F66BE">
              <w:rPr>
                <w:rFonts w:ascii="Arial Narrow" w:hAnsi="Arial Narrow"/>
                <w:bCs/>
                <w:color w:val="333333"/>
                <w:sz w:val="18"/>
                <w:szCs w:val="18"/>
              </w:rP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p>
        </w:tc>
      </w:tr>
      <w:tr w:rsidR="007A2F3E" w:rsidRPr="00D8428B" w14:paraId="0824A89B" w14:textId="77777777" w:rsidTr="007A2F3E">
        <w:tblPrEx>
          <w:tblCellMar>
            <w:top w:w="15" w:type="dxa"/>
            <w:left w:w="15" w:type="dxa"/>
            <w:bottom w:w="15" w:type="dxa"/>
            <w:right w:w="15" w:type="dxa"/>
          </w:tblCellMar>
          <w:tblLook w:val="04A0" w:firstRow="1" w:lastRow="0" w:firstColumn="1" w:lastColumn="0" w:noHBand="0" w:noVBand="1"/>
        </w:tblPrEx>
        <w:trPr>
          <w:trHeight w:val="620"/>
        </w:trPr>
        <w:tc>
          <w:tcPr>
            <w:tcW w:w="981" w:type="dxa"/>
            <w:vAlign w:val="center"/>
          </w:tcPr>
          <w:p w14:paraId="3BE86A4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E421F7A"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29BE6490"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Where the response assessment is not submitted within this timeframe, the patient will be deemed to have failed to respond to treatment with this drug.</w:t>
            </w:r>
          </w:p>
        </w:tc>
      </w:tr>
      <w:tr w:rsidR="007A2F3E" w:rsidRPr="00D8428B" w14:paraId="3C95AC36"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0164EFF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855BBC8"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2C11A939"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7A2F3E" w:rsidRPr="00D8428B" w14:paraId="489B86E7" w14:textId="77777777" w:rsidTr="007A2F3E">
        <w:tblPrEx>
          <w:tblCellMar>
            <w:top w:w="15" w:type="dxa"/>
            <w:left w:w="15" w:type="dxa"/>
            <w:bottom w:w="15" w:type="dxa"/>
            <w:right w:w="15" w:type="dxa"/>
          </w:tblCellMar>
          <w:tblLook w:val="04A0" w:firstRow="1" w:lastRow="0" w:firstColumn="1" w:lastColumn="0" w:noHBand="0" w:noVBand="1"/>
        </w:tblPrEx>
        <w:trPr>
          <w:trHeight w:val="2519"/>
        </w:trPr>
        <w:tc>
          <w:tcPr>
            <w:tcW w:w="981" w:type="dxa"/>
            <w:vAlign w:val="center"/>
          </w:tcPr>
          <w:p w14:paraId="54FC742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40137A3" w14:textId="77777777" w:rsidR="007A2F3E" w:rsidRPr="00D8428B" w:rsidRDefault="007A2F3E" w:rsidP="007A2F3E">
            <w:pPr>
              <w:rPr>
                <w:rFonts w:ascii="Arial Narrow" w:hAnsi="Arial Narrow"/>
                <w:b/>
                <w:bCs/>
                <w:color w:val="333333"/>
                <w:sz w:val="18"/>
                <w:szCs w:val="18"/>
              </w:rPr>
            </w:pPr>
            <w:r w:rsidRPr="00D8428B">
              <w:rPr>
                <w:rFonts w:ascii="Arial Narrow" w:hAnsi="Arial Narrow"/>
                <w:b/>
                <w:bCs/>
                <w:color w:val="333333"/>
                <w:sz w:val="18"/>
                <w:szCs w:val="18"/>
              </w:rPr>
              <w:t>Administrative Advice:</w:t>
            </w:r>
          </w:p>
          <w:p w14:paraId="6DC053E2"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Any queries concerning the arrangements to prescribe may be directed to Services Australia on 1800 700 270 (hours of operation 8 a.m. to 5 p.m. EST Monday to Friday).</w:t>
            </w:r>
          </w:p>
          <w:p w14:paraId="065F060F" w14:textId="77777777" w:rsidR="007A2F3E" w:rsidRPr="00D8428B" w:rsidRDefault="007A2F3E" w:rsidP="007A2F3E">
            <w:pPr>
              <w:rPr>
                <w:rFonts w:ascii="Arial Narrow" w:hAnsi="Arial Narrow"/>
                <w:bCs/>
                <w:color w:val="333333"/>
                <w:sz w:val="18"/>
                <w:szCs w:val="18"/>
              </w:rPr>
            </w:pPr>
          </w:p>
          <w:p w14:paraId="067811CB"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 xml:space="preserve">Prescribing information (including Authority Application forms and other relevant documentation as applicable) is available on the Services Australia website at </w:t>
            </w:r>
            <w:r w:rsidRPr="0031616A">
              <w:rPr>
                <w:rFonts w:ascii="Arial Narrow" w:hAnsi="Arial Narrow"/>
                <w:bCs/>
                <w:sz w:val="18"/>
                <w:szCs w:val="18"/>
              </w:rPr>
              <w:t>www.servicesaustralia.gov.au</w:t>
            </w:r>
          </w:p>
          <w:p w14:paraId="474F4FE5" w14:textId="77777777" w:rsidR="007A2F3E" w:rsidRPr="00D8428B" w:rsidRDefault="007A2F3E" w:rsidP="007A2F3E">
            <w:pPr>
              <w:rPr>
                <w:rFonts w:ascii="Arial Narrow" w:hAnsi="Arial Narrow"/>
                <w:bCs/>
                <w:color w:val="333333"/>
                <w:sz w:val="18"/>
                <w:szCs w:val="18"/>
              </w:rPr>
            </w:pPr>
          </w:p>
          <w:p w14:paraId="48B8D20B"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 xml:space="preserve">Applications for authority to prescribe should be submitted online using the form upload facility in Health Professional Online Services (HPOS) at </w:t>
            </w:r>
            <w:r w:rsidRPr="0031616A">
              <w:rPr>
                <w:rFonts w:ascii="Arial Narrow" w:hAnsi="Arial Narrow"/>
                <w:bCs/>
                <w:sz w:val="18"/>
                <w:szCs w:val="18"/>
              </w:rPr>
              <w:t>www.servicesaustralia.gov.au/hpos</w:t>
            </w:r>
          </w:p>
          <w:p w14:paraId="755EBF44" w14:textId="77777777" w:rsidR="007A2F3E" w:rsidRPr="00D8428B" w:rsidRDefault="007A2F3E" w:rsidP="007A2F3E">
            <w:pPr>
              <w:rPr>
                <w:rFonts w:ascii="Arial Narrow" w:hAnsi="Arial Narrow"/>
                <w:bCs/>
                <w:color w:val="333333"/>
                <w:sz w:val="18"/>
                <w:szCs w:val="18"/>
              </w:rPr>
            </w:pPr>
          </w:p>
          <w:p w14:paraId="4EDC9AA6"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Or mailed to:</w:t>
            </w:r>
          </w:p>
          <w:p w14:paraId="0025B165"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Services Australia</w:t>
            </w:r>
          </w:p>
          <w:p w14:paraId="41131010"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Complex Drugs</w:t>
            </w:r>
          </w:p>
          <w:p w14:paraId="135BFB47"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Reply Paid 9826</w:t>
            </w:r>
          </w:p>
          <w:p w14:paraId="4AC37CE7" w14:textId="77777777" w:rsidR="007A2F3E" w:rsidRPr="00D8428B" w:rsidRDefault="007A2F3E" w:rsidP="007A2F3E">
            <w:pPr>
              <w:rPr>
                <w:rFonts w:ascii="Arial Narrow" w:hAnsi="Arial Narrow"/>
                <w:b/>
                <w:bCs/>
                <w:color w:val="333333"/>
                <w:sz w:val="18"/>
                <w:szCs w:val="18"/>
              </w:rPr>
            </w:pPr>
            <w:r w:rsidRPr="00D8428B">
              <w:rPr>
                <w:rFonts w:ascii="Arial Narrow" w:hAnsi="Arial Narrow"/>
                <w:bCs/>
                <w:color w:val="333333"/>
                <w:sz w:val="18"/>
                <w:szCs w:val="18"/>
              </w:rPr>
              <w:t>HOBART TAS 7001</w:t>
            </w:r>
          </w:p>
        </w:tc>
      </w:tr>
      <w:tr w:rsidR="007A2F3E" w:rsidRPr="00D8428B" w14:paraId="5780999A"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19335B8" w14:textId="77777777" w:rsidR="007A2F3E" w:rsidRPr="00D8428B" w:rsidRDefault="007A2F3E" w:rsidP="007A2F3E">
            <w:pPr>
              <w:rPr>
                <w:rFonts w:ascii="Arial Narrow" w:eastAsiaTheme="minorHAnsi" w:hAnsi="Arial Narrow"/>
                <w:b/>
                <w:sz w:val="18"/>
                <w:szCs w:val="18"/>
              </w:rPr>
            </w:pPr>
          </w:p>
        </w:tc>
      </w:tr>
      <w:tr w:rsidR="007A2F3E" w:rsidRPr="00D8428B" w14:paraId="18F14395"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B9186E7" w14:textId="77777777" w:rsidR="007A2F3E" w:rsidRPr="00D8428B" w:rsidRDefault="007A2F3E" w:rsidP="007A2F3E">
            <w:pPr>
              <w:rPr>
                <w:rFonts w:ascii="Arial Narrow" w:eastAsiaTheme="minorHAnsi" w:hAnsi="Arial Narrow"/>
                <w:b/>
                <w:sz w:val="18"/>
                <w:szCs w:val="18"/>
              </w:rPr>
            </w:pPr>
            <w:r w:rsidRPr="00E573AB">
              <w:rPr>
                <w:rFonts w:ascii="Arial Narrow" w:eastAsiaTheme="minorHAnsi" w:hAnsi="Arial Narrow"/>
                <w:b/>
                <w:sz w:val="18"/>
                <w:szCs w:val="18"/>
              </w:rPr>
              <w:t>Restriction Summary 9158 / Treatment of Concept: 91</w:t>
            </w:r>
            <w:r>
              <w:rPr>
                <w:rFonts w:ascii="Arial Narrow" w:eastAsiaTheme="minorHAnsi" w:hAnsi="Arial Narrow"/>
                <w:b/>
                <w:sz w:val="18"/>
                <w:szCs w:val="18"/>
              </w:rPr>
              <w:t xml:space="preserve">72  (as per </w:t>
            </w:r>
            <w:r w:rsidRPr="004F66BE">
              <w:rPr>
                <w:rFonts w:ascii="Arial Narrow" w:eastAsiaTheme="minorHAnsi" w:hAnsi="Arial Narrow"/>
                <w:b/>
                <w:sz w:val="18"/>
                <w:szCs w:val="18"/>
              </w:rPr>
              <w:t>ixekizumab; current as at 1 November 2020</w:t>
            </w:r>
            <w:r>
              <w:rPr>
                <w:rFonts w:ascii="Arial Narrow" w:eastAsiaTheme="minorHAnsi" w:hAnsi="Arial Narrow"/>
                <w:b/>
                <w:sz w:val="18"/>
                <w:szCs w:val="18"/>
              </w:rPr>
              <w:t>)</w:t>
            </w:r>
          </w:p>
        </w:tc>
      </w:tr>
      <w:tr w:rsidR="007A2F3E" w:rsidRPr="00D8428B" w14:paraId="7E33A2FA"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ABA61C0"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5B44EC8C"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i/>
                <w:color w:val="333333"/>
                <w:sz w:val="18"/>
                <w:szCs w:val="18"/>
              </w:rPr>
              <w:t>(</w:t>
            </w:r>
            <w:r>
              <w:rPr>
                <w:rFonts w:ascii="Arial Narrow" w:hAnsi="Arial Narrow"/>
                <w:bCs/>
                <w:i/>
                <w:color w:val="333333"/>
                <w:sz w:val="18"/>
                <w:szCs w:val="18"/>
              </w:rPr>
              <w:t>------</w:t>
            </w:r>
            <w:r w:rsidRPr="00EB26EA">
              <w:rPr>
                <w:rFonts w:ascii="Arial Narrow" w:hAnsi="Arial Narrow"/>
                <w:bCs/>
                <w:i/>
                <w:color w:val="333333"/>
                <w:sz w:val="18"/>
                <w:szCs w:val="18"/>
              </w:rPr>
              <w:t>see end of document for updated concept</w:t>
            </w:r>
            <w:r>
              <w:rPr>
                <w:rFonts w:ascii="Arial Narrow" w:hAnsi="Arial Narrow"/>
                <w:bCs/>
                <w:i/>
                <w:color w:val="333333"/>
                <w:sz w:val="18"/>
                <w:szCs w:val="18"/>
              </w:rPr>
              <w:t>--------</w:t>
            </w:r>
            <w:r w:rsidRPr="00EB26EA">
              <w:rPr>
                <w:rFonts w:ascii="Arial Narrow" w:hAnsi="Arial Narrow"/>
                <w:bCs/>
                <w:i/>
                <w:color w:val="333333"/>
                <w:sz w:val="18"/>
                <w:szCs w:val="18"/>
              </w:rPr>
              <w:t>)</w:t>
            </w:r>
          </w:p>
        </w:tc>
      </w:tr>
      <w:tr w:rsidR="007A2F3E" w:rsidRPr="00D8428B" w14:paraId="62861850"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E005525"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0DCF3DE4"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color w:val="333333"/>
                <w:sz w:val="18"/>
                <w:szCs w:val="18"/>
              </w:rPr>
              <w:t>No increase in the maximum quantity or number of units may be authorised.</w:t>
            </w:r>
          </w:p>
        </w:tc>
      </w:tr>
      <w:tr w:rsidR="007A2F3E" w:rsidRPr="00D8428B" w14:paraId="12756E2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D5F8FA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616C44B"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No increase in the maximum number of repeats may be authorised.</w:t>
            </w:r>
          </w:p>
        </w:tc>
      </w:tr>
      <w:tr w:rsidR="007A2F3E" w:rsidRPr="00D8428B" w14:paraId="47C581ED"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E0FA02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87F53F9"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Spe</w:t>
            </w:r>
            <w:r>
              <w:rPr>
                <w:rFonts w:ascii="Arial Narrow" w:hAnsi="Arial Narrow"/>
                <w:bCs/>
                <w:color w:val="333333"/>
                <w:sz w:val="18"/>
                <w:szCs w:val="18"/>
              </w:rPr>
              <w:t>cial Pricing Arrangements apply</w:t>
            </w:r>
          </w:p>
        </w:tc>
      </w:tr>
      <w:tr w:rsidR="007A2F3E" w:rsidRPr="00D8428B" w14:paraId="52A685D4"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7F162E5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0FCF097"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Indication:</w:t>
            </w:r>
            <w:r w:rsidRPr="00D8428B">
              <w:rPr>
                <w:rFonts w:ascii="Arial Narrow" w:hAnsi="Arial Narrow"/>
                <w:color w:val="333333"/>
                <w:sz w:val="18"/>
                <w:szCs w:val="18"/>
              </w:rPr>
              <w:t xml:space="preserve"> Severe psoriatic arthritis</w:t>
            </w:r>
          </w:p>
        </w:tc>
      </w:tr>
      <w:tr w:rsidR="007A2F3E" w:rsidRPr="00D8428B" w14:paraId="5AD57D50"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5968FFF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2C307A6D"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Phase:</w:t>
            </w:r>
            <w:r w:rsidRPr="00D8428B">
              <w:rPr>
                <w:rFonts w:ascii="Arial Narrow" w:hAnsi="Arial Narrow"/>
                <w:color w:val="333333"/>
                <w:sz w:val="18"/>
                <w:szCs w:val="18"/>
              </w:rPr>
              <w:t xml:space="preserve"> Initial 1 (new patient)</w:t>
            </w:r>
            <w:r>
              <w:rPr>
                <w:rFonts w:ascii="Arial Narrow" w:hAnsi="Arial Narrow"/>
                <w:color w:val="333333"/>
                <w:sz w:val="18"/>
                <w:szCs w:val="18"/>
              </w:rPr>
              <w:t xml:space="preserve"> or</w:t>
            </w:r>
            <w:r w:rsidRPr="00D8428B">
              <w:rPr>
                <w:rFonts w:ascii="Arial Narrow" w:hAnsi="Arial Narrow"/>
                <w:color w:val="333333"/>
                <w:sz w:val="18"/>
                <w:szCs w:val="18"/>
              </w:rPr>
              <w:t xml:space="preserve"> Initial 2 (change or recommencement of treatment after a break in</w:t>
            </w:r>
            <w:r>
              <w:rPr>
                <w:rFonts w:ascii="Arial Narrow" w:hAnsi="Arial Narrow"/>
                <w:color w:val="333333"/>
                <w:sz w:val="18"/>
                <w:szCs w:val="18"/>
              </w:rPr>
              <w:t xml:space="preserve"> biological</w:t>
            </w:r>
            <w:r w:rsidRPr="00D8428B">
              <w:rPr>
                <w:rFonts w:ascii="Arial Narrow" w:hAnsi="Arial Narrow"/>
                <w:color w:val="333333"/>
                <w:sz w:val="18"/>
                <w:szCs w:val="18"/>
              </w:rPr>
              <w:t xml:space="preserve"> medicine of less than 5 years) or Initial 3 (recommencement of treatment after a break in biological medicine of more than 5 years) - balance of supply</w:t>
            </w:r>
          </w:p>
        </w:tc>
      </w:tr>
      <w:tr w:rsidR="007A2F3E" w:rsidRPr="00D8428B" w14:paraId="236307A3"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4B355E7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59761DD3"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criteria:</w:t>
            </w:r>
          </w:p>
        </w:tc>
      </w:tr>
      <w:tr w:rsidR="007A2F3E" w:rsidRPr="00D8428B" w14:paraId="119263B1"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28C5D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C3AA9D7"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rheumatologist; or</w:t>
            </w:r>
          </w:p>
        </w:tc>
      </w:tr>
      <w:tr w:rsidR="007A2F3E" w:rsidRPr="00D8428B" w14:paraId="2CD01A38"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380734D3"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07824CFC"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clinical immunologist with expertise in the management of psoriatic arthritis</w:t>
            </w:r>
          </w:p>
        </w:tc>
      </w:tr>
      <w:tr w:rsidR="007A2F3E" w:rsidRPr="00D8428B" w14:paraId="77AA5E2E"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68A9270"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4D20A017"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AND</w:t>
            </w:r>
          </w:p>
        </w:tc>
      </w:tr>
      <w:tr w:rsidR="007A2F3E" w:rsidRPr="00D8428B" w14:paraId="6D82B287"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DEC0405"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426310A7"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7FD5937B"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A07D96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A2C4812"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received insufficient therapy with this drug under the Initial 1 (new patient) restriction to complete 2</w:t>
            </w:r>
            <w:r>
              <w:rPr>
                <w:rFonts w:ascii="Arial Narrow" w:hAnsi="Arial Narrow"/>
                <w:color w:val="333333"/>
                <w:sz w:val="18"/>
                <w:szCs w:val="18"/>
              </w:rPr>
              <w:t>0</w:t>
            </w:r>
            <w:r w:rsidRPr="00D8428B">
              <w:rPr>
                <w:rFonts w:ascii="Arial Narrow" w:hAnsi="Arial Narrow"/>
                <w:color w:val="333333"/>
                <w:sz w:val="18"/>
                <w:szCs w:val="18"/>
              </w:rPr>
              <w:t xml:space="preserve"> weeks treatment; or</w:t>
            </w:r>
          </w:p>
        </w:tc>
      </w:tr>
      <w:tr w:rsidR="007A2F3E" w:rsidRPr="00D8428B" w14:paraId="5A5DE05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F87D7AF"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96A341B"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received insufficient therapy with this drug under the Initial 2 (change or recommencement of treatment after a break in biological medicine of less than 5 years) restriction to complete 2</w:t>
            </w:r>
            <w:r>
              <w:rPr>
                <w:rFonts w:ascii="Arial Narrow" w:hAnsi="Arial Narrow"/>
                <w:color w:val="333333"/>
                <w:sz w:val="18"/>
                <w:szCs w:val="18"/>
              </w:rPr>
              <w:t>0</w:t>
            </w:r>
            <w:r w:rsidRPr="00D8428B">
              <w:rPr>
                <w:rFonts w:ascii="Arial Narrow" w:hAnsi="Arial Narrow"/>
                <w:color w:val="333333"/>
                <w:sz w:val="18"/>
                <w:szCs w:val="18"/>
              </w:rPr>
              <w:t xml:space="preserve"> weeks treatment; or</w:t>
            </w:r>
          </w:p>
        </w:tc>
      </w:tr>
      <w:tr w:rsidR="007A2F3E" w:rsidRPr="00D8428B" w14:paraId="42B0C94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E74AFC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3D88C315"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received insufficient therapy with this drug for this condition under the Initial 3 (recommencement of treatment after a break in biological medicine of more than 5 years) restriction to complete 2</w:t>
            </w:r>
            <w:r>
              <w:rPr>
                <w:rFonts w:ascii="Arial Narrow" w:hAnsi="Arial Narrow"/>
                <w:color w:val="333333"/>
                <w:sz w:val="18"/>
                <w:szCs w:val="18"/>
              </w:rPr>
              <w:t>0</w:t>
            </w:r>
            <w:r w:rsidRPr="00D8428B">
              <w:rPr>
                <w:rFonts w:ascii="Arial Narrow" w:hAnsi="Arial Narrow"/>
                <w:color w:val="333333"/>
                <w:sz w:val="18"/>
                <w:szCs w:val="18"/>
              </w:rPr>
              <w:t xml:space="preserve"> weeks treatment</w:t>
            </w:r>
          </w:p>
        </w:tc>
      </w:tr>
      <w:tr w:rsidR="007A2F3E" w:rsidRPr="00D8428B" w14:paraId="6BA00841"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326A20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4C22BC56" w14:textId="77777777" w:rsidR="007A2F3E" w:rsidRPr="00D8428B" w:rsidRDefault="007A2F3E" w:rsidP="007A2F3E">
            <w:pPr>
              <w:rPr>
                <w:rFonts w:ascii="Arial Narrow" w:hAnsi="Arial Narrow"/>
                <w:color w:val="333333"/>
                <w:sz w:val="18"/>
                <w:szCs w:val="18"/>
              </w:rPr>
            </w:pPr>
            <w:r w:rsidRPr="00D8428B">
              <w:rPr>
                <w:rFonts w:ascii="Arial Narrow" w:hAnsi="Arial Narrow"/>
                <w:b/>
                <w:color w:val="333333"/>
                <w:sz w:val="18"/>
                <w:szCs w:val="18"/>
              </w:rPr>
              <w:t>AND</w:t>
            </w:r>
          </w:p>
        </w:tc>
      </w:tr>
      <w:tr w:rsidR="007A2F3E" w:rsidRPr="00D8428B" w14:paraId="4B703EBA"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5699DB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FD4A2A3"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580D4B0F"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23349F"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DA68370" w14:textId="77777777" w:rsidR="007A2F3E" w:rsidRPr="00D8428B" w:rsidRDefault="007A2F3E" w:rsidP="007A2F3E">
            <w:pPr>
              <w:rPr>
                <w:rFonts w:ascii="Arial Narrow" w:hAnsi="Arial Narrow"/>
                <w:color w:val="333333"/>
                <w:sz w:val="18"/>
                <w:szCs w:val="18"/>
              </w:rPr>
            </w:pPr>
            <w:r w:rsidRPr="00E573AB">
              <w:rPr>
                <w:rFonts w:ascii="Arial Narrow" w:hAnsi="Arial Narrow"/>
                <w:color w:val="333333"/>
                <w:sz w:val="18"/>
                <w:szCs w:val="18"/>
              </w:rPr>
              <w:t>The treatment must provide no more than the balance of up to 20 weeks treatment available under the above restrictions</w:t>
            </w:r>
          </w:p>
        </w:tc>
      </w:tr>
      <w:tr w:rsidR="007A2F3E" w:rsidRPr="00D8428B" w14:paraId="00AA7343" w14:textId="77777777" w:rsidTr="007A2F3E">
        <w:tblPrEx>
          <w:tblCellMar>
            <w:top w:w="15" w:type="dxa"/>
            <w:left w:w="15" w:type="dxa"/>
            <w:bottom w:w="15" w:type="dxa"/>
            <w:right w:w="15" w:type="dxa"/>
          </w:tblCellMar>
          <w:tblLook w:val="04A0" w:firstRow="1" w:lastRow="0" w:firstColumn="1" w:lastColumn="0" w:noHBand="0" w:noVBand="1"/>
        </w:tblPrEx>
        <w:trPr>
          <w:trHeight w:val="660"/>
        </w:trPr>
        <w:tc>
          <w:tcPr>
            <w:tcW w:w="981" w:type="dxa"/>
            <w:vAlign w:val="center"/>
          </w:tcPr>
          <w:p w14:paraId="11056375"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6C52D4A" w14:textId="77777777" w:rsidR="007A2F3E" w:rsidRPr="00D8428B" w:rsidRDefault="007A2F3E" w:rsidP="007A2F3E">
            <w:pPr>
              <w:rPr>
                <w:rFonts w:ascii="Arial Narrow" w:hAnsi="Arial Narrow"/>
                <w:b/>
                <w:bCs/>
                <w:color w:val="333333"/>
                <w:sz w:val="18"/>
                <w:szCs w:val="18"/>
              </w:rPr>
            </w:pPr>
            <w:r w:rsidRPr="00D8428B">
              <w:rPr>
                <w:rFonts w:ascii="Arial Narrow" w:hAnsi="Arial Narrow"/>
                <w:b/>
                <w:bCs/>
                <w:color w:val="333333"/>
                <w:sz w:val="18"/>
                <w:szCs w:val="18"/>
              </w:rPr>
              <w:t>Administrative Advice:</w:t>
            </w:r>
          </w:p>
          <w:p w14:paraId="256722B0" w14:textId="77777777" w:rsidR="007A2F3E" w:rsidRPr="00D8428B" w:rsidRDefault="007A2F3E" w:rsidP="007A2F3E">
            <w:pPr>
              <w:rPr>
                <w:rFonts w:ascii="Arial Narrow" w:hAnsi="Arial Narrow"/>
                <w:b/>
                <w:bCs/>
                <w:color w:val="333333"/>
                <w:sz w:val="18"/>
                <w:szCs w:val="18"/>
              </w:rPr>
            </w:pPr>
            <w:r w:rsidRPr="00D8428B">
              <w:rPr>
                <w:rFonts w:ascii="Arial Narrow" w:hAnsi="Arial Narrow"/>
                <w:bCs/>
                <w:color w:val="333333"/>
                <w:sz w:val="18"/>
                <w:szCs w:val="18"/>
              </w:rPr>
              <w:t>Authority approval for sufficient therapy to complete the balance of supply may be requested by telephone by contacting the Department of Human Services on 1800 700 270 (hours of operation 8 a.m. to 5 p.m. EST Monday to Friday).</w:t>
            </w:r>
          </w:p>
        </w:tc>
      </w:tr>
      <w:tr w:rsidR="007A2F3E" w:rsidRPr="00D8428B" w14:paraId="7BF5FA92"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6148318" w14:textId="77777777" w:rsidR="007A2F3E" w:rsidRPr="00D8428B" w:rsidRDefault="007A2F3E" w:rsidP="007A2F3E">
            <w:pPr>
              <w:rPr>
                <w:rFonts w:ascii="Arial Narrow" w:eastAsiaTheme="minorHAnsi" w:hAnsi="Arial Narrow"/>
                <w:b/>
                <w:sz w:val="18"/>
                <w:szCs w:val="18"/>
              </w:rPr>
            </w:pPr>
          </w:p>
        </w:tc>
      </w:tr>
      <w:tr w:rsidR="007A2F3E" w:rsidRPr="00D8428B" w14:paraId="16782335"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69AA9FD" w14:textId="77777777" w:rsidR="007A2F3E" w:rsidRPr="00D8428B" w:rsidRDefault="007A2F3E" w:rsidP="007A2F3E">
            <w:pPr>
              <w:rPr>
                <w:rFonts w:ascii="Arial Narrow" w:eastAsiaTheme="minorHAnsi" w:hAnsi="Arial Narrow"/>
                <w:b/>
                <w:sz w:val="18"/>
                <w:szCs w:val="18"/>
              </w:rPr>
            </w:pPr>
            <w:r w:rsidRPr="00E573AB">
              <w:rPr>
                <w:rFonts w:ascii="Arial Narrow" w:eastAsiaTheme="minorHAnsi" w:hAnsi="Arial Narrow"/>
                <w:b/>
                <w:sz w:val="18"/>
                <w:szCs w:val="18"/>
                <w:lang w:val="en-GB"/>
              </w:rPr>
              <w:t>Restriction Summary 9117</w:t>
            </w:r>
            <w:r w:rsidRPr="00E573AB">
              <w:rPr>
                <w:rFonts w:ascii="Arial Narrow" w:eastAsiaTheme="minorHAnsi" w:hAnsi="Arial Narrow"/>
                <w:b/>
                <w:sz w:val="18"/>
                <w:szCs w:val="18"/>
              </w:rPr>
              <w:t xml:space="preserve"> / Treatment of Concept: 9116</w:t>
            </w:r>
            <w:r>
              <w:rPr>
                <w:rFonts w:ascii="Arial Narrow" w:eastAsiaTheme="minorHAnsi" w:hAnsi="Arial Narrow"/>
                <w:b/>
                <w:sz w:val="18"/>
                <w:szCs w:val="18"/>
              </w:rPr>
              <w:t xml:space="preserve"> </w:t>
            </w:r>
            <w:r w:rsidRPr="00B7015B">
              <w:rPr>
                <w:rFonts w:ascii="Arial Narrow" w:eastAsiaTheme="minorHAnsi" w:hAnsi="Arial Narrow"/>
                <w:b/>
                <w:sz w:val="18"/>
                <w:szCs w:val="18"/>
              </w:rPr>
              <w:t>(as per ixekizumab; current as at 1 November 2020)</w:t>
            </w:r>
          </w:p>
        </w:tc>
      </w:tr>
      <w:tr w:rsidR="007A2F3E" w:rsidRPr="00D8428B" w14:paraId="488CD85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9EB68FF"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7727AFB6"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i/>
                <w:color w:val="333333"/>
                <w:sz w:val="18"/>
                <w:szCs w:val="18"/>
              </w:rPr>
              <w:t>(</w:t>
            </w:r>
            <w:r>
              <w:rPr>
                <w:rFonts w:ascii="Arial Narrow" w:hAnsi="Arial Narrow"/>
                <w:bCs/>
                <w:i/>
                <w:color w:val="333333"/>
                <w:sz w:val="18"/>
                <w:szCs w:val="18"/>
              </w:rPr>
              <w:t>------</w:t>
            </w:r>
            <w:r w:rsidRPr="00EB26EA">
              <w:rPr>
                <w:rFonts w:ascii="Arial Narrow" w:hAnsi="Arial Narrow"/>
                <w:bCs/>
                <w:i/>
                <w:color w:val="333333"/>
                <w:sz w:val="18"/>
                <w:szCs w:val="18"/>
              </w:rPr>
              <w:t>see end of document for updated concept</w:t>
            </w:r>
            <w:r>
              <w:rPr>
                <w:rFonts w:ascii="Arial Narrow" w:hAnsi="Arial Narrow"/>
                <w:bCs/>
                <w:i/>
                <w:color w:val="333333"/>
                <w:sz w:val="18"/>
                <w:szCs w:val="18"/>
              </w:rPr>
              <w:t>--------</w:t>
            </w:r>
            <w:r w:rsidRPr="00EB26EA">
              <w:rPr>
                <w:rFonts w:ascii="Arial Narrow" w:hAnsi="Arial Narrow"/>
                <w:bCs/>
                <w:i/>
                <w:color w:val="333333"/>
                <w:sz w:val="18"/>
                <w:szCs w:val="18"/>
              </w:rPr>
              <w:t>)</w:t>
            </w:r>
          </w:p>
        </w:tc>
      </w:tr>
      <w:tr w:rsidR="007A2F3E" w:rsidRPr="00D8428B" w14:paraId="72F84B5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E54924A"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6D7D176B"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color w:val="333333"/>
                <w:sz w:val="18"/>
                <w:szCs w:val="18"/>
              </w:rPr>
              <w:t>No increase in the maximum quantity or number of units may be authorised.</w:t>
            </w:r>
          </w:p>
        </w:tc>
      </w:tr>
      <w:tr w:rsidR="007A2F3E" w:rsidRPr="00D8428B" w14:paraId="30C8EED2"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6F695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F2886D1"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No increase in the maximum number of repeats may be authorised.</w:t>
            </w:r>
          </w:p>
        </w:tc>
      </w:tr>
      <w:tr w:rsidR="007A2F3E" w:rsidRPr="00D8428B" w14:paraId="7F8AA567"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77EC189"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44D3770A"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Spe</w:t>
            </w:r>
            <w:r>
              <w:rPr>
                <w:rFonts w:ascii="Arial Narrow" w:hAnsi="Arial Narrow"/>
                <w:bCs/>
                <w:color w:val="333333"/>
                <w:sz w:val="18"/>
                <w:szCs w:val="18"/>
              </w:rPr>
              <w:t>cial Pricing Arrangements apply</w:t>
            </w:r>
          </w:p>
        </w:tc>
      </w:tr>
      <w:tr w:rsidR="007A2F3E" w:rsidRPr="00D8428B" w14:paraId="0CFA77CB"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04F85A6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46B0F02B"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Indication:</w:t>
            </w:r>
            <w:r w:rsidRPr="00D8428B">
              <w:rPr>
                <w:rFonts w:ascii="Arial Narrow" w:hAnsi="Arial Narrow"/>
                <w:color w:val="333333"/>
                <w:sz w:val="18"/>
                <w:szCs w:val="18"/>
              </w:rPr>
              <w:t xml:space="preserve"> Severe psoriatic arthritis</w:t>
            </w:r>
          </w:p>
        </w:tc>
      </w:tr>
      <w:tr w:rsidR="007A2F3E" w:rsidRPr="00D8428B" w14:paraId="702C7AF7"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7FD255DF"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433555E1"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Phase:</w:t>
            </w:r>
            <w:r w:rsidRPr="00D8428B">
              <w:rPr>
                <w:rFonts w:ascii="Arial Narrow" w:hAnsi="Arial Narrow"/>
                <w:color w:val="333333"/>
                <w:sz w:val="18"/>
                <w:szCs w:val="18"/>
              </w:rPr>
              <w:t xml:space="preserve"> Continuing treatment</w:t>
            </w:r>
          </w:p>
        </w:tc>
      </w:tr>
      <w:tr w:rsidR="007A2F3E" w:rsidRPr="00D8428B" w14:paraId="11F3EF05"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75765AF3"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588C1AFB"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criteria:</w:t>
            </w:r>
          </w:p>
        </w:tc>
      </w:tr>
      <w:tr w:rsidR="007A2F3E" w:rsidRPr="00D8428B" w14:paraId="1DC888F1"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56255281"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0DB07D6"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rheumatologist; or</w:t>
            </w:r>
          </w:p>
        </w:tc>
      </w:tr>
      <w:tr w:rsidR="007A2F3E" w:rsidRPr="00D8428B" w14:paraId="6893B630"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313A441E"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23540014"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clinical immunologist with expertise in the management of psoriatic arthritis</w:t>
            </w:r>
          </w:p>
        </w:tc>
      </w:tr>
      <w:tr w:rsidR="007A2F3E" w:rsidRPr="00D8428B" w14:paraId="170492A4"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5C12EC0"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5F2B3106"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AND</w:t>
            </w:r>
          </w:p>
        </w:tc>
      </w:tr>
      <w:tr w:rsidR="007A2F3E" w:rsidRPr="00D8428B" w14:paraId="45EA63E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57A60C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2DFFC99"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6C862951"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C078B7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587DC89E"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received this drug as their most recent course of PBS-subsidised biological medicine treatment for this condition</w:t>
            </w:r>
          </w:p>
        </w:tc>
      </w:tr>
      <w:tr w:rsidR="007A2F3E" w:rsidRPr="00D8428B" w14:paraId="1070EFB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1EBF30C"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03D7FF7C"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00861094"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7A93E1C"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12C090F7"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175EFC7C"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2369DC3"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44F0AD1"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demonstrated an adequate response to treatment with this drug</w:t>
            </w:r>
          </w:p>
        </w:tc>
      </w:tr>
      <w:tr w:rsidR="007A2F3E" w:rsidRPr="00D8428B" w14:paraId="121B55B1"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208E95B"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AED0667"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43BBC50D"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DB32A9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D759AAE"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6A61087E"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583544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A44BF05"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not receive more than 24 weeks of treatment under this restriction</w:t>
            </w:r>
          </w:p>
        </w:tc>
      </w:tr>
      <w:tr w:rsidR="007A2F3E" w:rsidRPr="00D8428B" w14:paraId="5706EAEB"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78FB645"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4F504F81"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Population criteria:</w:t>
            </w:r>
          </w:p>
        </w:tc>
      </w:tr>
      <w:tr w:rsidR="007A2F3E" w:rsidRPr="00D8428B" w14:paraId="76AACD0E"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F6F182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3FE87C1"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be aged 18 years or older</w:t>
            </w:r>
          </w:p>
        </w:tc>
      </w:tr>
      <w:tr w:rsidR="007A2F3E" w:rsidRPr="00D8428B" w14:paraId="6782A264" w14:textId="77777777" w:rsidTr="007A2F3E">
        <w:tblPrEx>
          <w:tblCellMar>
            <w:top w:w="15" w:type="dxa"/>
            <w:left w:w="15" w:type="dxa"/>
            <w:bottom w:w="15" w:type="dxa"/>
            <w:right w:w="15" w:type="dxa"/>
          </w:tblCellMar>
          <w:tblLook w:val="04A0" w:firstRow="1" w:lastRow="0" w:firstColumn="1" w:lastColumn="0" w:noHBand="0" w:noVBand="1"/>
        </w:tblPrEx>
        <w:trPr>
          <w:trHeight w:val="2272"/>
        </w:trPr>
        <w:tc>
          <w:tcPr>
            <w:tcW w:w="981" w:type="dxa"/>
            <w:vAlign w:val="center"/>
          </w:tcPr>
          <w:p w14:paraId="1189790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1F53E49"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Prescribing instructions:</w:t>
            </w:r>
          </w:p>
          <w:p w14:paraId="18636591" w14:textId="77777777" w:rsidR="007A2F3E" w:rsidRPr="00D8428B" w:rsidRDefault="007A2F3E" w:rsidP="007A2F3E">
            <w:pPr>
              <w:autoSpaceDE w:val="0"/>
              <w:autoSpaceDN w:val="0"/>
              <w:adjustRightInd w:val="0"/>
              <w:rPr>
                <w:rFonts w:ascii="Arial Narrow" w:eastAsiaTheme="minorHAnsi" w:hAnsi="Arial Narrow" w:cs="Arial Narrow"/>
                <w:iCs/>
                <w:sz w:val="18"/>
                <w:szCs w:val="20"/>
              </w:rPr>
            </w:pPr>
            <w:r w:rsidRPr="00D8428B">
              <w:rPr>
                <w:rFonts w:ascii="Arial Narrow" w:eastAsiaTheme="minorHAnsi" w:hAnsi="Arial Narrow" w:cs="Arial Narrow"/>
                <w:iCs/>
                <w:sz w:val="18"/>
                <w:szCs w:val="20"/>
              </w:rPr>
              <w:t>An adequate response to treatment is defined as:</w:t>
            </w:r>
          </w:p>
          <w:p w14:paraId="383C267F" w14:textId="77777777" w:rsidR="007A2F3E" w:rsidRPr="00D8428B" w:rsidRDefault="007A2F3E" w:rsidP="007A2F3E">
            <w:pPr>
              <w:autoSpaceDE w:val="0"/>
              <w:autoSpaceDN w:val="0"/>
              <w:adjustRightInd w:val="0"/>
              <w:rPr>
                <w:rFonts w:ascii="Arial Narrow" w:eastAsiaTheme="minorHAnsi" w:hAnsi="Arial Narrow" w:cs="Arial Narrow"/>
                <w:iCs/>
                <w:sz w:val="18"/>
                <w:szCs w:val="20"/>
              </w:rPr>
            </w:pPr>
            <w:r w:rsidRPr="00D8428B">
              <w:rPr>
                <w:rFonts w:ascii="Arial Narrow" w:eastAsiaTheme="minorHAnsi" w:hAnsi="Arial Narrow" w:cs="Arial Narrow"/>
                <w:iCs/>
                <w:sz w:val="18"/>
                <w:szCs w:val="20"/>
              </w:rPr>
              <w:t>an erythrocyte sedimentation rate (ESR) no greater than 25 mm per hour or a C-reactive protein (CRP) level no greater than 15 mg per L or either marker reduced by at least 20% from baseline; and</w:t>
            </w:r>
          </w:p>
          <w:p w14:paraId="769DA02A" w14:textId="77777777" w:rsidR="007A2F3E" w:rsidRPr="00D8428B" w:rsidRDefault="007A2F3E" w:rsidP="007A2F3E">
            <w:pPr>
              <w:autoSpaceDE w:val="0"/>
              <w:autoSpaceDN w:val="0"/>
              <w:adjustRightInd w:val="0"/>
              <w:rPr>
                <w:rFonts w:ascii="Arial Narrow" w:eastAsiaTheme="minorHAnsi" w:hAnsi="Arial Narrow" w:cs="Arial Narrow"/>
                <w:iCs/>
                <w:sz w:val="18"/>
                <w:szCs w:val="20"/>
              </w:rPr>
            </w:pPr>
            <w:r w:rsidRPr="00D8428B">
              <w:rPr>
                <w:rFonts w:ascii="Arial Narrow" w:eastAsiaTheme="minorHAnsi" w:hAnsi="Arial Narrow" w:cs="Arial Narrow"/>
                <w:iCs/>
                <w:sz w:val="18"/>
                <w:szCs w:val="20"/>
              </w:rPr>
              <w:t>either of the following:</w:t>
            </w:r>
          </w:p>
          <w:p w14:paraId="181656C8" w14:textId="77777777" w:rsidR="007A2F3E" w:rsidRPr="00D8428B" w:rsidRDefault="007A2F3E" w:rsidP="007A2F3E">
            <w:pPr>
              <w:autoSpaceDE w:val="0"/>
              <w:autoSpaceDN w:val="0"/>
              <w:adjustRightInd w:val="0"/>
              <w:rPr>
                <w:rFonts w:ascii="Arial Narrow" w:eastAsiaTheme="minorHAnsi" w:hAnsi="Arial Narrow" w:cs="Arial Narrow"/>
                <w:iCs/>
                <w:sz w:val="18"/>
                <w:szCs w:val="20"/>
              </w:rPr>
            </w:pPr>
            <w:r w:rsidRPr="00D8428B">
              <w:rPr>
                <w:rFonts w:ascii="Arial Narrow" w:eastAsiaTheme="minorHAnsi" w:hAnsi="Arial Narrow" w:cs="Arial Narrow"/>
                <w:iCs/>
                <w:sz w:val="18"/>
                <w:szCs w:val="20"/>
              </w:rPr>
              <w:t>(a) a reduction in the total active (swollen and tender) joint count by at least 50% from baseline, where baseline is at least 20 active joints; or</w:t>
            </w:r>
          </w:p>
          <w:p w14:paraId="2C0C034F" w14:textId="77777777" w:rsidR="007A2F3E" w:rsidRPr="00D8428B" w:rsidRDefault="007A2F3E" w:rsidP="007A2F3E">
            <w:pPr>
              <w:autoSpaceDE w:val="0"/>
              <w:autoSpaceDN w:val="0"/>
              <w:adjustRightInd w:val="0"/>
              <w:rPr>
                <w:rFonts w:ascii="Arial Narrow" w:eastAsiaTheme="minorHAnsi" w:hAnsi="Arial Narrow" w:cs="Arial Narrow"/>
                <w:iCs/>
                <w:sz w:val="18"/>
                <w:szCs w:val="20"/>
              </w:rPr>
            </w:pPr>
            <w:r w:rsidRPr="00D8428B">
              <w:rPr>
                <w:rFonts w:ascii="Arial Narrow" w:eastAsiaTheme="minorHAnsi" w:hAnsi="Arial Narrow" w:cs="Arial Narrow"/>
                <w:iCs/>
                <w:sz w:val="18"/>
                <w:szCs w:val="20"/>
              </w:rPr>
              <w:t>(b) a reduction in the number of the following major active joints, from at least 4, by at least 50%:</w:t>
            </w:r>
          </w:p>
          <w:p w14:paraId="63E7C091" w14:textId="77777777" w:rsidR="007A2F3E" w:rsidRPr="00D8428B" w:rsidRDefault="007A2F3E" w:rsidP="007A2F3E">
            <w:pPr>
              <w:autoSpaceDE w:val="0"/>
              <w:autoSpaceDN w:val="0"/>
              <w:adjustRightInd w:val="0"/>
              <w:rPr>
                <w:rFonts w:ascii="Arial Narrow" w:eastAsiaTheme="minorHAnsi" w:hAnsi="Arial Narrow" w:cs="Arial Narrow"/>
                <w:iCs/>
                <w:sz w:val="18"/>
                <w:szCs w:val="20"/>
              </w:rPr>
            </w:pPr>
            <w:r w:rsidRPr="00D8428B">
              <w:rPr>
                <w:rFonts w:ascii="Arial Narrow" w:eastAsiaTheme="minorHAnsi" w:hAnsi="Arial Narrow" w:cs="Arial Narrow"/>
                <w:iCs/>
                <w:sz w:val="18"/>
                <w:szCs w:val="20"/>
              </w:rPr>
              <w:t>(i) elbow, wrist, knee and/or ankle (assessed as swollen and tender); and/or</w:t>
            </w:r>
          </w:p>
          <w:p w14:paraId="4CD376D5" w14:textId="77777777" w:rsidR="007A2F3E" w:rsidRPr="00D8428B" w:rsidRDefault="007A2F3E" w:rsidP="007A2F3E">
            <w:pPr>
              <w:autoSpaceDE w:val="0"/>
              <w:autoSpaceDN w:val="0"/>
              <w:adjustRightInd w:val="0"/>
              <w:rPr>
                <w:rFonts w:ascii="Arial Narrow" w:hAnsi="Arial Narrow"/>
                <w:b/>
                <w:color w:val="333333"/>
                <w:sz w:val="18"/>
                <w:szCs w:val="18"/>
              </w:rPr>
            </w:pPr>
            <w:r w:rsidRPr="00D8428B">
              <w:rPr>
                <w:rFonts w:ascii="Arial Narrow" w:eastAsiaTheme="minorHAnsi" w:hAnsi="Arial Narrow" w:cs="Arial Narrow"/>
                <w:iCs/>
                <w:sz w:val="18"/>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7A2F3E" w:rsidRPr="00D8428B" w14:paraId="2BBDD65C" w14:textId="77777777" w:rsidTr="007A2F3E">
        <w:tblPrEx>
          <w:tblCellMar>
            <w:top w:w="15" w:type="dxa"/>
            <w:left w:w="15" w:type="dxa"/>
            <w:bottom w:w="15" w:type="dxa"/>
            <w:right w:w="15" w:type="dxa"/>
          </w:tblCellMar>
          <w:tblLook w:val="04A0" w:firstRow="1" w:lastRow="0" w:firstColumn="1" w:lastColumn="0" w:noHBand="0" w:noVBand="1"/>
        </w:tblPrEx>
        <w:trPr>
          <w:trHeight w:val="620"/>
        </w:trPr>
        <w:tc>
          <w:tcPr>
            <w:tcW w:w="981" w:type="dxa"/>
            <w:vAlign w:val="center"/>
          </w:tcPr>
          <w:p w14:paraId="199CCE71"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FA87F0C" w14:textId="77777777" w:rsidR="007A2F3E" w:rsidRPr="00D8428B" w:rsidRDefault="007A2F3E" w:rsidP="007A2F3E">
            <w:pPr>
              <w:rPr>
                <w:rFonts w:ascii="Arial Narrow" w:hAnsi="Arial Narrow"/>
                <w:b/>
                <w:color w:val="333333"/>
                <w:sz w:val="18"/>
                <w:szCs w:val="18"/>
              </w:rPr>
            </w:pPr>
            <w:r w:rsidRPr="00D8428B">
              <w:rPr>
                <w:rFonts w:ascii="Arial Narrow" w:hAnsi="Arial Narrow"/>
                <w:b/>
                <w:color w:val="333333"/>
                <w:sz w:val="18"/>
                <w:szCs w:val="18"/>
              </w:rPr>
              <w:t>Prescribing instructions:</w:t>
            </w:r>
          </w:p>
          <w:p w14:paraId="6E1EB976" w14:textId="77777777" w:rsidR="007A2F3E" w:rsidRPr="00D8428B" w:rsidRDefault="007A2F3E" w:rsidP="007A2F3E">
            <w:pPr>
              <w:rPr>
                <w:rFonts w:ascii="Arial Narrow" w:hAnsi="Arial Narrow"/>
                <w:b/>
                <w:color w:val="333333"/>
                <w:sz w:val="18"/>
                <w:szCs w:val="18"/>
              </w:rPr>
            </w:pPr>
            <w:r w:rsidRPr="00D8428B">
              <w:rPr>
                <w:rFonts w:ascii="Arial Narrow" w:hAnsi="Arial Narrow"/>
                <w:color w:val="333333"/>
                <w:sz w:val="18"/>
                <w:szCs w:val="18"/>
              </w:rPr>
              <w:t>The same indices of disease severity used to establish baseline at the commencement of treatment with each initial treatment application must be used to determine response for all subsequent continuing treatments.</w:t>
            </w:r>
          </w:p>
        </w:tc>
      </w:tr>
      <w:tr w:rsidR="007A2F3E" w:rsidRPr="00D8428B" w14:paraId="1431A8BE"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2CD54FE1"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E663705"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02596AD9"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The authority application must be made in writing and must include:</w:t>
            </w:r>
          </w:p>
          <w:p w14:paraId="3B64CADE"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(1) a completed authority prescription form(s); and</w:t>
            </w:r>
          </w:p>
          <w:p w14:paraId="24C77DCB"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(2) a completed Severe Psoriatic Arthritis PBS Authority Application - Supporting Information Form.</w:t>
            </w:r>
          </w:p>
        </w:tc>
      </w:tr>
      <w:tr w:rsidR="007A2F3E" w:rsidRPr="00D8428B" w14:paraId="42E09287" w14:textId="77777777" w:rsidTr="007A2F3E">
        <w:tblPrEx>
          <w:tblCellMar>
            <w:top w:w="15" w:type="dxa"/>
            <w:left w:w="15" w:type="dxa"/>
            <w:bottom w:w="15" w:type="dxa"/>
            <w:right w:w="15" w:type="dxa"/>
          </w:tblCellMar>
          <w:tblLook w:val="04A0" w:firstRow="1" w:lastRow="0" w:firstColumn="1" w:lastColumn="0" w:noHBand="0" w:noVBand="1"/>
        </w:tblPrEx>
        <w:trPr>
          <w:trHeight w:val="354"/>
        </w:trPr>
        <w:tc>
          <w:tcPr>
            <w:tcW w:w="981" w:type="dxa"/>
            <w:vAlign w:val="center"/>
          </w:tcPr>
          <w:p w14:paraId="50234C40"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5311B2C" w14:textId="77777777" w:rsidR="007A2F3E" w:rsidRPr="009F5E9F" w:rsidRDefault="007A2F3E" w:rsidP="007A2F3E">
            <w:pPr>
              <w:rPr>
                <w:rFonts w:ascii="Arial Narrow" w:hAnsi="Arial Narrow"/>
                <w:b/>
                <w:bCs/>
                <w:color w:val="333333"/>
                <w:sz w:val="18"/>
                <w:szCs w:val="18"/>
              </w:rPr>
            </w:pPr>
            <w:r w:rsidRPr="009F5E9F">
              <w:rPr>
                <w:rFonts w:ascii="Arial Narrow" w:hAnsi="Arial Narrow"/>
                <w:b/>
                <w:bCs/>
                <w:color w:val="333333"/>
                <w:sz w:val="18"/>
                <w:szCs w:val="18"/>
              </w:rPr>
              <w:t>Prescribing Instructions:</w:t>
            </w:r>
          </w:p>
          <w:p w14:paraId="77EC64B6" w14:textId="77777777" w:rsidR="007A2F3E" w:rsidRPr="009F5E9F" w:rsidRDefault="007A2F3E" w:rsidP="007A2F3E">
            <w:pPr>
              <w:rPr>
                <w:rFonts w:ascii="Arial Narrow" w:hAnsi="Arial Narrow"/>
                <w:bCs/>
                <w:color w:val="333333"/>
                <w:sz w:val="18"/>
                <w:szCs w:val="18"/>
              </w:rPr>
            </w:pPr>
            <w:r w:rsidRPr="009F5E9F">
              <w:rPr>
                <w:rFonts w:ascii="Arial Narrow" w:hAnsi="Arial Narrow"/>
                <w:bCs/>
                <w:color w:val="333333"/>
                <w:sz w:val="18"/>
                <w:szCs w:val="18"/>
              </w:rPr>
              <w:t>Where the most recent course of PBS-subsidised treatment with this drug was approved under either Initial 1, Initial 2, or Initial 3 treatment restrictions, an assessment of a patient's response must have been conducted following a minimum of 12 weeks of therapy and submitted to the Department of Human Services no later than 4 weeks from the date of completion of treatment.</w:t>
            </w:r>
          </w:p>
        </w:tc>
      </w:tr>
      <w:tr w:rsidR="007A2F3E" w:rsidRPr="00D8428B" w14:paraId="0CFE1B79" w14:textId="77777777" w:rsidTr="007A2F3E">
        <w:tblPrEx>
          <w:tblCellMar>
            <w:top w:w="15" w:type="dxa"/>
            <w:left w:w="15" w:type="dxa"/>
            <w:bottom w:w="15" w:type="dxa"/>
            <w:right w:w="15" w:type="dxa"/>
          </w:tblCellMar>
          <w:tblLook w:val="04A0" w:firstRow="1" w:lastRow="0" w:firstColumn="1" w:lastColumn="0" w:noHBand="0" w:noVBand="1"/>
        </w:tblPrEx>
        <w:trPr>
          <w:trHeight w:val="35"/>
        </w:trPr>
        <w:tc>
          <w:tcPr>
            <w:tcW w:w="981" w:type="dxa"/>
            <w:vAlign w:val="center"/>
          </w:tcPr>
          <w:p w14:paraId="3C621AFC"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AB21C80" w14:textId="77777777" w:rsidR="007A2F3E" w:rsidRPr="009F5E9F" w:rsidRDefault="007A2F3E" w:rsidP="007A2F3E">
            <w:pPr>
              <w:rPr>
                <w:rFonts w:ascii="Arial Narrow" w:hAnsi="Arial Narrow"/>
                <w:b/>
                <w:bCs/>
                <w:color w:val="333333"/>
                <w:sz w:val="18"/>
                <w:szCs w:val="18"/>
              </w:rPr>
            </w:pPr>
            <w:r w:rsidRPr="009F5E9F">
              <w:rPr>
                <w:rFonts w:ascii="Arial Narrow" w:hAnsi="Arial Narrow"/>
                <w:b/>
                <w:bCs/>
                <w:color w:val="333333"/>
                <w:sz w:val="18"/>
                <w:szCs w:val="18"/>
              </w:rPr>
              <w:t>Prescribing Instructions:</w:t>
            </w:r>
          </w:p>
          <w:p w14:paraId="3DFC2401" w14:textId="77777777" w:rsidR="007A2F3E" w:rsidRPr="009F5E9F" w:rsidRDefault="007A2F3E" w:rsidP="007A2F3E">
            <w:pPr>
              <w:rPr>
                <w:rFonts w:ascii="Arial Narrow" w:hAnsi="Arial Narrow"/>
                <w:bCs/>
                <w:color w:val="333333"/>
                <w:sz w:val="18"/>
                <w:szCs w:val="18"/>
              </w:rPr>
            </w:pPr>
            <w:r w:rsidRPr="009F5E9F">
              <w:rPr>
                <w:rFonts w:ascii="Arial Narrow" w:hAnsi="Arial Narrow"/>
                <w:bCs/>
                <w:color w:val="333333"/>
                <w:sz w:val="18"/>
                <w:szCs w:val="18"/>
              </w:rP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p>
        </w:tc>
      </w:tr>
      <w:tr w:rsidR="007A2F3E" w:rsidRPr="00D8428B" w14:paraId="79555404" w14:textId="77777777" w:rsidTr="007A2F3E">
        <w:tblPrEx>
          <w:tblCellMar>
            <w:top w:w="15" w:type="dxa"/>
            <w:left w:w="15" w:type="dxa"/>
            <w:bottom w:w="15" w:type="dxa"/>
            <w:right w:w="15" w:type="dxa"/>
          </w:tblCellMar>
          <w:tblLook w:val="04A0" w:firstRow="1" w:lastRow="0" w:firstColumn="1" w:lastColumn="0" w:noHBand="0" w:noVBand="1"/>
        </w:tblPrEx>
        <w:trPr>
          <w:trHeight w:val="620"/>
        </w:trPr>
        <w:tc>
          <w:tcPr>
            <w:tcW w:w="981" w:type="dxa"/>
            <w:vAlign w:val="center"/>
          </w:tcPr>
          <w:p w14:paraId="0B70B405"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DB6ED18"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6DB2A448"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Where the response assessment is not submitted within this timeframe, the patient will be deemed to have failed to respond to treatment with this drug.</w:t>
            </w:r>
          </w:p>
        </w:tc>
      </w:tr>
      <w:tr w:rsidR="007A2F3E" w:rsidRPr="00D8428B" w14:paraId="005BFCFC"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5985130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61375A24" w14:textId="77777777" w:rsidR="007A2F3E" w:rsidRPr="00D8428B" w:rsidRDefault="007A2F3E" w:rsidP="007A2F3E">
            <w:pPr>
              <w:rPr>
                <w:rFonts w:ascii="Arial Narrow" w:hAnsi="Arial Narrow"/>
                <w:bCs/>
                <w:color w:val="333333"/>
                <w:sz w:val="18"/>
                <w:szCs w:val="18"/>
              </w:rPr>
            </w:pPr>
            <w:r w:rsidRPr="00D8428B">
              <w:rPr>
                <w:rFonts w:ascii="Arial Narrow" w:hAnsi="Arial Narrow"/>
                <w:b/>
                <w:bCs/>
                <w:color w:val="333333"/>
                <w:sz w:val="18"/>
                <w:szCs w:val="18"/>
              </w:rPr>
              <w:t>Prescribing Instructions:</w:t>
            </w:r>
          </w:p>
          <w:p w14:paraId="238A012E"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7A2F3E" w:rsidRPr="00D8428B" w14:paraId="5C8D306E" w14:textId="77777777" w:rsidTr="007A2F3E">
        <w:tblPrEx>
          <w:tblCellMar>
            <w:top w:w="15" w:type="dxa"/>
            <w:left w:w="15" w:type="dxa"/>
            <w:bottom w:w="15" w:type="dxa"/>
            <w:right w:w="15" w:type="dxa"/>
          </w:tblCellMar>
          <w:tblLook w:val="04A0" w:firstRow="1" w:lastRow="0" w:firstColumn="1" w:lastColumn="0" w:noHBand="0" w:noVBand="1"/>
        </w:tblPrEx>
        <w:trPr>
          <w:trHeight w:val="826"/>
        </w:trPr>
        <w:tc>
          <w:tcPr>
            <w:tcW w:w="981" w:type="dxa"/>
            <w:vAlign w:val="center"/>
          </w:tcPr>
          <w:p w14:paraId="6404F6A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2D778431" w14:textId="77777777" w:rsidR="007A2F3E" w:rsidRPr="00D8428B" w:rsidRDefault="007A2F3E" w:rsidP="007A2F3E">
            <w:pPr>
              <w:rPr>
                <w:rFonts w:ascii="Arial Narrow" w:hAnsi="Arial Narrow"/>
                <w:b/>
                <w:bCs/>
                <w:color w:val="333333"/>
                <w:sz w:val="18"/>
                <w:szCs w:val="18"/>
              </w:rPr>
            </w:pPr>
            <w:r w:rsidRPr="00D8428B">
              <w:rPr>
                <w:rFonts w:ascii="Arial Narrow" w:hAnsi="Arial Narrow"/>
                <w:b/>
                <w:bCs/>
                <w:color w:val="333333"/>
                <w:sz w:val="18"/>
                <w:szCs w:val="18"/>
              </w:rPr>
              <w:t>Administrative Advice:</w:t>
            </w:r>
          </w:p>
          <w:p w14:paraId="5D172903" w14:textId="77777777" w:rsidR="007A2F3E" w:rsidRPr="00D8428B" w:rsidRDefault="007A2F3E" w:rsidP="007A2F3E">
            <w:pPr>
              <w:rPr>
                <w:rFonts w:ascii="Arial Narrow" w:hAnsi="Arial Narrow"/>
                <w:b/>
                <w:bCs/>
                <w:color w:val="333333"/>
                <w:sz w:val="18"/>
                <w:szCs w:val="18"/>
              </w:rPr>
            </w:pPr>
            <w:r w:rsidRPr="00D8428B">
              <w:rPr>
                <w:rFonts w:ascii="Arial Narrow" w:hAnsi="Arial Narrow"/>
                <w:bCs/>
                <w:color w:val="333333"/>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7A2F3E" w:rsidRPr="00D8428B" w14:paraId="1677335E" w14:textId="77777777" w:rsidTr="007A2F3E">
        <w:tblPrEx>
          <w:tblCellMar>
            <w:top w:w="15" w:type="dxa"/>
            <w:left w:w="15" w:type="dxa"/>
            <w:bottom w:w="15" w:type="dxa"/>
            <w:right w:w="15" w:type="dxa"/>
          </w:tblCellMar>
          <w:tblLook w:val="04A0" w:firstRow="1" w:lastRow="0" w:firstColumn="1" w:lastColumn="0" w:noHBand="0" w:noVBand="1"/>
        </w:tblPrEx>
        <w:trPr>
          <w:trHeight w:val="2479"/>
        </w:trPr>
        <w:tc>
          <w:tcPr>
            <w:tcW w:w="981" w:type="dxa"/>
            <w:vAlign w:val="center"/>
          </w:tcPr>
          <w:p w14:paraId="2F87CBB8"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79F30EE" w14:textId="77777777" w:rsidR="007A2F3E" w:rsidRPr="00D8428B" w:rsidRDefault="007A2F3E" w:rsidP="007A2F3E">
            <w:pPr>
              <w:rPr>
                <w:rFonts w:ascii="Arial Narrow" w:hAnsi="Arial Narrow"/>
                <w:b/>
                <w:bCs/>
                <w:color w:val="333333"/>
                <w:sz w:val="18"/>
                <w:szCs w:val="18"/>
              </w:rPr>
            </w:pPr>
            <w:r w:rsidRPr="00D8428B">
              <w:rPr>
                <w:rFonts w:ascii="Arial Narrow" w:hAnsi="Arial Narrow"/>
                <w:b/>
                <w:bCs/>
                <w:color w:val="333333"/>
                <w:sz w:val="18"/>
                <w:szCs w:val="18"/>
              </w:rPr>
              <w:t>Administrative Advice:</w:t>
            </w:r>
          </w:p>
          <w:p w14:paraId="0124E133"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Any queries concerning the arrangements to prescribe may be directed to Services Australia on 1800 700 270 (hours of operation 8 a.m. to 5 p.m. EST Monday to Friday).</w:t>
            </w:r>
          </w:p>
          <w:p w14:paraId="7EE0009E" w14:textId="77777777" w:rsidR="007A2F3E" w:rsidRPr="00D8428B" w:rsidRDefault="007A2F3E" w:rsidP="007A2F3E">
            <w:pPr>
              <w:rPr>
                <w:rFonts w:ascii="Arial Narrow" w:hAnsi="Arial Narrow"/>
                <w:bCs/>
                <w:color w:val="333333"/>
                <w:sz w:val="18"/>
                <w:szCs w:val="18"/>
              </w:rPr>
            </w:pPr>
          </w:p>
          <w:p w14:paraId="7284BC36"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 xml:space="preserve">Prescribing information (including Authority Application forms and other relevant documentation as applicable) is available on the Services Australia website at </w:t>
            </w:r>
            <w:r w:rsidRPr="0031616A">
              <w:rPr>
                <w:rFonts w:ascii="Arial Narrow" w:hAnsi="Arial Narrow"/>
                <w:bCs/>
                <w:sz w:val="18"/>
                <w:szCs w:val="18"/>
              </w:rPr>
              <w:t>www.servicesaustralia.gov.au</w:t>
            </w:r>
          </w:p>
          <w:p w14:paraId="693550EF" w14:textId="77777777" w:rsidR="007A2F3E" w:rsidRPr="00D8428B" w:rsidRDefault="007A2F3E" w:rsidP="007A2F3E">
            <w:pPr>
              <w:rPr>
                <w:rFonts w:ascii="Arial Narrow" w:hAnsi="Arial Narrow"/>
                <w:bCs/>
                <w:color w:val="333333"/>
                <w:sz w:val="18"/>
                <w:szCs w:val="18"/>
              </w:rPr>
            </w:pPr>
          </w:p>
          <w:p w14:paraId="3D6EE1A0" w14:textId="77777777" w:rsidR="007A2F3E" w:rsidRDefault="007A2F3E" w:rsidP="007A2F3E">
            <w:pPr>
              <w:rPr>
                <w:rFonts w:ascii="Arial Narrow" w:hAnsi="Arial Narrow"/>
                <w:bCs/>
                <w:color w:val="333333"/>
                <w:sz w:val="18"/>
                <w:szCs w:val="18"/>
              </w:rPr>
            </w:pPr>
            <w:r w:rsidRPr="00D8428B">
              <w:rPr>
                <w:rFonts w:ascii="Arial Narrow" w:hAnsi="Arial Narrow"/>
                <w:bCs/>
                <w:color w:val="333333"/>
                <w:sz w:val="18"/>
                <w:szCs w:val="18"/>
              </w:rPr>
              <w:t xml:space="preserve">Applications for authority to prescribe should be submitted online using the form upload facility in Health Professional Online Services (HPOS) at </w:t>
            </w:r>
            <w:r w:rsidRPr="0031616A">
              <w:rPr>
                <w:rFonts w:ascii="Arial Narrow" w:hAnsi="Arial Narrow"/>
                <w:bCs/>
                <w:sz w:val="18"/>
                <w:szCs w:val="18"/>
              </w:rPr>
              <w:t>www.servicesaustralia.gov.au/hpos</w:t>
            </w:r>
          </w:p>
          <w:p w14:paraId="61D29A2E" w14:textId="77777777" w:rsidR="007A2F3E" w:rsidRPr="00D8428B" w:rsidRDefault="007A2F3E" w:rsidP="007A2F3E">
            <w:pPr>
              <w:rPr>
                <w:rFonts w:ascii="Arial Narrow" w:hAnsi="Arial Narrow"/>
                <w:bCs/>
                <w:color w:val="333333"/>
                <w:sz w:val="18"/>
                <w:szCs w:val="18"/>
              </w:rPr>
            </w:pPr>
          </w:p>
          <w:p w14:paraId="6771B57E"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Or mailed to:</w:t>
            </w:r>
          </w:p>
          <w:p w14:paraId="104C9A5D"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Services Australia</w:t>
            </w:r>
          </w:p>
          <w:p w14:paraId="65CA915D"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Complex Drugs</w:t>
            </w:r>
          </w:p>
          <w:p w14:paraId="273783BD" w14:textId="77777777" w:rsidR="007A2F3E" w:rsidRPr="00D8428B" w:rsidRDefault="007A2F3E" w:rsidP="007A2F3E">
            <w:pPr>
              <w:rPr>
                <w:rFonts w:ascii="Arial Narrow" w:hAnsi="Arial Narrow"/>
                <w:bCs/>
                <w:color w:val="333333"/>
                <w:sz w:val="18"/>
                <w:szCs w:val="18"/>
              </w:rPr>
            </w:pPr>
            <w:r w:rsidRPr="00D8428B">
              <w:rPr>
                <w:rFonts w:ascii="Arial Narrow" w:hAnsi="Arial Narrow"/>
                <w:bCs/>
                <w:color w:val="333333"/>
                <w:sz w:val="18"/>
                <w:szCs w:val="18"/>
              </w:rPr>
              <w:t>Reply Paid 9826</w:t>
            </w:r>
          </w:p>
          <w:p w14:paraId="17C5B32B" w14:textId="77777777" w:rsidR="007A2F3E" w:rsidRPr="00D8428B" w:rsidRDefault="007A2F3E" w:rsidP="007A2F3E">
            <w:pPr>
              <w:rPr>
                <w:rFonts w:ascii="Arial Narrow" w:hAnsi="Arial Narrow"/>
                <w:b/>
                <w:bCs/>
                <w:color w:val="333333"/>
                <w:sz w:val="18"/>
                <w:szCs w:val="18"/>
              </w:rPr>
            </w:pPr>
            <w:r w:rsidRPr="00D8428B">
              <w:rPr>
                <w:rFonts w:ascii="Arial Narrow" w:hAnsi="Arial Narrow"/>
                <w:bCs/>
                <w:color w:val="333333"/>
                <w:sz w:val="18"/>
                <w:szCs w:val="18"/>
              </w:rPr>
              <w:t>HOBART TAS 7001</w:t>
            </w:r>
          </w:p>
        </w:tc>
      </w:tr>
      <w:tr w:rsidR="007A2F3E" w:rsidRPr="00D8428B" w14:paraId="2149C0E6"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5FA6035" w14:textId="77777777" w:rsidR="007A2F3E" w:rsidRPr="00D8428B" w:rsidRDefault="007A2F3E" w:rsidP="007A2F3E">
            <w:pPr>
              <w:rPr>
                <w:rFonts w:ascii="Arial Narrow" w:eastAsiaTheme="minorHAnsi" w:hAnsi="Arial Narrow"/>
                <w:b/>
                <w:sz w:val="18"/>
                <w:szCs w:val="18"/>
              </w:rPr>
            </w:pPr>
          </w:p>
        </w:tc>
      </w:tr>
      <w:tr w:rsidR="007A2F3E" w:rsidRPr="00D8428B" w14:paraId="54F4B8A4" w14:textId="77777777" w:rsidTr="007A2F3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57A03E9" w14:textId="77777777" w:rsidR="007A2F3E" w:rsidRPr="00D8428B" w:rsidRDefault="007A2F3E" w:rsidP="007A2F3E">
            <w:pPr>
              <w:rPr>
                <w:rFonts w:ascii="Arial Narrow" w:eastAsiaTheme="minorHAnsi" w:hAnsi="Arial Narrow"/>
                <w:b/>
                <w:sz w:val="18"/>
                <w:szCs w:val="18"/>
              </w:rPr>
            </w:pPr>
            <w:r w:rsidRPr="009F5E9F">
              <w:rPr>
                <w:rFonts w:ascii="Arial Narrow" w:eastAsiaTheme="minorHAnsi" w:hAnsi="Arial Narrow"/>
                <w:b/>
                <w:sz w:val="18"/>
                <w:szCs w:val="18"/>
              </w:rPr>
              <w:t>Restriction Summary 9121</w:t>
            </w:r>
            <w:r>
              <w:rPr>
                <w:rFonts w:ascii="Arial Narrow" w:eastAsiaTheme="minorHAnsi" w:hAnsi="Arial Narrow"/>
                <w:b/>
                <w:sz w:val="18"/>
                <w:szCs w:val="18"/>
              </w:rPr>
              <w:t xml:space="preserve"> / Treatment of Concept 9063 (as per adalimumab, certolizumab, golimumab, secukinumab and ustekinumab; current as of 1 November 2020)</w:t>
            </w:r>
          </w:p>
        </w:tc>
      </w:tr>
      <w:tr w:rsidR="007A2F3E" w:rsidRPr="00D8428B" w14:paraId="0404B6BD"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B5C51DB"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2FBD1613"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i/>
                <w:color w:val="333333"/>
                <w:sz w:val="18"/>
                <w:szCs w:val="18"/>
              </w:rPr>
              <w:t>(</w:t>
            </w:r>
            <w:r>
              <w:rPr>
                <w:rFonts w:ascii="Arial Narrow" w:hAnsi="Arial Narrow"/>
                <w:bCs/>
                <w:i/>
                <w:color w:val="333333"/>
                <w:sz w:val="18"/>
                <w:szCs w:val="18"/>
              </w:rPr>
              <w:t>------</w:t>
            </w:r>
            <w:r w:rsidRPr="00EB26EA">
              <w:rPr>
                <w:rFonts w:ascii="Arial Narrow" w:hAnsi="Arial Narrow"/>
                <w:bCs/>
                <w:i/>
                <w:color w:val="333333"/>
                <w:sz w:val="18"/>
                <w:szCs w:val="18"/>
              </w:rPr>
              <w:t>see end of document for updated concept</w:t>
            </w:r>
            <w:r>
              <w:rPr>
                <w:rFonts w:ascii="Arial Narrow" w:hAnsi="Arial Narrow"/>
                <w:bCs/>
                <w:i/>
                <w:color w:val="333333"/>
                <w:sz w:val="18"/>
                <w:szCs w:val="18"/>
              </w:rPr>
              <w:t>--------</w:t>
            </w:r>
            <w:r w:rsidRPr="00EB26EA">
              <w:rPr>
                <w:rFonts w:ascii="Arial Narrow" w:hAnsi="Arial Narrow"/>
                <w:bCs/>
                <w:i/>
                <w:color w:val="333333"/>
                <w:sz w:val="18"/>
                <w:szCs w:val="18"/>
              </w:rPr>
              <w:t>)</w:t>
            </w:r>
          </w:p>
        </w:tc>
      </w:tr>
      <w:tr w:rsidR="007A2F3E" w:rsidRPr="00D8428B" w14:paraId="30CC2F8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3E33059" w14:textId="77777777" w:rsidR="007A2F3E" w:rsidRPr="00D8428B" w:rsidRDefault="007A2F3E" w:rsidP="007A2F3E">
            <w:pPr>
              <w:jc w:val="center"/>
              <w:rPr>
                <w:rFonts w:ascii="Arial Narrow" w:hAnsi="Arial Narrow"/>
                <w:color w:val="333333"/>
                <w:sz w:val="18"/>
                <w:szCs w:val="18"/>
              </w:rPr>
            </w:pPr>
          </w:p>
        </w:tc>
        <w:tc>
          <w:tcPr>
            <w:tcW w:w="8086" w:type="dxa"/>
            <w:gridSpan w:val="6"/>
          </w:tcPr>
          <w:p w14:paraId="7DC2AF4E" w14:textId="77777777" w:rsidR="007A2F3E" w:rsidRPr="00D8428B" w:rsidRDefault="007A2F3E" w:rsidP="007A2F3E">
            <w:pPr>
              <w:rPr>
                <w:rFonts w:ascii="Arial Narrow" w:hAnsi="Arial Narrow"/>
                <w:b/>
                <w:bCs/>
                <w:color w:val="333333"/>
                <w:sz w:val="18"/>
                <w:szCs w:val="18"/>
              </w:rPr>
            </w:pPr>
            <w:r w:rsidRPr="00B02BEC">
              <w:rPr>
                <w:rFonts w:ascii="Arial Narrow" w:hAnsi="Arial Narrow"/>
                <w:b/>
                <w:bCs/>
                <w:color w:val="333333"/>
                <w:sz w:val="18"/>
                <w:szCs w:val="18"/>
              </w:rPr>
              <w:t xml:space="preserve">Administrative Advice: </w:t>
            </w:r>
            <w:r w:rsidRPr="00EB26EA">
              <w:rPr>
                <w:rFonts w:ascii="Arial Narrow" w:hAnsi="Arial Narrow"/>
                <w:bCs/>
                <w:color w:val="333333"/>
                <w:sz w:val="18"/>
                <w:szCs w:val="18"/>
              </w:rPr>
              <w:t>No increase in the maximum quantity or number of units may be authorised.</w:t>
            </w:r>
          </w:p>
        </w:tc>
      </w:tr>
      <w:tr w:rsidR="007A2F3E" w:rsidRPr="00D8428B" w14:paraId="1114B72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4485956"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698056C"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No increase in the maximum number of repeats may be authorised.</w:t>
            </w:r>
          </w:p>
        </w:tc>
      </w:tr>
      <w:tr w:rsidR="007A2F3E" w:rsidRPr="00D8428B" w14:paraId="16B3577C"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2C358D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7B340BBD" w14:textId="77777777" w:rsidR="007A2F3E" w:rsidRPr="00D8428B" w:rsidRDefault="007A2F3E" w:rsidP="007A2F3E">
            <w:pPr>
              <w:rPr>
                <w:rFonts w:ascii="Arial Narrow" w:hAnsi="Arial Narrow"/>
                <w:b/>
                <w:bCs/>
                <w:color w:val="333333"/>
                <w:sz w:val="18"/>
                <w:szCs w:val="18"/>
              </w:rPr>
            </w:pPr>
            <w:r w:rsidRPr="00EB26EA">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EB26EA">
              <w:rPr>
                <w:rFonts w:ascii="Arial Narrow" w:hAnsi="Arial Narrow"/>
                <w:bCs/>
                <w:color w:val="333333"/>
                <w:sz w:val="18"/>
                <w:szCs w:val="18"/>
              </w:rPr>
              <w:t>Spe</w:t>
            </w:r>
            <w:r>
              <w:rPr>
                <w:rFonts w:ascii="Arial Narrow" w:hAnsi="Arial Narrow"/>
                <w:bCs/>
                <w:color w:val="333333"/>
                <w:sz w:val="18"/>
                <w:szCs w:val="18"/>
              </w:rPr>
              <w:t>cial Pricing Arrangements apply</w:t>
            </w:r>
          </w:p>
        </w:tc>
      </w:tr>
      <w:tr w:rsidR="007A2F3E" w:rsidRPr="00D8428B" w14:paraId="08B1D00F"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2FF36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3F99C1EF"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Indication:</w:t>
            </w:r>
            <w:r w:rsidRPr="00D8428B">
              <w:rPr>
                <w:rFonts w:ascii="Arial Narrow" w:hAnsi="Arial Narrow"/>
                <w:color w:val="333333"/>
                <w:sz w:val="18"/>
                <w:szCs w:val="18"/>
              </w:rPr>
              <w:t xml:space="preserve"> Severe psoriatic arthritis</w:t>
            </w:r>
          </w:p>
        </w:tc>
      </w:tr>
      <w:tr w:rsidR="007A2F3E" w:rsidRPr="00D8428B" w14:paraId="602408A1" w14:textId="77777777" w:rsidTr="00614ABF">
        <w:tblPrEx>
          <w:tblCellMar>
            <w:top w:w="15" w:type="dxa"/>
            <w:left w:w="15" w:type="dxa"/>
            <w:bottom w:w="15" w:type="dxa"/>
            <w:right w:w="15" w:type="dxa"/>
          </w:tblCellMar>
          <w:tblLook w:val="04A0" w:firstRow="1" w:lastRow="0" w:firstColumn="1" w:lastColumn="0" w:noHBand="0" w:noVBand="1"/>
        </w:tblPrEx>
        <w:tc>
          <w:tcPr>
            <w:tcW w:w="981" w:type="dxa"/>
            <w:vAlign w:val="center"/>
          </w:tcPr>
          <w:p w14:paraId="288787F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7277271A"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Phase:</w:t>
            </w:r>
            <w:r w:rsidRPr="00D8428B">
              <w:rPr>
                <w:rFonts w:ascii="Arial Narrow" w:hAnsi="Arial Narrow"/>
                <w:color w:val="333333"/>
                <w:sz w:val="18"/>
                <w:szCs w:val="18"/>
              </w:rPr>
              <w:t xml:space="preserve"> Continuing treatment – balance of supply</w:t>
            </w:r>
          </w:p>
        </w:tc>
      </w:tr>
      <w:tr w:rsidR="007A2F3E" w:rsidRPr="00D8428B" w14:paraId="03CFB926"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16BEFD0"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4DBEAEA"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597137EE"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2FEABBD"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F0F4FB3"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Patient must have received insufficient therapy with this drug for this condition under the continuing treatment restriction to complete 24 weeks treatment</w:t>
            </w:r>
          </w:p>
        </w:tc>
      </w:tr>
      <w:tr w:rsidR="007A2F3E" w:rsidRPr="00D8428B" w14:paraId="36608EDD"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77B7E40"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07A74075"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79EBB299"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1557D44"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37B37065"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Clinical criteria:</w:t>
            </w:r>
          </w:p>
        </w:tc>
      </w:tr>
      <w:tr w:rsidR="007A2F3E" w:rsidRPr="00D8428B" w14:paraId="75D21A8C"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22F849A"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hideMark/>
          </w:tcPr>
          <w:p w14:paraId="53FEECDF"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 xml:space="preserve">The treatment must provide no more than the balance of up to 24 weeks treatment available under the above restriction </w:t>
            </w:r>
          </w:p>
        </w:tc>
      </w:tr>
      <w:tr w:rsidR="007A2F3E" w:rsidRPr="00D8428B" w14:paraId="0AE1E548"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8517083"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7560A9D"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AND</w:t>
            </w:r>
          </w:p>
        </w:tc>
      </w:tr>
      <w:tr w:rsidR="007A2F3E" w:rsidRPr="00D8428B" w14:paraId="66B689E1"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725B022"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BE2CBF0"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Treatment criteria:</w:t>
            </w:r>
          </w:p>
        </w:tc>
      </w:tr>
      <w:tr w:rsidR="007A2F3E" w:rsidRPr="00D8428B" w14:paraId="7396D31B"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3D478D3"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92BE257"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rheumatologist; or</w:t>
            </w:r>
          </w:p>
        </w:tc>
      </w:tr>
      <w:tr w:rsidR="007A2F3E" w:rsidRPr="00D8428B" w14:paraId="03AD1C37" w14:textId="77777777" w:rsidTr="007A2F3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C2DB927"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0125013C"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Must be treated by a clinical immunologist with expertise in the management of psoriatic arthritis</w:t>
            </w:r>
          </w:p>
        </w:tc>
      </w:tr>
      <w:tr w:rsidR="007A2F3E" w:rsidRPr="00D8428B" w14:paraId="264B281B" w14:textId="77777777" w:rsidTr="007A2F3E">
        <w:tblPrEx>
          <w:tblCellMar>
            <w:top w:w="15" w:type="dxa"/>
            <w:left w:w="15" w:type="dxa"/>
            <w:bottom w:w="15" w:type="dxa"/>
            <w:right w:w="15" w:type="dxa"/>
          </w:tblCellMar>
          <w:tblLook w:val="04A0" w:firstRow="1" w:lastRow="0" w:firstColumn="1" w:lastColumn="0" w:noHBand="0" w:noVBand="1"/>
        </w:tblPrEx>
        <w:trPr>
          <w:trHeight w:val="620"/>
        </w:trPr>
        <w:tc>
          <w:tcPr>
            <w:tcW w:w="981" w:type="dxa"/>
            <w:vAlign w:val="center"/>
          </w:tcPr>
          <w:p w14:paraId="23200D0D" w14:textId="77777777" w:rsidR="007A2F3E" w:rsidRPr="00D8428B" w:rsidRDefault="007A2F3E" w:rsidP="007A2F3E">
            <w:pPr>
              <w:jc w:val="center"/>
              <w:rPr>
                <w:rFonts w:ascii="Arial Narrow" w:hAnsi="Arial Narrow"/>
                <w:color w:val="333333"/>
                <w:sz w:val="18"/>
                <w:szCs w:val="18"/>
              </w:rPr>
            </w:pPr>
          </w:p>
        </w:tc>
        <w:tc>
          <w:tcPr>
            <w:tcW w:w="8086" w:type="dxa"/>
            <w:gridSpan w:val="6"/>
            <w:vAlign w:val="center"/>
          </w:tcPr>
          <w:p w14:paraId="1FA16AFF" w14:textId="77777777" w:rsidR="007A2F3E" w:rsidRPr="00D8428B" w:rsidRDefault="007A2F3E" w:rsidP="007A2F3E">
            <w:pPr>
              <w:rPr>
                <w:rFonts w:ascii="Arial Narrow" w:hAnsi="Arial Narrow"/>
                <w:color w:val="333333"/>
                <w:sz w:val="18"/>
                <w:szCs w:val="18"/>
              </w:rPr>
            </w:pPr>
            <w:r w:rsidRPr="00D8428B">
              <w:rPr>
                <w:rFonts w:ascii="Arial Narrow" w:hAnsi="Arial Narrow"/>
                <w:b/>
                <w:bCs/>
                <w:color w:val="333333"/>
                <w:sz w:val="18"/>
                <w:szCs w:val="18"/>
              </w:rPr>
              <w:t>Administrative Advice:</w:t>
            </w:r>
          </w:p>
          <w:p w14:paraId="0E9286D4" w14:textId="77777777" w:rsidR="007A2F3E" w:rsidRPr="00D8428B" w:rsidRDefault="007A2F3E" w:rsidP="007A2F3E">
            <w:pPr>
              <w:rPr>
                <w:rFonts w:ascii="Arial Narrow" w:hAnsi="Arial Narrow"/>
                <w:color w:val="333333"/>
                <w:sz w:val="18"/>
                <w:szCs w:val="18"/>
              </w:rPr>
            </w:pPr>
            <w:r w:rsidRPr="00D8428B">
              <w:rPr>
                <w:rFonts w:ascii="Arial Narrow" w:hAnsi="Arial Narrow"/>
                <w:bCs/>
                <w:color w:val="333333"/>
                <w:sz w:val="18"/>
                <w:szCs w:val="18"/>
              </w:rPr>
              <w:t>Authority approval for sufficient therapy to complete the balance of supply may be requested by telephone by contacting the Department of Human Services on 1800 700 270 (hours of operation 8 a.m. to 5 p.m. EST Monday to Friday).</w:t>
            </w:r>
          </w:p>
        </w:tc>
      </w:tr>
    </w:tbl>
    <w:p w14:paraId="2C4E4EAB" w14:textId="77777777" w:rsidR="007A2F3E" w:rsidRDefault="007A2F3E" w:rsidP="007A2F3E"/>
    <w:p w14:paraId="532CB074" w14:textId="77777777" w:rsidR="007A2F3E" w:rsidRDefault="007A2F3E" w:rsidP="007A2F3E">
      <w:pPr>
        <w:ind w:left="720" w:hanging="720"/>
      </w:pPr>
      <w:r>
        <w:t>8.2</w:t>
      </w:r>
      <w:r>
        <w:tab/>
        <w:t>The edited explanatory NOTE (24357) to add guselkumab to the list of biological medicines is shown below for reference:</w:t>
      </w:r>
    </w:p>
    <w:p w14:paraId="747A286B" w14:textId="77777777" w:rsidR="007A2F3E" w:rsidRDefault="007A2F3E" w:rsidP="007A2F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6"/>
      </w:tblGrid>
      <w:tr w:rsidR="007A2F3E" w:rsidRPr="00D8428B" w14:paraId="4155C7A2" w14:textId="77777777" w:rsidTr="007A2F3E">
        <w:tc>
          <w:tcPr>
            <w:tcW w:w="544" w:type="pct"/>
            <w:vAlign w:val="center"/>
          </w:tcPr>
          <w:p w14:paraId="0D6D83F7" w14:textId="77777777" w:rsidR="007A2F3E" w:rsidRPr="00844D00" w:rsidRDefault="007A2F3E" w:rsidP="007A2F3E">
            <w:pPr>
              <w:jc w:val="center"/>
              <w:rPr>
                <w:rFonts w:ascii="Arial Narrow" w:eastAsiaTheme="minorHAnsi" w:hAnsi="Arial Narrow"/>
                <w:sz w:val="18"/>
                <w:szCs w:val="18"/>
              </w:rPr>
            </w:pPr>
          </w:p>
        </w:tc>
        <w:tc>
          <w:tcPr>
            <w:tcW w:w="4456" w:type="pct"/>
            <w:vMerge w:val="restart"/>
            <w:vAlign w:val="center"/>
          </w:tcPr>
          <w:p w14:paraId="3D6C4E35" w14:textId="77777777" w:rsidR="007A2F3E" w:rsidRPr="00D8428B" w:rsidRDefault="007A2F3E" w:rsidP="007A2F3E">
            <w:pPr>
              <w:rPr>
                <w:rFonts w:ascii="Arial Narrow" w:hAnsi="Arial Narrow"/>
                <w:b/>
                <w:bCs/>
                <w:color w:val="333333"/>
                <w:sz w:val="18"/>
                <w:szCs w:val="18"/>
              </w:rPr>
            </w:pPr>
            <w:r w:rsidRPr="00D8428B">
              <w:rPr>
                <w:rFonts w:ascii="Arial Narrow" w:hAnsi="Arial Narrow"/>
                <w:b/>
                <w:bCs/>
                <w:color w:val="333333"/>
                <w:sz w:val="18"/>
                <w:szCs w:val="18"/>
              </w:rPr>
              <w:t>Administrative Advice:</w:t>
            </w:r>
          </w:p>
          <w:p w14:paraId="7F0118EC" w14:textId="77777777" w:rsidR="007A2F3E" w:rsidRDefault="007A2F3E" w:rsidP="007A2F3E">
            <w:pPr>
              <w:rPr>
                <w:rFonts w:ascii="Arial Narrow" w:hAnsi="Arial Narrow"/>
                <w:b/>
                <w:color w:val="333333"/>
                <w:sz w:val="18"/>
                <w:szCs w:val="18"/>
              </w:rPr>
            </w:pPr>
          </w:p>
          <w:p w14:paraId="6826157C" w14:textId="77777777" w:rsidR="007A2F3E" w:rsidRPr="00D8428B" w:rsidRDefault="007A2F3E" w:rsidP="007A2F3E">
            <w:pPr>
              <w:rPr>
                <w:rFonts w:ascii="Arial Narrow" w:hAnsi="Arial Narrow"/>
                <w:color w:val="333333"/>
                <w:sz w:val="18"/>
                <w:szCs w:val="18"/>
              </w:rPr>
            </w:pPr>
            <w:r w:rsidRPr="00D8428B">
              <w:rPr>
                <w:rFonts w:ascii="Arial Narrow" w:hAnsi="Arial Narrow"/>
                <w:b/>
                <w:color w:val="333333"/>
                <w:sz w:val="18"/>
                <w:szCs w:val="18"/>
              </w:rPr>
              <w:t>TREATMENT OF ADULT PATIENTS WITH SEVERE ACTIVE PSORIATIC ARTHRITIS</w:t>
            </w:r>
          </w:p>
          <w:p w14:paraId="18132AB7" w14:textId="77777777" w:rsidR="007A2F3E" w:rsidRPr="00D8428B" w:rsidRDefault="007A2F3E" w:rsidP="007A2F3E">
            <w:pPr>
              <w:rPr>
                <w:rFonts w:ascii="Arial Narrow" w:hAnsi="Arial Narrow"/>
                <w:color w:val="333333"/>
                <w:sz w:val="18"/>
                <w:szCs w:val="18"/>
              </w:rPr>
            </w:pPr>
          </w:p>
          <w:p w14:paraId="325A5AD7"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The following information applies to the prescribing under the Pharmaceutical Benefits Scheme (PBS) of the biological medicines adalimumab, certolizumab pegol, etanercept, golimumab,</w:t>
            </w:r>
            <w:r w:rsidRPr="00D8428B">
              <w:rPr>
                <w:rFonts w:ascii="Arial Narrow" w:hAnsi="Arial Narrow"/>
                <w:i/>
                <w:color w:val="333333"/>
                <w:sz w:val="18"/>
                <w:szCs w:val="18"/>
              </w:rPr>
              <w:t xml:space="preserve"> guselkumab,</w:t>
            </w:r>
            <w:r w:rsidRPr="00D8428B">
              <w:rPr>
                <w:rFonts w:ascii="Arial Narrow" w:hAnsi="Arial Narrow"/>
                <w:color w:val="333333"/>
                <w:sz w:val="18"/>
                <w:szCs w:val="18"/>
              </w:rPr>
              <w:t xml:space="preserve"> infliximab, ixekizumab, secukinumab, tofacitinib and ustekinumab for adult patients with severe active psoriatic arthritis. Therefore, where the term 'biological medicine' appears in notes and restrictions, it refers to adalimumab, certolizumab pegol, etanercept, golimumab, </w:t>
            </w:r>
            <w:r w:rsidRPr="00D8428B">
              <w:rPr>
                <w:rFonts w:ascii="Arial Narrow" w:hAnsi="Arial Narrow"/>
                <w:i/>
                <w:color w:val="333333"/>
                <w:sz w:val="18"/>
                <w:szCs w:val="18"/>
              </w:rPr>
              <w:t>guselkumab,</w:t>
            </w:r>
            <w:r w:rsidRPr="00D8428B">
              <w:rPr>
                <w:rFonts w:ascii="Arial Narrow" w:hAnsi="Arial Narrow"/>
                <w:color w:val="333333"/>
                <w:sz w:val="18"/>
                <w:szCs w:val="18"/>
              </w:rPr>
              <w:t xml:space="preserve"> infliximab, ixekizumab, secukinumab, tofacitinib and ustekinumab only.</w:t>
            </w:r>
          </w:p>
          <w:p w14:paraId="4F5BB1F6" w14:textId="77777777" w:rsidR="007A2F3E" w:rsidRPr="00D8428B" w:rsidRDefault="007A2F3E" w:rsidP="007A2F3E">
            <w:pPr>
              <w:rPr>
                <w:rFonts w:ascii="Arial Narrow" w:hAnsi="Arial Narrow"/>
                <w:color w:val="333333"/>
                <w:sz w:val="18"/>
                <w:szCs w:val="18"/>
              </w:rPr>
            </w:pPr>
          </w:p>
          <w:p w14:paraId="0BC70BA1"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is eligible for PBS-subsidised treatment with only 1 of the above biological medicines at any 1 time.</w:t>
            </w:r>
          </w:p>
          <w:p w14:paraId="6E15CA1F" w14:textId="77777777" w:rsidR="007A2F3E" w:rsidRPr="00D8428B" w:rsidRDefault="007A2F3E" w:rsidP="007A2F3E">
            <w:pPr>
              <w:rPr>
                <w:rFonts w:ascii="Arial Narrow" w:hAnsi="Arial Narrow"/>
                <w:color w:val="333333"/>
                <w:sz w:val="18"/>
                <w:szCs w:val="18"/>
              </w:rPr>
            </w:pPr>
          </w:p>
          <w:p w14:paraId="54F7EEA9"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receiving PBS-subsidised treatment for psoriatic arthritis is able to commence a treatment cycle where they may trial biological medicines without having to experience a disease flare when swapping to the alternate biological medicine. Under these arrangements, within a single cycle, a patient may receive long-term treatment with a biological medicine as long as they sustain a response to therapy.</w:t>
            </w:r>
          </w:p>
          <w:p w14:paraId="468BBCB6" w14:textId="77777777" w:rsidR="007A2F3E" w:rsidRPr="00D8428B" w:rsidRDefault="007A2F3E" w:rsidP="007A2F3E">
            <w:pPr>
              <w:rPr>
                <w:rFonts w:ascii="Arial Narrow" w:hAnsi="Arial Narrow"/>
                <w:color w:val="333333"/>
                <w:sz w:val="18"/>
                <w:szCs w:val="18"/>
              </w:rPr>
            </w:pPr>
          </w:p>
          <w:p w14:paraId="79D35A7F"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 xml:space="preserve">A patient who received PBS-subsidised adalimumab, certolizumab pegol, etanercept, golimumab, </w:t>
            </w:r>
            <w:r w:rsidRPr="00D8428B">
              <w:rPr>
                <w:rFonts w:ascii="Arial Narrow" w:hAnsi="Arial Narrow"/>
                <w:i/>
                <w:color w:val="333333"/>
                <w:sz w:val="18"/>
                <w:szCs w:val="18"/>
              </w:rPr>
              <w:t>guselkumab,</w:t>
            </w:r>
            <w:r w:rsidRPr="00D8428B">
              <w:rPr>
                <w:rFonts w:ascii="Arial Narrow" w:hAnsi="Arial Narrow"/>
                <w:color w:val="333333"/>
                <w:sz w:val="18"/>
                <w:szCs w:val="18"/>
              </w:rPr>
              <w:t xml:space="preserve"> infliximab, ixekizumab, secukinumab or ustekinumab treatment prior to 1 May 2019 is considered to start their first cycle as of 1 May 2019.</w:t>
            </w:r>
          </w:p>
          <w:p w14:paraId="3C43A5CF" w14:textId="77777777" w:rsidR="007A2F3E" w:rsidRPr="00D8428B" w:rsidRDefault="007A2F3E" w:rsidP="007A2F3E">
            <w:pPr>
              <w:rPr>
                <w:rFonts w:ascii="Arial Narrow" w:hAnsi="Arial Narrow"/>
                <w:color w:val="333333"/>
                <w:sz w:val="18"/>
                <w:szCs w:val="18"/>
              </w:rPr>
            </w:pPr>
          </w:p>
          <w:p w14:paraId="0A3CD0CB"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Within the same treatment cycle, a patient cannot trial and fail, or cease to respond to, the same PBS-subsidised biological medicine more than once. Therefore, once a patient fails to meet the response criteria for a PBS-subsidised biological medicine, they must change to an alternate biological medicine if they wish to continue PBS-subsidised biological treatment.</w:t>
            </w:r>
          </w:p>
          <w:p w14:paraId="5A22A003" w14:textId="77777777" w:rsidR="007A2F3E" w:rsidRPr="00D8428B" w:rsidRDefault="007A2F3E" w:rsidP="007A2F3E">
            <w:pPr>
              <w:rPr>
                <w:rFonts w:ascii="Arial Narrow" w:hAnsi="Arial Narrow"/>
                <w:color w:val="333333"/>
                <w:sz w:val="18"/>
                <w:szCs w:val="18"/>
              </w:rPr>
            </w:pPr>
          </w:p>
          <w:p w14:paraId="7D6169A1"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1D1E3DD3" w14:textId="77777777" w:rsidR="007A2F3E" w:rsidRPr="00D8428B" w:rsidRDefault="007A2F3E" w:rsidP="007A2F3E">
            <w:pPr>
              <w:rPr>
                <w:rFonts w:ascii="Arial Narrow" w:hAnsi="Arial Narrow"/>
                <w:color w:val="333333"/>
                <w:sz w:val="18"/>
                <w:szCs w:val="18"/>
              </w:rPr>
            </w:pPr>
          </w:p>
          <w:p w14:paraId="2C3696B4"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Once a patient has either failed or ceased to sustain a response to treatment 3 times, they are deemed to have completed a single cycle and they must have, at a minimum, a 5-year break in PBS-subsidised biological medicine therapy before they are eligible to commence another cycle [further details are under '(5) Recommencement of treatment after a 5-year break in PBS-subsidised therapy' below].</w:t>
            </w:r>
          </w:p>
          <w:p w14:paraId="45404311" w14:textId="77777777" w:rsidR="007A2F3E" w:rsidRPr="00D8428B" w:rsidRDefault="007A2F3E" w:rsidP="007A2F3E">
            <w:pPr>
              <w:rPr>
                <w:rFonts w:ascii="Arial Narrow" w:hAnsi="Arial Narrow"/>
                <w:color w:val="333333"/>
                <w:sz w:val="18"/>
                <w:szCs w:val="18"/>
              </w:rPr>
            </w:pPr>
          </w:p>
          <w:p w14:paraId="4D59CE8C"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lastRenderedPageBreak/>
              <w:t>The duration of the break in therapy will be measured from the date the last prescription for PBS-subsidised treatment was approved in the most recent cycle to the date of the first application for initial treatment with a biological medicine under the new cycle.</w:t>
            </w:r>
          </w:p>
          <w:p w14:paraId="0955B5DE" w14:textId="77777777" w:rsidR="007A2F3E" w:rsidRPr="00D8428B" w:rsidRDefault="007A2F3E" w:rsidP="007A2F3E">
            <w:pPr>
              <w:rPr>
                <w:rFonts w:ascii="Arial Narrow" w:hAnsi="Arial Narrow"/>
                <w:color w:val="333333"/>
                <w:sz w:val="18"/>
                <w:szCs w:val="18"/>
              </w:rPr>
            </w:pPr>
          </w:p>
          <w:p w14:paraId="382EB36E"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who has failed fewer than 3 biological medicines in a treatment cycle and who has a break in therapy of more than 5 years may commence a new treatment cycle under Initial 3 treatment restriction.</w:t>
            </w:r>
          </w:p>
          <w:p w14:paraId="72A65C1F" w14:textId="77777777" w:rsidR="007A2F3E" w:rsidRPr="00D8428B" w:rsidRDefault="007A2F3E" w:rsidP="007A2F3E">
            <w:pPr>
              <w:rPr>
                <w:rFonts w:ascii="Arial Narrow" w:hAnsi="Arial Narrow"/>
                <w:color w:val="333333"/>
                <w:sz w:val="18"/>
                <w:szCs w:val="18"/>
              </w:rPr>
            </w:pPr>
          </w:p>
          <w:p w14:paraId="7329174E"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who has failed fewer than 3 biological medicines in a treatment cycle and who has a break in therapy of less than 5 years may commence a further course of treatment within the same treatment cycle under Initial 2 treatment restriction.</w:t>
            </w:r>
          </w:p>
          <w:p w14:paraId="0A7009E5" w14:textId="77777777" w:rsidR="007A2F3E" w:rsidRPr="00D8428B" w:rsidRDefault="007A2F3E" w:rsidP="007A2F3E">
            <w:pPr>
              <w:rPr>
                <w:rFonts w:ascii="Arial Narrow" w:hAnsi="Arial Narrow"/>
                <w:color w:val="333333"/>
                <w:sz w:val="18"/>
                <w:szCs w:val="18"/>
              </w:rPr>
            </w:pPr>
          </w:p>
          <w:p w14:paraId="073841BB"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There is no limit to the number of treatment cycles a patient may undertake in their lifetime.</w:t>
            </w:r>
          </w:p>
          <w:p w14:paraId="143E4481" w14:textId="77777777" w:rsidR="007A2F3E" w:rsidRPr="00D8428B" w:rsidRDefault="007A2F3E" w:rsidP="007A2F3E">
            <w:pPr>
              <w:rPr>
                <w:rFonts w:ascii="Arial Narrow" w:hAnsi="Arial Narrow"/>
                <w:color w:val="333333"/>
                <w:sz w:val="18"/>
                <w:szCs w:val="18"/>
              </w:rPr>
            </w:pPr>
          </w:p>
          <w:p w14:paraId="33D6CABA"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How to prescribe PBS-subsidised biological medicine treatment for severe active psoriatic arthritis.</w:t>
            </w:r>
          </w:p>
          <w:p w14:paraId="522C0E72" w14:textId="77777777" w:rsidR="007A2F3E" w:rsidRPr="00D8428B" w:rsidRDefault="007A2F3E" w:rsidP="007A2F3E">
            <w:pPr>
              <w:rPr>
                <w:rFonts w:ascii="Arial Narrow" w:hAnsi="Arial Narrow"/>
                <w:color w:val="333333"/>
                <w:sz w:val="18"/>
                <w:szCs w:val="18"/>
              </w:rPr>
            </w:pPr>
          </w:p>
          <w:p w14:paraId="7F331330"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(1) Initial treatment.</w:t>
            </w:r>
          </w:p>
          <w:p w14:paraId="6574083B" w14:textId="77777777" w:rsidR="007A2F3E" w:rsidRPr="00D8428B" w:rsidRDefault="007A2F3E" w:rsidP="007A2F3E">
            <w:pPr>
              <w:rPr>
                <w:rFonts w:ascii="Arial Narrow" w:hAnsi="Arial Narrow"/>
                <w:color w:val="333333"/>
                <w:sz w:val="18"/>
                <w:szCs w:val="18"/>
              </w:rPr>
            </w:pPr>
          </w:p>
          <w:p w14:paraId="2F6C9993"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Applications for initial treatment should be made where:</w:t>
            </w:r>
          </w:p>
          <w:p w14:paraId="744C6395" w14:textId="77777777" w:rsidR="007A2F3E" w:rsidRPr="00D8428B" w:rsidRDefault="007A2F3E" w:rsidP="007A2F3E">
            <w:pPr>
              <w:rPr>
                <w:rFonts w:ascii="Arial Narrow" w:hAnsi="Arial Narrow"/>
                <w:color w:val="333333"/>
                <w:sz w:val="18"/>
                <w:szCs w:val="18"/>
              </w:rPr>
            </w:pPr>
          </w:p>
          <w:p w14:paraId="31953A66"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(i) a patient has not received prior PBS-subsidised biological medicine treatment and wishes to commence such therapy (Initial 1 - New patient); or</w:t>
            </w:r>
          </w:p>
          <w:p w14:paraId="44EE2ADA" w14:textId="77777777" w:rsidR="007A2F3E" w:rsidRPr="00D8428B" w:rsidRDefault="007A2F3E" w:rsidP="007A2F3E">
            <w:pPr>
              <w:rPr>
                <w:rFonts w:ascii="Arial Narrow" w:hAnsi="Arial Narrow"/>
                <w:color w:val="333333"/>
                <w:sz w:val="18"/>
                <w:szCs w:val="18"/>
              </w:rPr>
            </w:pPr>
          </w:p>
          <w:p w14:paraId="7FEED830"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(ii) a patient has received prior PBS-subsidised biological medicine therapy (initial or continuing) and wishes to trial an alternate medicine (Initial 2 - Change or Recommencement of treatment after a break in therapy of less than 5 years) [further details are under 'Swapping therapy' below]; or</w:t>
            </w:r>
          </w:p>
          <w:p w14:paraId="08E8B854" w14:textId="77777777" w:rsidR="007A2F3E" w:rsidRPr="00D8428B" w:rsidRDefault="007A2F3E" w:rsidP="007A2F3E">
            <w:pPr>
              <w:rPr>
                <w:rFonts w:ascii="Arial Narrow" w:hAnsi="Arial Narrow"/>
                <w:color w:val="333333"/>
                <w:sz w:val="18"/>
                <w:szCs w:val="18"/>
              </w:rPr>
            </w:pPr>
          </w:p>
          <w:p w14:paraId="62F430FA"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(iii)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14:paraId="4D07C514" w14:textId="77777777" w:rsidR="007A2F3E" w:rsidRPr="00D8428B" w:rsidRDefault="007A2F3E" w:rsidP="007A2F3E">
            <w:pPr>
              <w:rPr>
                <w:rFonts w:ascii="Arial Narrow" w:hAnsi="Arial Narrow"/>
                <w:color w:val="333333"/>
                <w:sz w:val="18"/>
                <w:szCs w:val="18"/>
              </w:rPr>
            </w:pPr>
          </w:p>
          <w:p w14:paraId="3E207D70"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(iv) a patient wishes to recommence treatment with a biological medicine following a break in PBS-subsidised therapy of more than 5 years (Initial 3 - Recommencement of treatment after a break in biological medicine of more than 5 years) or</w:t>
            </w:r>
          </w:p>
          <w:p w14:paraId="7F78FE1C" w14:textId="77777777" w:rsidR="007A2F3E" w:rsidRPr="00D8428B" w:rsidRDefault="007A2F3E" w:rsidP="007A2F3E">
            <w:pPr>
              <w:rPr>
                <w:rFonts w:ascii="Arial Narrow" w:hAnsi="Arial Narrow"/>
                <w:color w:val="333333"/>
                <w:sz w:val="18"/>
                <w:szCs w:val="18"/>
              </w:rPr>
            </w:pPr>
          </w:p>
          <w:p w14:paraId="5FB982DD"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An application for initial treatment will be limited to provide for a maximum of 16 weeks of therapy for adalimumab, etanercept, golimumab secukinumab and tofacitinib, 18 to 20 weeks of therapy for certolizumab pegol (depending upon the dosing regimen), 20 weeks of therapy for ixekizumab, 22 weeks of therapy for infliximab, and 28 weeks of therapy for ustekinumab. It is recommended that a patient be reviewed in the month prior to completing their course of initial treatment to ensure uninterrupted biological medicine supply.</w:t>
            </w:r>
          </w:p>
          <w:p w14:paraId="6ADE3A84" w14:textId="77777777" w:rsidR="007A2F3E" w:rsidRPr="00D8428B" w:rsidRDefault="007A2F3E" w:rsidP="007A2F3E">
            <w:pPr>
              <w:rPr>
                <w:rFonts w:ascii="Arial Narrow" w:hAnsi="Arial Narrow"/>
                <w:color w:val="333333"/>
                <w:sz w:val="18"/>
                <w:szCs w:val="18"/>
              </w:rPr>
            </w:pPr>
          </w:p>
          <w:p w14:paraId="6A77B8CF"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must be assessed for response to a course of PBS-subsidised initial treatment following a minimum of 12 weeks of therapy and conducted no later than 4 weeks from the cessation of the treatment course. If the response assessment is not submitted within these timeframes, the patient will be deemed to have failed this course of treatment.</w:t>
            </w:r>
          </w:p>
          <w:p w14:paraId="0DF9DBE8" w14:textId="77777777" w:rsidR="007A2F3E" w:rsidRPr="00D8428B" w:rsidRDefault="007A2F3E" w:rsidP="007A2F3E">
            <w:pPr>
              <w:rPr>
                <w:rFonts w:ascii="Arial Narrow" w:hAnsi="Arial Narrow"/>
                <w:color w:val="333333"/>
                <w:sz w:val="18"/>
                <w:szCs w:val="18"/>
              </w:rPr>
            </w:pPr>
          </w:p>
          <w:p w14:paraId="45760CAD"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Grandfather patients (ixekizumab only).</w:t>
            </w:r>
          </w:p>
          <w:p w14:paraId="5CD127EE" w14:textId="77777777" w:rsidR="007A2F3E" w:rsidRPr="00D8428B" w:rsidRDefault="007A2F3E" w:rsidP="007A2F3E">
            <w:pPr>
              <w:rPr>
                <w:rFonts w:ascii="Arial Narrow" w:hAnsi="Arial Narrow"/>
                <w:color w:val="333333"/>
                <w:sz w:val="18"/>
                <w:szCs w:val="18"/>
              </w:rPr>
            </w:pPr>
          </w:p>
          <w:p w14:paraId="5EF5C28E"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who commenced treatment with ixekizumab for severe psoriatic arthritis prior to 1 March 2019 and who continues to receive treatment at the time of application, may qualify for treatment under the 'Grandfather' treatment restriction.</w:t>
            </w:r>
          </w:p>
          <w:p w14:paraId="1535AD69" w14:textId="77777777" w:rsidR="007A2F3E" w:rsidRPr="00D8428B" w:rsidRDefault="007A2F3E" w:rsidP="007A2F3E">
            <w:pPr>
              <w:rPr>
                <w:rFonts w:ascii="Arial Narrow" w:hAnsi="Arial Narrow"/>
                <w:color w:val="333333"/>
                <w:sz w:val="18"/>
                <w:szCs w:val="18"/>
              </w:rPr>
            </w:pPr>
          </w:p>
          <w:p w14:paraId="474A573B"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14:paraId="0A015438" w14:textId="77777777" w:rsidR="007A2F3E" w:rsidRPr="00D8428B" w:rsidRDefault="007A2F3E" w:rsidP="007A2F3E">
            <w:pPr>
              <w:rPr>
                <w:rFonts w:ascii="Arial Narrow" w:hAnsi="Arial Narrow"/>
                <w:color w:val="333333"/>
                <w:sz w:val="18"/>
                <w:szCs w:val="18"/>
              </w:rPr>
            </w:pPr>
          </w:p>
          <w:p w14:paraId="70089D64"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For the second and subsequent cycles, a 'grandfather' patient must qualify for continuing treatment under the criteria that apply to a continuing patient.</w:t>
            </w:r>
          </w:p>
          <w:p w14:paraId="158AF63F" w14:textId="77777777" w:rsidR="007A2F3E" w:rsidRPr="00D8428B" w:rsidRDefault="007A2F3E" w:rsidP="007A2F3E">
            <w:pPr>
              <w:rPr>
                <w:rFonts w:ascii="Arial Narrow" w:hAnsi="Arial Narrow"/>
                <w:color w:val="333333"/>
                <w:sz w:val="18"/>
                <w:szCs w:val="18"/>
              </w:rPr>
            </w:pPr>
          </w:p>
          <w:p w14:paraId="0F159E8A"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Grandfather patients (tofacitinib only).</w:t>
            </w:r>
          </w:p>
          <w:p w14:paraId="4B6FCAD5" w14:textId="77777777" w:rsidR="007A2F3E" w:rsidRPr="00D8428B" w:rsidRDefault="007A2F3E" w:rsidP="007A2F3E">
            <w:pPr>
              <w:rPr>
                <w:rFonts w:ascii="Arial Narrow" w:hAnsi="Arial Narrow"/>
                <w:color w:val="333333"/>
                <w:sz w:val="18"/>
                <w:szCs w:val="18"/>
              </w:rPr>
            </w:pPr>
          </w:p>
          <w:p w14:paraId="1AC517C9"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who commenced treatment with Tofacitinib for severe psoriatic arthritis prior to 1 May 2019 and who continues to receive treatment at the time of application, may qualify for treatment under the 'Grandfather' treatment restriction.</w:t>
            </w:r>
          </w:p>
          <w:p w14:paraId="162E3BA9" w14:textId="77777777" w:rsidR="007A2F3E" w:rsidRPr="00D8428B" w:rsidRDefault="007A2F3E" w:rsidP="007A2F3E">
            <w:pPr>
              <w:rPr>
                <w:rFonts w:ascii="Arial Narrow" w:hAnsi="Arial Narrow"/>
                <w:color w:val="333333"/>
                <w:sz w:val="18"/>
                <w:szCs w:val="18"/>
              </w:rPr>
            </w:pPr>
          </w:p>
          <w:p w14:paraId="06B37A5F"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 xml:space="preserve">A patient may only qualify for PBS-subsidised treatment under this restriction once. A maximum of 24 weeks of treatment will be authorised under this criterion. Following completion of the initial PBS-subsidised course, further subsidised treatment </w:t>
            </w:r>
            <w:r w:rsidRPr="00D8428B">
              <w:rPr>
                <w:rFonts w:ascii="Arial Narrow" w:hAnsi="Arial Narrow"/>
                <w:color w:val="333333"/>
                <w:sz w:val="18"/>
                <w:szCs w:val="18"/>
              </w:rPr>
              <w:lastRenderedPageBreak/>
              <w:t>must be prescribed under the continuing treatment restriction of the relevant drug. 'Grandfather' arrangements will only apply for the first treatment cycle.</w:t>
            </w:r>
          </w:p>
          <w:p w14:paraId="2E6A35ED" w14:textId="77777777" w:rsidR="007A2F3E" w:rsidRPr="00D8428B" w:rsidRDefault="007A2F3E" w:rsidP="007A2F3E">
            <w:pPr>
              <w:rPr>
                <w:rFonts w:ascii="Arial Narrow" w:hAnsi="Arial Narrow"/>
                <w:color w:val="333333"/>
                <w:sz w:val="18"/>
                <w:szCs w:val="18"/>
              </w:rPr>
            </w:pPr>
          </w:p>
          <w:p w14:paraId="3BA38D67"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For the second and subsequent cycles, a 'grandfather' patient must qualify for continuing treatment under the criteria that apply to a continuing patient.</w:t>
            </w:r>
          </w:p>
          <w:p w14:paraId="0C748D20" w14:textId="77777777" w:rsidR="007A2F3E" w:rsidRPr="00D8428B" w:rsidRDefault="007A2F3E" w:rsidP="007A2F3E">
            <w:pPr>
              <w:rPr>
                <w:rFonts w:ascii="Arial Narrow" w:hAnsi="Arial Narrow"/>
                <w:color w:val="333333"/>
                <w:sz w:val="18"/>
                <w:szCs w:val="18"/>
              </w:rPr>
            </w:pPr>
          </w:p>
          <w:p w14:paraId="6E56BCE5"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(2) Continuing treatment.</w:t>
            </w:r>
          </w:p>
          <w:p w14:paraId="109986D8" w14:textId="77777777" w:rsidR="007A2F3E" w:rsidRPr="00D8428B" w:rsidRDefault="007A2F3E" w:rsidP="007A2F3E">
            <w:pPr>
              <w:rPr>
                <w:rFonts w:ascii="Arial Narrow" w:hAnsi="Arial Narrow"/>
                <w:color w:val="333333"/>
                <w:sz w:val="18"/>
                <w:szCs w:val="18"/>
              </w:rPr>
            </w:pPr>
          </w:p>
          <w:p w14:paraId="6CD6C470"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063AF0D5" w14:textId="77777777" w:rsidR="007A2F3E" w:rsidRPr="00D8428B" w:rsidRDefault="007A2F3E" w:rsidP="007A2F3E">
            <w:pPr>
              <w:rPr>
                <w:rFonts w:ascii="Arial Narrow" w:hAnsi="Arial Narrow"/>
                <w:color w:val="333333"/>
                <w:sz w:val="18"/>
                <w:szCs w:val="18"/>
              </w:rPr>
            </w:pPr>
          </w:p>
          <w:p w14:paraId="1E35BD79"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must be assessed for response to a course of continuing therapy, and the assessment must be submitted to</w:t>
            </w:r>
            <w:r w:rsidRPr="00D8428B">
              <w:rPr>
                <w:rFonts w:ascii="Arial Narrow" w:hAnsi="Arial Narrow"/>
                <w:strike/>
                <w:color w:val="333333"/>
                <w:sz w:val="18"/>
                <w:szCs w:val="18"/>
              </w:rPr>
              <w:t xml:space="preserve"> </w:t>
            </w:r>
            <w:r w:rsidRPr="004538BD">
              <w:rPr>
                <w:rFonts w:ascii="Arial Narrow" w:hAnsi="Arial Narrow"/>
                <w:color w:val="333333"/>
                <w:sz w:val="18"/>
                <w:szCs w:val="18"/>
              </w:rPr>
              <w:t>Services Australia</w:t>
            </w:r>
            <w:r w:rsidRPr="00D8428B">
              <w:rPr>
                <w:rFonts w:ascii="Arial Narrow" w:hAnsi="Arial Narrow"/>
                <w:color w:val="333333"/>
                <w:sz w:val="18"/>
                <w:szCs w:val="18"/>
              </w:rPr>
              <w:t xml:space="preserve"> where applicable. Where a response assessment is not submitted where applicable, the patient will be deemed to have failed to respond to treatment with that biological medicine, unless the patient has experienced a serious adverse reaction of a severity resulting in the necessity for permanent withdrawal of treatment.</w:t>
            </w:r>
          </w:p>
          <w:p w14:paraId="0EB2973D" w14:textId="77777777" w:rsidR="007A2F3E" w:rsidRPr="00D8428B" w:rsidRDefault="007A2F3E" w:rsidP="007A2F3E">
            <w:pPr>
              <w:rPr>
                <w:rFonts w:ascii="Arial Narrow" w:hAnsi="Arial Narrow"/>
                <w:color w:val="333333"/>
                <w:sz w:val="18"/>
                <w:szCs w:val="18"/>
              </w:rPr>
            </w:pPr>
          </w:p>
          <w:p w14:paraId="7460AF30"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Infliximab and etanercept only:</w:t>
            </w:r>
          </w:p>
          <w:p w14:paraId="3C2DAED6" w14:textId="77777777" w:rsidR="007A2F3E" w:rsidRPr="00D8428B" w:rsidRDefault="007A2F3E" w:rsidP="007A2F3E">
            <w:pPr>
              <w:rPr>
                <w:rFonts w:ascii="Arial Narrow" w:hAnsi="Arial Narrow"/>
                <w:color w:val="333333"/>
                <w:sz w:val="18"/>
                <w:szCs w:val="18"/>
              </w:rPr>
            </w:pPr>
          </w:p>
          <w:p w14:paraId="3F991EE2"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For the first continuing treatment course of PBS-subsidised biological medicine treatment, it is recommended that a patient is reviewed for response following a minimum of 12 weeks of therapy and no later than 4 weeks from the completion of the most recent course of treatment under the Initial 1 or Initial 2 treatment restrictions.</w:t>
            </w:r>
          </w:p>
          <w:p w14:paraId="7042A774" w14:textId="77777777" w:rsidR="007A2F3E" w:rsidRPr="00D8428B" w:rsidRDefault="007A2F3E" w:rsidP="007A2F3E">
            <w:pPr>
              <w:rPr>
                <w:rFonts w:ascii="Arial Narrow" w:hAnsi="Arial Narrow"/>
                <w:color w:val="333333"/>
                <w:sz w:val="18"/>
                <w:szCs w:val="18"/>
              </w:rPr>
            </w:pPr>
          </w:p>
          <w:p w14:paraId="481F07CC"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For the second and subsequent continuing courses of PBS-subsidised biological medicine treatment, it is recommended that an assessment of a patient's response is conducted following a minimum of 12 weeks of therapy and no later than 4 weeks from the completion of the most recent course of treatment.</w:t>
            </w:r>
          </w:p>
          <w:p w14:paraId="697B0449" w14:textId="77777777" w:rsidR="007A2F3E" w:rsidRPr="00D8428B" w:rsidRDefault="007A2F3E" w:rsidP="007A2F3E">
            <w:pPr>
              <w:rPr>
                <w:rFonts w:ascii="Arial Narrow" w:hAnsi="Arial Narrow"/>
                <w:color w:val="333333"/>
                <w:sz w:val="18"/>
                <w:szCs w:val="18"/>
              </w:rPr>
            </w:pPr>
          </w:p>
          <w:p w14:paraId="2F6042EE"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(3) Swapping therapy.</w:t>
            </w:r>
          </w:p>
          <w:p w14:paraId="1AF47935" w14:textId="77777777" w:rsidR="007A2F3E" w:rsidRPr="00D8428B" w:rsidRDefault="007A2F3E" w:rsidP="007A2F3E">
            <w:pPr>
              <w:rPr>
                <w:rFonts w:ascii="Arial Narrow" w:hAnsi="Arial Narrow"/>
                <w:color w:val="333333"/>
                <w:sz w:val="18"/>
                <w:szCs w:val="18"/>
              </w:rPr>
            </w:pPr>
          </w:p>
          <w:p w14:paraId="2FDAAA71"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Once initial treatment with the first PBS-subsidised biological medicine is approved, a patient may swap to an alternate biological medicine without having to re-qualify with respect to either the indices of disease severity (i.e. erythrocyte sedimentation rate (ESR) or C-reactive protein (CRP) level, and active joint count) or the prior non-biological therapy requirements, except if the patient has had a break in therapy of more than 5 years who would need to requalify under the Initial 3 treatment restriction with respect to the indices of disease severity.</w:t>
            </w:r>
          </w:p>
          <w:p w14:paraId="72C96FC3" w14:textId="77777777" w:rsidR="007A2F3E" w:rsidRPr="00D8428B" w:rsidRDefault="007A2F3E" w:rsidP="007A2F3E">
            <w:pPr>
              <w:rPr>
                <w:rFonts w:ascii="Arial Narrow" w:hAnsi="Arial Narrow"/>
                <w:color w:val="333333"/>
                <w:sz w:val="18"/>
                <w:szCs w:val="18"/>
              </w:rPr>
            </w:pPr>
          </w:p>
          <w:p w14:paraId="34D18D51"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14:paraId="66273178" w14:textId="77777777" w:rsidR="007A2F3E" w:rsidRPr="00D8428B" w:rsidRDefault="007A2F3E" w:rsidP="007A2F3E">
            <w:pPr>
              <w:rPr>
                <w:rFonts w:ascii="Arial Narrow" w:hAnsi="Arial Narrow"/>
                <w:color w:val="333333"/>
                <w:sz w:val="18"/>
                <w:szCs w:val="18"/>
              </w:rPr>
            </w:pPr>
          </w:p>
          <w:p w14:paraId="08A1A8A8"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A patient may trial an alternate biological medicine at any time, regardless of whether they are receiving therapy (initial or continuing) with a biological medicine at the time of the application.</w:t>
            </w:r>
          </w:p>
          <w:p w14:paraId="3CCFE343" w14:textId="77777777" w:rsidR="007A2F3E" w:rsidRPr="00D8428B" w:rsidRDefault="007A2F3E" w:rsidP="007A2F3E">
            <w:pPr>
              <w:rPr>
                <w:rFonts w:ascii="Arial Narrow" w:hAnsi="Arial Narrow"/>
                <w:color w:val="333333"/>
                <w:sz w:val="18"/>
                <w:szCs w:val="18"/>
              </w:rPr>
            </w:pPr>
          </w:p>
          <w:p w14:paraId="0E4E5DF4"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However, they cannot swap to a particular biological medicine if they have failed to respond to prior treatment with that drug within the same treatment cycle.</w:t>
            </w:r>
          </w:p>
          <w:p w14:paraId="6F772098" w14:textId="77777777" w:rsidR="007A2F3E" w:rsidRPr="00D8428B" w:rsidRDefault="007A2F3E" w:rsidP="007A2F3E">
            <w:pPr>
              <w:rPr>
                <w:rFonts w:ascii="Arial Narrow" w:hAnsi="Arial Narrow"/>
                <w:color w:val="333333"/>
                <w:sz w:val="18"/>
                <w:szCs w:val="18"/>
              </w:rPr>
            </w:pPr>
          </w:p>
          <w:p w14:paraId="482A67F2"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Within a treatment cycle a patient may alternate between therapy with any biological medicine of their choice (1 at a time) providing:</w:t>
            </w:r>
          </w:p>
          <w:p w14:paraId="1DE28B27" w14:textId="77777777" w:rsidR="007A2F3E" w:rsidRPr="00D8428B" w:rsidRDefault="007A2F3E" w:rsidP="007A2F3E">
            <w:pPr>
              <w:rPr>
                <w:rFonts w:ascii="Arial Narrow" w:hAnsi="Arial Narrow"/>
                <w:color w:val="333333"/>
                <w:sz w:val="18"/>
                <w:szCs w:val="18"/>
              </w:rPr>
            </w:pPr>
          </w:p>
          <w:p w14:paraId="170121A6"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(i) they have not received PBS-subsidised treatment with that particular biological medicine previously; or</w:t>
            </w:r>
          </w:p>
          <w:p w14:paraId="2174A5EA" w14:textId="77777777" w:rsidR="007A2F3E" w:rsidRPr="00D8428B" w:rsidRDefault="007A2F3E" w:rsidP="007A2F3E">
            <w:pPr>
              <w:rPr>
                <w:rFonts w:ascii="Arial Narrow" w:hAnsi="Arial Narrow"/>
                <w:color w:val="333333"/>
                <w:sz w:val="18"/>
                <w:szCs w:val="18"/>
              </w:rPr>
            </w:pPr>
          </w:p>
          <w:p w14:paraId="130DB5DC"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(ii) they have demonstrated an adequate response to that particular biological medicine if they have previously trialled it on the PBS; and</w:t>
            </w:r>
          </w:p>
          <w:p w14:paraId="10068713" w14:textId="77777777" w:rsidR="007A2F3E" w:rsidRPr="00D8428B" w:rsidRDefault="007A2F3E" w:rsidP="007A2F3E">
            <w:pPr>
              <w:rPr>
                <w:rFonts w:ascii="Arial Narrow" w:hAnsi="Arial Narrow"/>
                <w:color w:val="333333"/>
                <w:sz w:val="18"/>
                <w:szCs w:val="18"/>
              </w:rPr>
            </w:pPr>
          </w:p>
          <w:p w14:paraId="6578A8AF"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(iii) they have not previously failed to respond to treatment 3 times in this treatment cycle with that biological medicine.</w:t>
            </w:r>
          </w:p>
          <w:p w14:paraId="60EC3809" w14:textId="77777777" w:rsidR="007A2F3E" w:rsidRPr="00D8428B" w:rsidRDefault="007A2F3E" w:rsidP="007A2F3E">
            <w:pPr>
              <w:rPr>
                <w:rFonts w:ascii="Arial Narrow" w:hAnsi="Arial Narrow"/>
                <w:color w:val="333333"/>
                <w:sz w:val="18"/>
                <w:szCs w:val="18"/>
              </w:rPr>
            </w:pPr>
          </w:p>
          <w:p w14:paraId="612E91C7"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To ensure a patient receives the maximum treatment opportunities allowed under these arrangements, it is important that they are assessed for response to every course of treatment.</w:t>
            </w:r>
          </w:p>
          <w:p w14:paraId="529B5755" w14:textId="77777777" w:rsidR="007A2F3E" w:rsidRPr="00D8428B" w:rsidRDefault="007A2F3E" w:rsidP="007A2F3E">
            <w:pPr>
              <w:rPr>
                <w:rFonts w:ascii="Arial Narrow" w:hAnsi="Arial Narrow"/>
                <w:color w:val="333333"/>
                <w:sz w:val="18"/>
                <w:szCs w:val="18"/>
              </w:rPr>
            </w:pPr>
          </w:p>
          <w:p w14:paraId="2C724221"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(4) Baseline measurements to determine response.</w:t>
            </w:r>
          </w:p>
          <w:p w14:paraId="365FB532" w14:textId="77777777" w:rsidR="007A2F3E" w:rsidRPr="00D8428B" w:rsidRDefault="007A2F3E" w:rsidP="007A2F3E">
            <w:pPr>
              <w:rPr>
                <w:rFonts w:ascii="Arial Narrow" w:hAnsi="Arial Narrow"/>
                <w:color w:val="333333"/>
                <w:sz w:val="18"/>
                <w:szCs w:val="18"/>
              </w:rPr>
            </w:pPr>
          </w:p>
          <w:p w14:paraId="10B70467" w14:textId="77777777" w:rsidR="007A2F3E" w:rsidRPr="00D8428B" w:rsidRDefault="007A2F3E" w:rsidP="007A2F3E">
            <w:pPr>
              <w:rPr>
                <w:rFonts w:ascii="Arial Narrow" w:hAnsi="Arial Narrow"/>
                <w:color w:val="333333"/>
                <w:sz w:val="18"/>
                <w:szCs w:val="18"/>
              </w:rPr>
            </w:pPr>
            <w:r w:rsidRPr="004538BD">
              <w:rPr>
                <w:rFonts w:ascii="Arial Narrow" w:hAnsi="Arial Narrow"/>
                <w:color w:val="333333"/>
                <w:sz w:val="18"/>
                <w:szCs w:val="18"/>
              </w:rPr>
              <w:lastRenderedPageBreak/>
              <w:t>Services Australia</w:t>
            </w:r>
            <w:r w:rsidRPr="00D8428B">
              <w:rPr>
                <w:rFonts w:ascii="Arial Narrow" w:hAnsi="Arial Narrow"/>
                <w:color w:val="333333"/>
                <w:sz w:val="18"/>
                <w:szCs w:val="18"/>
              </w:rPr>
              <w:t xml:space="preserve"> will determine whether a response to treatment has been demonstrated based on the baseline measurements of the indices of disease severity submitted with the first authority application for a biological medicine. However, prescribers may provide new baseline measurements any time that an initial or change or recommencement treatment application is submitted within a treatment cycle and these revised baseline measurements will be used to assess response to the PBS-subsidised treatment.</w:t>
            </w:r>
          </w:p>
          <w:p w14:paraId="58309099" w14:textId="77777777" w:rsidR="007A2F3E" w:rsidRPr="00D8428B" w:rsidRDefault="007A2F3E" w:rsidP="007A2F3E">
            <w:pPr>
              <w:rPr>
                <w:rFonts w:ascii="Arial Narrow" w:hAnsi="Arial Narrow"/>
                <w:color w:val="333333"/>
                <w:sz w:val="18"/>
                <w:szCs w:val="18"/>
              </w:rPr>
            </w:pPr>
          </w:p>
          <w:p w14:paraId="5A282BBA"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To ensure consistency in determining response, the same indices of disease severity used to establish baseline at the commencement of treatment with each initial treatment application must be used to determine response for all subsequent continuing treatments. Therefore, where only an ESR or CRP level is provided at baseline, an ESR or CRP level respectively must be used to determine response. Similarly, where the baseline active joint count is based on total active joints (i.e. 20 or more active joints), response will be determined according to a reduction in the total number of active joints.</w:t>
            </w:r>
          </w:p>
          <w:p w14:paraId="522258DC" w14:textId="77777777" w:rsidR="007A2F3E" w:rsidRPr="00D8428B" w:rsidRDefault="007A2F3E" w:rsidP="007A2F3E">
            <w:pPr>
              <w:rPr>
                <w:rFonts w:ascii="Arial Narrow" w:hAnsi="Arial Narrow"/>
                <w:color w:val="333333"/>
                <w:sz w:val="18"/>
                <w:szCs w:val="18"/>
              </w:rPr>
            </w:pPr>
          </w:p>
          <w:p w14:paraId="0AB7C50B" w14:textId="77777777" w:rsidR="007A2F3E" w:rsidRPr="00D8428B" w:rsidRDefault="007A2F3E" w:rsidP="007A2F3E">
            <w:pPr>
              <w:rPr>
                <w:rFonts w:ascii="Arial Narrow" w:hAnsi="Arial Narrow"/>
                <w:color w:val="333333"/>
                <w:sz w:val="18"/>
                <w:szCs w:val="18"/>
              </w:rPr>
            </w:pPr>
            <w:r w:rsidRPr="00D8428B">
              <w:rPr>
                <w:rFonts w:ascii="Arial Narrow" w:hAnsi="Arial Narrow"/>
                <w:color w:val="333333"/>
                <w:sz w:val="18"/>
                <w:szCs w:val="18"/>
              </w:rPr>
              <w:t>(5) Re-commencement of treatment after a 5-year break in PBS-subsidised therapy.</w:t>
            </w:r>
          </w:p>
          <w:p w14:paraId="470EF7A9" w14:textId="77777777" w:rsidR="007A2F3E" w:rsidRPr="00D8428B" w:rsidRDefault="007A2F3E" w:rsidP="007A2F3E">
            <w:pPr>
              <w:rPr>
                <w:rFonts w:ascii="Arial Narrow" w:hAnsi="Arial Narrow"/>
                <w:color w:val="333333"/>
                <w:sz w:val="18"/>
                <w:szCs w:val="18"/>
              </w:rPr>
            </w:pPr>
          </w:p>
          <w:p w14:paraId="243FDEDF" w14:textId="77777777" w:rsidR="007A2F3E" w:rsidRPr="00D8428B" w:rsidRDefault="007A2F3E" w:rsidP="007A2F3E">
            <w:pPr>
              <w:rPr>
                <w:rFonts w:ascii="Arial Narrow" w:hAnsi="Arial Narrow"/>
                <w:b/>
                <w:bCs/>
                <w:color w:val="333333"/>
                <w:sz w:val="18"/>
                <w:szCs w:val="18"/>
              </w:rPr>
            </w:pPr>
            <w:r w:rsidRPr="00D8428B">
              <w:rPr>
                <w:rFonts w:ascii="Arial Narrow" w:hAnsi="Arial Narrow"/>
                <w:color w:val="333333"/>
                <w:sz w:val="18"/>
                <w:szCs w:val="18"/>
              </w:rPr>
              <w:t>A patient who wishes to trial a second or subsequent course of treatment following a break in PBS-subsidised biological therapy of at least 5 years, must qualify under Initial 3 treatment restriction according to the criteria of the relevant restriction and index of disease severity. The application must include a joint count and ESR and/or CRP measurement that is no more than one month old at the time of application.</w:t>
            </w:r>
          </w:p>
        </w:tc>
      </w:tr>
      <w:tr w:rsidR="007A2F3E" w:rsidRPr="00D8428B" w14:paraId="77E7E28E" w14:textId="77777777" w:rsidTr="00614ABF">
        <w:trPr>
          <w:trHeight w:val="660"/>
        </w:trPr>
        <w:tc>
          <w:tcPr>
            <w:tcW w:w="544" w:type="pct"/>
            <w:vAlign w:val="center"/>
          </w:tcPr>
          <w:p w14:paraId="12D87BA7" w14:textId="77777777" w:rsidR="007A2F3E" w:rsidRPr="00D8428B" w:rsidRDefault="007A2F3E" w:rsidP="007A2F3E">
            <w:pPr>
              <w:jc w:val="center"/>
              <w:rPr>
                <w:rFonts w:ascii="Arial Narrow" w:hAnsi="Arial Narrow"/>
                <w:color w:val="333333"/>
                <w:sz w:val="18"/>
                <w:szCs w:val="18"/>
              </w:rPr>
            </w:pPr>
          </w:p>
        </w:tc>
        <w:tc>
          <w:tcPr>
            <w:tcW w:w="4456" w:type="pct"/>
            <w:vMerge/>
            <w:vAlign w:val="center"/>
            <w:hideMark/>
          </w:tcPr>
          <w:p w14:paraId="160C7B6E" w14:textId="77777777" w:rsidR="007A2F3E" w:rsidRPr="00D8428B" w:rsidRDefault="007A2F3E" w:rsidP="007A2F3E">
            <w:pPr>
              <w:rPr>
                <w:rFonts w:ascii="Arial Narrow" w:hAnsi="Arial Narrow"/>
                <w:color w:val="333333"/>
                <w:sz w:val="18"/>
                <w:szCs w:val="18"/>
              </w:rPr>
            </w:pPr>
          </w:p>
        </w:tc>
      </w:tr>
    </w:tbl>
    <w:p w14:paraId="15EB5940" w14:textId="77777777" w:rsidR="007A2F3E" w:rsidRDefault="007A2F3E" w:rsidP="007A2F3E"/>
    <w:p w14:paraId="00CBA2E0" w14:textId="77777777" w:rsidR="00C92E22" w:rsidRDefault="00797056" w:rsidP="00C92E22">
      <w:pPr>
        <w:tabs>
          <w:tab w:val="left" w:pos="360"/>
        </w:tabs>
        <w:autoSpaceDE w:val="0"/>
        <w:autoSpaceDN w:val="0"/>
        <w:adjustRightInd w:val="0"/>
        <w:rPr>
          <w:b/>
          <w:i/>
        </w:rPr>
      </w:pPr>
      <w:r w:rsidRPr="00797056">
        <w:rPr>
          <w:b/>
          <w:i/>
        </w:rPr>
        <w:t>This restriction may be subject to further review. Should there be any changes made to the restriction the Sponsor will be informed.</w:t>
      </w:r>
    </w:p>
    <w:p w14:paraId="1F342ED0" w14:textId="77777777" w:rsidR="00C92E22" w:rsidRPr="00C92E22" w:rsidRDefault="00C92E22" w:rsidP="00C92E22">
      <w:pPr>
        <w:pStyle w:val="2-SectionHeading"/>
      </w:pPr>
      <w:r w:rsidRPr="00C07617">
        <w:t>Context for Decision</w:t>
      </w:r>
    </w:p>
    <w:p w14:paraId="2FF4A753" w14:textId="77777777" w:rsidR="00C92E22" w:rsidRPr="00D83F8C" w:rsidRDefault="00C92E22" w:rsidP="00440C8A">
      <w:pPr>
        <w:pStyle w:val="3-BodyText"/>
        <w:numPr>
          <w:ilvl w:val="0"/>
          <w:numId w:val="0"/>
        </w:numPr>
        <w:ind w:left="720"/>
      </w:pPr>
      <w:r w:rsidRPr="00D83F8C">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7C3DE40" w14:textId="77777777" w:rsidR="00C92E22" w:rsidRPr="00C92E22" w:rsidRDefault="00C92E22" w:rsidP="00C92E22">
      <w:pPr>
        <w:pStyle w:val="2-SectionHeading"/>
      </w:pPr>
      <w:r>
        <w:t>Sponsor’s Comment</w:t>
      </w:r>
    </w:p>
    <w:p w14:paraId="10321D33" w14:textId="77777777" w:rsidR="00D83F8C" w:rsidRPr="00D83F8C" w:rsidRDefault="00D83F8C" w:rsidP="00D83F8C">
      <w:pPr>
        <w:pStyle w:val="2-SectionHeading"/>
        <w:numPr>
          <w:ilvl w:val="0"/>
          <w:numId w:val="0"/>
        </w:numPr>
        <w:ind w:left="720"/>
        <w:rPr>
          <w:b w:val="0"/>
          <w:sz w:val="24"/>
        </w:rPr>
      </w:pPr>
      <w:r w:rsidRPr="00D83F8C">
        <w:rPr>
          <w:b w:val="0"/>
          <w:sz w:val="24"/>
        </w:rPr>
        <w:t>The sponsor had no comment.</w:t>
      </w:r>
    </w:p>
    <w:p w14:paraId="6D96E486" w14:textId="77777777" w:rsidR="00D83F8C" w:rsidRPr="00D83F8C" w:rsidRDefault="00D83F8C" w:rsidP="00D83F8C">
      <w:pPr>
        <w:pStyle w:val="3-BodyText"/>
        <w:numPr>
          <w:ilvl w:val="0"/>
          <w:numId w:val="0"/>
        </w:numPr>
        <w:ind w:left="720"/>
      </w:pPr>
    </w:p>
    <w:p w14:paraId="50C9CEF5" w14:textId="77777777" w:rsidR="00591B86" w:rsidRPr="007A2F3E" w:rsidRDefault="00591B86" w:rsidP="005D0A71">
      <w:pPr>
        <w:rPr>
          <w:b/>
        </w:rPr>
      </w:pPr>
    </w:p>
    <w:sectPr w:rsidR="00591B86" w:rsidRPr="007A2F3E" w:rsidSect="005D0A71">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49C5C" w14:textId="77777777" w:rsidR="0031616A" w:rsidRDefault="0031616A" w:rsidP="00124A51">
      <w:r>
        <w:separator/>
      </w:r>
    </w:p>
    <w:p w14:paraId="643F4B4A" w14:textId="77777777" w:rsidR="0031616A" w:rsidRDefault="0031616A"/>
  </w:endnote>
  <w:endnote w:type="continuationSeparator" w:id="0">
    <w:p w14:paraId="66775346" w14:textId="77777777" w:rsidR="0031616A" w:rsidRDefault="0031616A" w:rsidP="00124A51">
      <w:r>
        <w:continuationSeparator/>
      </w:r>
    </w:p>
    <w:p w14:paraId="0AC2852A" w14:textId="77777777" w:rsidR="0031616A" w:rsidRDefault="00316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742C0" w14:textId="77777777" w:rsidR="0031616A" w:rsidRDefault="0031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97AD" w14:textId="77777777" w:rsidR="002B5D88" w:rsidRDefault="002B5D88" w:rsidP="00015886">
    <w:pPr>
      <w:ind w:right="360"/>
      <w:jc w:val="center"/>
      <w:rPr>
        <w:b/>
        <w:sz w:val="20"/>
      </w:rPr>
    </w:pPr>
  </w:p>
  <w:p w14:paraId="15B7AAFB" w14:textId="51C32CD5" w:rsidR="002B5D88" w:rsidRPr="007640F1" w:rsidRDefault="002B5D88" w:rsidP="00015886">
    <w:pPr>
      <w:ind w:right="360"/>
      <w:jc w:val="center"/>
      <w:rPr>
        <w:b/>
        <w:sz w:val="20"/>
      </w:rPr>
    </w:pPr>
    <w:r w:rsidRPr="007640F1">
      <w:rPr>
        <w:b/>
        <w:sz w:val="20"/>
      </w:rPr>
      <w:fldChar w:fldCharType="begin"/>
    </w:r>
    <w:r w:rsidRPr="007640F1">
      <w:rPr>
        <w:b/>
        <w:sz w:val="20"/>
      </w:rPr>
      <w:instrText xml:space="preserve"> PAGE   \* MERGEFORMAT </w:instrText>
    </w:r>
    <w:r w:rsidRPr="007640F1">
      <w:rPr>
        <w:b/>
        <w:sz w:val="20"/>
      </w:rPr>
      <w:fldChar w:fldCharType="separate"/>
    </w:r>
    <w:r w:rsidR="0001012F">
      <w:rPr>
        <w:b/>
        <w:noProof/>
        <w:sz w:val="20"/>
      </w:rPr>
      <w:t>33</w:t>
    </w:r>
    <w:r w:rsidRPr="007640F1">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7125" w14:textId="77777777" w:rsidR="0031616A" w:rsidRDefault="0031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B3BB3" w14:textId="77777777" w:rsidR="0031616A" w:rsidRDefault="0031616A" w:rsidP="00124A51">
      <w:r>
        <w:separator/>
      </w:r>
    </w:p>
    <w:p w14:paraId="3B8E4CA5" w14:textId="77777777" w:rsidR="0031616A" w:rsidRDefault="0031616A"/>
  </w:footnote>
  <w:footnote w:type="continuationSeparator" w:id="0">
    <w:p w14:paraId="10B25ABF" w14:textId="77777777" w:rsidR="0031616A" w:rsidRDefault="0031616A" w:rsidP="00124A51">
      <w:r>
        <w:continuationSeparator/>
      </w:r>
    </w:p>
    <w:p w14:paraId="254FFEB8" w14:textId="77777777" w:rsidR="0031616A" w:rsidRDefault="003161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BAFFE" w14:textId="77777777" w:rsidR="0031616A" w:rsidRDefault="00316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8DFA" w14:textId="77777777" w:rsidR="002B5D88" w:rsidRPr="007640F1" w:rsidRDefault="002B5D88" w:rsidP="007640F1">
    <w:pPr>
      <w:ind w:right="360"/>
      <w:jc w:val="center"/>
      <w:rPr>
        <w:i/>
      </w:rPr>
    </w:pPr>
    <w:r>
      <w:rPr>
        <w:i/>
      </w:rPr>
      <w:t>Public Summary Document</w:t>
    </w:r>
    <w:r w:rsidRPr="007640F1">
      <w:rPr>
        <w:i/>
      </w:rPr>
      <w:t xml:space="preserve"> – November 2020 PBAC meeting</w:t>
    </w:r>
  </w:p>
  <w:p w14:paraId="04CB925B" w14:textId="77777777" w:rsidR="002B5D88" w:rsidRPr="008C7ECB" w:rsidRDefault="002B5D88" w:rsidP="007640F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BA80" w14:textId="77777777" w:rsidR="0031616A" w:rsidRDefault="0031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D805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5153D"/>
    <w:multiLevelType w:val="hybridMultilevel"/>
    <w:tmpl w:val="FE522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F04594"/>
    <w:multiLevelType w:val="hybridMultilevel"/>
    <w:tmpl w:val="9C0AB7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6237EF"/>
    <w:multiLevelType w:val="multilevel"/>
    <w:tmpl w:val="F136384C"/>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527E1"/>
    <w:multiLevelType w:val="multilevel"/>
    <w:tmpl w:val="F136384C"/>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F20B5"/>
    <w:multiLevelType w:val="hybridMultilevel"/>
    <w:tmpl w:val="D7BAA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1A0ADC"/>
    <w:multiLevelType w:val="hybridMultilevel"/>
    <w:tmpl w:val="94D66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7063A"/>
    <w:multiLevelType w:val="hybridMultilevel"/>
    <w:tmpl w:val="28BAF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063608"/>
    <w:multiLevelType w:val="hybridMultilevel"/>
    <w:tmpl w:val="CF30E08C"/>
    <w:lvl w:ilvl="0" w:tplc="60A88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1108"/>
    <w:multiLevelType w:val="hybridMultilevel"/>
    <w:tmpl w:val="2784475E"/>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929A6"/>
    <w:multiLevelType w:val="hybridMultilevel"/>
    <w:tmpl w:val="9C0AB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577B25"/>
    <w:multiLevelType w:val="hybridMultilevel"/>
    <w:tmpl w:val="2AE88104"/>
    <w:lvl w:ilvl="0" w:tplc="09CE77B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5631A"/>
    <w:multiLevelType w:val="hybridMultilevel"/>
    <w:tmpl w:val="12C80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24F2A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13EBC"/>
    <w:multiLevelType w:val="hybridMultilevel"/>
    <w:tmpl w:val="D2EE7A06"/>
    <w:lvl w:ilvl="0" w:tplc="5E02E98A">
      <w:numFmt w:val="bullet"/>
      <w:lvlText w:val="-"/>
      <w:lvlJc w:val="left"/>
      <w:pPr>
        <w:ind w:left="614" w:hanging="360"/>
      </w:pPr>
      <w:rPr>
        <w:rFonts w:ascii="Calibri" w:eastAsia="Times New Roman" w:hAnsi="Calibri" w:cs="Calibri" w:hint="default"/>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16" w15:restartNumberingAfterBreak="0">
    <w:nsid w:val="5AD202F8"/>
    <w:multiLevelType w:val="hybridMultilevel"/>
    <w:tmpl w:val="7AAC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F3F41"/>
    <w:multiLevelType w:val="hybridMultilevel"/>
    <w:tmpl w:val="35844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4266CB"/>
    <w:multiLevelType w:val="hybridMultilevel"/>
    <w:tmpl w:val="83F4B4B0"/>
    <w:lvl w:ilvl="0" w:tplc="09CE77B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1616F"/>
    <w:multiLevelType w:val="hybridMultilevel"/>
    <w:tmpl w:val="67C0A5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6575A44"/>
    <w:multiLevelType w:val="hybridMultilevel"/>
    <w:tmpl w:val="64A80B64"/>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735A1B92"/>
    <w:multiLevelType w:val="hybridMultilevel"/>
    <w:tmpl w:val="E3026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0C1813"/>
    <w:multiLevelType w:val="hybridMultilevel"/>
    <w:tmpl w:val="2690D5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DB57F8"/>
    <w:multiLevelType w:val="hybridMultilevel"/>
    <w:tmpl w:val="13BC8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B83356"/>
    <w:multiLevelType w:val="hybridMultilevel"/>
    <w:tmpl w:val="486A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DB6D8F"/>
    <w:multiLevelType w:val="hybridMultilevel"/>
    <w:tmpl w:val="BAF6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4"/>
  </w:num>
  <w:num w:numId="4">
    <w:abstractNumId w:val="0"/>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5"/>
  </w:num>
  <w:num w:numId="9">
    <w:abstractNumId w:val="7"/>
  </w:num>
  <w:num w:numId="10">
    <w:abstractNumId w:val="21"/>
  </w:num>
  <w:num w:numId="11">
    <w:abstractNumId w:val="17"/>
  </w:num>
  <w:num w:numId="12">
    <w:abstractNumId w:val="1"/>
  </w:num>
  <w:num w:numId="13">
    <w:abstractNumId w:val="24"/>
  </w:num>
  <w:num w:numId="14">
    <w:abstractNumId w:val="5"/>
  </w:num>
  <w:num w:numId="15">
    <w:abstractNumId w:val="9"/>
  </w:num>
  <w:num w:numId="16">
    <w:abstractNumId w:val="26"/>
  </w:num>
  <w:num w:numId="17">
    <w:abstractNumId w:val="16"/>
  </w:num>
  <w:num w:numId="18">
    <w:abstractNumId w:val="18"/>
  </w:num>
  <w:num w:numId="19">
    <w:abstractNumId w:val="6"/>
  </w:num>
  <w:num w:numId="20">
    <w:abstractNumId w:val="8"/>
  </w:num>
  <w:num w:numId="21">
    <w:abstractNumId w:val="4"/>
  </w:num>
  <w:num w:numId="22">
    <w:abstractNumId w:val="3"/>
  </w:num>
  <w:num w:numId="23">
    <w:abstractNumId w:val="11"/>
  </w:num>
  <w:num w:numId="24">
    <w:abstractNumId w:val="15"/>
  </w:num>
  <w:num w:numId="25">
    <w:abstractNumId w:val="2"/>
  </w:num>
  <w:num w:numId="26">
    <w:abstractNumId w:val="10"/>
  </w:num>
  <w:num w:numId="27">
    <w:abstractNumId w:val="23"/>
  </w:num>
  <w:num w:numId="28">
    <w:abstractNumId w:val="19"/>
  </w:num>
  <w:num w:numId="29">
    <w:abstractNumId w:val="20"/>
  </w:num>
  <w:num w:numId="3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8F2"/>
    <w:rsid w:val="0000110B"/>
    <w:rsid w:val="00002051"/>
    <w:rsid w:val="00003499"/>
    <w:rsid w:val="000039B7"/>
    <w:rsid w:val="00004472"/>
    <w:rsid w:val="00004922"/>
    <w:rsid w:val="0000502B"/>
    <w:rsid w:val="00005D4B"/>
    <w:rsid w:val="000062C0"/>
    <w:rsid w:val="0000639A"/>
    <w:rsid w:val="0001012F"/>
    <w:rsid w:val="0001156B"/>
    <w:rsid w:val="00013247"/>
    <w:rsid w:val="00013B34"/>
    <w:rsid w:val="00013B77"/>
    <w:rsid w:val="00014235"/>
    <w:rsid w:val="00014E0A"/>
    <w:rsid w:val="00014EBA"/>
    <w:rsid w:val="00015886"/>
    <w:rsid w:val="000162E2"/>
    <w:rsid w:val="000162EF"/>
    <w:rsid w:val="0001724C"/>
    <w:rsid w:val="00017BC4"/>
    <w:rsid w:val="000207C9"/>
    <w:rsid w:val="000208EB"/>
    <w:rsid w:val="0002225F"/>
    <w:rsid w:val="00022F8A"/>
    <w:rsid w:val="000233DE"/>
    <w:rsid w:val="000234C4"/>
    <w:rsid w:val="00023763"/>
    <w:rsid w:val="00025426"/>
    <w:rsid w:val="00025E66"/>
    <w:rsid w:val="000268F8"/>
    <w:rsid w:val="00026966"/>
    <w:rsid w:val="000274B8"/>
    <w:rsid w:val="000275DF"/>
    <w:rsid w:val="000313C8"/>
    <w:rsid w:val="000326DB"/>
    <w:rsid w:val="00033863"/>
    <w:rsid w:val="000339A4"/>
    <w:rsid w:val="00033CFB"/>
    <w:rsid w:val="00035DC0"/>
    <w:rsid w:val="00036829"/>
    <w:rsid w:val="0003698E"/>
    <w:rsid w:val="00036AA7"/>
    <w:rsid w:val="00037730"/>
    <w:rsid w:val="000378F7"/>
    <w:rsid w:val="0004010B"/>
    <w:rsid w:val="00040895"/>
    <w:rsid w:val="00041671"/>
    <w:rsid w:val="00042829"/>
    <w:rsid w:val="00042A65"/>
    <w:rsid w:val="000432DF"/>
    <w:rsid w:val="000435EE"/>
    <w:rsid w:val="00043ABD"/>
    <w:rsid w:val="00043C37"/>
    <w:rsid w:val="00045017"/>
    <w:rsid w:val="000450C4"/>
    <w:rsid w:val="000454BC"/>
    <w:rsid w:val="00045A2B"/>
    <w:rsid w:val="00046278"/>
    <w:rsid w:val="0004698F"/>
    <w:rsid w:val="000479F6"/>
    <w:rsid w:val="0005068C"/>
    <w:rsid w:val="000522B8"/>
    <w:rsid w:val="0005287F"/>
    <w:rsid w:val="000530B8"/>
    <w:rsid w:val="0005314C"/>
    <w:rsid w:val="000537BE"/>
    <w:rsid w:val="000539D0"/>
    <w:rsid w:val="00053AEA"/>
    <w:rsid w:val="00054621"/>
    <w:rsid w:val="000546D7"/>
    <w:rsid w:val="00056ECF"/>
    <w:rsid w:val="00057A26"/>
    <w:rsid w:val="000602CE"/>
    <w:rsid w:val="000604DF"/>
    <w:rsid w:val="00061F2A"/>
    <w:rsid w:val="0006434D"/>
    <w:rsid w:val="00064B1E"/>
    <w:rsid w:val="000653B5"/>
    <w:rsid w:val="00066360"/>
    <w:rsid w:val="00066886"/>
    <w:rsid w:val="00066AF8"/>
    <w:rsid w:val="00070918"/>
    <w:rsid w:val="00070AC0"/>
    <w:rsid w:val="000710B9"/>
    <w:rsid w:val="00071248"/>
    <w:rsid w:val="000720B9"/>
    <w:rsid w:val="00072131"/>
    <w:rsid w:val="000737F7"/>
    <w:rsid w:val="00074727"/>
    <w:rsid w:val="0007490D"/>
    <w:rsid w:val="00075A09"/>
    <w:rsid w:val="00076341"/>
    <w:rsid w:val="0007672F"/>
    <w:rsid w:val="00076893"/>
    <w:rsid w:val="00076B54"/>
    <w:rsid w:val="000774F0"/>
    <w:rsid w:val="00077AAE"/>
    <w:rsid w:val="000804A4"/>
    <w:rsid w:val="00080909"/>
    <w:rsid w:val="000809BC"/>
    <w:rsid w:val="000812CA"/>
    <w:rsid w:val="00081E63"/>
    <w:rsid w:val="0008258D"/>
    <w:rsid w:val="00082DFA"/>
    <w:rsid w:val="00083159"/>
    <w:rsid w:val="00083E99"/>
    <w:rsid w:val="00084FA8"/>
    <w:rsid w:val="000856C5"/>
    <w:rsid w:val="00085C31"/>
    <w:rsid w:val="00085E40"/>
    <w:rsid w:val="00085FE3"/>
    <w:rsid w:val="00086B1D"/>
    <w:rsid w:val="000874B4"/>
    <w:rsid w:val="000902D9"/>
    <w:rsid w:val="000904F3"/>
    <w:rsid w:val="00090C7E"/>
    <w:rsid w:val="0009135B"/>
    <w:rsid w:val="00092600"/>
    <w:rsid w:val="0009262B"/>
    <w:rsid w:val="00093310"/>
    <w:rsid w:val="00093394"/>
    <w:rsid w:val="00093410"/>
    <w:rsid w:val="00093759"/>
    <w:rsid w:val="0009445C"/>
    <w:rsid w:val="0009470F"/>
    <w:rsid w:val="00095200"/>
    <w:rsid w:val="00095403"/>
    <w:rsid w:val="00095FE5"/>
    <w:rsid w:val="00096284"/>
    <w:rsid w:val="000966A7"/>
    <w:rsid w:val="00096792"/>
    <w:rsid w:val="000967C2"/>
    <w:rsid w:val="00097A2C"/>
    <w:rsid w:val="000A07D8"/>
    <w:rsid w:val="000A08A7"/>
    <w:rsid w:val="000A13C3"/>
    <w:rsid w:val="000A1BC0"/>
    <w:rsid w:val="000A23D6"/>
    <w:rsid w:val="000A6039"/>
    <w:rsid w:val="000A6E18"/>
    <w:rsid w:val="000A7453"/>
    <w:rsid w:val="000A7813"/>
    <w:rsid w:val="000A7D08"/>
    <w:rsid w:val="000B0121"/>
    <w:rsid w:val="000B028A"/>
    <w:rsid w:val="000B0670"/>
    <w:rsid w:val="000B0E75"/>
    <w:rsid w:val="000B20C9"/>
    <w:rsid w:val="000B2A68"/>
    <w:rsid w:val="000B2DCB"/>
    <w:rsid w:val="000B35FC"/>
    <w:rsid w:val="000B4E9A"/>
    <w:rsid w:val="000B4F11"/>
    <w:rsid w:val="000B5748"/>
    <w:rsid w:val="000B5A5B"/>
    <w:rsid w:val="000B5CE0"/>
    <w:rsid w:val="000B69CF"/>
    <w:rsid w:val="000B6CAC"/>
    <w:rsid w:val="000B7612"/>
    <w:rsid w:val="000B78AE"/>
    <w:rsid w:val="000C075A"/>
    <w:rsid w:val="000C0B58"/>
    <w:rsid w:val="000C0F28"/>
    <w:rsid w:val="000C1A5C"/>
    <w:rsid w:val="000C1FFE"/>
    <w:rsid w:val="000C3DF9"/>
    <w:rsid w:val="000C4886"/>
    <w:rsid w:val="000C6713"/>
    <w:rsid w:val="000D0FAE"/>
    <w:rsid w:val="000D1BFC"/>
    <w:rsid w:val="000D1D5D"/>
    <w:rsid w:val="000D281A"/>
    <w:rsid w:val="000D2848"/>
    <w:rsid w:val="000D326A"/>
    <w:rsid w:val="000D3614"/>
    <w:rsid w:val="000D4B8C"/>
    <w:rsid w:val="000D51FB"/>
    <w:rsid w:val="000D5E11"/>
    <w:rsid w:val="000D6A59"/>
    <w:rsid w:val="000D76DE"/>
    <w:rsid w:val="000E0640"/>
    <w:rsid w:val="000E135D"/>
    <w:rsid w:val="000E212C"/>
    <w:rsid w:val="000E2912"/>
    <w:rsid w:val="000E365F"/>
    <w:rsid w:val="000E3745"/>
    <w:rsid w:val="000E51AC"/>
    <w:rsid w:val="000E54B8"/>
    <w:rsid w:val="000E5A60"/>
    <w:rsid w:val="000E60C6"/>
    <w:rsid w:val="000E7299"/>
    <w:rsid w:val="000F00BA"/>
    <w:rsid w:val="000F0595"/>
    <w:rsid w:val="000F19A4"/>
    <w:rsid w:val="000F1A90"/>
    <w:rsid w:val="000F1ABE"/>
    <w:rsid w:val="000F1C58"/>
    <w:rsid w:val="000F316A"/>
    <w:rsid w:val="000F3C74"/>
    <w:rsid w:val="000F4BB8"/>
    <w:rsid w:val="000F4CC2"/>
    <w:rsid w:val="000F4FA9"/>
    <w:rsid w:val="000F53FB"/>
    <w:rsid w:val="000F7127"/>
    <w:rsid w:val="000F7B54"/>
    <w:rsid w:val="000F7CEE"/>
    <w:rsid w:val="00100F8A"/>
    <w:rsid w:val="00101ED7"/>
    <w:rsid w:val="001020EA"/>
    <w:rsid w:val="00103486"/>
    <w:rsid w:val="0010452E"/>
    <w:rsid w:val="00104F8A"/>
    <w:rsid w:val="001056DE"/>
    <w:rsid w:val="00105AE2"/>
    <w:rsid w:val="001060C6"/>
    <w:rsid w:val="0010686A"/>
    <w:rsid w:val="00106B80"/>
    <w:rsid w:val="001072D6"/>
    <w:rsid w:val="0011032E"/>
    <w:rsid w:val="0011348B"/>
    <w:rsid w:val="0011571C"/>
    <w:rsid w:val="00115982"/>
    <w:rsid w:val="00116C53"/>
    <w:rsid w:val="00116F33"/>
    <w:rsid w:val="00117186"/>
    <w:rsid w:val="0012018C"/>
    <w:rsid w:val="00120C6D"/>
    <w:rsid w:val="00121425"/>
    <w:rsid w:val="00121799"/>
    <w:rsid w:val="001222FC"/>
    <w:rsid w:val="00123902"/>
    <w:rsid w:val="00123AF6"/>
    <w:rsid w:val="00124A51"/>
    <w:rsid w:val="00124D33"/>
    <w:rsid w:val="001259BD"/>
    <w:rsid w:val="00126621"/>
    <w:rsid w:val="0012674C"/>
    <w:rsid w:val="00126B1D"/>
    <w:rsid w:val="00126E01"/>
    <w:rsid w:val="001301E9"/>
    <w:rsid w:val="00130580"/>
    <w:rsid w:val="001315E8"/>
    <w:rsid w:val="00131B7E"/>
    <w:rsid w:val="00131D82"/>
    <w:rsid w:val="00131DE7"/>
    <w:rsid w:val="00132B22"/>
    <w:rsid w:val="00133D36"/>
    <w:rsid w:val="0013518F"/>
    <w:rsid w:val="00135210"/>
    <w:rsid w:val="001358D8"/>
    <w:rsid w:val="0013673C"/>
    <w:rsid w:val="00137645"/>
    <w:rsid w:val="0013798C"/>
    <w:rsid w:val="00137DAF"/>
    <w:rsid w:val="0014015A"/>
    <w:rsid w:val="00140B4B"/>
    <w:rsid w:val="00140B9C"/>
    <w:rsid w:val="00140E99"/>
    <w:rsid w:val="00141121"/>
    <w:rsid w:val="00142457"/>
    <w:rsid w:val="00143F67"/>
    <w:rsid w:val="00145540"/>
    <w:rsid w:val="0014564A"/>
    <w:rsid w:val="001456B0"/>
    <w:rsid w:val="00145E64"/>
    <w:rsid w:val="001501D1"/>
    <w:rsid w:val="0015138C"/>
    <w:rsid w:val="001523FD"/>
    <w:rsid w:val="001540A2"/>
    <w:rsid w:val="0015427E"/>
    <w:rsid w:val="001544F1"/>
    <w:rsid w:val="00154F48"/>
    <w:rsid w:val="0015586C"/>
    <w:rsid w:val="001561F7"/>
    <w:rsid w:val="001567A9"/>
    <w:rsid w:val="00156F8F"/>
    <w:rsid w:val="00157130"/>
    <w:rsid w:val="001576B1"/>
    <w:rsid w:val="001579CF"/>
    <w:rsid w:val="00157B92"/>
    <w:rsid w:val="0016047B"/>
    <w:rsid w:val="00160A4C"/>
    <w:rsid w:val="0016106A"/>
    <w:rsid w:val="001626D3"/>
    <w:rsid w:val="00162913"/>
    <w:rsid w:val="00162A7E"/>
    <w:rsid w:val="001633A0"/>
    <w:rsid w:val="00163EFF"/>
    <w:rsid w:val="00163F66"/>
    <w:rsid w:val="0016471E"/>
    <w:rsid w:val="001661FB"/>
    <w:rsid w:val="001671A0"/>
    <w:rsid w:val="0016767F"/>
    <w:rsid w:val="00167993"/>
    <w:rsid w:val="00167E5B"/>
    <w:rsid w:val="00173565"/>
    <w:rsid w:val="0017359D"/>
    <w:rsid w:val="00173B07"/>
    <w:rsid w:val="00174F4C"/>
    <w:rsid w:val="001751FA"/>
    <w:rsid w:val="00175622"/>
    <w:rsid w:val="00176144"/>
    <w:rsid w:val="0017619F"/>
    <w:rsid w:val="00176B16"/>
    <w:rsid w:val="00176BD7"/>
    <w:rsid w:val="00176C4D"/>
    <w:rsid w:val="001804E5"/>
    <w:rsid w:val="00181336"/>
    <w:rsid w:val="00181D9C"/>
    <w:rsid w:val="00183BE7"/>
    <w:rsid w:val="00184B0E"/>
    <w:rsid w:val="00184EF3"/>
    <w:rsid w:val="00185D30"/>
    <w:rsid w:val="00186260"/>
    <w:rsid w:val="00186883"/>
    <w:rsid w:val="00186CFC"/>
    <w:rsid w:val="0018752F"/>
    <w:rsid w:val="0019011A"/>
    <w:rsid w:val="0019033B"/>
    <w:rsid w:val="001903FA"/>
    <w:rsid w:val="001905C6"/>
    <w:rsid w:val="001906EA"/>
    <w:rsid w:val="0019097C"/>
    <w:rsid w:val="00190C2B"/>
    <w:rsid w:val="00191DE7"/>
    <w:rsid w:val="00192163"/>
    <w:rsid w:val="001925C6"/>
    <w:rsid w:val="00192CB6"/>
    <w:rsid w:val="00192FE3"/>
    <w:rsid w:val="00193309"/>
    <w:rsid w:val="00193838"/>
    <w:rsid w:val="00194AD8"/>
    <w:rsid w:val="00195222"/>
    <w:rsid w:val="0019569E"/>
    <w:rsid w:val="001968C4"/>
    <w:rsid w:val="00196CFE"/>
    <w:rsid w:val="00196D3F"/>
    <w:rsid w:val="001973C0"/>
    <w:rsid w:val="001975D8"/>
    <w:rsid w:val="001A178E"/>
    <w:rsid w:val="001A1F02"/>
    <w:rsid w:val="001A31BE"/>
    <w:rsid w:val="001A3FC4"/>
    <w:rsid w:val="001A43FA"/>
    <w:rsid w:val="001A47C5"/>
    <w:rsid w:val="001A59FB"/>
    <w:rsid w:val="001A5E9E"/>
    <w:rsid w:val="001A5ECB"/>
    <w:rsid w:val="001A6354"/>
    <w:rsid w:val="001A6366"/>
    <w:rsid w:val="001A6A07"/>
    <w:rsid w:val="001A7AE8"/>
    <w:rsid w:val="001B06A5"/>
    <w:rsid w:val="001B0FB2"/>
    <w:rsid w:val="001B204E"/>
    <w:rsid w:val="001B2109"/>
    <w:rsid w:val="001B2372"/>
    <w:rsid w:val="001B3443"/>
    <w:rsid w:val="001B3AAB"/>
    <w:rsid w:val="001B4222"/>
    <w:rsid w:val="001B49A5"/>
    <w:rsid w:val="001B4D20"/>
    <w:rsid w:val="001B5C1B"/>
    <w:rsid w:val="001B6034"/>
    <w:rsid w:val="001B64CA"/>
    <w:rsid w:val="001B696C"/>
    <w:rsid w:val="001B6F29"/>
    <w:rsid w:val="001B74CA"/>
    <w:rsid w:val="001C017F"/>
    <w:rsid w:val="001C026F"/>
    <w:rsid w:val="001C0E44"/>
    <w:rsid w:val="001C19BD"/>
    <w:rsid w:val="001C1B4F"/>
    <w:rsid w:val="001C2A9B"/>
    <w:rsid w:val="001C3D2E"/>
    <w:rsid w:val="001C4299"/>
    <w:rsid w:val="001C4874"/>
    <w:rsid w:val="001C4BDB"/>
    <w:rsid w:val="001C5268"/>
    <w:rsid w:val="001C5F94"/>
    <w:rsid w:val="001C6E66"/>
    <w:rsid w:val="001C7FA7"/>
    <w:rsid w:val="001D02C7"/>
    <w:rsid w:val="001D1100"/>
    <w:rsid w:val="001D11E0"/>
    <w:rsid w:val="001D1391"/>
    <w:rsid w:val="001D19CF"/>
    <w:rsid w:val="001D1C48"/>
    <w:rsid w:val="001D25D7"/>
    <w:rsid w:val="001D32F6"/>
    <w:rsid w:val="001D3530"/>
    <w:rsid w:val="001D3584"/>
    <w:rsid w:val="001D3A88"/>
    <w:rsid w:val="001D3C54"/>
    <w:rsid w:val="001D50B2"/>
    <w:rsid w:val="001D652C"/>
    <w:rsid w:val="001D6FE3"/>
    <w:rsid w:val="001D711C"/>
    <w:rsid w:val="001D7645"/>
    <w:rsid w:val="001D7D85"/>
    <w:rsid w:val="001E1114"/>
    <w:rsid w:val="001E1E86"/>
    <w:rsid w:val="001E238E"/>
    <w:rsid w:val="001E2483"/>
    <w:rsid w:val="001E2B1E"/>
    <w:rsid w:val="001E2CFF"/>
    <w:rsid w:val="001E2F0D"/>
    <w:rsid w:val="001E2F24"/>
    <w:rsid w:val="001E30D4"/>
    <w:rsid w:val="001E34DF"/>
    <w:rsid w:val="001E37AA"/>
    <w:rsid w:val="001E52EB"/>
    <w:rsid w:val="001E58B5"/>
    <w:rsid w:val="001E61D2"/>
    <w:rsid w:val="001E6D8D"/>
    <w:rsid w:val="001E740C"/>
    <w:rsid w:val="001F06A9"/>
    <w:rsid w:val="001F0B2F"/>
    <w:rsid w:val="001F0CE9"/>
    <w:rsid w:val="001F1235"/>
    <w:rsid w:val="001F1B3A"/>
    <w:rsid w:val="001F1CB3"/>
    <w:rsid w:val="001F38B5"/>
    <w:rsid w:val="001F4081"/>
    <w:rsid w:val="001F5AB0"/>
    <w:rsid w:val="001F5C5B"/>
    <w:rsid w:val="001F601F"/>
    <w:rsid w:val="001F676A"/>
    <w:rsid w:val="001F7028"/>
    <w:rsid w:val="001F7361"/>
    <w:rsid w:val="002011B0"/>
    <w:rsid w:val="00201ED7"/>
    <w:rsid w:val="00202F81"/>
    <w:rsid w:val="00203181"/>
    <w:rsid w:val="00203783"/>
    <w:rsid w:val="0020385F"/>
    <w:rsid w:val="00204A03"/>
    <w:rsid w:val="00205161"/>
    <w:rsid w:val="00205DEE"/>
    <w:rsid w:val="00206504"/>
    <w:rsid w:val="002068A0"/>
    <w:rsid w:val="00207021"/>
    <w:rsid w:val="0020732F"/>
    <w:rsid w:val="00207D00"/>
    <w:rsid w:val="002105C1"/>
    <w:rsid w:val="00210786"/>
    <w:rsid w:val="0021266F"/>
    <w:rsid w:val="00213EDD"/>
    <w:rsid w:val="00213EF5"/>
    <w:rsid w:val="00214619"/>
    <w:rsid w:val="00214B89"/>
    <w:rsid w:val="0021521F"/>
    <w:rsid w:val="00215B58"/>
    <w:rsid w:val="002161E8"/>
    <w:rsid w:val="00216BF5"/>
    <w:rsid w:val="002177D5"/>
    <w:rsid w:val="00221824"/>
    <w:rsid w:val="0022251D"/>
    <w:rsid w:val="00222724"/>
    <w:rsid w:val="00223481"/>
    <w:rsid w:val="00223B49"/>
    <w:rsid w:val="00223D5A"/>
    <w:rsid w:val="00224DD4"/>
    <w:rsid w:val="00224E24"/>
    <w:rsid w:val="00225EDC"/>
    <w:rsid w:val="002268EF"/>
    <w:rsid w:val="002278A0"/>
    <w:rsid w:val="002309CC"/>
    <w:rsid w:val="002314B4"/>
    <w:rsid w:val="0023209F"/>
    <w:rsid w:val="00232308"/>
    <w:rsid w:val="00233C01"/>
    <w:rsid w:val="0023413C"/>
    <w:rsid w:val="002346F0"/>
    <w:rsid w:val="002349FC"/>
    <w:rsid w:val="00235615"/>
    <w:rsid w:val="0023629D"/>
    <w:rsid w:val="00236B65"/>
    <w:rsid w:val="00237255"/>
    <w:rsid w:val="0024166C"/>
    <w:rsid w:val="00241685"/>
    <w:rsid w:val="002424AF"/>
    <w:rsid w:val="00243483"/>
    <w:rsid w:val="00243649"/>
    <w:rsid w:val="002439DC"/>
    <w:rsid w:val="002441D2"/>
    <w:rsid w:val="00244DC8"/>
    <w:rsid w:val="002458BA"/>
    <w:rsid w:val="00245CE9"/>
    <w:rsid w:val="0024636C"/>
    <w:rsid w:val="00246BFE"/>
    <w:rsid w:val="00246E63"/>
    <w:rsid w:val="00247925"/>
    <w:rsid w:val="00251006"/>
    <w:rsid w:val="00251D64"/>
    <w:rsid w:val="002523D6"/>
    <w:rsid w:val="002524D5"/>
    <w:rsid w:val="002529D3"/>
    <w:rsid w:val="00252EB6"/>
    <w:rsid w:val="002530B2"/>
    <w:rsid w:val="00253B1D"/>
    <w:rsid w:val="00253F20"/>
    <w:rsid w:val="00254DCF"/>
    <w:rsid w:val="0025534B"/>
    <w:rsid w:val="002553AE"/>
    <w:rsid w:val="00255BB7"/>
    <w:rsid w:val="00257541"/>
    <w:rsid w:val="0025758A"/>
    <w:rsid w:val="00257694"/>
    <w:rsid w:val="00257A39"/>
    <w:rsid w:val="00257AC4"/>
    <w:rsid w:val="0026168A"/>
    <w:rsid w:val="00261EEF"/>
    <w:rsid w:val="00262A1A"/>
    <w:rsid w:val="00262A87"/>
    <w:rsid w:val="00262B95"/>
    <w:rsid w:val="00264D26"/>
    <w:rsid w:val="00265C94"/>
    <w:rsid w:val="00266508"/>
    <w:rsid w:val="0026685A"/>
    <w:rsid w:val="00267642"/>
    <w:rsid w:val="0026795C"/>
    <w:rsid w:val="00267AEA"/>
    <w:rsid w:val="00267C2F"/>
    <w:rsid w:val="002700E6"/>
    <w:rsid w:val="00270DC4"/>
    <w:rsid w:val="002710F2"/>
    <w:rsid w:val="00272050"/>
    <w:rsid w:val="00272881"/>
    <w:rsid w:val="0027294B"/>
    <w:rsid w:val="00273EB4"/>
    <w:rsid w:val="00274682"/>
    <w:rsid w:val="0027528D"/>
    <w:rsid w:val="00275C5A"/>
    <w:rsid w:val="00280681"/>
    <w:rsid w:val="00281014"/>
    <w:rsid w:val="00281DC0"/>
    <w:rsid w:val="00283591"/>
    <w:rsid w:val="0028388B"/>
    <w:rsid w:val="002855DF"/>
    <w:rsid w:val="002863FC"/>
    <w:rsid w:val="00286476"/>
    <w:rsid w:val="0028665D"/>
    <w:rsid w:val="0028785D"/>
    <w:rsid w:val="002930D2"/>
    <w:rsid w:val="002963B9"/>
    <w:rsid w:val="00296CC3"/>
    <w:rsid w:val="00296D9B"/>
    <w:rsid w:val="00297392"/>
    <w:rsid w:val="00297492"/>
    <w:rsid w:val="00297C1C"/>
    <w:rsid w:val="00297EA9"/>
    <w:rsid w:val="002A14AB"/>
    <w:rsid w:val="002A1EAF"/>
    <w:rsid w:val="002A220D"/>
    <w:rsid w:val="002A2ADE"/>
    <w:rsid w:val="002A2F50"/>
    <w:rsid w:val="002A4060"/>
    <w:rsid w:val="002A41FC"/>
    <w:rsid w:val="002A43EE"/>
    <w:rsid w:val="002A43F6"/>
    <w:rsid w:val="002A489A"/>
    <w:rsid w:val="002A494C"/>
    <w:rsid w:val="002B05A1"/>
    <w:rsid w:val="002B09A4"/>
    <w:rsid w:val="002B1C1F"/>
    <w:rsid w:val="002B307E"/>
    <w:rsid w:val="002B3EF3"/>
    <w:rsid w:val="002B432F"/>
    <w:rsid w:val="002B53E8"/>
    <w:rsid w:val="002B5D88"/>
    <w:rsid w:val="002B62B3"/>
    <w:rsid w:val="002B6754"/>
    <w:rsid w:val="002B6CCE"/>
    <w:rsid w:val="002B7032"/>
    <w:rsid w:val="002B7220"/>
    <w:rsid w:val="002C0700"/>
    <w:rsid w:val="002C13BB"/>
    <w:rsid w:val="002C2283"/>
    <w:rsid w:val="002C2510"/>
    <w:rsid w:val="002C2775"/>
    <w:rsid w:val="002C27C1"/>
    <w:rsid w:val="002C402A"/>
    <w:rsid w:val="002C40F9"/>
    <w:rsid w:val="002C4B02"/>
    <w:rsid w:val="002C5099"/>
    <w:rsid w:val="002C5889"/>
    <w:rsid w:val="002C71CE"/>
    <w:rsid w:val="002C72C8"/>
    <w:rsid w:val="002D08F8"/>
    <w:rsid w:val="002D1736"/>
    <w:rsid w:val="002D1DA4"/>
    <w:rsid w:val="002D2C35"/>
    <w:rsid w:val="002D3E1E"/>
    <w:rsid w:val="002D3EF2"/>
    <w:rsid w:val="002D577C"/>
    <w:rsid w:val="002D693A"/>
    <w:rsid w:val="002D7D0C"/>
    <w:rsid w:val="002E0CD5"/>
    <w:rsid w:val="002E1071"/>
    <w:rsid w:val="002E15B9"/>
    <w:rsid w:val="002E2158"/>
    <w:rsid w:val="002E30CB"/>
    <w:rsid w:val="002E3846"/>
    <w:rsid w:val="002E3BDC"/>
    <w:rsid w:val="002E4F02"/>
    <w:rsid w:val="002E5347"/>
    <w:rsid w:val="002E7722"/>
    <w:rsid w:val="002F00D5"/>
    <w:rsid w:val="002F07BA"/>
    <w:rsid w:val="002F0DA9"/>
    <w:rsid w:val="002F1014"/>
    <w:rsid w:val="002F1450"/>
    <w:rsid w:val="002F2E95"/>
    <w:rsid w:val="002F2FFD"/>
    <w:rsid w:val="002F30B4"/>
    <w:rsid w:val="002F429C"/>
    <w:rsid w:val="002F480A"/>
    <w:rsid w:val="002F5A66"/>
    <w:rsid w:val="002F643C"/>
    <w:rsid w:val="002F6551"/>
    <w:rsid w:val="002F6F18"/>
    <w:rsid w:val="002F71C0"/>
    <w:rsid w:val="002F724F"/>
    <w:rsid w:val="002F74F1"/>
    <w:rsid w:val="00300634"/>
    <w:rsid w:val="00300D07"/>
    <w:rsid w:val="00301017"/>
    <w:rsid w:val="0030155F"/>
    <w:rsid w:val="00302E56"/>
    <w:rsid w:val="00303DFF"/>
    <w:rsid w:val="0030587B"/>
    <w:rsid w:val="00306407"/>
    <w:rsid w:val="003066BA"/>
    <w:rsid w:val="00306D98"/>
    <w:rsid w:val="0030786C"/>
    <w:rsid w:val="0031031A"/>
    <w:rsid w:val="003107BA"/>
    <w:rsid w:val="00310981"/>
    <w:rsid w:val="00310F52"/>
    <w:rsid w:val="003117A2"/>
    <w:rsid w:val="00311D9A"/>
    <w:rsid w:val="00312045"/>
    <w:rsid w:val="003124D9"/>
    <w:rsid w:val="00312594"/>
    <w:rsid w:val="00314313"/>
    <w:rsid w:val="00314785"/>
    <w:rsid w:val="00314D89"/>
    <w:rsid w:val="00315498"/>
    <w:rsid w:val="0031616A"/>
    <w:rsid w:val="003161D7"/>
    <w:rsid w:val="00316474"/>
    <w:rsid w:val="003202DF"/>
    <w:rsid w:val="003210FB"/>
    <w:rsid w:val="00322107"/>
    <w:rsid w:val="00322355"/>
    <w:rsid w:val="00322846"/>
    <w:rsid w:val="00322DF3"/>
    <w:rsid w:val="00323EDF"/>
    <w:rsid w:val="0032436D"/>
    <w:rsid w:val="00326DA7"/>
    <w:rsid w:val="00326F19"/>
    <w:rsid w:val="003270E4"/>
    <w:rsid w:val="0033003C"/>
    <w:rsid w:val="00330748"/>
    <w:rsid w:val="0033086C"/>
    <w:rsid w:val="00330DAA"/>
    <w:rsid w:val="00330F5C"/>
    <w:rsid w:val="003319BB"/>
    <w:rsid w:val="00332DE7"/>
    <w:rsid w:val="0033311B"/>
    <w:rsid w:val="00334ED8"/>
    <w:rsid w:val="003366C9"/>
    <w:rsid w:val="00336A85"/>
    <w:rsid w:val="003371B0"/>
    <w:rsid w:val="00340DF1"/>
    <w:rsid w:val="00341883"/>
    <w:rsid w:val="003426F2"/>
    <w:rsid w:val="00342F92"/>
    <w:rsid w:val="0034462A"/>
    <w:rsid w:val="0034498C"/>
    <w:rsid w:val="00345A0C"/>
    <w:rsid w:val="00345ECD"/>
    <w:rsid w:val="00346061"/>
    <w:rsid w:val="003466E1"/>
    <w:rsid w:val="0035055A"/>
    <w:rsid w:val="003517F9"/>
    <w:rsid w:val="00351BA9"/>
    <w:rsid w:val="00354F27"/>
    <w:rsid w:val="00354F64"/>
    <w:rsid w:val="003555DB"/>
    <w:rsid w:val="003558D7"/>
    <w:rsid w:val="00355D2F"/>
    <w:rsid w:val="0035620E"/>
    <w:rsid w:val="003576E2"/>
    <w:rsid w:val="003601F8"/>
    <w:rsid w:val="00360215"/>
    <w:rsid w:val="00360345"/>
    <w:rsid w:val="00361A05"/>
    <w:rsid w:val="00361F2C"/>
    <w:rsid w:val="00362110"/>
    <w:rsid w:val="003624C4"/>
    <w:rsid w:val="00362A26"/>
    <w:rsid w:val="00362B21"/>
    <w:rsid w:val="00363B00"/>
    <w:rsid w:val="003652D2"/>
    <w:rsid w:val="003654AC"/>
    <w:rsid w:val="00367CB9"/>
    <w:rsid w:val="00370A08"/>
    <w:rsid w:val="0037108A"/>
    <w:rsid w:val="003710CF"/>
    <w:rsid w:val="00372091"/>
    <w:rsid w:val="0037358A"/>
    <w:rsid w:val="00374B17"/>
    <w:rsid w:val="003750F6"/>
    <w:rsid w:val="00375D8F"/>
    <w:rsid w:val="003760FC"/>
    <w:rsid w:val="003771E2"/>
    <w:rsid w:val="0038271F"/>
    <w:rsid w:val="0038365C"/>
    <w:rsid w:val="0038369B"/>
    <w:rsid w:val="00383B78"/>
    <w:rsid w:val="00383D33"/>
    <w:rsid w:val="00385112"/>
    <w:rsid w:val="00385A9D"/>
    <w:rsid w:val="00386532"/>
    <w:rsid w:val="00386A9D"/>
    <w:rsid w:val="00386E1D"/>
    <w:rsid w:val="00387869"/>
    <w:rsid w:val="003902B1"/>
    <w:rsid w:val="00390651"/>
    <w:rsid w:val="00390871"/>
    <w:rsid w:val="0039179C"/>
    <w:rsid w:val="003919A4"/>
    <w:rsid w:val="00391F16"/>
    <w:rsid w:val="003921AD"/>
    <w:rsid w:val="003926C5"/>
    <w:rsid w:val="003935E9"/>
    <w:rsid w:val="003956BC"/>
    <w:rsid w:val="00395B7A"/>
    <w:rsid w:val="00396896"/>
    <w:rsid w:val="00396FD0"/>
    <w:rsid w:val="00397F1A"/>
    <w:rsid w:val="003A0246"/>
    <w:rsid w:val="003A0696"/>
    <w:rsid w:val="003A1A7A"/>
    <w:rsid w:val="003A2392"/>
    <w:rsid w:val="003A2831"/>
    <w:rsid w:val="003A3A88"/>
    <w:rsid w:val="003A3CB6"/>
    <w:rsid w:val="003A3ED1"/>
    <w:rsid w:val="003A44DB"/>
    <w:rsid w:val="003A5382"/>
    <w:rsid w:val="003A5FE2"/>
    <w:rsid w:val="003A6BF2"/>
    <w:rsid w:val="003B108D"/>
    <w:rsid w:val="003B1B83"/>
    <w:rsid w:val="003B2C5B"/>
    <w:rsid w:val="003B3061"/>
    <w:rsid w:val="003B3971"/>
    <w:rsid w:val="003B447A"/>
    <w:rsid w:val="003B517C"/>
    <w:rsid w:val="003B55D1"/>
    <w:rsid w:val="003B5B61"/>
    <w:rsid w:val="003B69B2"/>
    <w:rsid w:val="003B69E8"/>
    <w:rsid w:val="003B6CAC"/>
    <w:rsid w:val="003B7462"/>
    <w:rsid w:val="003C0533"/>
    <w:rsid w:val="003C09D8"/>
    <w:rsid w:val="003C0F7D"/>
    <w:rsid w:val="003C1654"/>
    <w:rsid w:val="003C1A2A"/>
    <w:rsid w:val="003C245B"/>
    <w:rsid w:val="003C331B"/>
    <w:rsid w:val="003C3F6D"/>
    <w:rsid w:val="003C4A9C"/>
    <w:rsid w:val="003C5542"/>
    <w:rsid w:val="003C597C"/>
    <w:rsid w:val="003C7D19"/>
    <w:rsid w:val="003C7D2F"/>
    <w:rsid w:val="003D1828"/>
    <w:rsid w:val="003D1DE4"/>
    <w:rsid w:val="003D1E9A"/>
    <w:rsid w:val="003D2422"/>
    <w:rsid w:val="003D2504"/>
    <w:rsid w:val="003D26CF"/>
    <w:rsid w:val="003D39A1"/>
    <w:rsid w:val="003D3B0E"/>
    <w:rsid w:val="003D3FBF"/>
    <w:rsid w:val="003D438A"/>
    <w:rsid w:val="003D4A30"/>
    <w:rsid w:val="003D5B3C"/>
    <w:rsid w:val="003D7452"/>
    <w:rsid w:val="003D79BB"/>
    <w:rsid w:val="003D7C98"/>
    <w:rsid w:val="003D7D9D"/>
    <w:rsid w:val="003E0250"/>
    <w:rsid w:val="003E0314"/>
    <w:rsid w:val="003E0543"/>
    <w:rsid w:val="003E06F0"/>
    <w:rsid w:val="003E36BB"/>
    <w:rsid w:val="003E4A03"/>
    <w:rsid w:val="003E59BA"/>
    <w:rsid w:val="003E60AD"/>
    <w:rsid w:val="003E749E"/>
    <w:rsid w:val="003E7730"/>
    <w:rsid w:val="003F0284"/>
    <w:rsid w:val="003F0A43"/>
    <w:rsid w:val="003F1B39"/>
    <w:rsid w:val="003F1E42"/>
    <w:rsid w:val="003F26FE"/>
    <w:rsid w:val="003F3829"/>
    <w:rsid w:val="003F4156"/>
    <w:rsid w:val="003F56E8"/>
    <w:rsid w:val="003F5ADF"/>
    <w:rsid w:val="0040072D"/>
    <w:rsid w:val="00400B29"/>
    <w:rsid w:val="00400E9E"/>
    <w:rsid w:val="00401CF4"/>
    <w:rsid w:val="00404200"/>
    <w:rsid w:val="0040460A"/>
    <w:rsid w:val="0040504B"/>
    <w:rsid w:val="004059F4"/>
    <w:rsid w:val="00406C5C"/>
    <w:rsid w:val="00407FDD"/>
    <w:rsid w:val="00407FE5"/>
    <w:rsid w:val="004101B0"/>
    <w:rsid w:val="00410326"/>
    <w:rsid w:val="00410708"/>
    <w:rsid w:val="00410A0A"/>
    <w:rsid w:val="00410AA8"/>
    <w:rsid w:val="00410EBB"/>
    <w:rsid w:val="00410EC7"/>
    <w:rsid w:val="00411B39"/>
    <w:rsid w:val="00411D6C"/>
    <w:rsid w:val="00412213"/>
    <w:rsid w:val="004127A7"/>
    <w:rsid w:val="004132BD"/>
    <w:rsid w:val="00413571"/>
    <w:rsid w:val="00413A1E"/>
    <w:rsid w:val="00414476"/>
    <w:rsid w:val="00414C2E"/>
    <w:rsid w:val="00414F72"/>
    <w:rsid w:val="00415046"/>
    <w:rsid w:val="004151CF"/>
    <w:rsid w:val="00416364"/>
    <w:rsid w:val="00416F73"/>
    <w:rsid w:val="00417789"/>
    <w:rsid w:val="00417A90"/>
    <w:rsid w:val="0042047F"/>
    <w:rsid w:val="00420AA6"/>
    <w:rsid w:val="00420B9F"/>
    <w:rsid w:val="0042192C"/>
    <w:rsid w:val="00421B4F"/>
    <w:rsid w:val="00422260"/>
    <w:rsid w:val="00422EA7"/>
    <w:rsid w:val="004238EE"/>
    <w:rsid w:val="00424098"/>
    <w:rsid w:val="0042413F"/>
    <w:rsid w:val="00424B15"/>
    <w:rsid w:val="00424FE7"/>
    <w:rsid w:val="0042517C"/>
    <w:rsid w:val="004254F6"/>
    <w:rsid w:val="00426770"/>
    <w:rsid w:val="00427ECB"/>
    <w:rsid w:val="00431785"/>
    <w:rsid w:val="004319F8"/>
    <w:rsid w:val="00431E55"/>
    <w:rsid w:val="004321F6"/>
    <w:rsid w:val="00433044"/>
    <w:rsid w:val="00434088"/>
    <w:rsid w:val="00434E42"/>
    <w:rsid w:val="004350CE"/>
    <w:rsid w:val="004375B9"/>
    <w:rsid w:val="00437B52"/>
    <w:rsid w:val="0044004C"/>
    <w:rsid w:val="00440C8A"/>
    <w:rsid w:val="0044107F"/>
    <w:rsid w:val="004413BD"/>
    <w:rsid w:val="004417C6"/>
    <w:rsid w:val="00441D25"/>
    <w:rsid w:val="004428D0"/>
    <w:rsid w:val="00442F32"/>
    <w:rsid w:val="00444185"/>
    <w:rsid w:val="004443A7"/>
    <w:rsid w:val="0044442C"/>
    <w:rsid w:val="00444464"/>
    <w:rsid w:val="00445333"/>
    <w:rsid w:val="00445941"/>
    <w:rsid w:val="004464EB"/>
    <w:rsid w:val="00446AF5"/>
    <w:rsid w:val="00446EA0"/>
    <w:rsid w:val="00447D26"/>
    <w:rsid w:val="00447DFC"/>
    <w:rsid w:val="00450ACB"/>
    <w:rsid w:val="00450C85"/>
    <w:rsid w:val="00453580"/>
    <w:rsid w:val="004538BD"/>
    <w:rsid w:val="0045412F"/>
    <w:rsid w:val="004544E5"/>
    <w:rsid w:val="00455D45"/>
    <w:rsid w:val="00455E15"/>
    <w:rsid w:val="00456355"/>
    <w:rsid w:val="0045679F"/>
    <w:rsid w:val="00460AFC"/>
    <w:rsid w:val="004618DE"/>
    <w:rsid w:val="00461918"/>
    <w:rsid w:val="00462781"/>
    <w:rsid w:val="00462A54"/>
    <w:rsid w:val="00462C29"/>
    <w:rsid w:val="00464595"/>
    <w:rsid w:val="004658B5"/>
    <w:rsid w:val="00466829"/>
    <w:rsid w:val="00470680"/>
    <w:rsid w:val="00471EA5"/>
    <w:rsid w:val="00472A79"/>
    <w:rsid w:val="00473061"/>
    <w:rsid w:val="00473E5E"/>
    <w:rsid w:val="00473F19"/>
    <w:rsid w:val="0047421E"/>
    <w:rsid w:val="004748A1"/>
    <w:rsid w:val="00474D2B"/>
    <w:rsid w:val="00475061"/>
    <w:rsid w:val="00475E22"/>
    <w:rsid w:val="00475FDE"/>
    <w:rsid w:val="004760BA"/>
    <w:rsid w:val="00477ACE"/>
    <w:rsid w:val="0048088E"/>
    <w:rsid w:val="00480F2B"/>
    <w:rsid w:val="004813A6"/>
    <w:rsid w:val="004826E2"/>
    <w:rsid w:val="00482720"/>
    <w:rsid w:val="004834A0"/>
    <w:rsid w:val="004835E7"/>
    <w:rsid w:val="004841C1"/>
    <w:rsid w:val="004849CA"/>
    <w:rsid w:val="00485653"/>
    <w:rsid w:val="0048565B"/>
    <w:rsid w:val="004865D7"/>
    <w:rsid w:val="004867E2"/>
    <w:rsid w:val="00486CCD"/>
    <w:rsid w:val="004872E7"/>
    <w:rsid w:val="004878C1"/>
    <w:rsid w:val="00490B17"/>
    <w:rsid w:val="00491B3A"/>
    <w:rsid w:val="00492AD4"/>
    <w:rsid w:val="00492C4E"/>
    <w:rsid w:val="00492CFD"/>
    <w:rsid w:val="004939B4"/>
    <w:rsid w:val="00494207"/>
    <w:rsid w:val="004949F9"/>
    <w:rsid w:val="00494DD5"/>
    <w:rsid w:val="004962D2"/>
    <w:rsid w:val="00497D8E"/>
    <w:rsid w:val="004A09D1"/>
    <w:rsid w:val="004A0DA1"/>
    <w:rsid w:val="004A1203"/>
    <w:rsid w:val="004A13D6"/>
    <w:rsid w:val="004A290F"/>
    <w:rsid w:val="004A29B3"/>
    <w:rsid w:val="004A52E9"/>
    <w:rsid w:val="004A559B"/>
    <w:rsid w:val="004A6040"/>
    <w:rsid w:val="004A6597"/>
    <w:rsid w:val="004A7848"/>
    <w:rsid w:val="004A7A40"/>
    <w:rsid w:val="004B0DDE"/>
    <w:rsid w:val="004B1028"/>
    <w:rsid w:val="004B1281"/>
    <w:rsid w:val="004B14EF"/>
    <w:rsid w:val="004B1549"/>
    <w:rsid w:val="004B170C"/>
    <w:rsid w:val="004B1CB4"/>
    <w:rsid w:val="004B1EF3"/>
    <w:rsid w:val="004B2F18"/>
    <w:rsid w:val="004B3D68"/>
    <w:rsid w:val="004B3DDB"/>
    <w:rsid w:val="004B3FBA"/>
    <w:rsid w:val="004B44FD"/>
    <w:rsid w:val="004B5885"/>
    <w:rsid w:val="004B5CFC"/>
    <w:rsid w:val="004B6F79"/>
    <w:rsid w:val="004B774D"/>
    <w:rsid w:val="004B7C7B"/>
    <w:rsid w:val="004C08F5"/>
    <w:rsid w:val="004C16FD"/>
    <w:rsid w:val="004C2382"/>
    <w:rsid w:val="004C24C1"/>
    <w:rsid w:val="004C4193"/>
    <w:rsid w:val="004C4AE6"/>
    <w:rsid w:val="004C4AED"/>
    <w:rsid w:val="004C6731"/>
    <w:rsid w:val="004D1017"/>
    <w:rsid w:val="004D13B4"/>
    <w:rsid w:val="004D2B84"/>
    <w:rsid w:val="004D2C2D"/>
    <w:rsid w:val="004D5DD2"/>
    <w:rsid w:val="004D654E"/>
    <w:rsid w:val="004D69B5"/>
    <w:rsid w:val="004D7227"/>
    <w:rsid w:val="004E0E7F"/>
    <w:rsid w:val="004E0EB8"/>
    <w:rsid w:val="004E18E9"/>
    <w:rsid w:val="004E1AAE"/>
    <w:rsid w:val="004E1C73"/>
    <w:rsid w:val="004E20CB"/>
    <w:rsid w:val="004E2553"/>
    <w:rsid w:val="004E2ADC"/>
    <w:rsid w:val="004E3C1D"/>
    <w:rsid w:val="004E43B2"/>
    <w:rsid w:val="004E4D24"/>
    <w:rsid w:val="004E55D6"/>
    <w:rsid w:val="004E5B15"/>
    <w:rsid w:val="004E62B8"/>
    <w:rsid w:val="004E70C6"/>
    <w:rsid w:val="004E7652"/>
    <w:rsid w:val="004F0D16"/>
    <w:rsid w:val="004F12DB"/>
    <w:rsid w:val="004F1C6D"/>
    <w:rsid w:val="004F1D02"/>
    <w:rsid w:val="004F2679"/>
    <w:rsid w:val="004F2F21"/>
    <w:rsid w:val="004F3758"/>
    <w:rsid w:val="004F3B1C"/>
    <w:rsid w:val="004F3DE5"/>
    <w:rsid w:val="004F56B3"/>
    <w:rsid w:val="004F5DB9"/>
    <w:rsid w:val="004F6913"/>
    <w:rsid w:val="004F6A27"/>
    <w:rsid w:val="004F6D33"/>
    <w:rsid w:val="004F7865"/>
    <w:rsid w:val="0050174E"/>
    <w:rsid w:val="0050181C"/>
    <w:rsid w:val="00501854"/>
    <w:rsid w:val="0050191D"/>
    <w:rsid w:val="0050219B"/>
    <w:rsid w:val="005023E7"/>
    <w:rsid w:val="00503F17"/>
    <w:rsid w:val="00504C6D"/>
    <w:rsid w:val="00505E8B"/>
    <w:rsid w:val="00506928"/>
    <w:rsid w:val="005077EF"/>
    <w:rsid w:val="00510018"/>
    <w:rsid w:val="00511646"/>
    <w:rsid w:val="00511AD5"/>
    <w:rsid w:val="00511DC7"/>
    <w:rsid w:val="005142C5"/>
    <w:rsid w:val="0051501B"/>
    <w:rsid w:val="00515103"/>
    <w:rsid w:val="005152B5"/>
    <w:rsid w:val="00515912"/>
    <w:rsid w:val="00515DAC"/>
    <w:rsid w:val="00520C64"/>
    <w:rsid w:val="005210A8"/>
    <w:rsid w:val="0052123C"/>
    <w:rsid w:val="00521319"/>
    <w:rsid w:val="005214AE"/>
    <w:rsid w:val="00521EBE"/>
    <w:rsid w:val="00521F30"/>
    <w:rsid w:val="00522BC8"/>
    <w:rsid w:val="00522BE0"/>
    <w:rsid w:val="00523971"/>
    <w:rsid w:val="00523A93"/>
    <w:rsid w:val="00523C28"/>
    <w:rsid w:val="00525065"/>
    <w:rsid w:val="00525A05"/>
    <w:rsid w:val="00526523"/>
    <w:rsid w:val="00526C47"/>
    <w:rsid w:val="00527790"/>
    <w:rsid w:val="0053176B"/>
    <w:rsid w:val="00531EB7"/>
    <w:rsid w:val="0053203B"/>
    <w:rsid w:val="00533359"/>
    <w:rsid w:val="00533E39"/>
    <w:rsid w:val="005349B2"/>
    <w:rsid w:val="0053641A"/>
    <w:rsid w:val="00536EC5"/>
    <w:rsid w:val="00536F42"/>
    <w:rsid w:val="00537182"/>
    <w:rsid w:val="00537FF2"/>
    <w:rsid w:val="0054080C"/>
    <w:rsid w:val="00540CFE"/>
    <w:rsid w:val="00541EDD"/>
    <w:rsid w:val="00542743"/>
    <w:rsid w:val="00542C2D"/>
    <w:rsid w:val="00542D6F"/>
    <w:rsid w:val="0054305C"/>
    <w:rsid w:val="00543F28"/>
    <w:rsid w:val="005446CD"/>
    <w:rsid w:val="005450C4"/>
    <w:rsid w:val="00545A58"/>
    <w:rsid w:val="00546DDB"/>
    <w:rsid w:val="00546E6A"/>
    <w:rsid w:val="00547176"/>
    <w:rsid w:val="005476EC"/>
    <w:rsid w:val="005478BD"/>
    <w:rsid w:val="005479E3"/>
    <w:rsid w:val="0055027F"/>
    <w:rsid w:val="00550484"/>
    <w:rsid w:val="00550E48"/>
    <w:rsid w:val="00551985"/>
    <w:rsid w:val="00552069"/>
    <w:rsid w:val="00552A65"/>
    <w:rsid w:val="00552BD3"/>
    <w:rsid w:val="00552D08"/>
    <w:rsid w:val="005531D3"/>
    <w:rsid w:val="005532A0"/>
    <w:rsid w:val="00554AC3"/>
    <w:rsid w:val="00555109"/>
    <w:rsid w:val="005554B9"/>
    <w:rsid w:val="005556CE"/>
    <w:rsid w:val="00555F4C"/>
    <w:rsid w:val="00556830"/>
    <w:rsid w:val="00556B35"/>
    <w:rsid w:val="0055741A"/>
    <w:rsid w:val="005608AC"/>
    <w:rsid w:val="00560B52"/>
    <w:rsid w:val="005611B7"/>
    <w:rsid w:val="00561732"/>
    <w:rsid w:val="005618D4"/>
    <w:rsid w:val="00561A1D"/>
    <w:rsid w:val="00562299"/>
    <w:rsid w:val="005624FC"/>
    <w:rsid w:val="00563006"/>
    <w:rsid w:val="005648F4"/>
    <w:rsid w:val="00565241"/>
    <w:rsid w:val="00565271"/>
    <w:rsid w:val="005652C0"/>
    <w:rsid w:val="00565A20"/>
    <w:rsid w:val="00565DF0"/>
    <w:rsid w:val="00566235"/>
    <w:rsid w:val="00566339"/>
    <w:rsid w:val="0056673B"/>
    <w:rsid w:val="0056696F"/>
    <w:rsid w:val="00566BB2"/>
    <w:rsid w:val="00566D0C"/>
    <w:rsid w:val="00567D2C"/>
    <w:rsid w:val="00570A0F"/>
    <w:rsid w:val="00571256"/>
    <w:rsid w:val="00571B92"/>
    <w:rsid w:val="00572269"/>
    <w:rsid w:val="0057244A"/>
    <w:rsid w:val="005729B6"/>
    <w:rsid w:val="00572F26"/>
    <w:rsid w:val="00574CE3"/>
    <w:rsid w:val="005750C5"/>
    <w:rsid w:val="005752DE"/>
    <w:rsid w:val="005754CA"/>
    <w:rsid w:val="00575D8D"/>
    <w:rsid w:val="00576972"/>
    <w:rsid w:val="00576D07"/>
    <w:rsid w:val="005771A9"/>
    <w:rsid w:val="00583699"/>
    <w:rsid w:val="0058450B"/>
    <w:rsid w:val="00584A7A"/>
    <w:rsid w:val="00585B2F"/>
    <w:rsid w:val="00585CDD"/>
    <w:rsid w:val="00586900"/>
    <w:rsid w:val="00586DCC"/>
    <w:rsid w:val="00587058"/>
    <w:rsid w:val="005904EA"/>
    <w:rsid w:val="00591110"/>
    <w:rsid w:val="005911CF"/>
    <w:rsid w:val="00591957"/>
    <w:rsid w:val="00591B86"/>
    <w:rsid w:val="00592607"/>
    <w:rsid w:val="00592E70"/>
    <w:rsid w:val="00593C3A"/>
    <w:rsid w:val="0059538B"/>
    <w:rsid w:val="005957ED"/>
    <w:rsid w:val="0059669A"/>
    <w:rsid w:val="00597BF9"/>
    <w:rsid w:val="005A0324"/>
    <w:rsid w:val="005A1174"/>
    <w:rsid w:val="005A1C06"/>
    <w:rsid w:val="005A309A"/>
    <w:rsid w:val="005A373D"/>
    <w:rsid w:val="005A6415"/>
    <w:rsid w:val="005A7774"/>
    <w:rsid w:val="005B0B58"/>
    <w:rsid w:val="005B1CC0"/>
    <w:rsid w:val="005B3A02"/>
    <w:rsid w:val="005B3B8D"/>
    <w:rsid w:val="005B3F41"/>
    <w:rsid w:val="005B4E53"/>
    <w:rsid w:val="005B5857"/>
    <w:rsid w:val="005B62ED"/>
    <w:rsid w:val="005C03E1"/>
    <w:rsid w:val="005C15BE"/>
    <w:rsid w:val="005C1B21"/>
    <w:rsid w:val="005C1B83"/>
    <w:rsid w:val="005C1F93"/>
    <w:rsid w:val="005C25FF"/>
    <w:rsid w:val="005C2D55"/>
    <w:rsid w:val="005C2ED8"/>
    <w:rsid w:val="005C346B"/>
    <w:rsid w:val="005C53C8"/>
    <w:rsid w:val="005C6B07"/>
    <w:rsid w:val="005D0108"/>
    <w:rsid w:val="005D044D"/>
    <w:rsid w:val="005D0A71"/>
    <w:rsid w:val="005D0ABD"/>
    <w:rsid w:val="005D0F9E"/>
    <w:rsid w:val="005D125F"/>
    <w:rsid w:val="005D18AD"/>
    <w:rsid w:val="005D26B4"/>
    <w:rsid w:val="005D32FB"/>
    <w:rsid w:val="005D3794"/>
    <w:rsid w:val="005D6892"/>
    <w:rsid w:val="005D6B1E"/>
    <w:rsid w:val="005D728A"/>
    <w:rsid w:val="005D7C79"/>
    <w:rsid w:val="005D7DF6"/>
    <w:rsid w:val="005E15D4"/>
    <w:rsid w:val="005E2B99"/>
    <w:rsid w:val="005E3F19"/>
    <w:rsid w:val="005E4B4D"/>
    <w:rsid w:val="005E6CBC"/>
    <w:rsid w:val="005E72FF"/>
    <w:rsid w:val="005E73C0"/>
    <w:rsid w:val="005F0959"/>
    <w:rsid w:val="005F0D84"/>
    <w:rsid w:val="005F0E57"/>
    <w:rsid w:val="005F153B"/>
    <w:rsid w:val="005F20B1"/>
    <w:rsid w:val="005F2374"/>
    <w:rsid w:val="005F2706"/>
    <w:rsid w:val="005F45FF"/>
    <w:rsid w:val="005F4CDF"/>
    <w:rsid w:val="005F5E8E"/>
    <w:rsid w:val="005F611D"/>
    <w:rsid w:val="005F68DC"/>
    <w:rsid w:val="005F6A8F"/>
    <w:rsid w:val="005F6BB7"/>
    <w:rsid w:val="005F7588"/>
    <w:rsid w:val="005F7947"/>
    <w:rsid w:val="005F7E9E"/>
    <w:rsid w:val="0060016F"/>
    <w:rsid w:val="00600241"/>
    <w:rsid w:val="006014C6"/>
    <w:rsid w:val="006018E8"/>
    <w:rsid w:val="006028F4"/>
    <w:rsid w:val="0060343D"/>
    <w:rsid w:val="0060393D"/>
    <w:rsid w:val="00603DB9"/>
    <w:rsid w:val="00603FAA"/>
    <w:rsid w:val="0060583F"/>
    <w:rsid w:val="00605987"/>
    <w:rsid w:val="00606927"/>
    <w:rsid w:val="00606E55"/>
    <w:rsid w:val="00606FBA"/>
    <w:rsid w:val="00607669"/>
    <w:rsid w:val="006076F4"/>
    <w:rsid w:val="00607AFD"/>
    <w:rsid w:val="00610721"/>
    <w:rsid w:val="00611909"/>
    <w:rsid w:val="00611C93"/>
    <w:rsid w:val="006122A4"/>
    <w:rsid w:val="00612F97"/>
    <w:rsid w:val="0061345D"/>
    <w:rsid w:val="00614ABF"/>
    <w:rsid w:val="0061549B"/>
    <w:rsid w:val="006165FD"/>
    <w:rsid w:val="00616802"/>
    <w:rsid w:val="00617400"/>
    <w:rsid w:val="00617E12"/>
    <w:rsid w:val="00620C25"/>
    <w:rsid w:val="00621006"/>
    <w:rsid w:val="00621477"/>
    <w:rsid w:val="00621ADA"/>
    <w:rsid w:val="00622AAB"/>
    <w:rsid w:val="00623D52"/>
    <w:rsid w:val="00623F7B"/>
    <w:rsid w:val="006269A7"/>
    <w:rsid w:val="00627B77"/>
    <w:rsid w:val="00627C19"/>
    <w:rsid w:val="00630379"/>
    <w:rsid w:val="006307B3"/>
    <w:rsid w:val="0063158F"/>
    <w:rsid w:val="00631D6B"/>
    <w:rsid w:val="00632183"/>
    <w:rsid w:val="00632745"/>
    <w:rsid w:val="006328BB"/>
    <w:rsid w:val="006330A1"/>
    <w:rsid w:val="00633A36"/>
    <w:rsid w:val="00633D4D"/>
    <w:rsid w:val="0063420E"/>
    <w:rsid w:val="006343A7"/>
    <w:rsid w:val="0063479F"/>
    <w:rsid w:val="006353F0"/>
    <w:rsid w:val="006357B5"/>
    <w:rsid w:val="00635F15"/>
    <w:rsid w:val="006364A1"/>
    <w:rsid w:val="0063678E"/>
    <w:rsid w:val="00637BFD"/>
    <w:rsid w:val="00640E6A"/>
    <w:rsid w:val="006413F7"/>
    <w:rsid w:val="0064187F"/>
    <w:rsid w:val="00641C4E"/>
    <w:rsid w:val="00641FB3"/>
    <w:rsid w:val="00642745"/>
    <w:rsid w:val="006433BB"/>
    <w:rsid w:val="0064434C"/>
    <w:rsid w:val="00644B6B"/>
    <w:rsid w:val="0064503C"/>
    <w:rsid w:val="00645584"/>
    <w:rsid w:val="006471CC"/>
    <w:rsid w:val="0064723D"/>
    <w:rsid w:val="00647A29"/>
    <w:rsid w:val="0065079F"/>
    <w:rsid w:val="0065084A"/>
    <w:rsid w:val="00650DE7"/>
    <w:rsid w:val="00651AD5"/>
    <w:rsid w:val="00652A28"/>
    <w:rsid w:val="0065379F"/>
    <w:rsid w:val="00653803"/>
    <w:rsid w:val="00653CFE"/>
    <w:rsid w:val="0065420E"/>
    <w:rsid w:val="006544AD"/>
    <w:rsid w:val="00654A9E"/>
    <w:rsid w:val="00654D89"/>
    <w:rsid w:val="00655557"/>
    <w:rsid w:val="00656021"/>
    <w:rsid w:val="00656188"/>
    <w:rsid w:val="0065715A"/>
    <w:rsid w:val="006574A3"/>
    <w:rsid w:val="00660B81"/>
    <w:rsid w:val="006610F1"/>
    <w:rsid w:val="00661C6B"/>
    <w:rsid w:val="00662147"/>
    <w:rsid w:val="00664A9D"/>
    <w:rsid w:val="00664B07"/>
    <w:rsid w:val="00664C42"/>
    <w:rsid w:val="00665239"/>
    <w:rsid w:val="0066576E"/>
    <w:rsid w:val="00666B6B"/>
    <w:rsid w:val="00671004"/>
    <w:rsid w:val="00672610"/>
    <w:rsid w:val="00672646"/>
    <w:rsid w:val="006741FB"/>
    <w:rsid w:val="006748EF"/>
    <w:rsid w:val="00674E42"/>
    <w:rsid w:val="006778E0"/>
    <w:rsid w:val="006808AF"/>
    <w:rsid w:val="00680B42"/>
    <w:rsid w:val="006813F8"/>
    <w:rsid w:val="006819A2"/>
    <w:rsid w:val="00682112"/>
    <w:rsid w:val="00682BA6"/>
    <w:rsid w:val="00682C81"/>
    <w:rsid w:val="006832E8"/>
    <w:rsid w:val="00683B40"/>
    <w:rsid w:val="00683C6D"/>
    <w:rsid w:val="00683D31"/>
    <w:rsid w:val="006847E5"/>
    <w:rsid w:val="00685062"/>
    <w:rsid w:val="00685CDD"/>
    <w:rsid w:val="00686957"/>
    <w:rsid w:val="006870CC"/>
    <w:rsid w:val="006872BA"/>
    <w:rsid w:val="00687553"/>
    <w:rsid w:val="00690795"/>
    <w:rsid w:val="00691648"/>
    <w:rsid w:val="006917D7"/>
    <w:rsid w:val="00692B62"/>
    <w:rsid w:val="0069434C"/>
    <w:rsid w:val="00694F44"/>
    <w:rsid w:val="0069589D"/>
    <w:rsid w:val="0069631C"/>
    <w:rsid w:val="006963F4"/>
    <w:rsid w:val="00696A52"/>
    <w:rsid w:val="00696F51"/>
    <w:rsid w:val="00697128"/>
    <w:rsid w:val="006979A5"/>
    <w:rsid w:val="00697A92"/>
    <w:rsid w:val="006A0115"/>
    <w:rsid w:val="006A053F"/>
    <w:rsid w:val="006A0BA5"/>
    <w:rsid w:val="006A11A7"/>
    <w:rsid w:val="006A12E3"/>
    <w:rsid w:val="006A222A"/>
    <w:rsid w:val="006A3668"/>
    <w:rsid w:val="006A4485"/>
    <w:rsid w:val="006A57E8"/>
    <w:rsid w:val="006A6077"/>
    <w:rsid w:val="006A6AB6"/>
    <w:rsid w:val="006A6B7E"/>
    <w:rsid w:val="006A6B99"/>
    <w:rsid w:val="006A7E5F"/>
    <w:rsid w:val="006B0E6C"/>
    <w:rsid w:val="006B1343"/>
    <w:rsid w:val="006B1C59"/>
    <w:rsid w:val="006B25C6"/>
    <w:rsid w:val="006B261B"/>
    <w:rsid w:val="006B2C90"/>
    <w:rsid w:val="006B35E6"/>
    <w:rsid w:val="006B4589"/>
    <w:rsid w:val="006B465A"/>
    <w:rsid w:val="006B4E7B"/>
    <w:rsid w:val="006B63E2"/>
    <w:rsid w:val="006B6DD0"/>
    <w:rsid w:val="006C010F"/>
    <w:rsid w:val="006C0399"/>
    <w:rsid w:val="006C241F"/>
    <w:rsid w:val="006C25D2"/>
    <w:rsid w:val="006C2A8E"/>
    <w:rsid w:val="006C2CD3"/>
    <w:rsid w:val="006C3255"/>
    <w:rsid w:val="006C3F26"/>
    <w:rsid w:val="006C41D0"/>
    <w:rsid w:val="006C4917"/>
    <w:rsid w:val="006C5CAB"/>
    <w:rsid w:val="006C5E4A"/>
    <w:rsid w:val="006D0D17"/>
    <w:rsid w:val="006D1A01"/>
    <w:rsid w:val="006D1DDA"/>
    <w:rsid w:val="006D2320"/>
    <w:rsid w:val="006D3C7D"/>
    <w:rsid w:val="006D4659"/>
    <w:rsid w:val="006D523F"/>
    <w:rsid w:val="006D5729"/>
    <w:rsid w:val="006D5D5F"/>
    <w:rsid w:val="006D68FB"/>
    <w:rsid w:val="006D6929"/>
    <w:rsid w:val="006D7C9A"/>
    <w:rsid w:val="006D7F5B"/>
    <w:rsid w:val="006E0E10"/>
    <w:rsid w:val="006E1353"/>
    <w:rsid w:val="006E21AE"/>
    <w:rsid w:val="006E2868"/>
    <w:rsid w:val="006E2A09"/>
    <w:rsid w:val="006E4640"/>
    <w:rsid w:val="006E4E06"/>
    <w:rsid w:val="006E5F66"/>
    <w:rsid w:val="006E6E6B"/>
    <w:rsid w:val="006F1631"/>
    <w:rsid w:val="006F2363"/>
    <w:rsid w:val="006F2AB7"/>
    <w:rsid w:val="006F306C"/>
    <w:rsid w:val="006F45A0"/>
    <w:rsid w:val="006F4706"/>
    <w:rsid w:val="006F471C"/>
    <w:rsid w:val="006F588A"/>
    <w:rsid w:val="006F5912"/>
    <w:rsid w:val="006F63A5"/>
    <w:rsid w:val="006F72B4"/>
    <w:rsid w:val="006F7BEC"/>
    <w:rsid w:val="00700651"/>
    <w:rsid w:val="0070142B"/>
    <w:rsid w:val="007017C5"/>
    <w:rsid w:val="00701B37"/>
    <w:rsid w:val="0070276E"/>
    <w:rsid w:val="00702F8F"/>
    <w:rsid w:val="0070307C"/>
    <w:rsid w:val="00705915"/>
    <w:rsid w:val="007079FC"/>
    <w:rsid w:val="00710A2A"/>
    <w:rsid w:val="00711110"/>
    <w:rsid w:val="00711696"/>
    <w:rsid w:val="00711A36"/>
    <w:rsid w:val="00711BD8"/>
    <w:rsid w:val="007126D1"/>
    <w:rsid w:val="00714C26"/>
    <w:rsid w:val="00714C6D"/>
    <w:rsid w:val="007151DC"/>
    <w:rsid w:val="0071529C"/>
    <w:rsid w:val="0071703B"/>
    <w:rsid w:val="007170DA"/>
    <w:rsid w:val="007172AD"/>
    <w:rsid w:val="00717A84"/>
    <w:rsid w:val="007203B9"/>
    <w:rsid w:val="00720801"/>
    <w:rsid w:val="0072250D"/>
    <w:rsid w:val="00722B1B"/>
    <w:rsid w:val="0072416F"/>
    <w:rsid w:val="0072487A"/>
    <w:rsid w:val="007266FF"/>
    <w:rsid w:val="00727C94"/>
    <w:rsid w:val="00730BE0"/>
    <w:rsid w:val="007317B9"/>
    <w:rsid w:val="00731B0A"/>
    <w:rsid w:val="00731EAE"/>
    <w:rsid w:val="007323AC"/>
    <w:rsid w:val="00732446"/>
    <w:rsid w:val="00733073"/>
    <w:rsid w:val="00733C61"/>
    <w:rsid w:val="00735033"/>
    <w:rsid w:val="00735328"/>
    <w:rsid w:val="00735531"/>
    <w:rsid w:val="0073685B"/>
    <w:rsid w:val="007368AF"/>
    <w:rsid w:val="00737E6E"/>
    <w:rsid w:val="007402A3"/>
    <w:rsid w:val="00740982"/>
    <w:rsid w:val="00740FBE"/>
    <w:rsid w:val="00741753"/>
    <w:rsid w:val="007433C6"/>
    <w:rsid w:val="00743BBC"/>
    <w:rsid w:val="00744397"/>
    <w:rsid w:val="0074442C"/>
    <w:rsid w:val="007449BF"/>
    <w:rsid w:val="0074535C"/>
    <w:rsid w:val="00745EEF"/>
    <w:rsid w:val="007469CF"/>
    <w:rsid w:val="00746BC0"/>
    <w:rsid w:val="00747220"/>
    <w:rsid w:val="007510B4"/>
    <w:rsid w:val="00752142"/>
    <w:rsid w:val="007523F9"/>
    <w:rsid w:val="00753175"/>
    <w:rsid w:val="0075357E"/>
    <w:rsid w:val="007566A9"/>
    <w:rsid w:val="007573E8"/>
    <w:rsid w:val="00760C4E"/>
    <w:rsid w:val="00760F9E"/>
    <w:rsid w:val="007621F2"/>
    <w:rsid w:val="007627BE"/>
    <w:rsid w:val="00762A8D"/>
    <w:rsid w:val="0076329E"/>
    <w:rsid w:val="007635BB"/>
    <w:rsid w:val="007636A9"/>
    <w:rsid w:val="007637FB"/>
    <w:rsid w:val="007639FE"/>
    <w:rsid w:val="007640F1"/>
    <w:rsid w:val="007648DF"/>
    <w:rsid w:val="00764F03"/>
    <w:rsid w:val="00765B1A"/>
    <w:rsid w:val="00765E72"/>
    <w:rsid w:val="0076627A"/>
    <w:rsid w:val="00766F44"/>
    <w:rsid w:val="00770638"/>
    <w:rsid w:val="00771507"/>
    <w:rsid w:val="0077308A"/>
    <w:rsid w:val="007742BD"/>
    <w:rsid w:val="00774448"/>
    <w:rsid w:val="00774DC0"/>
    <w:rsid w:val="007754E5"/>
    <w:rsid w:val="0077595A"/>
    <w:rsid w:val="00776CFB"/>
    <w:rsid w:val="00777335"/>
    <w:rsid w:val="007802AC"/>
    <w:rsid w:val="00781030"/>
    <w:rsid w:val="00781382"/>
    <w:rsid w:val="007821C1"/>
    <w:rsid w:val="007843F2"/>
    <w:rsid w:val="0078586D"/>
    <w:rsid w:val="007858C7"/>
    <w:rsid w:val="00785A9F"/>
    <w:rsid w:val="00786A89"/>
    <w:rsid w:val="007878C1"/>
    <w:rsid w:val="00787E0A"/>
    <w:rsid w:val="00790047"/>
    <w:rsid w:val="00790AA7"/>
    <w:rsid w:val="00791C99"/>
    <w:rsid w:val="007925DF"/>
    <w:rsid w:val="00795A47"/>
    <w:rsid w:val="00797056"/>
    <w:rsid w:val="007975DD"/>
    <w:rsid w:val="00797A97"/>
    <w:rsid w:val="007A012B"/>
    <w:rsid w:val="007A08AA"/>
    <w:rsid w:val="007A0A12"/>
    <w:rsid w:val="007A132D"/>
    <w:rsid w:val="007A1345"/>
    <w:rsid w:val="007A1AE4"/>
    <w:rsid w:val="007A2DDB"/>
    <w:rsid w:val="007A2F3E"/>
    <w:rsid w:val="007A3763"/>
    <w:rsid w:val="007A5B53"/>
    <w:rsid w:val="007A70BA"/>
    <w:rsid w:val="007A74F0"/>
    <w:rsid w:val="007B0D68"/>
    <w:rsid w:val="007B12A4"/>
    <w:rsid w:val="007B1AD5"/>
    <w:rsid w:val="007B20C9"/>
    <w:rsid w:val="007B251D"/>
    <w:rsid w:val="007B3106"/>
    <w:rsid w:val="007B3529"/>
    <w:rsid w:val="007B4F58"/>
    <w:rsid w:val="007B528D"/>
    <w:rsid w:val="007B5531"/>
    <w:rsid w:val="007B63CA"/>
    <w:rsid w:val="007B7700"/>
    <w:rsid w:val="007B77D1"/>
    <w:rsid w:val="007C07C7"/>
    <w:rsid w:val="007C0B73"/>
    <w:rsid w:val="007C1CD9"/>
    <w:rsid w:val="007C32EF"/>
    <w:rsid w:val="007C361D"/>
    <w:rsid w:val="007C3D01"/>
    <w:rsid w:val="007C4AE9"/>
    <w:rsid w:val="007C4B84"/>
    <w:rsid w:val="007C4C3B"/>
    <w:rsid w:val="007C5289"/>
    <w:rsid w:val="007C594B"/>
    <w:rsid w:val="007C608E"/>
    <w:rsid w:val="007C627F"/>
    <w:rsid w:val="007C70FF"/>
    <w:rsid w:val="007C7C25"/>
    <w:rsid w:val="007D004F"/>
    <w:rsid w:val="007D0B38"/>
    <w:rsid w:val="007D167D"/>
    <w:rsid w:val="007D38C6"/>
    <w:rsid w:val="007D3DA1"/>
    <w:rsid w:val="007D5440"/>
    <w:rsid w:val="007D556A"/>
    <w:rsid w:val="007D69EB"/>
    <w:rsid w:val="007D7B2B"/>
    <w:rsid w:val="007E128F"/>
    <w:rsid w:val="007E15D3"/>
    <w:rsid w:val="007E1CA5"/>
    <w:rsid w:val="007E1E9A"/>
    <w:rsid w:val="007E3D77"/>
    <w:rsid w:val="007E4282"/>
    <w:rsid w:val="007E4CA6"/>
    <w:rsid w:val="007E4F50"/>
    <w:rsid w:val="007E7F6D"/>
    <w:rsid w:val="007F09F8"/>
    <w:rsid w:val="007F1017"/>
    <w:rsid w:val="007F2B75"/>
    <w:rsid w:val="007F46F5"/>
    <w:rsid w:val="007F4A0D"/>
    <w:rsid w:val="007F4A3F"/>
    <w:rsid w:val="007F4A61"/>
    <w:rsid w:val="007F4F60"/>
    <w:rsid w:val="007F50B5"/>
    <w:rsid w:val="007F5255"/>
    <w:rsid w:val="007F56CC"/>
    <w:rsid w:val="007F5F32"/>
    <w:rsid w:val="007F61C2"/>
    <w:rsid w:val="007F71D7"/>
    <w:rsid w:val="007F74B0"/>
    <w:rsid w:val="008010C6"/>
    <w:rsid w:val="008039EB"/>
    <w:rsid w:val="00805142"/>
    <w:rsid w:val="00805294"/>
    <w:rsid w:val="00805FCE"/>
    <w:rsid w:val="008061AA"/>
    <w:rsid w:val="00806275"/>
    <w:rsid w:val="00806CCC"/>
    <w:rsid w:val="008071B4"/>
    <w:rsid w:val="00807A8B"/>
    <w:rsid w:val="00811383"/>
    <w:rsid w:val="00812149"/>
    <w:rsid w:val="00812CAC"/>
    <w:rsid w:val="00813F82"/>
    <w:rsid w:val="008150A9"/>
    <w:rsid w:val="00816361"/>
    <w:rsid w:val="008166EF"/>
    <w:rsid w:val="00816FEF"/>
    <w:rsid w:val="00820A8C"/>
    <w:rsid w:val="008215FB"/>
    <w:rsid w:val="00823174"/>
    <w:rsid w:val="00825751"/>
    <w:rsid w:val="00825D19"/>
    <w:rsid w:val="00825EBE"/>
    <w:rsid w:val="00826303"/>
    <w:rsid w:val="008264EB"/>
    <w:rsid w:val="0082794F"/>
    <w:rsid w:val="008317C6"/>
    <w:rsid w:val="008325C1"/>
    <w:rsid w:val="00832EA7"/>
    <w:rsid w:val="0083380C"/>
    <w:rsid w:val="00833B05"/>
    <w:rsid w:val="008347E7"/>
    <w:rsid w:val="008362B4"/>
    <w:rsid w:val="00837702"/>
    <w:rsid w:val="0084097C"/>
    <w:rsid w:val="00840CA2"/>
    <w:rsid w:val="0084374F"/>
    <w:rsid w:val="00844141"/>
    <w:rsid w:val="00844A22"/>
    <w:rsid w:val="00844D00"/>
    <w:rsid w:val="00847703"/>
    <w:rsid w:val="00847D9E"/>
    <w:rsid w:val="00847DF5"/>
    <w:rsid w:val="0085034F"/>
    <w:rsid w:val="008514FF"/>
    <w:rsid w:val="008526E9"/>
    <w:rsid w:val="0085309D"/>
    <w:rsid w:val="0085388E"/>
    <w:rsid w:val="00855A02"/>
    <w:rsid w:val="00856274"/>
    <w:rsid w:val="00856897"/>
    <w:rsid w:val="00856E9A"/>
    <w:rsid w:val="008575C8"/>
    <w:rsid w:val="008605C8"/>
    <w:rsid w:val="0086075D"/>
    <w:rsid w:val="0086179F"/>
    <w:rsid w:val="00862502"/>
    <w:rsid w:val="008626D8"/>
    <w:rsid w:val="00862CC1"/>
    <w:rsid w:val="00862E15"/>
    <w:rsid w:val="008636DF"/>
    <w:rsid w:val="0086397C"/>
    <w:rsid w:val="008640CD"/>
    <w:rsid w:val="0086458C"/>
    <w:rsid w:val="0086511D"/>
    <w:rsid w:val="00865952"/>
    <w:rsid w:val="008660D4"/>
    <w:rsid w:val="008677E6"/>
    <w:rsid w:val="00870050"/>
    <w:rsid w:val="00871FA9"/>
    <w:rsid w:val="00872383"/>
    <w:rsid w:val="008728E9"/>
    <w:rsid w:val="0087346B"/>
    <w:rsid w:val="0087389F"/>
    <w:rsid w:val="00875FB4"/>
    <w:rsid w:val="0087749B"/>
    <w:rsid w:val="00880C1D"/>
    <w:rsid w:val="00882874"/>
    <w:rsid w:val="00882CC4"/>
    <w:rsid w:val="00882E3C"/>
    <w:rsid w:val="00883787"/>
    <w:rsid w:val="0088439B"/>
    <w:rsid w:val="008855E4"/>
    <w:rsid w:val="00885846"/>
    <w:rsid w:val="00886CD2"/>
    <w:rsid w:val="0088710F"/>
    <w:rsid w:val="00891144"/>
    <w:rsid w:val="00891328"/>
    <w:rsid w:val="00891E6F"/>
    <w:rsid w:val="00891F52"/>
    <w:rsid w:val="0089275D"/>
    <w:rsid w:val="00892A36"/>
    <w:rsid w:val="00893239"/>
    <w:rsid w:val="00894489"/>
    <w:rsid w:val="00894D2D"/>
    <w:rsid w:val="008963A5"/>
    <w:rsid w:val="00896A90"/>
    <w:rsid w:val="00896D5D"/>
    <w:rsid w:val="00897BD0"/>
    <w:rsid w:val="008A04A7"/>
    <w:rsid w:val="008A23E7"/>
    <w:rsid w:val="008A2F4F"/>
    <w:rsid w:val="008A3274"/>
    <w:rsid w:val="008A3363"/>
    <w:rsid w:val="008A3371"/>
    <w:rsid w:val="008A3C3E"/>
    <w:rsid w:val="008A48D2"/>
    <w:rsid w:val="008A764A"/>
    <w:rsid w:val="008A76CC"/>
    <w:rsid w:val="008A7994"/>
    <w:rsid w:val="008A79DE"/>
    <w:rsid w:val="008B1757"/>
    <w:rsid w:val="008B26DA"/>
    <w:rsid w:val="008B4284"/>
    <w:rsid w:val="008B54BE"/>
    <w:rsid w:val="008B5BCC"/>
    <w:rsid w:val="008B774A"/>
    <w:rsid w:val="008B7992"/>
    <w:rsid w:val="008B7D7E"/>
    <w:rsid w:val="008C0251"/>
    <w:rsid w:val="008C1334"/>
    <w:rsid w:val="008C2052"/>
    <w:rsid w:val="008C5610"/>
    <w:rsid w:val="008C5739"/>
    <w:rsid w:val="008C7ECB"/>
    <w:rsid w:val="008D32F8"/>
    <w:rsid w:val="008D3A4A"/>
    <w:rsid w:val="008D3B86"/>
    <w:rsid w:val="008D3DF5"/>
    <w:rsid w:val="008D4755"/>
    <w:rsid w:val="008D4C3D"/>
    <w:rsid w:val="008D651C"/>
    <w:rsid w:val="008D743C"/>
    <w:rsid w:val="008E0D3C"/>
    <w:rsid w:val="008E1B9E"/>
    <w:rsid w:val="008E320C"/>
    <w:rsid w:val="008E343A"/>
    <w:rsid w:val="008E419A"/>
    <w:rsid w:val="008E4F9A"/>
    <w:rsid w:val="008E55AB"/>
    <w:rsid w:val="008E7ED9"/>
    <w:rsid w:val="008F0E37"/>
    <w:rsid w:val="008F120A"/>
    <w:rsid w:val="008F1B92"/>
    <w:rsid w:val="008F27E0"/>
    <w:rsid w:val="008F42E4"/>
    <w:rsid w:val="008F48EB"/>
    <w:rsid w:val="008F4F0B"/>
    <w:rsid w:val="008F5607"/>
    <w:rsid w:val="008F6CA4"/>
    <w:rsid w:val="00900064"/>
    <w:rsid w:val="00901D86"/>
    <w:rsid w:val="0090264E"/>
    <w:rsid w:val="009046C4"/>
    <w:rsid w:val="009053D9"/>
    <w:rsid w:val="00906013"/>
    <w:rsid w:val="009062A5"/>
    <w:rsid w:val="00910FA7"/>
    <w:rsid w:val="00911122"/>
    <w:rsid w:val="00911272"/>
    <w:rsid w:val="00912773"/>
    <w:rsid w:val="009135D6"/>
    <w:rsid w:val="00913AD1"/>
    <w:rsid w:val="00914B54"/>
    <w:rsid w:val="00914C77"/>
    <w:rsid w:val="00915CEC"/>
    <w:rsid w:val="00921ACB"/>
    <w:rsid w:val="00921ED6"/>
    <w:rsid w:val="00921FC8"/>
    <w:rsid w:val="00922385"/>
    <w:rsid w:val="0092369B"/>
    <w:rsid w:val="00923A74"/>
    <w:rsid w:val="00923FB1"/>
    <w:rsid w:val="0092497E"/>
    <w:rsid w:val="0092535E"/>
    <w:rsid w:val="0092683A"/>
    <w:rsid w:val="00932E34"/>
    <w:rsid w:val="00932E6E"/>
    <w:rsid w:val="009334FD"/>
    <w:rsid w:val="00933697"/>
    <w:rsid w:val="00933CFC"/>
    <w:rsid w:val="00934988"/>
    <w:rsid w:val="0093504F"/>
    <w:rsid w:val="0093550C"/>
    <w:rsid w:val="00936B9E"/>
    <w:rsid w:val="00937018"/>
    <w:rsid w:val="00937089"/>
    <w:rsid w:val="009379FF"/>
    <w:rsid w:val="00940992"/>
    <w:rsid w:val="009417F0"/>
    <w:rsid w:val="00943F8F"/>
    <w:rsid w:val="00944F8A"/>
    <w:rsid w:val="009451DD"/>
    <w:rsid w:val="00946322"/>
    <w:rsid w:val="009464FF"/>
    <w:rsid w:val="00950BFC"/>
    <w:rsid w:val="009510A2"/>
    <w:rsid w:val="00951537"/>
    <w:rsid w:val="00951CD2"/>
    <w:rsid w:val="00952152"/>
    <w:rsid w:val="00953257"/>
    <w:rsid w:val="0095332D"/>
    <w:rsid w:val="0095474C"/>
    <w:rsid w:val="00955CCC"/>
    <w:rsid w:val="00960705"/>
    <w:rsid w:val="00960718"/>
    <w:rsid w:val="00960FFD"/>
    <w:rsid w:val="00962305"/>
    <w:rsid w:val="00962CB9"/>
    <w:rsid w:val="00964312"/>
    <w:rsid w:val="00964746"/>
    <w:rsid w:val="009647E9"/>
    <w:rsid w:val="00965B8A"/>
    <w:rsid w:val="00967BF7"/>
    <w:rsid w:val="00970061"/>
    <w:rsid w:val="0097071F"/>
    <w:rsid w:val="009717AC"/>
    <w:rsid w:val="00974247"/>
    <w:rsid w:val="009742F5"/>
    <w:rsid w:val="009751C1"/>
    <w:rsid w:val="00976088"/>
    <w:rsid w:val="009763C9"/>
    <w:rsid w:val="00976D6D"/>
    <w:rsid w:val="0098014F"/>
    <w:rsid w:val="00980D5C"/>
    <w:rsid w:val="009811F1"/>
    <w:rsid w:val="009813A8"/>
    <w:rsid w:val="00981458"/>
    <w:rsid w:val="009814DA"/>
    <w:rsid w:val="00983E57"/>
    <w:rsid w:val="00985BA8"/>
    <w:rsid w:val="00985DE2"/>
    <w:rsid w:val="0098642F"/>
    <w:rsid w:val="0098675D"/>
    <w:rsid w:val="00991011"/>
    <w:rsid w:val="00992226"/>
    <w:rsid w:val="009926E0"/>
    <w:rsid w:val="00992ABC"/>
    <w:rsid w:val="00992D76"/>
    <w:rsid w:val="00994424"/>
    <w:rsid w:val="0099451E"/>
    <w:rsid w:val="0099527A"/>
    <w:rsid w:val="00996A53"/>
    <w:rsid w:val="00996B1A"/>
    <w:rsid w:val="009976E6"/>
    <w:rsid w:val="00997801"/>
    <w:rsid w:val="009A0C44"/>
    <w:rsid w:val="009A0FEF"/>
    <w:rsid w:val="009A1170"/>
    <w:rsid w:val="009A26E1"/>
    <w:rsid w:val="009A2BD5"/>
    <w:rsid w:val="009A2DCC"/>
    <w:rsid w:val="009A3787"/>
    <w:rsid w:val="009A406D"/>
    <w:rsid w:val="009A5ABC"/>
    <w:rsid w:val="009A6A60"/>
    <w:rsid w:val="009A7F10"/>
    <w:rsid w:val="009B010B"/>
    <w:rsid w:val="009B0567"/>
    <w:rsid w:val="009B3010"/>
    <w:rsid w:val="009B3E26"/>
    <w:rsid w:val="009B494F"/>
    <w:rsid w:val="009B5718"/>
    <w:rsid w:val="009B5818"/>
    <w:rsid w:val="009C060E"/>
    <w:rsid w:val="009C0752"/>
    <w:rsid w:val="009C3706"/>
    <w:rsid w:val="009C3A3A"/>
    <w:rsid w:val="009C5A85"/>
    <w:rsid w:val="009C6CEA"/>
    <w:rsid w:val="009C7B85"/>
    <w:rsid w:val="009D0254"/>
    <w:rsid w:val="009D0C0E"/>
    <w:rsid w:val="009D1A64"/>
    <w:rsid w:val="009D3027"/>
    <w:rsid w:val="009D3F3E"/>
    <w:rsid w:val="009D42E1"/>
    <w:rsid w:val="009D44C8"/>
    <w:rsid w:val="009D4E47"/>
    <w:rsid w:val="009D5B91"/>
    <w:rsid w:val="009D5FE2"/>
    <w:rsid w:val="009D6230"/>
    <w:rsid w:val="009D640A"/>
    <w:rsid w:val="009D6894"/>
    <w:rsid w:val="009D792E"/>
    <w:rsid w:val="009E0915"/>
    <w:rsid w:val="009E0DFE"/>
    <w:rsid w:val="009E1943"/>
    <w:rsid w:val="009E20B3"/>
    <w:rsid w:val="009E31F6"/>
    <w:rsid w:val="009E3B69"/>
    <w:rsid w:val="009E4C07"/>
    <w:rsid w:val="009E54B7"/>
    <w:rsid w:val="009F01F1"/>
    <w:rsid w:val="009F06A9"/>
    <w:rsid w:val="009F0C6E"/>
    <w:rsid w:val="009F2206"/>
    <w:rsid w:val="009F3677"/>
    <w:rsid w:val="009F4403"/>
    <w:rsid w:val="009F4E11"/>
    <w:rsid w:val="009F4F46"/>
    <w:rsid w:val="009F5595"/>
    <w:rsid w:val="009F6013"/>
    <w:rsid w:val="009F7176"/>
    <w:rsid w:val="009F728C"/>
    <w:rsid w:val="009F7F4F"/>
    <w:rsid w:val="00A0064F"/>
    <w:rsid w:val="00A01184"/>
    <w:rsid w:val="00A01ABD"/>
    <w:rsid w:val="00A01F34"/>
    <w:rsid w:val="00A02D82"/>
    <w:rsid w:val="00A0324B"/>
    <w:rsid w:val="00A035AE"/>
    <w:rsid w:val="00A03634"/>
    <w:rsid w:val="00A036EA"/>
    <w:rsid w:val="00A037C2"/>
    <w:rsid w:val="00A03D43"/>
    <w:rsid w:val="00A04380"/>
    <w:rsid w:val="00A05472"/>
    <w:rsid w:val="00A05C32"/>
    <w:rsid w:val="00A05D40"/>
    <w:rsid w:val="00A0653F"/>
    <w:rsid w:val="00A0742A"/>
    <w:rsid w:val="00A07808"/>
    <w:rsid w:val="00A11CD0"/>
    <w:rsid w:val="00A13048"/>
    <w:rsid w:val="00A137BF"/>
    <w:rsid w:val="00A13948"/>
    <w:rsid w:val="00A14DC6"/>
    <w:rsid w:val="00A1555B"/>
    <w:rsid w:val="00A155C5"/>
    <w:rsid w:val="00A1616F"/>
    <w:rsid w:val="00A16AD8"/>
    <w:rsid w:val="00A203CF"/>
    <w:rsid w:val="00A20EDD"/>
    <w:rsid w:val="00A21C95"/>
    <w:rsid w:val="00A21CF3"/>
    <w:rsid w:val="00A22F24"/>
    <w:rsid w:val="00A23DFF"/>
    <w:rsid w:val="00A24813"/>
    <w:rsid w:val="00A25F78"/>
    <w:rsid w:val="00A263B6"/>
    <w:rsid w:val="00A27AEC"/>
    <w:rsid w:val="00A30836"/>
    <w:rsid w:val="00A31809"/>
    <w:rsid w:val="00A320DB"/>
    <w:rsid w:val="00A32219"/>
    <w:rsid w:val="00A32B6E"/>
    <w:rsid w:val="00A33D46"/>
    <w:rsid w:val="00A34623"/>
    <w:rsid w:val="00A35D16"/>
    <w:rsid w:val="00A36605"/>
    <w:rsid w:val="00A37272"/>
    <w:rsid w:val="00A37BCD"/>
    <w:rsid w:val="00A41689"/>
    <w:rsid w:val="00A42592"/>
    <w:rsid w:val="00A42E76"/>
    <w:rsid w:val="00A43C59"/>
    <w:rsid w:val="00A450FA"/>
    <w:rsid w:val="00A459DF"/>
    <w:rsid w:val="00A5008F"/>
    <w:rsid w:val="00A507BD"/>
    <w:rsid w:val="00A50ECD"/>
    <w:rsid w:val="00A5184C"/>
    <w:rsid w:val="00A518F3"/>
    <w:rsid w:val="00A525BA"/>
    <w:rsid w:val="00A52729"/>
    <w:rsid w:val="00A53019"/>
    <w:rsid w:val="00A53675"/>
    <w:rsid w:val="00A53E0F"/>
    <w:rsid w:val="00A53E8E"/>
    <w:rsid w:val="00A55E80"/>
    <w:rsid w:val="00A55F9D"/>
    <w:rsid w:val="00A564A0"/>
    <w:rsid w:val="00A564D7"/>
    <w:rsid w:val="00A56B6A"/>
    <w:rsid w:val="00A56E1C"/>
    <w:rsid w:val="00A5778C"/>
    <w:rsid w:val="00A578DC"/>
    <w:rsid w:val="00A60B00"/>
    <w:rsid w:val="00A60EBE"/>
    <w:rsid w:val="00A62C75"/>
    <w:rsid w:val="00A63238"/>
    <w:rsid w:val="00A640E2"/>
    <w:rsid w:val="00A64598"/>
    <w:rsid w:val="00A64BD6"/>
    <w:rsid w:val="00A64D65"/>
    <w:rsid w:val="00A652BF"/>
    <w:rsid w:val="00A65F2B"/>
    <w:rsid w:val="00A65F51"/>
    <w:rsid w:val="00A6679B"/>
    <w:rsid w:val="00A66C9E"/>
    <w:rsid w:val="00A67182"/>
    <w:rsid w:val="00A6725B"/>
    <w:rsid w:val="00A676A0"/>
    <w:rsid w:val="00A70605"/>
    <w:rsid w:val="00A70EB4"/>
    <w:rsid w:val="00A7156D"/>
    <w:rsid w:val="00A71A06"/>
    <w:rsid w:val="00A71A68"/>
    <w:rsid w:val="00A72533"/>
    <w:rsid w:val="00A73134"/>
    <w:rsid w:val="00A731A5"/>
    <w:rsid w:val="00A736C3"/>
    <w:rsid w:val="00A747BA"/>
    <w:rsid w:val="00A74973"/>
    <w:rsid w:val="00A75BA7"/>
    <w:rsid w:val="00A76001"/>
    <w:rsid w:val="00A76EE4"/>
    <w:rsid w:val="00A7704E"/>
    <w:rsid w:val="00A77524"/>
    <w:rsid w:val="00A7776F"/>
    <w:rsid w:val="00A777B2"/>
    <w:rsid w:val="00A81DD3"/>
    <w:rsid w:val="00A81EEB"/>
    <w:rsid w:val="00A825D4"/>
    <w:rsid w:val="00A828F6"/>
    <w:rsid w:val="00A82B73"/>
    <w:rsid w:val="00A841A0"/>
    <w:rsid w:val="00A86E8B"/>
    <w:rsid w:val="00A87023"/>
    <w:rsid w:val="00A87164"/>
    <w:rsid w:val="00A87F4D"/>
    <w:rsid w:val="00A91E31"/>
    <w:rsid w:val="00A925EA"/>
    <w:rsid w:val="00A92602"/>
    <w:rsid w:val="00A927A1"/>
    <w:rsid w:val="00A92E21"/>
    <w:rsid w:val="00A93072"/>
    <w:rsid w:val="00A93462"/>
    <w:rsid w:val="00A938BD"/>
    <w:rsid w:val="00A93953"/>
    <w:rsid w:val="00A93C39"/>
    <w:rsid w:val="00A942E2"/>
    <w:rsid w:val="00A95242"/>
    <w:rsid w:val="00A959D8"/>
    <w:rsid w:val="00A96E58"/>
    <w:rsid w:val="00A9742F"/>
    <w:rsid w:val="00A978A9"/>
    <w:rsid w:val="00AA00A6"/>
    <w:rsid w:val="00AA0487"/>
    <w:rsid w:val="00AA0DA7"/>
    <w:rsid w:val="00AA113D"/>
    <w:rsid w:val="00AA1F16"/>
    <w:rsid w:val="00AA21AC"/>
    <w:rsid w:val="00AA2245"/>
    <w:rsid w:val="00AA2C66"/>
    <w:rsid w:val="00AA3064"/>
    <w:rsid w:val="00AA3A1B"/>
    <w:rsid w:val="00AA4146"/>
    <w:rsid w:val="00AA6BD5"/>
    <w:rsid w:val="00AA6BD8"/>
    <w:rsid w:val="00AA6C7D"/>
    <w:rsid w:val="00AA6CE8"/>
    <w:rsid w:val="00AA7D46"/>
    <w:rsid w:val="00AA7FD6"/>
    <w:rsid w:val="00AB0314"/>
    <w:rsid w:val="00AB042A"/>
    <w:rsid w:val="00AB089C"/>
    <w:rsid w:val="00AB0A26"/>
    <w:rsid w:val="00AB0D63"/>
    <w:rsid w:val="00AB19EF"/>
    <w:rsid w:val="00AB2881"/>
    <w:rsid w:val="00AB2D34"/>
    <w:rsid w:val="00AB3430"/>
    <w:rsid w:val="00AB350D"/>
    <w:rsid w:val="00AB37B9"/>
    <w:rsid w:val="00AB3ABE"/>
    <w:rsid w:val="00AB4421"/>
    <w:rsid w:val="00AB476B"/>
    <w:rsid w:val="00AB4AD1"/>
    <w:rsid w:val="00AB5D1D"/>
    <w:rsid w:val="00AB5E07"/>
    <w:rsid w:val="00AB64E3"/>
    <w:rsid w:val="00AB7CFA"/>
    <w:rsid w:val="00AC0484"/>
    <w:rsid w:val="00AC13D2"/>
    <w:rsid w:val="00AC5B48"/>
    <w:rsid w:val="00AC5FC0"/>
    <w:rsid w:val="00AC68A2"/>
    <w:rsid w:val="00AD0DC0"/>
    <w:rsid w:val="00AD1232"/>
    <w:rsid w:val="00AD1450"/>
    <w:rsid w:val="00AD1631"/>
    <w:rsid w:val="00AD2373"/>
    <w:rsid w:val="00AD41D5"/>
    <w:rsid w:val="00AD435C"/>
    <w:rsid w:val="00AD4A37"/>
    <w:rsid w:val="00AD6502"/>
    <w:rsid w:val="00AD6788"/>
    <w:rsid w:val="00AD67EB"/>
    <w:rsid w:val="00AD7266"/>
    <w:rsid w:val="00AE0695"/>
    <w:rsid w:val="00AE0C2A"/>
    <w:rsid w:val="00AE2CB1"/>
    <w:rsid w:val="00AE3E7E"/>
    <w:rsid w:val="00AE47AB"/>
    <w:rsid w:val="00AE5471"/>
    <w:rsid w:val="00AE7D1D"/>
    <w:rsid w:val="00AF023D"/>
    <w:rsid w:val="00AF0C97"/>
    <w:rsid w:val="00AF1315"/>
    <w:rsid w:val="00AF19BF"/>
    <w:rsid w:val="00AF1F96"/>
    <w:rsid w:val="00AF28A5"/>
    <w:rsid w:val="00AF291C"/>
    <w:rsid w:val="00AF2DC3"/>
    <w:rsid w:val="00AF2DF4"/>
    <w:rsid w:val="00AF64C9"/>
    <w:rsid w:val="00AF6C19"/>
    <w:rsid w:val="00AF7A90"/>
    <w:rsid w:val="00B00B7A"/>
    <w:rsid w:val="00B0142D"/>
    <w:rsid w:val="00B017EF"/>
    <w:rsid w:val="00B02FB0"/>
    <w:rsid w:val="00B033E5"/>
    <w:rsid w:val="00B03A63"/>
    <w:rsid w:val="00B03E7F"/>
    <w:rsid w:val="00B046EA"/>
    <w:rsid w:val="00B04BF7"/>
    <w:rsid w:val="00B05EBA"/>
    <w:rsid w:val="00B065C5"/>
    <w:rsid w:val="00B069E9"/>
    <w:rsid w:val="00B07755"/>
    <w:rsid w:val="00B10CB5"/>
    <w:rsid w:val="00B10D45"/>
    <w:rsid w:val="00B10D5C"/>
    <w:rsid w:val="00B11F56"/>
    <w:rsid w:val="00B12FEA"/>
    <w:rsid w:val="00B14DEB"/>
    <w:rsid w:val="00B155DD"/>
    <w:rsid w:val="00B17EBB"/>
    <w:rsid w:val="00B201A4"/>
    <w:rsid w:val="00B201D1"/>
    <w:rsid w:val="00B207C3"/>
    <w:rsid w:val="00B213A6"/>
    <w:rsid w:val="00B224DD"/>
    <w:rsid w:val="00B2304D"/>
    <w:rsid w:val="00B235B0"/>
    <w:rsid w:val="00B2433A"/>
    <w:rsid w:val="00B24DF6"/>
    <w:rsid w:val="00B2600C"/>
    <w:rsid w:val="00B278FD"/>
    <w:rsid w:val="00B30FC4"/>
    <w:rsid w:val="00B31A9B"/>
    <w:rsid w:val="00B31E6E"/>
    <w:rsid w:val="00B31F31"/>
    <w:rsid w:val="00B34135"/>
    <w:rsid w:val="00B343CD"/>
    <w:rsid w:val="00B34EC8"/>
    <w:rsid w:val="00B34FE2"/>
    <w:rsid w:val="00B35166"/>
    <w:rsid w:val="00B357D8"/>
    <w:rsid w:val="00B360F4"/>
    <w:rsid w:val="00B36A00"/>
    <w:rsid w:val="00B37A39"/>
    <w:rsid w:val="00B37BFC"/>
    <w:rsid w:val="00B4034C"/>
    <w:rsid w:val="00B40358"/>
    <w:rsid w:val="00B41614"/>
    <w:rsid w:val="00B42851"/>
    <w:rsid w:val="00B42F80"/>
    <w:rsid w:val="00B4359F"/>
    <w:rsid w:val="00B435CB"/>
    <w:rsid w:val="00B4726C"/>
    <w:rsid w:val="00B505C8"/>
    <w:rsid w:val="00B50A49"/>
    <w:rsid w:val="00B50DB8"/>
    <w:rsid w:val="00B51425"/>
    <w:rsid w:val="00B53188"/>
    <w:rsid w:val="00B53654"/>
    <w:rsid w:val="00B53905"/>
    <w:rsid w:val="00B54B5B"/>
    <w:rsid w:val="00B5562E"/>
    <w:rsid w:val="00B55D65"/>
    <w:rsid w:val="00B56B56"/>
    <w:rsid w:val="00B57000"/>
    <w:rsid w:val="00B572FD"/>
    <w:rsid w:val="00B5778E"/>
    <w:rsid w:val="00B60939"/>
    <w:rsid w:val="00B60AFD"/>
    <w:rsid w:val="00B610E5"/>
    <w:rsid w:val="00B62715"/>
    <w:rsid w:val="00B63A7E"/>
    <w:rsid w:val="00B6537F"/>
    <w:rsid w:val="00B65611"/>
    <w:rsid w:val="00B66A6D"/>
    <w:rsid w:val="00B674A3"/>
    <w:rsid w:val="00B67DA1"/>
    <w:rsid w:val="00B67DF8"/>
    <w:rsid w:val="00B70E8E"/>
    <w:rsid w:val="00B7251F"/>
    <w:rsid w:val="00B73A37"/>
    <w:rsid w:val="00B73E00"/>
    <w:rsid w:val="00B74EBC"/>
    <w:rsid w:val="00B76114"/>
    <w:rsid w:val="00B76B75"/>
    <w:rsid w:val="00B76C92"/>
    <w:rsid w:val="00B772CF"/>
    <w:rsid w:val="00B80445"/>
    <w:rsid w:val="00B80793"/>
    <w:rsid w:val="00B80FAC"/>
    <w:rsid w:val="00B818A4"/>
    <w:rsid w:val="00B825A3"/>
    <w:rsid w:val="00B82973"/>
    <w:rsid w:val="00B8345F"/>
    <w:rsid w:val="00B84117"/>
    <w:rsid w:val="00B844E2"/>
    <w:rsid w:val="00B84558"/>
    <w:rsid w:val="00B84920"/>
    <w:rsid w:val="00B856E6"/>
    <w:rsid w:val="00B858BA"/>
    <w:rsid w:val="00B858F0"/>
    <w:rsid w:val="00B85AA2"/>
    <w:rsid w:val="00B85DA2"/>
    <w:rsid w:val="00B862DA"/>
    <w:rsid w:val="00B8649C"/>
    <w:rsid w:val="00B867EB"/>
    <w:rsid w:val="00B8695D"/>
    <w:rsid w:val="00B87F0A"/>
    <w:rsid w:val="00B92D0B"/>
    <w:rsid w:val="00B94945"/>
    <w:rsid w:val="00B94A5A"/>
    <w:rsid w:val="00B94B02"/>
    <w:rsid w:val="00B94B16"/>
    <w:rsid w:val="00B94C7C"/>
    <w:rsid w:val="00B94DD6"/>
    <w:rsid w:val="00B95E27"/>
    <w:rsid w:val="00B963AA"/>
    <w:rsid w:val="00B96C82"/>
    <w:rsid w:val="00BA0E85"/>
    <w:rsid w:val="00BA18E9"/>
    <w:rsid w:val="00BA1DA4"/>
    <w:rsid w:val="00BA261A"/>
    <w:rsid w:val="00BA296D"/>
    <w:rsid w:val="00BA322D"/>
    <w:rsid w:val="00BA3294"/>
    <w:rsid w:val="00BA42B7"/>
    <w:rsid w:val="00BA5403"/>
    <w:rsid w:val="00BA5405"/>
    <w:rsid w:val="00BA5C4F"/>
    <w:rsid w:val="00BA6289"/>
    <w:rsid w:val="00BA63B7"/>
    <w:rsid w:val="00BA63FA"/>
    <w:rsid w:val="00BA6DD8"/>
    <w:rsid w:val="00BA7973"/>
    <w:rsid w:val="00BB00B3"/>
    <w:rsid w:val="00BB0BDD"/>
    <w:rsid w:val="00BB14A7"/>
    <w:rsid w:val="00BB176C"/>
    <w:rsid w:val="00BB2A73"/>
    <w:rsid w:val="00BB3A45"/>
    <w:rsid w:val="00BB4ACC"/>
    <w:rsid w:val="00BB535C"/>
    <w:rsid w:val="00BB703E"/>
    <w:rsid w:val="00BB732D"/>
    <w:rsid w:val="00BB7405"/>
    <w:rsid w:val="00BC1D35"/>
    <w:rsid w:val="00BC20D2"/>
    <w:rsid w:val="00BC3631"/>
    <w:rsid w:val="00BC4C4E"/>
    <w:rsid w:val="00BC591F"/>
    <w:rsid w:val="00BC6455"/>
    <w:rsid w:val="00BC744F"/>
    <w:rsid w:val="00BC7D6D"/>
    <w:rsid w:val="00BD2108"/>
    <w:rsid w:val="00BD3094"/>
    <w:rsid w:val="00BD31A2"/>
    <w:rsid w:val="00BD4312"/>
    <w:rsid w:val="00BD55A7"/>
    <w:rsid w:val="00BD583F"/>
    <w:rsid w:val="00BD5AFD"/>
    <w:rsid w:val="00BD62EC"/>
    <w:rsid w:val="00BD66C3"/>
    <w:rsid w:val="00BD687E"/>
    <w:rsid w:val="00BD68A3"/>
    <w:rsid w:val="00BD6938"/>
    <w:rsid w:val="00BD69E9"/>
    <w:rsid w:val="00BD6CF3"/>
    <w:rsid w:val="00BE0ECA"/>
    <w:rsid w:val="00BE144A"/>
    <w:rsid w:val="00BE1854"/>
    <w:rsid w:val="00BE20FD"/>
    <w:rsid w:val="00BE2180"/>
    <w:rsid w:val="00BE21F2"/>
    <w:rsid w:val="00BE2359"/>
    <w:rsid w:val="00BE349F"/>
    <w:rsid w:val="00BE4275"/>
    <w:rsid w:val="00BE5603"/>
    <w:rsid w:val="00BE6B6E"/>
    <w:rsid w:val="00BE7479"/>
    <w:rsid w:val="00BE7976"/>
    <w:rsid w:val="00BF06AE"/>
    <w:rsid w:val="00BF0F32"/>
    <w:rsid w:val="00BF0F95"/>
    <w:rsid w:val="00BF158A"/>
    <w:rsid w:val="00BF188D"/>
    <w:rsid w:val="00BF1902"/>
    <w:rsid w:val="00BF2433"/>
    <w:rsid w:val="00BF3401"/>
    <w:rsid w:val="00BF3DBF"/>
    <w:rsid w:val="00BF5557"/>
    <w:rsid w:val="00BF5CB7"/>
    <w:rsid w:val="00BF5F8F"/>
    <w:rsid w:val="00BF61C9"/>
    <w:rsid w:val="00BF67B2"/>
    <w:rsid w:val="00BF6804"/>
    <w:rsid w:val="00BF6C94"/>
    <w:rsid w:val="00C00424"/>
    <w:rsid w:val="00C00F9A"/>
    <w:rsid w:val="00C01A02"/>
    <w:rsid w:val="00C04110"/>
    <w:rsid w:val="00C044D9"/>
    <w:rsid w:val="00C071B6"/>
    <w:rsid w:val="00C07259"/>
    <w:rsid w:val="00C0798A"/>
    <w:rsid w:val="00C11330"/>
    <w:rsid w:val="00C1179F"/>
    <w:rsid w:val="00C11C15"/>
    <w:rsid w:val="00C1223F"/>
    <w:rsid w:val="00C12C14"/>
    <w:rsid w:val="00C14BAB"/>
    <w:rsid w:val="00C14DCB"/>
    <w:rsid w:val="00C15F04"/>
    <w:rsid w:val="00C1614E"/>
    <w:rsid w:val="00C1630B"/>
    <w:rsid w:val="00C16E86"/>
    <w:rsid w:val="00C1755E"/>
    <w:rsid w:val="00C179B3"/>
    <w:rsid w:val="00C17E3F"/>
    <w:rsid w:val="00C200AA"/>
    <w:rsid w:val="00C21E32"/>
    <w:rsid w:val="00C22079"/>
    <w:rsid w:val="00C237ED"/>
    <w:rsid w:val="00C24419"/>
    <w:rsid w:val="00C24632"/>
    <w:rsid w:val="00C25418"/>
    <w:rsid w:val="00C25D9C"/>
    <w:rsid w:val="00C2778B"/>
    <w:rsid w:val="00C30C97"/>
    <w:rsid w:val="00C30E84"/>
    <w:rsid w:val="00C3118A"/>
    <w:rsid w:val="00C31649"/>
    <w:rsid w:val="00C3227B"/>
    <w:rsid w:val="00C33AA9"/>
    <w:rsid w:val="00C3434C"/>
    <w:rsid w:val="00C370F0"/>
    <w:rsid w:val="00C374A4"/>
    <w:rsid w:val="00C3766C"/>
    <w:rsid w:val="00C40385"/>
    <w:rsid w:val="00C40455"/>
    <w:rsid w:val="00C4070F"/>
    <w:rsid w:val="00C41768"/>
    <w:rsid w:val="00C424D3"/>
    <w:rsid w:val="00C43431"/>
    <w:rsid w:val="00C448C6"/>
    <w:rsid w:val="00C4523E"/>
    <w:rsid w:val="00C45D69"/>
    <w:rsid w:val="00C475AA"/>
    <w:rsid w:val="00C47AE3"/>
    <w:rsid w:val="00C47FB4"/>
    <w:rsid w:val="00C50642"/>
    <w:rsid w:val="00C51AAB"/>
    <w:rsid w:val="00C527EB"/>
    <w:rsid w:val="00C52B6E"/>
    <w:rsid w:val="00C52C8C"/>
    <w:rsid w:val="00C538B4"/>
    <w:rsid w:val="00C53C98"/>
    <w:rsid w:val="00C543AE"/>
    <w:rsid w:val="00C54D37"/>
    <w:rsid w:val="00C55312"/>
    <w:rsid w:val="00C554FA"/>
    <w:rsid w:val="00C557C7"/>
    <w:rsid w:val="00C55B73"/>
    <w:rsid w:val="00C55C33"/>
    <w:rsid w:val="00C56FCF"/>
    <w:rsid w:val="00C57B6C"/>
    <w:rsid w:val="00C628A6"/>
    <w:rsid w:val="00C64344"/>
    <w:rsid w:val="00C65108"/>
    <w:rsid w:val="00C65576"/>
    <w:rsid w:val="00C66165"/>
    <w:rsid w:val="00C7060A"/>
    <w:rsid w:val="00C71494"/>
    <w:rsid w:val="00C7151A"/>
    <w:rsid w:val="00C716A0"/>
    <w:rsid w:val="00C717E3"/>
    <w:rsid w:val="00C71F0B"/>
    <w:rsid w:val="00C71F60"/>
    <w:rsid w:val="00C72241"/>
    <w:rsid w:val="00C74059"/>
    <w:rsid w:val="00C74573"/>
    <w:rsid w:val="00C74B00"/>
    <w:rsid w:val="00C750C8"/>
    <w:rsid w:val="00C7560F"/>
    <w:rsid w:val="00C75750"/>
    <w:rsid w:val="00C80A0E"/>
    <w:rsid w:val="00C81FF6"/>
    <w:rsid w:val="00C8213F"/>
    <w:rsid w:val="00C83489"/>
    <w:rsid w:val="00C85154"/>
    <w:rsid w:val="00C86322"/>
    <w:rsid w:val="00C867DB"/>
    <w:rsid w:val="00C86875"/>
    <w:rsid w:val="00C8797A"/>
    <w:rsid w:val="00C900B8"/>
    <w:rsid w:val="00C90C71"/>
    <w:rsid w:val="00C91A69"/>
    <w:rsid w:val="00C91FD1"/>
    <w:rsid w:val="00C92105"/>
    <w:rsid w:val="00C92E22"/>
    <w:rsid w:val="00C931CF"/>
    <w:rsid w:val="00C9363F"/>
    <w:rsid w:val="00C93762"/>
    <w:rsid w:val="00C938CF"/>
    <w:rsid w:val="00C94053"/>
    <w:rsid w:val="00C9538D"/>
    <w:rsid w:val="00C954C4"/>
    <w:rsid w:val="00C9624D"/>
    <w:rsid w:val="00C969DA"/>
    <w:rsid w:val="00C976F4"/>
    <w:rsid w:val="00CA0420"/>
    <w:rsid w:val="00CA0961"/>
    <w:rsid w:val="00CA11FE"/>
    <w:rsid w:val="00CA1BDB"/>
    <w:rsid w:val="00CA254C"/>
    <w:rsid w:val="00CA2716"/>
    <w:rsid w:val="00CA2C77"/>
    <w:rsid w:val="00CA444F"/>
    <w:rsid w:val="00CA5245"/>
    <w:rsid w:val="00CA55C4"/>
    <w:rsid w:val="00CA71F4"/>
    <w:rsid w:val="00CA7B09"/>
    <w:rsid w:val="00CB0FA7"/>
    <w:rsid w:val="00CB12A5"/>
    <w:rsid w:val="00CB1CAC"/>
    <w:rsid w:val="00CB2163"/>
    <w:rsid w:val="00CB2F2A"/>
    <w:rsid w:val="00CB5B1A"/>
    <w:rsid w:val="00CB62D9"/>
    <w:rsid w:val="00CB6B22"/>
    <w:rsid w:val="00CB755E"/>
    <w:rsid w:val="00CB791D"/>
    <w:rsid w:val="00CB7D17"/>
    <w:rsid w:val="00CB7F5F"/>
    <w:rsid w:val="00CC1B39"/>
    <w:rsid w:val="00CC278E"/>
    <w:rsid w:val="00CC3557"/>
    <w:rsid w:val="00CC35EA"/>
    <w:rsid w:val="00CC3848"/>
    <w:rsid w:val="00CC40C4"/>
    <w:rsid w:val="00CC5551"/>
    <w:rsid w:val="00CC5956"/>
    <w:rsid w:val="00CC59D0"/>
    <w:rsid w:val="00CD0FC5"/>
    <w:rsid w:val="00CD2D84"/>
    <w:rsid w:val="00CD336C"/>
    <w:rsid w:val="00CD3F77"/>
    <w:rsid w:val="00CD4E00"/>
    <w:rsid w:val="00CD569F"/>
    <w:rsid w:val="00CD600C"/>
    <w:rsid w:val="00CD6ADC"/>
    <w:rsid w:val="00CD6EFA"/>
    <w:rsid w:val="00CD7193"/>
    <w:rsid w:val="00CD7E49"/>
    <w:rsid w:val="00CE07B9"/>
    <w:rsid w:val="00CE1314"/>
    <w:rsid w:val="00CE38C8"/>
    <w:rsid w:val="00CE43AB"/>
    <w:rsid w:val="00CE5A7F"/>
    <w:rsid w:val="00CE6274"/>
    <w:rsid w:val="00CE67A4"/>
    <w:rsid w:val="00CE77B6"/>
    <w:rsid w:val="00CF0CD2"/>
    <w:rsid w:val="00CF2302"/>
    <w:rsid w:val="00CF2B8D"/>
    <w:rsid w:val="00CF456B"/>
    <w:rsid w:val="00CF541F"/>
    <w:rsid w:val="00CF5A22"/>
    <w:rsid w:val="00D00004"/>
    <w:rsid w:val="00D015BC"/>
    <w:rsid w:val="00D0262E"/>
    <w:rsid w:val="00D03054"/>
    <w:rsid w:val="00D03357"/>
    <w:rsid w:val="00D038D5"/>
    <w:rsid w:val="00D03D4E"/>
    <w:rsid w:val="00D05E3D"/>
    <w:rsid w:val="00D05EAE"/>
    <w:rsid w:val="00D06139"/>
    <w:rsid w:val="00D110BD"/>
    <w:rsid w:val="00D12413"/>
    <w:rsid w:val="00D13675"/>
    <w:rsid w:val="00D139F6"/>
    <w:rsid w:val="00D141E1"/>
    <w:rsid w:val="00D14D31"/>
    <w:rsid w:val="00D15314"/>
    <w:rsid w:val="00D172DD"/>
    <w:rsid w:val="00D175F5"/>
    <w:rsid w:val="00D17D6C"/>
    <w:rsid w:val="00D20707"/>
    <w:rsid w:val="00D20973"/>
    <w:rsid w:val="00D2155B"/>
    <w:rsid w:val="00D21CE6"/>
    <w:rsid w:val="00D23D11"/>
    <w:rsid w:val="00D24085"/>
    <w:rsid w:val="00D244B6"/>
    <w:rsid w:val="00D24674"/>
    <w:rsid w:val="00D2754D"/>
    <w:rsid w:val="00D27B27"/>
    <w:rsid w:val="00D30161"/>
    <w:rsid w:val="00D30983"/>
    <w:rsid w:val="00D3161C"/>
    <w:rsid w:val="00D31E6E"/>
    <w:rsid w:val="00D32F53"/>
    <w:rsid w:val="00D32F83"/>
    <w:rsid w:val="00D3378A"/>
    <w:rsid w:val="00D33BE9"/>
    <w:rsid w:val="00D33C9D"/>
    <w:rsid w:val="00D33F93"/>
    <w:rsid w:val="00D344D5"/>
    <w:rsid w:val="00D34850"/>
    <w:rsid w:val="00D35678"/>
    <w:rsid w:val="00D357FF"/>
    <w:rsid w:val="00D40E95"/>
    <w:rsid w:val="00D41059"/>
    <w:rsid w:val="00D424C7"/>
    <w:rsid w:val="00D4381C"/>
    <w:rsid w:val="00D43B2A"/>
    <w:rsid w:val="00D43D83"/>
    <w:rsid w:val="00D44884"/>
    <w:rsid w:val="00D4491F"/>
    <w:rsid w:val="00D47575"/>
    <w:rsid w:val="00D475DA"/>
    <w:rsid w:val="00D47D86"/>
    <w:rsid w:val="00D5243B"/>
    <w:rsid w:val="00D5248C"/>
    <w:rsid w:val="00D52877"/>
    <w:rsid w:val="00D533EC"/>
    <w:rsid w:val="00D54452"/>
    <w:rsid w:val="00D550D4"/>
    <w:rsid w:val="00D554CA"/>
    <w:rsid w:val="00D56A95"/>
    <w:rsid w:val="00D56AB8"/>
    <w:rsid w:val="00D57611"/>
    <w:rsid w:val="00D579D6"/>
    <w:rsid w:val="00D57F4F"/>
    <w:rsid w:val="00D609C3"/>
    <w:rsid w:val="00D61923"/>
    <w:rsid w:val="00D6264C"/>
    <w:rsid w:val="00D62A27"/>
    <w:rsid w:val="00D62EF8"/>
    <w:rsid w:val="00D62FAF"/>
    <w:rsid w:val="00D631F4"/>
    <w:rsid w:val="00D645F2"/>
    <w:rsid w:val="00D64AEE"/>
    <w:rsid w:val="00D655DC"/>
    <w:rsid w:val="00D65A63"/>
    <w:rsid w:val="00D66406"/>
    <w:rsid w:val="00D6666D"/>
    <w:rsid w:val="00D669EB"/>
    <w:rsid w:val="00D66B5F"/>
    <w:rsid w:val="00D70F16"/>
    <w:rsid w:val="00D722E3"/>
    <w:rsid w:val="00D7267E"/>
    <w:rsid w:val="00D72F57"/>
    <w:rsid w:val="00D7343C"/>
    <w:rsid w:val="00D7366C"/>
    <w:rsid w:val="00D73A9D"/>
    <w:rsid w:val="00D73E45"/>
    <w:rsid w:val="00D74100"/>
    <w:rsid w:val="00D745FB"/>
    <w:rsid w:val="00D74606"/>
    <w:rsid w:val="00D74CA3"/>
    <w:rsid w:val="00D7587F"/>
    <w:rsid w:val="00D75DD1"/>
    <w:rsid w:val="00D76A44"/>
    <w:rsid w:val="00D80D22"/>
    <w:rsid w:val="00D8131C"/>
    <w:rsid w:val="00D815EF"/>
    <w:rsid w:val="00D8164F"/>
    <w:rsid w:val="00D81F26"/>
    <w:rsid w:val="00D83F8C"/>
    <w:rsid w:val="00D840B8"/>
    <w:rsid w:val="00D8428B"/>
    <w:rsid w:val="00D84674"/>
    <w:rsid w:val="00D86231"/>
    <w:rsid w:val="00D8658A"/>
    <w:rsid w:val="00D867FD"/>
    <w:rsid w:val="00D874D6"/>
    <w:rsid w:val="00D878F6"/>
    <w:rsid w:val="00D91923"/>
    <w:rsid w:val="00D91E84"/>
    <w:rsid w:val="00D92BE8"/>
    <w:rsid w:val="00D93753"/>
    <w:rsid w:val="00D9378C"/>
    <w:rsid w:val="00D9389A"/>
    <w:rsid w:val="00D94DCE"/>
    <w:rsid w:val="00D9557C"/>
    <w:rsid w:val="00D97EE4"/>
    <w:rsid w:val="00DA0596"/>
    <w:rsid w:val="00DA0761"/>
    <w:rsid w:val="00DA109B"/>
    <w:rsid w:val="00DA1669"/>
    <w:rsid w:val="00DA1FD0"/>
    <w:rsid w:val="00DA3167"/>
    <w:rsid w:val="00DA31A5"/>
    <w:rsid w:val="00DA4DC3"/>
    <w:rsid w:val="00DA55F8"/>
    <w:rsid w:val="00DA77A5"/>
    <w:rsid w:val="00DA78C1"/>
    <w:rsid w:val="00DB0A45"/>
    <w:rsid w:val="00DB1A15"/>
    <w:rsid w:val="00DB1A7A"/>
    <w:rsid w:val="00DB1B5E"/>
    <w:rsid w:val="00DB2549"/>
    <w:rsid w:val="00DB28EB"/>
    <w:rsid w:val="00DB2907"/>
    <w:rsid w:val="00DB2A7D"/>
    <w:rsid w:val="00DB3994"/>
    <w:rsid w:val="00DB3DBF"/>
    <w:rsid w:val="00DB484F"/>
    <w:rsid w:val="00DB493A"/>
    <w:rsid w:val="00DB70B4"/>
    <w:rsid w:val="00DB73DF"/>
    <w:rsid w:val="00DC04F6"/>
    <w:rsid w:val="00DC0690"/>
    <w:rsid w:val="00DC0E89"/>
    <w:rsid w:val="00DC1D65"/>
    <w:rsid w:val="00DC2324"/>
    <w:rsid w:val="00DC24D3"/>
    <w:rsid w:val="00DC26CD"/>
    <w:rsid w:val="00DC3C57"/>
    <w:rsid w:val="00DC53E8"/>
    <w:rsid w:val="00DC5501"/>
    <w:rsid w:val="00DC5AFA"/>
    <w:rsid w:val="00DC7154"/>
    <w:rsid w:val="00DC7E8A"/>
    <w:rsid w:val="00DD03A0"/>
    <w:rsid w:val="00DD0F78"/>
    <w:rsid w:val="00DD1B61"/>
    <w:rsid w:val="00DD2321"/>
    <w:rsid w:val="00DD23C0"/>
    <w:rsid w:val="00DD273C"/>
    <w:rsid w:val="00DD29BB"/>
    <w:rsid w:val="00DD31DB"/>
    <w:rsid w:val="00DD3F28"/>
    <w:rsid w:val="00DD4537"/>
    <w:rsid w:val="00DD4E15"/>
    <w:rsid w:val="00DE054D"/>
    <w:rsid w:val="00DE1188"/>
    <w:rsid w:val="00DE1AF6"/>
    <w:rsid w:val="00DE1DB5"/>
    <w:rsid w:val="00DE2304"/>
    <w:rsid w:val="00DE3104"/>
    <w:rsid w:val="00DE3138"/>
    <w:rsid w:val="00DE37F8"/>
    <w:rsid w:val="00DE4FCB"/>
    <w:rsid w:val="00DE5D07"/>
    <w:rsid w:val="00DE5DED"/>
    <w:rsid w:val="00DE6683"/>
    <w:rsid w:val="00DE72A7"/>
    <w:rsid w:val="00DE7832"/>
    <w:rsid w:val="00DE7B52"/>
    <w:rsid w:val="00DF0060"/>
    <w:rsid w:val="00DF0E86"/>
    <w:rsid w:val="00DF18FC"/>
    <w:rsid w:val="00DF3097"/>
    <w:rsid w:val="00DF3211"/>
    <w:rsid w:val="00DF44D4"/>
    <w:rsid w:val="00DF467C"/>
    <w:rsid w:val="00DF4A06"/>
    <w:rsid w:val="00DF5038"/>
    <w:rsid w:val="00DF5D2B"/>
    <w:rsid w:val="00DF605C"/>
    <w:rsid w:val="00DF78C3"/>
    <w:rsid w:val="00E00E8E"/>
    <w:rsid w:val="00E021F5"/>
    <w:rsid w:val="00E02E40"/>
    <w:rsid w:val="00E03E9F"/>
    <w:rsid w:val="00E05630"/>
    <w:rsid w:val="00E067AF"/>
    <w:rsid w:val="00E06913"/>
    <w:rsid w:val="00E06DBB"/>
    <w:rsid w:val="00E10149"/>
    <w:rsid w:val="00E102A4"/>
    <w:rsid w:val="00E11340"/>
    <w:rsid w:val="00E11C13"/>
    <w:rsid w:val="00E122A1"/>
    <w:rsid w:val="00E149EF"/>
    <w:rsid w:val="00E14E91"/>
    <w:rsid w:val="00E159D4"/>
    <w:rsid w:val="00E16372"/>
    <w:rsid w:val="00E16D27"/>
    <w:rsid w:val="00E176DF"/>
    <w:rsid w:val="00E17B92"/>
    <w:rsid w:val="00E20E4D"/>
    <w:rsid w:val="00E20ED6"/>
    <w:rsid w:val="00E21358"/>
    <w:rsid w:val="00E2249B"/>
    <w:rsid w:val="00E22A0D"/>
    <w:rsid w:val="00E24045"/>
    <w:rsid w:val="00E2437F"/>
    <w:rsid w:val="00E244F6"/>
    <w:rsid w:val="00E251AF"/>
    <w:rsid w:val="00E26B41"/>
    <w:rsid w:val="00E2771E"/>
    <w:rsid w:val="00E27770"/>
    <w:rsid w:val="00E27EC1"/>
    <w:rsid w:val="00E301BE"/>
    <w:rsid w:val="00E311EF"/>
    <w:rsid w:val="00E3183A"/>
    <w:rsid w:val="00E31B26"/>
    <w:rsid w:val="00E32180"/>
    <w:rsid w:val="00E3279B"/>
    <w:rsid w:val="00E32F62"/>
    <w:rsid w:val="00E3354A"/>
    <w:rsid w:val="00E34021"/>
    <w:rsid w:val="00E346C8"/>
    <w:rsid w:val="00E34948"/>
    <w:rsid w:val="00E3560F"/>
    <w:rsid w:val="00E36209"/>
    <w:rsid w:val="00E37569"/>
    <w:rsid w:val="00E37A33"/>
    <w:rsid w:val="00E401B2"/>
    <w:rsid w:val="00E41B74"/>
    <w:rsid w:val="00E41E30"/>
    <w:rsid w:val="00E42F73"/>
    <w:rsid w:val="00E43D70"/>
    <w:rsid w:val="00E44A4C"/>
    <w:rsid w:val="00E466F3"/>
    <w:rsid w:val="00E47B2C"/>
    <w:rsid w:val="00E51560"/>
    <w:rsid w:val="00E52660"/>
    <w:rsid w:val="00E53319"/>
    <w:rsid w:val="00E533B7"/>
    <w:rsid w:val="00E535D5"/>
    <w:rsid w:val="00E53B17"/>
    <w:rsid w:val="00E53BD3"/>
    <w:rsid w:val="00E53FC8"/>
    <w:rsid w:val="00E54347"/>
    <w:rsid w:val="00E55424"/>
    <w:rsid w:val="00E5581D"/>
    <w:rsid w:val="00E558DC"/>
    <w:rsid w:val="00E55915"/>
    <w:rsid w:val="00E55BB5"/>
    <w:rsid w:val="00E55CD3"/>
    <w:rsid w:val="00E56E50"/>
    <w:rsid w:val="00E56F2A"/>
    <w:rsid w:val="00E577FF"/>
    <w:rsid w:val="00E60D20"/>
    <w:rsid w:val="00E622DD"/>
    <w:rsid w:val="00E6461B"/>
    <w:rsid w:val="00E658B8"/>
    <w:rsid w:val="00E65E79"/>
    <w:rsid w:val="00E66BA2"/>
    <w:rsid w:val="00E67416"/>
    <w:rsid w:val="00E704F8"/>
    <w:rsid w:val="00E70FE6"/>
    <w:rsid w:val="00E711DB"/>
    <w:rsid w:val="00E718B6"/>
    <w:rsid w:val="00E723BA"/>
    <w:rsid w:val="00E73581"/>
    <w:rsid w:val="00E73CA1"/>
    <w:rsid w:val="00E73E8B"/>
    <w:rsid w:val="00E74059"/>
    <w:rsid w:val="00E75BFD"/>
    <w:rsid w:val="00E80FC0"/>
    <w:rsid w:val="00E815D8"/>
    <w:rsid w:val="00E82446"/>
    <w:rsid w:val="00E833F7"/>
    <w:rsid w:val="00E8392B"/>
    <w:rsid w:val="00E83BDF"/>
    <w:rsid w:val="00E83D16"/>
    <w:rsid w:val="00E84EFC"/>
    <w:rsid w:val="00E85BDD"/>
    <w:rsid w:val="00E87049"/>
    <w:rsid w:val="00E87A1D"/>
    <w:rsid w:val="00E87E7E"/>
    <w:rsid w:val="00E906E0"/>
    <w:rsid w:val="00E9094A"/>
    <w:rsid w:val="00E91D35"/>
    <w:rsid w:val="00E92455"/>
    <w:rsid w:val="00E926A5"/>
    <w:rsid w:val="00E928AF"/>
    <w:rsid w:val="00E96E7B"/>
    <w:rsid w:val="00EA17C3"/>
    <w:rsid w:val="00EA191A"/>
    <w:rsid w:val="00EA19A0"/>
    <w:rsid w:val="00EA1FEF"/>
    <w:rsid w:val="00EA2CAA"/>
    <w:rsid w:val="00EA3864"/>
    <w:rsid w:val="00EA5437"/>
    <w:rsid w:val="00EA73A6"/>
    <w:rsid w:val="00EA7F1C"/>
    <w:rsid w:val="00EB0450"/>
    <w:rsid w:val="00EB15B6"/>
    <w:rsid w:val="00EB2370"/>
    <w:rsid w:val="00EB301B"/>
    <w:rsid w:val="00EB3D06"/>
    <w:rsid w:val="00EB4916"/>
    <w:rsid w:val="00EB78A4"/>
    <w:rsid w:val="00EC00C9"/>
    <w:rsid w:val="00EC0DD9"/>
    <w:rsid w:val="00EC1BFE"/>
    <w:rsid w:val="00EC1FC6"/>
    <w:rsid w:val="00EC25F8"/>
    <w:rsid w:val="00EC2649"/>
    <w:rsid w:val="00EC31ED"/>
    <w:rsid w:val="00EC430A"/>
    <w:rsid w:val="00EC5836"/>
    <w:rsid w:val="00EC5A76"/>
    <w:rsid w:val="00EC5A8C"/>
    <w:rsid w:val="00EC6844"/>
    <w:rsid w:val="00EC688C"/>
    <w:rsid w:val="00ED043B"/>
    <w:rsid w:val="00ED14DD"/>
    <w:rsid w:val="00ED4061"/>
    <w:rsid w:val="00ED4D2E"/>
    <w:rsid w:val="00ED545E"/>
    <w:rsid w:val="00ED57EA"/>
    <w:rsid w:val="00ED5BD4"/>
    <w:rsid w:val="00ED76C4"/>
    <w:rsid w:val="00ED7E64"/>
    <w:rsid w:val="00EE07D3"/>
    <w:rsid w:val="00EE1996"/>
    <w:rsid w:val="00EE1C01"/>
    <w:rsid w:val="00EE1F05"/>
    <w:rsid w:val="00EE22AF"/>
    <w:rsid w:val="00EE311B"/>
    <w:rsid w:val="00EE3695"/>
    <w:rsid w:val="00EF0171"/>
    <w:rsid w:val="00EF1B25"/>
    <w:rsid w:val="00EF1DA0"/>
    <w:rsid w:val="00EF2F54"/>
    <w:rsid w:val="00EF3780"/>
    <w:rsid w:val="00EF4747"/>
    <w:rsid w:val="00EF4BF8"/>
    <w:rsid w:val="00EF4D59"/>
    <w:rsid w:val="00EF565E"/>
    <w:rsid w:val="00EF63DF"/>
    <w:rsid w:val="00F006FA"/>
    <w:rsid w:val="00F013E5"/>
    <w:rsid w:val="00F01CA6"/>
    <w:rsid w:val="00F01CD8"/>
    <w:rsid w:val="00F01F42"/>
    <w:rsid w:val="00F02253"/>
    <w:rsid w:val="00F02C89"/>
    <w:rsid w:val="00F03A75"/>
    <w:rsid w:val="00F03C2E"/>
    <w:rsid w:val="00F0417D"/>
    <w:rsid w:val="00F045ED"/>
    <w:rsid w:val="00F04A66"/>
    <w:rsid w:val="00F04B4B"/>
    <w:rsid w:val="00F0516C"/>
    <w:rsid w:val="00F05599"/>
    <w:rsid w:val="00F058BE"/>
    <w:rsid w:val="00F067A2"/>
    <w:rsid w:val="00F069CC"/>
    <w:rsid w:val="00F06B21"/>
    <w:rsid w:val="00F07B9E"/>
    <w:rsid w:val="00F1002E"/>
    <w:rsid w:val="00F1116F"/>
    <w:rsid w:val="00F1263A"/>
    <w:rsid w:val="00F15B77"/>
    <w:rsid w:val="00F15C74"/>
    <w:rsid w:val="00F1690D"/>
    <w:rsid w:val="00F16EFA"/>
    <w:rsid w:val="00F20745"/>
    <w:rsid w:val="00F20842"/>
    <w:rsid w:val="00F211F8"/>
    <w:rsid w:val="00F219CD"/>
    <w:rsid w:val="00F2250D"/>
    <w:rsid w:val="00F242CE"/>
    <w:rsid w:val="00F24837"/>
    <w:rsid w:val="00F2575F"/>
    <w:rsid w:val="00F26C1C"/>
    <w:rsid w:val="00F27565"/>
    <w:rsid w:val="00F27CC5"/>
    <w:rsid w:val="00F27DB4"/>
    <w:rsid w:val="00F27F3E"/>
    <w:rsid w:val="00F310D4"/>
    <w:rsid w:val="00F31D5A"/>
    <w:rsid w:val="00F3210D"/>
    <w:rsid w:val="00F33975"/>
    <w:rsid w:val="00F33DE9"/>
    <w:rsid w:val="00F33F21"/>
    <w:rsid w:val="00F34982"/>
    <w:rsid w:val="00F35069"/>
    <w:rsid w:val="00F35E6D"/>
    <w:rsid w:val="00F35EDA"/>
    <w:rsid w:val="00F3619A"/>
    <w:rsid w:val="00F36F55"/>
    <w:rsid w:val="00F36FBB"/>
    <w:rsid w:val="00F40048"/>
    <w:rsid w:val="00F40AAA"/>
    <w:rsid w:val="00F40BA7"/>
    <w:rsid w:val="00F40EB4"/>
    <w:rsid w:val="00F40F9D"/>
    <w:rsid w:val="00F4116D"/>
    <w:rsid w:val="00F41ACD"/>
    <w:rsid w:val="00F42A6F"/>
    <w:rsid w:val="00F43445"/>
    <w:rsid w:val="00F44DF7"/>
    <w:rsid w:val="00F46770"/>
    <w:rsid w:val="00F46CB6"/>
    <w:rsid w:val="00F4756D"/>
    <w:rsid w:val="00F47DE8"/>
    <w:rsid w:val="00F50537"/>
    <w:rsid w:val="00F52770"/>
    <w:rsid w:val="00F53205"/>
    <w:rsid w:val="00F542C1"/>
    <w:rsid w:val="00F545A9"/>
    <w:rsid w:val="00F55E73"/>
    <w:rsid w:val="00F55EDA"/>
    <w:rsid w:val="00F56C80"/>
    <w:rsid w:val="00F570E1"/>
    <w:rsid w:val="00F576D8"/>
    <w:rsid w:val="00F5773D"/>
    <w:rsid w:val="00F60092"/>
    <w:rsid w:val="00F617A6"/>
    <w:rsid w:val="00F61C18"/>
    <w:rsid w:val="00F62A69"/>
    <w:rsid w:val="00F62D28"/>
    <w:rsid w:val="00F6569D"/>
    <w:rsid w:val="00F6580E"/>
    <w:rsid w:val="00F65A58"/>
    <w:rsid w:val="00F65B38"/>
    <w:rsid w:val="00F65F4B"/>
    <w:rsid w:val="00F67A69"/>
    <w:rsid w:val="00F7008C"/>
    <w:rsid w:val="00F705A3"/>
    <w:rsid w:val="00F70BFF"/>
    <w:rsid w:val="00F70C9D"/>
    <w:rsid w:val="00F71864"/>
    <w:rsid w:val="00F72411"/>
    <w:rsid w:val="00F72E1E"/>
    <w:rsid w:val="00F73BE6"/>
    <w:rsid w:val="00F73D53"/>
    <w:rsid w:val="00F74CD9"/>
    <w:rsid w:val="00F74D1B"/>
    <w:rsid w:val="00F77580"/>
    <w:rsid w:val="00F80A7B"/>
    <w:rsid w:val="00F80E5D"/>
    <w:rsid w:val="00F817FD"/>
    <w:rsid w:val="00F81CD0"/>
    <w:rsid w:val="00F81E78"/>
    <w:rsid w:val="00F83B5C"/>
    <w:rsid w:val="00F84364"/>
    <w:rsid w:val="00F851CE"/>
    <w:rsid w:val="00F851EA"/>
    <w:rsid w:val="00F857EB"/>
    <w:rsid w:val="00F85B61"/>
    <w:rsid w:val="00F85CD6"/>
    <w:rsid w:val="00F85DDB"/>
    <w:rsid w:val="00F8772E"/>
    <w:rsid w:val="00F87B08"/>
    <w:rsid w:val="00F91219"/>
    <w:rsid w:val="00F92444"/>
    <w:rsid w:val="00F9393E"/>
    <w:rsid w:val="00F93983"/>
    <w:rsid w:val="00F94288"/>
    <w:rsid w:val="00F94A46"/>
    <w:rsid w:val="00F94AA5"/>
    <w:rsid w:val="00F9680F"/>
    <w:rsid w:val="00F96FD0"/>
    <w:rsid w:val="00F974FE"/>
    <w:rsid w:val="00F977DB"/>
    <w:rsid w:val="00F97A78"/>
    <w:rsid w:val="00FA0B20"/>
    <w:rsid w:val="00FA0C0A"/>
    <w:rsid w:val="00FA124F"/>
    <w:rsid w:val="00FA24E7"/>
    <w:rsid w:val="00FA3A07"/>
    <w:rsid w:val="00FA4F2B"/>
    <w:rsid w:val="00FA5EE6"/>
    <w:rsid w:val="00FA716F"/>
    <w:rsid w:val="00FA7956"/>
    <w:rsid w:val="00FA7B6C"/>
    <w:rsid w:val="00FB16CF"/>
    <w:rsid w:val="00FB20B8"/>
    <w:rsid w:val="00FB2FCB"/>
    <w:rsid w:val="00FB4F51"/>
    <w:rsid w:val="00FB5086"/>
    <w:rsid w:val="00FB53F2"/>
    <w:rsid w:val="00FB7C55"/>
    <w:rsid w:val="00FB7D80"/>
    <w:rsid w:val="00FC1074"/>
    <w:rsid w:val="00FC1884"/>
    <w:rsid w:val="00FC18C7"/>
    <w:rsid w:val="00FC1E44"/>
    <w:rsid w:val="00FC3414"/>
    <w:rsid w:val="00FC371D"/>
    <w:rsid w:val="00FC4273"/>
    <w:rsid w:val="00FC575E"/>
    <w:rsid w:val="00FC5CF2"/>
    <w:rsid w:val="00FC5E99"/>
    <w:rsid w:val="00FC5F0B"/>
    <w:rsid w:val="00FC633D"/>
    <w:rsid w:val="00FC7A31"/>
    <w:rsid w:val="00FC7A6C"/>
    <w:rsid w:val="00FD1636"/>
    <w:rsid w:val="00FD1EA1"/>
    <w:rsid w:val="00FD1F4E"/>
    <w:rsid w:val="00FD2100"/>
    <w:rsid w:val="00FD3D74"/>
    <w:rsid w:val="00FD436C"/>
    <w:rsid w:val="00FD446D"/>
    <w:rsid w:val="00FD4594"/>
    <w:rsid w:val="00FD4F2C"/>
    <w:rsid w:val="00FD58EC"/>
    <w:rsid w:val="00FD6394"/>
    <w:rsid w:val="00FD7405"/>
    <w:rsid w:val="00FD7FA4"/>
    <w:rsid w:val="00FE0210"/>
    <w:rsid w:val="00FE0E6C"/>
    <w:rsid w:val="00FE14D4"/>
    <w:rsid w:val="00FE182C"/>
    <w:rsid w:val="00FE1CDC"/>
    <w:rsid w:val="00FE2B75"/>
    <w:rsid w:val="00FE32CB"/>
    <w:rsid w:val="00FE3333"/>
    <w:rsid w:val="00FE4AA9"/>
    <w:rsid w:val="00FE53E6"/>
    <w:rsid w:val="00FE6C08"/>
    <w:rsid w:val="00FE70C3"/>
    <w:rsid w:val="00FF2AD9"/>
    <w:rsid w:val="00FF359F"/>
    <w:rsid w:val="00FF3DCF"/>
    <w:rsid w:val="00FF492C"/>
    <w:rsid w:val="00FF4A21"/>
    <w:rsid w:val="00FF54B2"/>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A71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176"/>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bodytextLEFT">
    <w:name w:val="Table - body text LEFT"/>
    <w:basedOn w:val="Normal"/>
    <w:rsid w:val="00951CD2"/>
    <w:pPr>
      <w:jc w:val="left"/>
    </w:pPr>
    <w:rPr>
      <w:rFonts w:ascii="Times New Roman" w:hAnsi="Times New Roman"/>
      <w:sz w:val="20"/>
      <w:lang w:eastAsia="en-US"/>
    </w:rPr>
  </w:style>
  <w:style w:type="paragraph" w:styleId="FootnoteText">
    <w:name w:val="footnote text"/>
    <w:basedOn w:val="Normal"/>
    <w:link w:val="FootnoteTextChar"/>
    <w:semiHidden/>
    <w:unhideWhenUsed/>
    <w:rsid w:val="00AF2DF4"/>
    <w:rPr>
      <w:sz w:val="20"/>
      <w:szCs w:val="20"/>
    </w:rPr>
  </w:style>
  <w:style w:type="character" w:customStyle="1" w:styleId="FootnoteTextChar">
    <w:name w:val="Footnote Text Char"/>
    <w:basedOn w:val="DefaultParagraphFont"/>
    <w:link w:val="FootnoteText"/>
    <w:semiHidden/>
    <w:rsid w:val="00AF2DF4"/>
    <w:rPr>
      <w:rFonts w:ascii="Calibri" w:hAnsi="Calibri" w:cs="Arial"/>
    </w:rPr>
  </w:style>
  <w:style w:type="character" w:styleId="FootnoteReference">
    <w:name w:val="footnote reference"/>
    <w:basedOn w:val="DefaultParagraphFont"/>
    <w:semiHidden/>
    <w:unhideWhenUsed/>
    <w:rsid w:val="00AF2DF4"/>
    <w:rPr>
      <w:vertAlign w:val="superscript"/>
    </w:rPr>
  </w:style>
  <w:style w:type="table" w:customStyle="1" w:styleId="TableStyle">
    <w:name w:val="Table Style"/>
    <w:basedOn w:val="TableGrid"/>
    <w:uiPriority w:val="99"/>
    <w:rsid w:val="00F94AA5"/>
    <w:pPr>
      <w:spacing w:before="40" w:after="40"/>
    </w:pPr>
    <w:rPr>
      <w:rFonts w:ascii="Arial Narrow" w:eastAsiaTheme="minorHAnsi" w:hAnsi="Arial Narrow" w:cstheme="minorBidi"/>
      <w:szCs w:val="22"/>
      <w:lang w:val="en-US" w:eastAsia="en-US"/>
    </w:rPr>
    <w:tblPr/>
    <w:trPr>
      <w:cantSplit/>
    </w:trPr>
    <w:tblStylePr w:type="firstRow">
      <w:pPr>
        <w:jc w:val="left"/>
      </w:pPr>
      <w:rPr>
        <w:rFonts w:ascii="Arial Narrow" w:hAnsi="Arial Narrow"/>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pPr>
        <w:keepNext w:val="0"/>
        <w:keepLines w:val="0"/>
        <w:pageBreakBefore w:val="0"/>
        <w:suppressLineNumbers w:val="0"/>
        <w:suppressAutoHyphens w:val="0"/>
        <w:wordWrap/>
        <w:spacing w:beforeLines="0" w:before="40" w:beforeAutospacing="0" w:afterLines="0" w:after="40" w:afterAutospacing="0" w:line="240" w:lineRule="auto"/>
        <w:ind w:leftChars="0" w:left="0" w:rightChars="0" w:right="0" w:firstLineChars="0" w:firstLine="0"/>
        <w:jc w:val="left"/>
      </w:pPr>
      <w:tblPr/>
      <w:tcPr>
        <w:tcBorders>
          <w:top w:val="nil"/>
          <w:left w:val="nil"/>
          <w:bottom w:val="thinThickSmallGap" w:sz="24" w:space="0" w:color="auto"/>
          <w:right w:val="nil"/>
          <w:insideH w:val="nil"/>
          <w:insideV w:val="nil"/>
          <w:tl2br w:val="nil"/>
          <w:tr2bl w:val="nil"/>
        </w:tcBorders>
      </w:tcPr>
    </w:tblStylePr>
  </w:style>
  <w:style w:type="paragraph" w:customStyle="1" w:styleId="Default">
    <w:name w:val="Default"/>
    <w:rsid w:val="00F94AA5"/>
    <w:pPr>
      <w:autoSpaceDE w:val="0"/>
      <w:autoSpaceDN w:val="0"/>
      <w:adjustRightInd w:val="0"/>
    </w:pPr>
    <w:rPr>
      <w:rFonts w:ascii="Arial" w:eastAsiaTheme="minorHAnsi" w:hAnsi="Arial" w:cs="Arial"/>
      <w:color w:val="000000"/>
      <w:sz w:val="24"/>
      <w:szCs w:val="24"/>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655DC"/>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basedOn w:val="DefaultParagraphFont"/>
    <w:link w:val="Heading1"/>
    <w:uiPriority w:val="1"/>
    <w:rsid w:val="007A2F3E"/>
    <w:rPr>
      <w:rFonts w:ascii="Calibri" w:hAnsi="Calibri" w:cs="Arial"/>
      <w:b/>
      <w:caps/>
      <w:sz w:val="32"/>
      <w:szCs w:val="24"/>
    </w:rPr>
  </w:style>
  <w:style w:type="character" w:customStyle="1" w:styleId="Heading3Char">
    <w:name w:val="Heading 3 Char"/>
    <w:basedOn w:val="DefaultParagraphFont"/>
    <w:link w:val="Heading3"/>
    <w:rsid w:val="007A2F3E"/>
    <w:rPr>
      <w:rFonts w:ascii="Calibri" w:hAnsi="Calibri" w:cs="Arial"/>
      <w:sz w:val="24"/>
      <w:szCs w:val="24"/>
      <w:u w:val="single"/>
    </w:rPr>
  </w:style>
  <w:style w:type="character" w:customStyle="1" w:styleId="Heading4Char">
    <w:name w:val="Heading 4 Char"/>
    <w:basedOn w:val="DefaultParagraphFont"/>
    <w:link w:val="Heading4"/>
    <w:rsid w:val="007A2F3E"/>
    <w:rPr>
      <w:rFonts w:ascii="Calibri" w:hAnsi="Calibri" w:cs="Arial"/>
      <w:b/>
      <w:bCs/>
      <w:i/>
      <w:sz w:val="26"/>
      <w:szCs w:val="28"/>
    </w:rPr>
  </w:style>
  <w:style w:type="character" w:customStyle="1" w:styleId="Heading5Char">
    <w:name w:val="Heading 5 Char"/>
    <w:basedOn w:val="DefaultParagraphFont"/>
    <w:link w:val="Heading5"/>
    <w:rsid w:val="007A2F3E"/>
    <w:rPr>
      <w:rFonts w:ascii="Calibri" w:hAnsi="Calibri" w:cs="Arial"/>
      <w:b/>
      <w:bCs/>
      <w:iCs/>
      <w:sz w:val="26"/>
      <w:szCs w:val="26"/>
    </w:rPr>
  </w:style>
  <w:style w:type="character" w:customStyle="1" w:styleId="Heading6Char">
    <w:name w:val="Heading 6 Char"/>
    <w:basedOn w:val="DefaultParagraphFont"/>
    <w:link w:val="Heading6"/>
    <w:rsid w:val="007A2F3E"/>
    <w:rPr>
      <w:rFonts w:ascii="Calibri" w:hAnsi="Calibri" w:cs="Arial"/>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9253845">
      <w:bodyDiv w:val="1"/>
      <w:marLeft w:val="0"/>
      <w:marRight w:val="0"/>
      <w:marTop w:val="0"/>
      <w:marBottom w:val="0"/>
      <w:divBdr>
        <w:top w:val="none" w:sz="0" w:space="0" w:color="auto"/>
        <w:left w:val="none" w:sz="0" w:space="0" w:color="auto"/>
        <w:bottom w:val="none" w:sz="0" w:space="0" w:color="auto"/>
        <w:right w:val="none" w:sz="0" w:space="0" w:color="auto"/>
      </w:divBdr>
    </w:div>
    <w:div w:id="840311803">
      <w:bodyDiv w:val="1"/>
      <w:marLeft w:val="0"/>
      <w:marRight w:val="0"/>
      <w:marTop w:val="0"/>
      <w:marBottom w:val="0"/>
      <w:divBdr>
        <w:top w:val="none" w:sz="0" w:space="0" w:color="auto"/>
        <w:left w:val="none" w:sz="0" w:space="0" w:color="auto"/>
        <w:bottom w:val="none" w:sz="0" w:space="0" w:color="auto"/>
        <w:right w:val="none" w:sz="0" w:space="0" w:color="auto"/>
      </w:divBdr>
    </w:div>
    <w:div w:id="109497850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70CD-5E0D-41D5-B953-286BB142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14750</Words>
  <Characters>85230</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2021-03-02T03:56:00Z</dcterms:created>
  <dcterms:modified xsi:type="dcterms:W3CDTF">2021-03-02T03:56:00Z</dcterms:modified>
</cp:coreProperties>
</file>