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EC98F" w14:textId="130B4715" w:rsidR="0031467F" w:rsidRPr="0031467F" w:rsidRDefault="0031467F" w:rsidP="0031467F">
      <w:bookmarkStart w:id="0" w:name="_Toc22897637"/>
      <w:bookmarkStart w:id="1" w:name="_Toc22898843"/>
      <w:r w:rsidRPr="00B770BE">
        <w:rPr>
          <w:rFonts w:cs="Calibri"/>
          <w:color w:val="FF0000"/>
        </w:rPr>
        <w:t>An addendum to this minute has been included at the end of the document.</w:t>
      </w:r>
    </w:p>
    <w:p w14:paraId="39DCE2A9" w14:textId="2B7DEB0B" w:rsidR="00064321" w:rsidRPr="00572C9E" w:rsidRDefault="00186F52" w:rsidP="000C7102">
      <w:pPr>
        <w:pStyle w:val="1MainTitle"/>
        <w:jc w:val="left"/>
      </w:pPr>
      <w:r w:rsidRPr="00572C9E">
        <w:rPr>
          <w:rFonts w:eastAsia="Calibri"/>
          <w:lang w:eastAsia="en-US"/>
        </w:rPr>
        <w:t>6.13</w:t>
      </w:r>
      <w:r w:rsidR="009574FA" w:rsidRPr="00572C9E">
        <w:rPr>
          <w:rFonts w:eastAsia="Calibri"/>
          <w:lang w:eastAsia="en-US"/>
        </w:rPr>
        <w:t xml:space="preserve"> </w:t>
      </w:r>
      <w:r w:rsidR="009574FA" w:rsidRPr="00572C9E">
        <w:rPr>
          <w:rFonts w:eastAsia="Times New Roman" w:cs="Arial"/>
          <w:spacing w:val="0"/>
          <w:kern w:val="0"/>
          <w:szCs w:val="24"/>
        </w:rPr>
        <w:t>GLECAPREVIR with PIBRENTASVIR</w:t>
      </w:r>
      <w:r w:rsidR="009574FA" w:rsidRPr="00572C9E">
        <w:t xml:space="preserve">, </w:t>
      </w:r>
      <w:r w:rsidR="009574FA" w:rsidRPr="00572C9E">
        <w:br/>
        <w:t xml:space="preserve">Tablet containing 100 mg </w:t>
      </w:r>
      <w:proofErr w:type="spellStart"/>
      <w:r w:rsidR="009574FA" w:rsidRPr="00572C9E">
        <w:t>glecaprevir</w:t>
      </w:r>
      <w:proofErr w:type="spellEnd"/>
      <w:r w:rsidR="009574FA" w:rsidRPr="00572C9E">
        <w:t xml:space="preserve"> </w:t>
      </w:r>
      <w:r w:rsidR="009574FA" w:rsidRPr="00572C9E">
        <w:br/>
        <w:t xml:space="preserve">with 40 mg </w:t>
      </w:r>
      <w:proofErr w:type="spellStart"/>
      <w:r w:rsidR="009574FA" w:rsidRPr="00572C9E">
        <w:t>pibrentasvir</w:t>
      </w:r>
      <w:proofErr w:type="spellEnd"/>
      <w:r w:rsidR="009574FA" w:rsidRPr="00572C9E">
        <w:t xml:space="preserve">, </w:t>
      </w:r>
      <w:r w:rsidR="009574FA" w:rsidRPr="00572C9E">
        <w:br/>
      </w:r>
      <w:proofErr w:type="spellStart"/>
      <w:r w:rsidR="009574FA" w:rsidRPr="00572C9E">
        <w:t>Maviret</w:t>
      </w:r>
      <w:proofErr w:type="spellEnd"/>
      <w:r w:rsidR="009574FA" w:rsidRPr="00572C9E">
        <w:t xml:space="preserve">®, </w:t>
      </w:r>
      <w:r w:rsidR="000646A4" w:rsidRPr="00572C9E">
        <w:br/>
      </w:r>
      <w:r w:rsidR="009574FA" w:rsidRPr="00572C9E">
        <w:t>AbbVie Pty Ltd.</w:t>
      </w:r>
    </w:p>
    <w:bookmarkEnd w:id="0"/>
    <w:bookmarkEnd w:id="1"/>
    <w:p w14:paraId="69F03134" w14:textId="77777777" w:rsidR="008A50F1" w:rsidRPr="00572C9E" w:rsidRDefault="00CE10C4" w:rsidP="008F0213">
      <w:pPr>
        <w:pStyle w:val="2-SectionHeading"/>
      </w:pPr>
      <w:r w:rsidRPr="00572C9E">
        <w:t xml:space="preserve">Purpose of </w:t>
      </w:r>
      <w:r w:rsidR="0004240E" w:rsidRPr="00572C9E">
        <w:t>Application</w:t>
      </w:r>
      <w:r w:rsidR="00034905" w:rsidRPr="00572C9E">
        <w:t xml:space="preserve"> </w:t>
      </w:r>
    </w:p>
    <w:p w14:paraId="3E9C977E" w14:textId="77777777" w:rsidR="00064321" w:rsidRPr="00572C9E" w:rsidRDefault="00EF44A0" w:rsidP="00144063">
      <w:pPr>
        <w:pStyle w:val="3Bodytext"/>
      </w:pPr>
      <w:r w:rsidRPr="00572C9E">
        <w:t>The mi</w:t>
      </w:r>
      <w:r w:rsidR="00FF2801" w:rsidRPr="00572C9E">
        <w:t xml:space="preserve">nor submission </w:t>
      </w:r>
      <w:r w:rsidR="0058534F" w:rsidRPr="00572C9E">
        <w:t>r</w:t>
      </w:r>
      <w:r w:rsidR="00FF2801" w:rsidRPr="00572C9E">
        <w:t>equested</w:t>
      </w:r>
      <w:r w:rsidR="0058534F" w:rsidRPr="00572C9E">
        <w:t xml:space="preserve"> </w:t>
      </w:r>
      <w:r w:rsidR="00A92AA4" w:rsidRPr="00572C9E">
        <w:t>an amendment to the General Statement for Drugs for the Treatment of Hepatitis C</w:t>
      </w:r>
      <w:r w:rsidR="00E04887" w:rsidRPr="00572C9E">
        <w:t xml:space="preserve"> (the General Statement)</w:t>
      </w:r>
      <w:r w:rsidR="00A92AA4" w:rsidRPr="00572C9E">
        <w:t xml:space="preserve">, to shorten the duration of treatment course of </w:t>
      </w:r>
      <w:proofErr w:type="spellStart"/>
      <w:r w:rsidR="0058534F" w:rsidRPr="00572C9E">
        <w:t>glecaprevir</w:t>
      </w:r>
      <w:proofErr w:type="spellEnd"/>
      <w:r w:rsidR="0058534F" w:rsidRPr="00572C9E">
        <w:t>/</w:t>
      </w:r>
      <w:proofErr w:type="spellStart"/>
      <w:r w:rsidR="0058534F" w:rsidRPr="00572C9E">
        <w:t>pibre</w:t>
      </w:r>
      <w:r w:rsidR="005A1289" w:rsidRPr="00572C9E">
        <w:t>n</w:t>
      </w:r>
      <w:r w:rsidR="0058534F" w:rsidRPr="00572C9E">
        <w:t>tasvir</w:t>
      </w:r>
      <w:proofErr w:type="spellEnd"/>
      <w:r w:rsidR="00613AE2" w:rsidRPr="00572C9E">
        <w:t xml:space="preserve"> (GLE/PIB)</w:t>
      </w:r>
      <w:r w:rsidR="00C2793F" w:rsidRPr="00572C9E">
        <w:t xml:space="preserve"> </w:t>
      </w:r>
      <w:r w:rsidR="00A92AA4" w:rsidRPr="00572C9E">
        <w:t xml:space="preserve">from 12 weeks to 8 weeks </w:t>
      </w:r>
      <w:r w:rsidR="00C2793F" w:rsidRPr="00572C9E">
        <w:t xml:space="preserve">for the treatment of </w:t>
      </w:r>
      <w:r w:rsidR="005A1289" w:rsidRPr="00572C9E">
        <w:t>patient</w:t>
      </w:r>
      <w:r w:rsidR="00E04887" w:rsidRPr="00572C9E">
        <w:t>s</w:t>
      </w:r>
      <w:r w:rsidR="005A1289" w:rsidRPr="00572C9E">
        <w:t xml:space="preserve"> with genotypes (GT) 1-6 </w:t>
      </w:r>
      <w:r w:rsidR="00453894" w:rsidRPr="00572C9E">
        <w:t>chronic hepatitis C</w:t>
      </w:r>
      <w:r w:rsidR="00E04887" w:rsidRPr="00572C9E">
        <w:t xml:space="preserve"> (CHC)</w:t>
      </w:r>
      <w:r w:rsidR="00C2793F" w:rsidRPr="00572C9E">
        <w:t xml:space="preserve"> </w:t>
      </w:r>
      <w:r w:rsidR="005A1289" w:rsidRPr="00572C9E">
        <w:t>who are treatment naïve (TN) with compensated cirrhosis</w:t>
      </w:r>
      <w:r w:rsidR="00D42609" w:rsidRPr="00572C9E">
        <w:t xml:space="preserve"> (CC)</w:t>
      </w:r>
      <w:r w:rsidR="00A92AA4" w:rsidRPr="00572C9E">
        <w:t xml:space="preserve">. </w:t>
      </w:r>
    </w:p>
    <w:p w14:paraId="186CA36E" w14:textId="77777777" w:rsidR="00A01432" w:rsidRPr="00572C9E" w:rsidRDefault="00A01432" w:rsidP="006F0A71">
      <w:pPr>
        <w:pStyle w:val="2-SectionHeading"/>
      </w:pPr>
      <w:r w:rsidRPr="00572C9E">
        <w:t xml:space="preserve">Background </w:t>
      </w:r>
    </w:p>
    <w:p w14:paraId="1AC66098" w14:textId="77777777" w:rsidR="00A01432" w:rsidRPr="00572C9E" w:rsidRDefault="00A01432" w:rsidP="00B16273">
      <w:pPr>
        <w:pStyle w:val="4-SubsectionHeading"/>
      </w:pPr>
      <w:r w:rsidRPr="00572C9E">
        <w:t>Registration status</w:t>
      </w:r>
    </w:p>
    <w:p w14:paraId="47747272" w14:textId="77777777" w:rsidR="00D50BE6" w:rsidRPr="00572C9E" w:rsidRDefault="00613AE2" w:rsidP="00186F52">
      <w:pPr>
        <w:pStyle w:val="3Bodytext"/>
        <w:jc w:val="both"/>
      </w:pPr>
      <w:r w:rsidRPr="00572C9E">
        <w:t>GLE/PIB</w:t>
      </w:r>
      <w:r w:rsidR="005A1289" w:rsidRPr="00572C9E">
        <w:t xml:space="preserve"> </w:t>
      </w:r>
      <w:r w:rsidR="00A01432" w:rsidRPr="00572C9E">
        <w:t xml:space="preserve">was TGA registered on </w:t>
      </w:r>
      <w:r w:rsidR="00D50BE6" w:rsidRPr="00572C9E">
        <w:t>2 January 2018</w:t>
      </w:r>
      <w:r w:rsidR="00A01432" w:rsidRPr="00572C9E">
        <w:t xml:space="preserve"> for</w:t>
      </w:r>
      <w:r w:rsidR="00D50BE6" w:rsidRPr="00572C9E">
        <w:t xml:space="preserve"> the treatment of adult patients with </w:t>
      </w:r>
      <w:r w:rsidR="00A11AA3" w:rsidRPr="00572C9E">
        <w:t>C</w:t>
      </w:r>
      <w:r w:rsidR="00D50BE6" w:rsidRPr="00572C9E">
        <w:t>HC GT 1</w:t>
      </w:r>
      <w:r w:rsidR="00C37F0A" w:rsidRPr="00572C9E">
        <w:t>-6</w:t>
      </w:r>
      <w:r w:rsidR="00D50BE6" w:rsidRPr="00572C9E">
        <w:t xml:space="preserve"> infection with or without </w:t>
      </w:r>
      <w:r w:rsidR="00E04887" w:rsidRPr="00572C9E">
        <w:t>CC</w:t>
      </w:r>
      <w:r w:rsidR="00D50BE6" w:rsidRPr="00572C9E">
        <w:t xml:space="preserve">. This includes patients with GT1 infection who were previously treated </w:t>
      </w:r>
      <w:r w:rsidR="008A5CE3" w:rsidRPr="00572C9E">
        <w:t>either with</w:t>
      </w:r>
      <w:r w:rsidR="00D50BE6" w:rsidRPr="00572C9E">
        <w:t xml:space="preserve"> a regimen of an NS5A inhibitor or with an NS3/4A protease inhibitor</w:t>
      </w:r>
      <w:r w:rsidR="00C37F0A" w:rsidRPr="00572C9E">
        <w:t xml:space="preserve">. </w:t>
      </w:r>
      <w:r w:rsidR="00D50BE6" w:rsidRPr="00572C9E">
        <w:t xml:space="preserve">On 18 December 2019, </w:t>
      </w:r>
      <w:r w:rsidR="00DE165C" w:rsidRPr="00572C9E">
        <w:t xml:space="preserve">TGA </w:t>
      </w:r>
      <w:r w:rsidR="00076C9A" w:rsidRPr="00572C9E">
        <w:t>registration was</w:t>
      </w:r>
      <w:r w:rsidR="00D50BE6" w:rsidRPr="00572C9E">
        <w:t xml:space="preserve"> extended to include</w:t>
      </w:r>
      <w:r w:rsidR="00076C9A" w:rsidRPr="00572C9E">
        <w:t xml:space="preserve"> the</w:t>
      </w:r>
      <w:r w:rsidR="00D50BE6" w:rsidRPr="00572C9E">
        <w:t xml:space="preserve"> adolescent population. </w:t>
      </w:r>
    </w:p>
    <w:p w14:paraId="59576757" w14:textId="77777777" w:rsidR="00D50BE6" w:rsidRPr="00572C9E" w:rsidRDefault="00C37F0A" w:rsidP="00186F52">
      <w:pPr>
        <w:pStyle w:val="3Bodytext"/>
        <w:jc w:val="both"/>
      </w:pPr>
      <w:r w:rsidRPr="00572C9E">
        <w:t>The TGA</w:t>
      </w:r>
      <w:r w:rsidR="00076C9A" w:rsidRPr="00572C9E">
        <w:t xml:space="preserve"> Delegate’s Overview </w:t>
      </w:r>
      <w:r w:rsidR="00DE165C" w:rsidRPr="00572C9E">
        <w:t xml:space="preserve">regarding the reduction of treatment duration </w:t>
      </w:r>
      <w:r w:rsidR="00076C9A" w:rsidRPr="00572C9E">
        <w:t>was provided on 28 August 2020.</w:t>
      </w:r>
      <w:r w:rsidR="00D50BE6" w:rsidRPr="00572C9E">
        <w:t xml:space="preserve"> </w:t>
      </w:r>
    </w:p>
    <w:p w14:paraId="09244BFA" w14:textId="77777777" w:rsidR="00A01432" w:rsidRPr="00572C9E" w:rsidRDefault="00A01432" w:rsidP="00B16273">
      <w:pPr>
        <w:pStyle w:val="4-SubsectionHeading"/>
      </w:pPr>
      <w:r w:rsidRPr="00572C9E">
        <w:t xml:space="preserve">Previous PBAC consideration </w:t>
      </w:r>
    </w:p>
    <w:p w14:paraId="5083615A" w14:textId="77777777" w:rsidR="00E04887" w:rsidRPr="00572C9E" w:rsidRDefault="00C37F0A" w:rsidP="00186F52">
      <w:pPr>
        <w:pStyle w:val="3Bodytext"/>
        <w:jc w:val="both"/>
      </w:pPr>
      <w:r w:rsidRPr="00572C9E">
        <w:t xml:space="preserve">GLE/PIB was recommended by the PBAC at its November 2017 meeting as a pan-genotypic treatment, on a cost minimisation basis with </w:t>
      </w:r>
      <w:proofErr w:type="spellStart"/>
      <w:r w:rsidRPr="00572C9E">
        <w:t>sofosbuvir</w:t>
      </w:r>
      <w:proofErr w:type="spellEnd"/>
      <w:r w:rsidRPr="00572C9E">
        <w:t>/</w:t>
      </w:r>
      <w:proofErr w:type="spellStart"/>
      <w:r w:rsidRPr="00572C9E">
        <w:t>velpatasvir</w:t>
      </w:r>
      <w:proofErr w:type="spellEnd"/>
      <w:r w:rsidRPr="00572C9E">
        <w:t xml:space="preserve"> (SOF/VEL, </w:t>
      </w:r>
      <w:proofErr w:type="spellStart"/>
      <w:r w:rsidRPr="00572C9E">
        <w:t>Epclusa</w:t>
      </w:r>
      <w:proofErr w:type="spellEnd"/>
      <w:r w:rsidRPr="00572C9E">
        <w:rPr>
          <w:rFonts w:cstheme="minorHAnsi"/>
        </w:rPr>
        <w:t>®</w:t>
      </w:r>
      <w:r w:rsidRPr="00572C9E">
        <w:t>)</w:t>
      </w:r>
      <w:r w:rsidR="002A3F7C" w:rsidRPr="00572C9E">
        <w:t xml:space="preserve"> and was listed on 1 August 2018.</w:t>
      </w:r>
      <w:r w:rsidRPr="00572C9E">
        <w:t xml:space="preserve"> </w:t>
      </w:r>
    </w:p>
    <w:p w14:paraId="5B3AA7FD" w14:textId="77777777" w:rsidR="00E9387D" w:rsidRPr="00572C9E" w:rsidRDefault="00C37F0A" w:rsidP="00186F52">
      <w:pPr>
        <w:pStyle w:val="3Bodytext"/>
        <w:jc w:val="both"/>
        <w:rPr>
          <w:i/>
        </w:rPr>
      </w:pPr>
      <w:r w:rsidRPr="00572C9E">
        <w:t xml:space="preserve">GLE/PIB is currently listed on the PBS as Authority Required General Schedule and Section 100 listings for the treatment of GT1-6 CHC infection for TN and treatment experienced (TE) patients (including those with prior NS5A treatment) with or without CC. Current listings are outlined in the </w:t>
      </w:r>
      <w:r w:rsidRPr="00572C9E">
        <w:rPr>
          <w:color w:val="000000" w:themeColor="text1"/>
        </w:rPr>
        <w:t>General Statement</w:t>
      </w:r>
      <w:r w:rsidRPr="00572C9E">
        <w:rPr>
          <w:rStyle w:val="FootnoteReference"/>
          <w:color w:val="000000" w:themeColor="text1"/>
        </w:rPr>
        <w:footnoteReference w:id="1"/>
      </w:r>
      <w:r w:rsidRPr="00572C9E">
        <w:rPr>
          <w:color w:val="000000" w:themeColor="text1"/>
        </w:rPr>
        <w:t>.</w:t>
      </w:r>
    </w:p>
    <w:p w14:paraId="744B7D22" w14:textId="77777777" w:rsidR="00DC5390" w:rsidRPr="00572C9E" w:rsidRDefault="00DC5390" w:rsidP="00DC5390">
      <w:pPr>
        <w:pStyle w:val="3Bodytext"/>
        <w:numPr>
          <w:ilvl w:val="0"/>
          <w:numId w:val="0"/>
        </w:numPr>
        <w:ind w:left="720"/>
        <w:jc w:val="both"/>
        <w:rPr>
          <w:i/>
        </w:rPr>
      </w:pPr>
      <w:r w:rsidRPr="00572C9E">
        <w:rPr>
          <w:i/>
        </w:rPr>
        <w:t>For more detail on PBAC’s view, see section 6 PBAC outcome.</w:t>
      </w:r>
    </w:p>
    <w:p w14:paraId="0F0C7498" w14:textId="77777777" w:rsidR="00B17EE5" w:rsidRPr="00572C9E" w:rsidRDefault="00B17EE5" w:rsidP="00917D69">
      <w:pPr>
        <w:pStyle w:val="2-SectionHeading"/>
      </w:pPr>
      <w:r w:rsidRPr="00572C9E">
        <w:lastRenderedPageBreak/>
        <w:t>Requested listing</w:t>
      </w:r>
    </w:p>
    <w:p w14:paraId="6BE1ACC7" w14:textId="77777777" w:rsidR="007743DD" w:rsidRPr="0088295C" w:rsidRDefault="00B17EE5" w:rsidP="00186F52">
      <w:pPr>
        <w:pStyle w:val="3Bodytext"/>
        <w:jc w:val="both"/>
      </w:pPr>
      <w:r w:rsidRPr="00572C9E">
        <w:t xml:space="preserve">The submission requested </w:t>
      </w:r>
      <w:bookmarkStart w:id="2" w:name="_Toc535915928"/>
      <w:r w:rsidR="00662CCB" w:rsidRPr="00572C9E">
        <w:t xml:space="preserve">that </w:t>
      </w:r>
      <w:r w:rsidR="00203230" w:rsidRPr="00572C9E">
        <w:t xml:space="preserve">the matrices of direct-acting antiviral (DAA) regimens within </w:t>
      </w:r>
      <w:r w:rsidR="00064321" w:rsidRPr="00572C9E">
        <w:t>the General</w:t>
      </w:r>
      <w:r w:rsidR="00203230" w:rsidRPr="00572C9E">
        <w:t xml:space="preserve"> Statement </w:t>
      </w:r>
      <w:r w:rsidR="00694B97" w:rsidRPr="00572C9E">
        <w:t xml:space="preserve">be </w:t>
      </w:r>
      <w:r w:rsidR="00662CCB" w:rsidRPr="00572C9E">
        <w:t xml:space="preserve">updated to </w:t>
      </w:r>
      <w:r w:rsidR="00203230" w:rsidRPr="0088295C">
        <w:t xml:space="preserve">change the duration of a course of </w:t>
      </w:r>
      <w:r w:rsidR="00613AE2" w:rsidRPr="00572C9E">
        <w:t>GLE/PIB</w:t>
      </w:r>
      <w:r w:rsidR="00203230" w:rsidRPr="00572C9E">
        <w:t xml:space="preserve"> </w:t>
      </w:r>
      <w:r w:rsidR="00203230" w:rsidRPr="0088295C">
        <w:t>treatment GT1-6 CHC</w:t>
      </w:r>
      <w:r w:rsidR="004D26B7" w:rsidRPr="0088295C">
        <w:t xml:space="preserve"> TN/CC</w:t>
      </w:r>
      <w:r w:rsidR="00203230" w:rsidRPr="0088295C">
        <w:t xml:space="preserve"> patients from 12 weeks to 8 weeks. </w:t>
      </w:r>
      <w:r w:rsidR="00662CCB" w:rsidRPr="0088295C">
        <w:t>The requested change is shown in Table 1.</w:t>
      </w:r>
    </w:p>
    <w:p w14:paraId="4BAE4C06" w14:textId="77777777" w:rsidR="00662CCB" w:rsidRPr="00572C9E" w:rsidRDefault="00662CCB" w:rsidP="00186F52">
      <w:pPr>
        <w:pStyle w:val="Tabletitles"/>
        <w:spacing w:after="0"/>
        <w:rPr>
          <w:b w:val="0"/>
          <w:i/>
          <w:iCs/>
        </w:rPr>
      </w:pPr>
      <w:r w:rsidRPr="00572C9E">
        <w:t xml:space="preserve">Table 1: </w:t>
      </w:r>
      <w:r w:rsidR="002A3F7C" w:rsidRPr="00572C9E">
        <w:t>Proposed revised treatment matrix</w:t>
      </w:r>
    </w:p>
    <w:tbl>
      <w:tblPr>
        <w:tblStyle w:val="Summarybox1"/>
        <w:tblpPr w:leftFromText="180" w:rightFromText="180" w:vertAnchor="text" w:horzAnchor="margin" w:tblpX="108" w:tblpY="120"/>
        <w:tblW w:w="5000" w:type="pct"/>
        <w:tblLook w:val="04A0" w:firstRow="1" w:lastRow="0" w:firstColumn="1" w:lastColumn="0" w:noHBand="0" w:noVBand="1"/>
        <w:tblCaption w:val="Table 1 Treatment Matrix"/>
      </w:tblPr>
      <w:tblGrid>
        <w:gridCol w:w="1690"/>
        <w:gridCol w:w="3666"/>
        <w:gridCol w:w="3660"/>
      </w:tblGrid>
      <w:tr w:rsidR="00662CCB" w:rsidRPr="00572C9E" w14:paraId="46570AF0" w14:textId="77777777" w:rsidTr="00DB337B">
        <w:trPr>
          <w:trHeight w:val="332"/>
          <w:tblHeader/>
        </w:trPr>
        <w:tc>
          <w:tcPr>
            <w:tcW w:w="5000" w:type="pct"/>
            <w:gridSpan w:val="3"/>
            <w:tcBorders>
              <w:top w:val="single" w:sz="4" w:space="0" w:color="auto"/>
            </w:tcBorders>
            <w:shd w:val="clear" w:color="auto" w:fill="auto"/>
            <w:vAlign w:val="center"/>
          </w:tcPr>
          <w:p w14:paraId="78A75439" w14:textId="77777777" w:rsidR="00662CCB" w:rsidRPr="00572C9E" w:rsidRDefault="00662CCB" w:rsidP="00662CCB">
            <w:pPr>
              <w:keepNext/>
              <w:widowControl w:val="0"/>
              <w:spacing w:before="40" w:after="120"/>
              <w:jc w:val="center"/>
              <w:rPr>
                <w:rFonts w:ascii="Arial Narrow" w:eastAsia="Calibri" w:hAnsi="Arial Narrow" w:cs="Arial"/>
                <w:b/>
                <w:iCs/>
                <w:sz w:val="20"/>
                <w:szCs w:val="20"/>
                <w:u w:val="single"/>
                <w:lang w:eastAsia="en-US"/>
              </w:rPr>
            </w:pPr>
            <w:r w:rsidRPr="00572C9E">
              <w:rPr>
                <w:rFonts w:ascii="Arial Narrow" w:eastAsia="Calibri" w:hAnsi="Arial Narrow" w:cs="Arial"/>
                <w:b/>
                <w:bCs/>
                <w:iCs/>
                <w:sz w:val="20"/>
                <w:szCs w:val="20"/>
                <w:lang w:eastAsia="en-US"/>
              </w:rPr>
              <w:t xml:space="preserve">Hepatitis C – Cirrhotic </w:t>
            </w:r>
            <w:proofErr w:type="spellStart"/>
            <w:r w:rsidRPr="00572C9E">
              <w:rPr>
                <w:rFonts w:ascii="Arial Narrow" w:eastAsia="Calibri" w:hAnsi="Arial Narrow" w:cs="Arial"/>
                <w:b/>
                <w:bCs/>
                <w:iCs/>
                <w:sz w:val="20"/>
                <w:szCs w:val="20"/>
                <w:lang w:eastAsia="en-US"/>
              </w:rPr>
              <w:t>patients</w:t>
            </w:r>
            <w:r w:rsidR="00DE165C" w:rsidRPr="00572C9E">
              <w:rPr>
                <w:rFonts w:ascii="Arial Narrow" w:eastAsia="Calibri" w:hAnsi="Arial Narrow" w:cs="Arial"/>
                <w:b/>
                <w:bCs/>
                <w:iCs/>
                <w:sz w:val="20"/>
                <w:szCs w:val="20"/>
                <w:vertAlign w:val="superscript"/>
                <w:lang w:eastAsia="en-US"/>
              </w:rPr>
              <w:t>a</w:t>
            </w:r>
            <w:proofErr w:type="spellEnd"/>
          </w:p>
        </w:tc>
      </w:tr>
      <w:tr w:rsidR="00662CCB" w:rsidRPr="00572C9E" w14:paraId="655343C4" w14:textId="77777777" w:rsidTr="005F7ADC">
        <w:trPr>
          <w:trHeight w:val="332"/>
        </w:trPr>
        <w:tc>
          <w:tcPr>
            <w:tcW w:w="937" w:type="pct"/>
            <w:tcBorders>
              <w:top w:val="single" w:sz="4" w:space="0" w:color="auto"/>
            </w:tcBorders>
            <w:shd w:val="clear" w:color="auto" w:fill="auto"/>
            <w:vAlign w:val="center"/>
          </w:tcPr>
          <w:p w14:paraId="144B7953" w14:textId="77777777" w:rsidR="00662CCB" w:rsidRPr="00572C9E" w:rsidRDefault="00662CCB" w:rsidP="00662CCB">
            <w:pPr>
              <w:keepNext/>
              <w:widowControl w:val="0"/>
              <w:spacing w:after="120"/>
              <w:jc w:val="center"/>
              <w:rPr>
                <w:rFonts w:ascii="Arial Narrow" w:hAnsi="Arial Narrow" w:cs="Arial"/>
                <w:iCs/>
                <w:color w:val="000000"/>
                <w:sz w:val="20"/>
                <w:szCs w:val="20"/>
                <w:lang w:eastAsia="en-US"/>
              </w:rPr>
            </w:pPr>
          </w:p>
        </w:tc>
        <w:tc>
          <w:tcPr>
            <w:tcW w:w="2033" w:type="pct"/>
            <w:tcBorders>
              <w:top w:val="single" w:sz="4" w:space="0" w:color="auto"/>
            </w:tcBorders>
            <w:shd w:val="clear" w:color="auto" w:fill="auto"/>
            <w:vAlign w:val="center"/>
          </w:tcPr>
          <w:p w14:paraId="2E7A1A5A" w14:textId="77777777" w:rsidR="00662CCB" w:rsidRPr="00572C9E" w:rsidRDefault="00662CCB" w:rsidP="00662CCB">
            <w:pPr>
              <w:keepNext/>
              <w:widowControl w:val="0"/>
              <w:spacing w:before="40" w:after="120"/>
              <w:jc w:val="center"/>
              <w:rPr>
                <w:rFonts w:ascii="Arial Narrow" w:eastAsia="Calibri" w:hAnsi="Arial Narrow" w:cs="Arial"/>
                <w:b/>
                <w:iCs/>
                <w:sz w:val="20"/>
                <w:szCs w:val="20"/>
                <w:lang w:eastAsia="en-US"/>
              </w:rPr>
            </w:pPr>
            <w:r w:rsidRPr="00572C9E">
              <w:rPr>
                <w:rFonts w:ascii="Arial Narrow" w:eastAsia="Calibri" w:hAnsi="Arial Narrow" w:cs="Arial"/>
                <w:b/>
                <w:iCs/>
                <w:sz w:val="20"/>
                <w:szCs w:val="20"/>
                <w:lang w:eastAsia="en-US"/>
              </w:rPr>
              <w:t>Treatment naïve</w:t>
            </w:r>
          </w:p>
        </w:tc>
        <w:tc>
          <w:tcPr>
            <w:tcW w:w="2030" w:type="pct"/>
            <w:tcBorders>
              <w:top w:val="single" w:sz="4" w:space="0" w:color="auto"/>
            </w:tcBorders>
            <w:shd w:val="clear" w:color="auto" w:fill="auto"/>
            <w:vAlign w:val="center"/>
          </w:tcPr>
          <w:p w14:paraId="1D51C730" w14:textId="77777777" w:rsidR="00662CCB" w:rsidRPr="00572C9E" w:rsidRDefault="00662CCB" w:rsidP="00662CCB">
            <w:pPr>
              <w:keepNext/>
              <w:widowControl w:val="0"/>
              <w:spacing w:before="40" w:after="120"/>
              <w:jc w:val="center"/>
              <w:rPr>
                <w:rFonts w:ascii="Arial Narrow" w:eastAsia="Calibri" w:hAnsi="Arial Narrow" w:cs="Arial"/>
                <w:b/>
                <w:iCs/>
                <w:sz w:val="20"/>
                <w:szCs w:val="20"/>
                <w:lang w:eastAsia="en-US"/>
              </w:rPr>
            </w:pPr>
            <w:r w:rsidRPr="00572C9E">
              <w:rPr>
                <w:rFonts w:ascii="Arial Narrow" w:eastAsia="Calibri" w:hAnsi="Arial Narrow" w:cs="Arial"/>
                <w:b/>
                <w:iCs/>
                <w:sz w:val="20"/>
                <w:szCs w:val="20"/>
                <w:lang w:eastAsia="en-US"/>
              </w:rPr>
              <w:t>Treatment experienced</w:t>
            </w:r>
          </w:p>
        </w:tc>
      </w:tr>
      <w:tr w:rsidR="00662CCB" w:rsidRPr="00572C9E" w14:paraId="6CEDBF07" w14:textId="77777777" w:rsidTr="005F7ADC">
        <w:trPr>
          <w:trHeight w:val="332"/>
        </w:trPr>
        <w:tc>
          <w:tcPr>
            <w:tcW w:w="937" w:type="pct"/>
            <w:shd w:val="clear" w:color="auto" w:fill="auto"/>
            <w:vAlign w:val="center"/>
          </w:tcPr>
          <w:p w14:paraId="465BB369" w14:textId="77777777" w:rsidR="00662CCB" w:rsidRPr="00572C9E" w:rsidRDefault="00662CCB" w:rsidP="00662CCB">
            <w:pPr>
              <w:keepNext/>
              <w:widowControl w:val="0"/>
              <w:jc w:val="center"/>
              <w:rPr>
                <w:rFonts w:ascii="Arial Narrow" w:hAnsi="Arial Narrow" w:cs="Arial"/>
                <w:b/>
                <w:iCs/>
                <w:color w:val="000000"/>
                <w:sz w:val="20"/>
                <w:szCs w:val="20"/>
                <w:lang w:eastAsia="en-US"/>
              </w:rPr>
            </w:pPr>
            <w:r w:rsidRPr="00572C9E">
              <w:rPr>
                <w:rFonts w:ascii="Arial Narrow" w:hAnsi="Arial Narrow" w:cs="Arial"/>
                <w:b/>
                <w:iCs/>
                <w:color w:val="000000"/>
                <w:sz w:val="20"/>
                <w:szCs w:val="20"/>
                <w:lang w:eastAsia="en-US"/>
              </w:rPr>
              <w:t>All genotypes (Pan-genotypic regimens)</w:t>
            </w:r>
          </w:p>
        </w:tc>
        <w:tc>
          <w:tcPr>
            <w:tcW w:w="2033" w:type="pct"/>
            <w:shd w:val="clear" w:color="auto" w:fill="auto"/>
            <w:vAlign w:val="center"/>
          </w:tcPr>
          <w:p w14:paraId="46FE8AA0" w14:textId="77777777" w:rsidR="00662CCB" w:rsidRPr="00572C9E" w:rsidRDefault="00662CCB" w:rsidP="00662CCB">
            <w:pPr>
              <w:keepNext/>
              <w:widowControl w:val="0"/>
              <w:spacing w:before="40"/>
              <w:jc w:val="center"/>
              <w:rPr>
                <w:rFonts w:ascii="Arial Narrow" w:eastAsia="Calibri" w:hAnsi="Arial Narrow" w:cs="Arial"/>
                <w:bCs/>
                <w:iCs/>
                <w:sz w:val="20"/>
                <w:szCs w:val="20"/>
                <w:lang w:eastAsia="en-US"/>
              </w:rPr>
            </w:pPr>
            <w:r w:rsidRPr="00572C9E">
              <w:rPr>
                <w:rFonts w:ascii="Arial Narrow" w:eastAsia="Calibri" w:hAnsi="Arial Narrow" w:cs="Arial"/>
                <w:bCs/>
                <w:iCs/>
                <w:sz w:val="20"/>
                <w:szCs w:val="20"/>
                <w:lang w:eastAsia="en-US"/>
              </w:rPr>
              <w:t>GLECAPREVIR + PIBRENTASVIR</w:t>
            </w:r>
          </w:p>
          <w:p w14:paraId="2E1900E8" w14:textId="77777777" w:rsidR="00662CCB" w:rsidRPr="00572C9E" w:rsidRDefault="00662CCB" w:rsidP="00662CCB">
            <w:pPr>
              <w:keepNext/>
              <w:widowControl w:val="0"/>
              <w:spacing w:before="40"/>
              <w:jc w:val="center"/>
              <w:rPr>
                <w:rFonts w:ascii="Arial Narrow" w:eastAsia="Calibri" w:hAnsi="Arial Narrow" w:cs="Arial"/>
                <w:bCs/>
                <w:iCs/>
                <w:sz w:val="20"/>
                <w:szCs w:val="20"/>
                <w:lang w:eastAsia="en-US"/>
              </w:rPr>
            </w:pPr>
            <w:r w:rsidRPr="00572C9E">
              <w:rPr>
                <w:rFonts w:ascii="Arial Narrow" w:eastAsia="Calibri" w:hAnsi="Arial Narrow" w:cs="Arial"/>
                <w:bCs/>
                <w:iCs/>
                <w:sz w:val="20"/>
                <w:szCs w:val="20"/>
                <w:lang w:eastAsia="en-US"/>
              </w:rPr>
              <w:t>[</w:t>
            </w:r>
            <w:r w:rsidRPr="00572C9E">
              <w:rPr>
                <w:rFonts w:ascii="Arial Narrow" w:eastAsia="Calibri" w:hAnsi="Arial Narrow" w:cs="Arial"/>
                <w:bCs/>
                <w:iCs/>
                <w:strike/>
                <w:sz w:val="20"/>
                <w:szCs w:val="20"/>
                <w:lang w:eastAsia="en-US"/>
              </w:rPr>
              <w:t>12 weeks</w:t>
            </w:r>
            <w:r w:rsidRPr="00572C9E">
              <w:rPr>
                <w:rFonts w:ascii="Arial Narrow" w:eastAsia="Calibri" w:hAnsi="Arial Narrow" w:cs="Arial"/>
                <w:bCs/>
                <w:iCs/>
                <w:sz w:val="20"/>
                <w:szCs w:val="20"/>
                <w:lang w:eastAsia="en-US"/>
              </w:rPr>
              <w:t xml:space="preserve"> 8 weeks]</w:t>
            </w:r>
          </w:p>
        </w:tc>
        <w:tc>
          <w:tcPr>
            <w:tcW w:w="2030" w:type="pct"/>
            <w:shd w:val="clear" w:color="auto" w:fill="auto"/>
            <w:vAlign w:val="center"/>
          </w:tcPr>
          <w:p w14:paraId="10448386" w14:textId="77777777" w:rsidR="00662CCB" w:rsidRPr="00572C9E" w:rsidRDefault="00662CCB" w:rsidP="00662CCB">
            <w:pPr>
              <w:keepNext/>
              <w:widowControl w:val="0"/>
              <w:spacing w:before="40"/>
              <w:jc w:val="center"/>
              <w:rPr>
                <w:rFonts w:ascii="Arial Narrow" w:eastAsia="Calibri" w:hAnsi="Arial Narrow" w:cs="Arial"/>
                <w:bCs/>
                <w:iCs/>
                <w:sz w:val="20"/>
                <w:szCs w:val="20"/>
                <w:lang w:eastAsia="en-US"/>
              </w:rPr>
            </w:pPr>
            <w:r w:rsidRPr="00572C9E">
              <w:rPr>
                <w:rFonts w:ascii="Arial Narrow" w:eastAsia="Calibri" w:hAnsi="Arial Narrow" w:cs="Arial"/>
                <w:bCs/>
                <w:iCs/>
                <w:sz w:val="20"/>
                <w:szCs w:val="20"/>
                <w:lang w:eastAsia="en-US"/>
              </w:rPr>
              <w:t>GLECAPREVIR + PIBRENTASVIR</w:t>
            </w:r>
          </w:p>
          <w:p w14:paraId="2F766AD8" w14:textId="77777777" w:rsidR="00662CCB" w:rsidRPr="00572C9E" w:rsidRDefault="00662CCB" w:rsidP="00662CCB">
            <w:pPr>
              <w:keepNext/>
              <w:widowControl w:val="0"/>
              <w:spacing w:before="40"/>
              <w:jc w:val="center"/>
              <w:rPr>
                <w:rFonts w:ascii="Arial Narrow" w:eastAsia="Calibri" w:hAnsi="Arial Narrow" w:cs="Arial"/>
                <w:bCs/>
                <w:iCs/>
                <w:sz w:val="20"/>
                <w:szCs w:val="20"/>
                <w:lang w:eastAsia="en-US"/>
              </w:rPr>
            </w:pPr>
            <w:r w:rsidRPr="00572C9E">
              <w:rPr>
                <w:rFonts w:ascii="Arial Narrow" w:eastAsia="Calibri" w:hAnsi="Arial Narrow" w:cs="Arial"/>
                <w:bCs/>
                <w:iCs/>
                <w:sz w:val="20"/>
                <w:szCs w:val="20"/>
                <w:lang w:eastAsia="en-US"/>
              </w:rPr>
              <w:t>[12 or 16 weeks]</w:t>
            </w:r>
            <w:r w:rsidR="00DE165C" w:rsidRPr="00572C9E">
              <w:rPr>
                <w:rFonts w:ascii="Arial Narrow" w:eastAsia="Calibri" w:hAnsi="Arial Narrow" w:cs="Arial"/>
                <w:bCs/>
                <w:iCs/>
                <w:sz w:val="20"/>
                <w:szCs w:val="20"/>
                <w:vertAlign w:val="superscript"/>
                <w:lang w:eastAsia="en-US"/>
              </w:rPr>
              <w:t>b</w:t>
            </w:r>
          </w:p>
        </w:tc>
      </w:tr>
    </w:tbl>
    <w:p w14:paraId="77C65238" w14:textId="77777777" w:rsidR="00DE165C" w:rsidRPr="00572C9E" w:rsidRDefault="00662CCB" w:rsidP="00DE165C">
      <w:pPr>
        <w:pStyle w:val="TableFigureFooter"/>
        <w:rPr>
          <w:vertAlign w:val="superscript"/>
          <w:lang w:eastAsia="en-US"/>
        </w:rPr>
      </w:pPr>
      <w:proofErr w:type="gramStart"/>
      <w:r w:rsidRPr="00572C9E">
        <w:rPr>
          <w:vertAlign w:val="superscript"/>
          <w:lang w:eastAsia="en-US"/>
        </w:rPr>
        <w:t>a</w:t>
      </w:r>
      <w:proofErr w:type="gramEnd"/>
      <w:r w:rsidRPr="00572C9E">
        <w:rPr>
          <w:lang w:eastAsia="en-US"/>
        </w:rPr>
        <w:t xml:space="preserve"> </w:t>
      </w:r>
      <w:r w:rsidR="00DE165C" w:rsidRPr="00572C9E">
        <w:rPr>
          <w:lang w:eastAsia="en-US"/>
        </w:rPr>
        <w:t>GLE/PIB is not indicated for patients with decompensated cirrhosis.</w:t>
      </w:r>
      <w:r w:rsidR="00DE165C" w:rsidRPr="00572C9E">
        <w:rPr>
          <w:vertAlign w:val="superscript"/>
          <w:lang w:eastAsia="en-US"/>
        </w:rPr>
        <w:t xml:space="preserve"> </w:t>
      </w:r>
    </w:p>
    <w:p w14:paraId="0E4D3717" w14:textId="10280549" w:rsidR="00662CCB" w:rsidRPr="00572C9E" w:rsidRDefault="00DE165C" w:rsidP="00A83A19">
      <w:pPr>
        <w:pStyle w:val="TableFigureFooter"/>
        <w:rPr>
          <w:u w:val="single"/>
          <w:lang w:eastAsia="en-US"/>
        </w:rPr>
      </w:pPr>
      <w:r w:rsidRPr="00572C9E">
        <w:rPr>
          <w:vertAlign w:val="superscript"/>
          <w:lang w:eastAsia="en-US"/>
        </w:rPr>
        <w:t>b</w:t>
      </w:r>
      <w:r w:rsidRPr="00572C9E">
        <w:rPr>
          <w:lang w:eastAsia="en-US"/>
        </w:rPr>
        <w:t xml:space="preserve"> </w:t>
      </w:r>
      <w:r w:rsidR="00662CCB" w:rsidRPr="00572C9E">
        <w:rPr>
          <w:lang w:eastAsia="en-US"/>
        </w:rPr>
        <w:t>Refer to ‘General Statement for Drugs for the Treatment of Hepatitis C’ for treatment-experienced patients’</w:t>
      </w:r>
      <w:r w:rsidR="00091D85">
        <w:rPr>
          <w:lang w:eastAsia="en-US"/>
        </w:rPr>
        <w:t xml:space="preserve"> </w:t>
      </w:r>
      <w:r w:rsidR="00662CCB" w:rsidRPr="00572C9E">
        <w:rPr>
          <w:lang w:eastAsia="en-US"/>
        </w:rPr>
        <w:t>recommended GLE</w:t>
      </w:r>
      <w:r w:rsidRPr="00572C9E">
        <w:rPr>
          <w:lang w:eastAsia="en-US"/>
        </w:rPr>
        <w:t>/</w:t>
      </w:r>
      <w:r w:rsidR="00662CCB" w:rsidRPr="00572C9E">
        <w:rPr>
          <w:lang w:eastAsia="en-US"/>
        </w:rPr>
        <w:t>PIB treatment durations, dependent on HCV genot</w:t>
      </w:r>
      <w:r w:rsidR="00E04887" w:rsidRPr="00572C9E">
        <w:rPr>
          <w:lang w:eastAsia="en-US"/>
        </w:rPr>
        <w:t>y</w:t>
      </w:r>
      <w:r w:rsidR="00662CCB" w:rsidRPr="00572C9E">
        <w:rPr>
          <w:lang w:eastAsia="en-US"/>
        </w:rPr>
        <w:t xml:space="preserve">pe and specific prior failed treatment regimens. </w:t>
      </w:r>
      <w:r w:rsidR="00662CCB" w:rsidRPr="00572C9E">
        <w:rPr>
          <w:u w:val="single"/>
          <w:lang w:eastAsia="en-US"/>
        </w:rPr>
        <w:t>https://www.pbs.gov.au/info/healthpro/explanatory-notes/general-statement-hep-c</w:t>
      </w:r>
    </w:p>
    <w:p w14:paraId="434733DD" w14:textId="77777777" w:rsidR="00662CCB" w:rsidRPr="00572C9E" w:rsidRDefault="00662CCB" w:rsidP="00A83A19">
      <w:pPr>
        <w:pStyle w:val="TableFigureFooter"/>
        <w:rPr>
          <w:lang w:eastAsia="en-US"/>
        </w:rPr>
      </w:pPr>
      <w:r w:rsidRPr="00572C9E">
        <w:rPr>
          <w:lang w:eastAsia="en-US"/>
        </w:rPr>
        <w:t>Source: Table 1</w:t>
      </w:r>
      <w:r w:rsidR="003B0E53" w:rsidRPr="00572C9E">
        <w:rPr>
          <w:lang w:eastAsia="en-US"/>
        </w:rPr>
        <w:t>submission</w:t>
      </w:r>
      <w:r w:rsidRPr="00572C9E">
        <w:rPr>
          <w:lang w:eastAsia="en-US"/>
        </w:rPr>
        <w:t xml:space="preserve"> </w:t>
      </w:r>
    </w:p>
    <w:p w14:paraId="1D9D7C34" w14:textId="77777777" w:rsidR="00FB4AD9" w:rsidRPr="00572C9E" w:rsidRDefault="00C37576" w:rsidP="00692D66">
      <w:pPr>
        <w:pStyle w:val="3Bodytext"/>
        <w:jc w:val="both"/>
        <w:rPr>
          <w:rFonts w:cstheme="minorHAnsi"/>
          <w:color w:val="FF00FF"/>
        </w:rPr>
      </w:pPr>
      <w:r w:rsidRPr="00572C9E">
        <w:rPr>
          <w:rFonts w:cstheme="minorHAnsi"/>
        </w:rPr>
        <w:t xml:space="preserve">The </w:t>
      </w:r>
      <w:r w:rsidR="00E04887" w:rsidRPr="00572C9E">
        <w:rPr>
          <w:rFonts w:cstheme="minorHAnsi"/>
        </w:rPr>
        <w:t xml:space="preserve">requested </w:t>
      </w:r>
      <w:r w:rsidR="00613AE2" w:rsidRPr="00572C9E">
        <w:rPr>
          <w:rFonts w:cstheme="minorHAnsi"/>
        </w:rPr>
        <w:t>change would result in TN/CC patients utilising the 8-week PBS items</w:t>
      </w:r>
      <w:r w:rsidR="00DE165C" w:rsidRPr="00572C9E">
        <w:rPr>
          <w:rFonts w:cstheme="minorHAnsi"/>
        </w:rPr>
        <w:t xml:space="preserve"> for GLE/PIB</w:t>
      </w:r>
      <w:r w:rsidR="00613AE2" w:rsidRPr="00572C9E">
        <w:rPr>
          <w:rFonts w:cstheme="minorHAnsi"/>
        </w:rPr>
        <w:t xml:space="preserve"> (11332K, 11335P and 11353M) rather than the 12-week PBS items (11345D, 11346E and 11354N), however no change to individual PBS items would be required as the relevant requirements are outlined in the General Statement. The 12-week regimen will still be required </w:t>
      </w:r>
      <w:r w:rsidR="00CF14ED" w:rsidRPr="00572C9E">
        <w:rPr>
          <w:rFonts w:cstheme="minorHAnsi"/>
        </w:rPr>
        <w:t xml:space="preserve">for cirrhotic and non-cirrhotic patients with GT 1 who have failed an NS3/4A PI based regimen </w:t>
      </w:r>
      <w:r w:rsidR="00E04887" w:rsidRPr="00572C9E">
        <w:rPr>
          <w:rFonts w:cstheme="minorHAnsi"/>
        </w:rPr>
        <w:t xml:space="preserve">and </w:t>
      </w:r>
      <w:r w:rsidR="00CF14ED" w:rsidRPr="00572C9E">
        <w:rPr>
          <w:rFonts w:cstheme="minorHAnsi"/>
        </w:rPr>
        <w:t xml:space="preserve">for cirrhotic patients with GT 1, 2, 4, 5, 6 who have failed regimens containing </w:t>
      </w:r>
      <w:proofErr w:type="spellStart"/>
      <w:r w:rsidR="00CF14ED" w:rsidRPr="00572C9E">
        <w:rPr>
          <w:rFonts w:cstheme="minorHAnsi"/>
        </w:rPr>
        <w:t>peginterferon</w:t>
      </w:r>
      <w:proofErr w:type="spellEnd"/>
      <w:r w:rsidR="00CF14ED" w:rsidRPr="00572C9E">
        <w:rPr>
          <w:rFonts w:cstheme="minorHAnsi"/>
        </w:rPr>
        <w:t xml:space="preserve">, ribavirin and/or </w:t>
      </w:r>
      <w:proofErr w:type="spellStart"/>
      <w:r w:rsidR="00CF14ED" w:rsidRPr="00572C9E">
        <w:rPr>
          <w:rFonts w:cstheme="minorHAnsi"/>
        </w:rPr>
        <w:t>sofosbuvir</w:t>
      </w:r>
      <w:proofErr w:type="spellEnd"/>
      <w:r w:rsidR="00CF14ED" w:rsidRPr="00572C9E">
        <w:rPr>
          <w:rFonts w:cstheme="minorHAnsi"/>
        </w:rPr>
        <w:t xml:space="preserve"> but no prior experience with an NS3/4A PI or NS5A inhibitor.</w:t>
      </w:r>
    </w:p>
    <w:p w14:paraId="3DB2A557" w14:textId="77777777" w:rsidR="00DC5390" w:rsidRPr="00572C9E" w:rsidRDefault="00DC5390" w:rsidP="00DC5390">
      <w:pPr>
        <w:pStyle w:val="3Bodytext"/>
        <w:numPr>
          <w:ilvl w:val="0"/>
          <w:numId w:val="0"/>
        </w:numPr>
        <w:ind w:left="720"/>
        <w:jc w:val="both"/>
        <w:rPr>
          <w:rFonts w:cstheme="minorHAnsi"/>
          <w:color w:val="FF00FF"/>
        </w:rPr>
      </w:pPr>
      <w:r w:rsidRPr="00572C9E">
        <w:rPr>
          <w:i/>
        </w:rPr>
        <w:t>For more detail on PBAC’s view, see section 6 PBAC outcome.</w:t>
      </w:r>
    </w:p>
    <w:bookmarkEnd w:id="2"/>
    <w:p w14:paraId="097DDB44" w14:textId="77777777" w:rsidR="005A3173" w:rsidRPr="00572C9E" w:rsidRDefault="005A3173" w:rsidP="00917D69">
      <w:pPr>
        <w:pStyle w:val="2-SectionHeading"/>
        <w:rPr>
          <w:color w:val="FF0000"/>
        </w:rPr>
      </w:pPr>
      <w:r w:rsidRPr="00572C9E">
        <w:t>Comparator</w:t>
      </w:r>
      <w:r w:rsidR="0099465B" w:rsidRPr="00572C9E">
        <w:t xml:space="preserve"> </w:t>
      </w:r>
    </w:p>
    <w:p w14:paraId="3C517F51" w14:textId="77777777" w:rsidR="00C35996" w:rsidRPr="00572C9E" w:rsidRDefault="00FF2801" w:rsidP="00BC7762">
      <w:pPr>
        <w:pStyle w:val="3Bodytext"/>
        <w:jc w:val="both"/>
      </w:pPr>
      <w:r w:rsidRPr="00572C9E">
        <w:t>The minor submission nominated</w:t>
      </w:r>
      <w:r w:rsidR="00CB1193" w:rsidRPr="00572C9E">
        <w:t xml:space="preserve"> </w:t>
      </w:r>
      <w:r w:rsidR="001D1C95" w:rsidRPr="00572C9E">
        <w:t xml:space="preserve">the current </w:t>
      </w:r>
      <w:r w:rsidR="00692D66" w:rsidRPr="00572C9E">
        <w:t>twelve-week</w:t>
      </w:r>
      <w:r w:rsidR="001D1C95" w:rsidRPr="00572C9E">
        <w:t xml:space="preserve"> treatment regimen of </w:t>
      </w:r>
      <w:r w:rsidR="00DE165C" w:rsidRPr="00572C9E">
        <w:t>GLE/PIB</w:t>
      </w:r>
      <w:r w:rsidR="00CB1193" w:rsidRPr="00572C9E">
        <w:t xml:space="preserve"> as the main comparator</w:t>
      </w:r>
      <w:r w:rsidR="006219AE" w:rsidRPr="00572C9E">
        <w:t xml:space="preserve"> as this is the current PBS listed regimen</w:t>
      </w:r>
      <w:r w:rsidR="00476245" w:rsidRPr="00572C9E">
        <w:t>.</w:t>
      </w:r>
      <w:r w:rsidR="006219AE" w:rsidRPr="00572C9E">
        <w:t xml:space="preserve"> </w:t>
      </w:r>
    </w:p>
    <w:p w14:paraId="1D8E286F" w14:textId="77777777" w:rsidR="006C6DF4" w:rsidRPr="00572C9E" w:rsidRDefault="006C6DF4" w:rsidP="00BC7762">
      <w:pPr>
        <w:pStyle w:val="3Bodytext"/>
        <w:jc w:val="both"/>
      </w:pPr>
      <w:r w:rsidRPr="00572C9E">
        <w:t xml:space="preserve">The PBAC noted that any of the currently listed </w:t>
      </w:r>
      <w:r w:rsidR="009963EF" w:rsidRPr="00572C9E">
        <w:t>alternative pan-genotypic treatments were comparators for GLE/PIB, as well as noting that genotype specific treatments were secondary comparators for individual patient subgroups within the broader population.</w:t>
      </w:r>
    </w:p>
    <w:p w14:paraId="71B1F447" w14:textId="77777777" w:rsidR="00DC5390" w:rsidRPr="00572C9E" w:rsidRDefault="00DC5390" w:rsidP="00DC5390">
      <w:pPr>
        <w:pStyle w:val="3Bodytext"/>
        <w:numPr>
          <w:ilvl w:val="0"/>
          <w:numId w:val="0"/>
        </w:numPr>
        <w:ind w:left="720"/>
        <w:jc w:val="both"/>
      </w:pPr>
      <w:r w:rsidRPr="00572C9E">
        <w:rPr>
          <w:i/>
        </w:rPr>
        <w:t>For more detail on PBAC’s view, see section 6 PBAC outcome.</w:t>
      </w:r>
    </w:p>
    <w:p w14:paraId="52F52C59" w14:textId="77777777" w:rsidR="00356E5B" w:rsidRPr="00572C9E" w:rsidRDefault="008D7A41" w:rsidP="005F7ADC">
      <w:pPr>
        <w:pStyle w:val="2-SectionHeading"/>
      </w:pPr>
      <w:r w:rsidRPr="00572C9E">
        <w:t>C</w:t>
      </w:r>
      <w:r w:rsidR="00D84934" w:rsidRPr="00572C9E">
        <w:t>onsideration of the evidence</w:t>
      </w:r>
    </w:p>
    <w:p w14:paraId="22B3232F" w14:textId="77777777" w:rsidR="00DC5390" w:rsidRPr="00572C9E" w:rsidRDefault="00DC5390" w:rsidP="00DC5390">
      <w:pPr>
        <w:pStyle w:val="4-SubsectionHeading"/>
        <w:keepNext w:val="0"/>
        <w:rPr>
          <w:lang w:eastAsia="en-US"/>
        </w:rPr>
      </w:pPr>
      <w:r w:rsidRPr="00572C9E">
        <w:rPr>
          <w:lang w:eastAsia="en-US"/>
        </w:rPr>
        <w:t>Sponsor hearing</w:t>
      </w:r>
    </w:p>
    <w:p w14:paraId="4D59752D" w14:textId="77777777" w:rsidR="00DC5390" w:rsidRPr="00572C9E" w:rsidRDefault="00DC5390" w:rsidP="00BC7762">
      <w:pPr>
        <w:pStyle w:val="3Bodytext"/>
        <w:jc w:val="both"/>
        <w:rPr>
          <w:snapToGrid w:val="0"/>
        </w:rPr>
      </w:pPr>
      <w:r w:rsidRPr="00572C9E">
        <w:rPr>
          <w:snapToGrid w:val="0"/>
        </w:rPr>
        <w:t>There was no hearing for this item as it was a minor submission.</w:t>
      </w:r>
    </w:p>
    <w:p w14:paraId="7BF1148A" w14:textId="77777777" w:rsidR="00DC5390" w:rsidRPr="00572C9E" w:rsidRDefault="00DC5390" w:rsidP="00DC5390">
      <w:pPr>
        <w:pStyle w:val="4-SubsectionHeading"/>
        <w:keepNext w:val="0"/>
        <w:rPr>
          <w:lang w:eastAsia="en-US"/>
        </w:rPr>
      </w:pPr>
      <w:r w:rsidRPr="00572C9E">
        <w:rPr>
          <w:lang w:eastAsia="en-US"/>
        </w:rPr>
        <w:lastRenderedPageBreak/>
        <w:t>Consumer comments</w:t>
      </w:r>
    </w:p>
    <w:p w14:paraId="6AADE020" w14:textId="77777777" w:rsidR="00DC5390" w:rsidRPr="00572C9E" w:rsidRDefault="00DC5390" w:rsidP="00BC7762">
      <w:pPr>
        <w:pStyle w:val="3Bodytext"/>
        <w:jc w:val="both"/>
        <w:rPr>
          <w:lang w:eastAsia="en-US"/>
        </w:rPr>
      </w:pPr>
      <w:r w:rsidRPr="00572C9E">
        <w:rPr>
          <w:snapToGrid w:val="0"/>
        </w:rPr>
        <w:t>The PBAC noted that no consumer comments were received for this item.</w:t>
      </w:r>
    </w:p>
    <w:p w14:paraId="2B7C1E57" w14:textId="77777777" w:rsidR="00D84934" w:rsidRPr="00572C9E" w:rsidRDefault="00D84934" w:rsidP="00F37ECA">
      <w:pPr>
        <w:pStyle w:val="4-SubsectionHeading"/>
        <w:keepNext w:val="0"/>
        <w:rPr>
          <w:lang w:eastAsia="en-US"/>
        </w:rPr>
      </w:pPr>
      <w:r w:rsidRPr="00572C9E">
        <w:rPr>
          <w:lang w:eastAsia="en-US"/>
        </w:rPr>
        <w:t>Clinical trials</w:t>
      </w:r>
      <w:r w:rsidR="0099465B" w:rsidRPr="00572C9E">
        <w:rPr>
          <w:lang w:eastAsia="en-US"/>
        </w:rPr>
        <w:t xml:space="preserve"> </w:t>
      </w:r>
    </w:p>
    <w:p w14:paraId="53A4CCF7" w14:textId="77777777" w:rsidR="00CF14ED" w:rsidRPr="00572C9E" w:rsidRDefault="00980B0E" w:rsidP="00BC7762">
      <w:pPr>
        <w:pStyle w:val="3Bodytext"/>
      </w:pPr>
      <w:r w:rsidRPr="00572C9E">
        <w:t>The minor submission was based on</w:t>
      </w:r>
      <w:r w:rsidR="001D1C95" w:rsidRPr="00572C9E">
        <w:t xml:space="preserve"> EXPEDITION-8</w:t>
      </w:r>
      <w:r w:rsidR="004A58F0" w:rsidRPr="00572C9E">
        <w:t>:</w:t>
      </w:r>
      <w:r w:rsidR="001D1C95" w:rsidRPr="00572C9E">
        <w:t xml:space="preserve"> a single-arm, multicentre, phase 3b trial</w:t>
      </w:r>
      <w:r w:rsidR="001D1C95" w:rsidRPr="00572C9E">
        <w:rPr>
          <w:vertAlign w:val="superscript"/>
        </w:rPr>
        <w:t xml:space="preserve"> </w:t>
      </w:r>
      <w:r w:rsidR="001D1C95" w:rsidRPr="00572C9E">
        <w:t>that included 343 GT1-6 TN CC CHC subjects</w:t>
      </w:r>
      <w:r w:rsidR="00CF14ED" w:rsidRPr="00572C9E">
        <w:t xml:space="preserve"> with </w:t>
      </w:r>
      <w:r w:rsidR="00850476" w:rsidRPr="00572C9E">
        <w:t xml:space="preserve">sustained </w:t>
      </w:r>
      <w:proofErr w:type="spellStart"/>
      <w:r w:rsidR="00850476" w:rsidRPr="00572C9E">
        <w:t>virologic</w:t>
      </w:r>
      <w:proofErr w:type="spellEnd"/>
      <w:r w:rsidR="00850476" w:rsidRPr="00572C9E">
        <w:t xml:space="preserve"> response</w:t>
      </w:r>
      <w:r w:rsidR="00A83A19" w:rsidRPr="00572C9E">
        <w:t xml:space="preserve"> at</w:t>
      </w:r>
      <w:r w:rsidR="00850476" w:rsidRPr="00572C9E">
        <w:t xml:space="preserve"> 12-weeks (SVR12)</w:t>
      </w:r>
      <w:r w:rsidR="00CF14ED" w:rsidRPr="00572C9E">
        <w:t xml:space="preserve"> </w:t>
      </w:r>
      <w:r w:rsidR="00A83A19" w:rsidRPr="00572C9E">
        <w:t>after the completion of the</w:t>
      </w:r>
      <w:r w:rsidR="00912CCE" w:rsidRPr="00572C9E">
        <w:t xml:space="preserve"> 8-week</w:t>
      </w:r>
      <w:r w:rsidR="00A83A19" w:rsidRPr="00572C9E">
        <w:t xml:space="preserve"> treatment course.</w:t>
      </w:r>
    </w:p>
    <w:p w14:paraId="74580601" w14:textId="77777777" w:rsidR="00CF14ED" w:rsidRPr="00572C9E" w:rsidRDefault="00CF14ED" w:rsidP="00F8279F">
      <w:pPr>
        <w:pStyle w:val="Tabletitles"/>
      </w:pPr>
      <w:r w:rsidRPr="00572C9E">
        <w:t>Table</w:t>
      </w:r>
      <w:r w:rsidRPr="00572C9E">
        <w:rPr>
          <w:rFonts w:eastAsiaTheme="majorEastAsia"/>
        </w:rPr>
        <w:t xml:space="preserve"> 2: </w:t>
      </w:r>
      <w:r w:rsidRPr="00572C9E">
        <w:t>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3165"/>
        <w:gridCol w:w="4407"/>
      </w:tblGrid>
      <w:tr w:rsidR="00CF14ED" w:rsidRPr="00572C9E" w14:paraId="791F5404" w14:textId="77777777" w:rsidTr="005F7ADC">
        <w:trPr>
          <w:cantSplit/>
          <w:trHeight w:val="144"/>
          <w:tblHeader/>
        </w:trPr>
        <w:tc>
          <w:tcPr>
            <w:tcW w:w="801" w:type="pct"/>
          </w:tcPr>
          <w:p w14:paraId="6FEB523D" w14:textId="77777777" w:rsidR="00CF14ED" w:rsidRPr="00572C9E" w:rsidRDefault="00CF14ED" w:rsidP="00CF14ED">
            <w:pPr>
              <w:pStyle w:val="TableText0"/>
              <w:rPr>
                <w:b/>
              </w:rPr>
            </w:pPr>
            <w:r w:rsidRPr="00572C9E">
              <w:rPr>
                <w:b/>
              </w:rPr>
              <w:t>Trial ID</w:t>
            </w:r>
          </w:p>
        </w:tc>
        <w:tc>
          <w:tcPr>
            <w:tcW w:w="1755" w:type="pct"/>
          </w:tcPr>
          <w:p w14:paraId="31BEF45C" w14:textId="77777777" w:rsidR="00CF14ED" w:rsidRPr="00572C9E" w:rsidRDefault="00CF14ED" w:rsidP="00FA6C28">
            <w:pPr>
              <w:pStyle w:val="TableText0"/>
              <w:rPr>
                <w:b/>
              </w:rPr>
            </w:pPr>
            <w:r w:rsidRPr="00572C9E">
              <w:rPr>
                <w:b/>
              </w:rPr>
              <w:t>Protocol title/ Publication title</w:t>
            </w:r>
          </w:p>
        </w:tc>
        <w:tc>
          <w:tcPr>
            <w:tcW w:w="2443" w:type="pct"/>
          </w:tcPr>
          <w:p w14:paraId="05B12D31" w14:textId="77777777" w:rsidR="00CF14ED" w:rsidRPr="00572C9E" w:rsidRDefault="00CF14ED" w:rsidP="00FA6C28">
            <w:pPr>
              <w:pStyle w:val="TableText0"/>
              <w:rPr>
                <w:b/>
              </w:rPr>
            </w:pPr>
            <w:r w:rsidRPr="00572C9E">
              <w:rPr>
                <w:b/>
              </w:rPr>
              <w:t>Publication citation</w:t>
            </w:r>
          </w:p>
        </w:tc>
      </w:tr>
      <w:tr w:rsidR="00CF14ED" w:rsidRPr="00572C9E" w14:paraId="56CBF16B" w14:textId="77777777" w:rsidTr="005F7ADC">
        <w:trPr>
          <w:cantSplit/>
        </w:trPr>
        <w:tc>
          <w:tcPr>
            <w:tcW w:w="5000" w:type="pct"/>
            <w:gridSpan w:val="3"/>
          </w:tcPr>
          <w:p w14:paraId="41E70587" w14:textId="77777777" w:rsidR="00CF14ED" w:rsidRPr="00572C9E" w:rsidRDefault="00CF14ED" w:rsidP="00B35DB4">
            <w:pPr>
              <w:pStyle w:val="TableText0"/>
              <w:rPr>
                <w:b/>
              </w:rPr>
            </w:pPr>
            <w:r w:rsidRPr="00572C9E">
              <w:rPr>
                <w:b/>
              </w:rPr>
              <w:t>Non-randomised studies (</w:t>
            </w:r>
            <w:r w:rsidR="00B35DB4" w:rsidRPr="00572C9E">
              <w:rPr>
                <w:b/>
              </w:rPr>
              <w:t>single-arm Phase 3b study)</w:t>
            </w:r>
          </w:p>
        </w:tc>
      </w:tr>
      <w:tr w:rsidR="00CF14ED" w:rsidRPr="00572C9E" w14:paraId="2411FED3" w14:textId="77777777" w:rsidTr="005F7ADC">
        <w:trPr>
          <w:cantSplit/>
        </w:trPr>
        <w:tc>
          <w:tcPr>
            <w:tcW w:w="801" w:type="pct"/>
          </w:tcPr>
          <w:p w14:paraId="68F98CDB" w14:textId="77777777" w:rsidR="00CF14ED" w:rsidRPr="00572C9E" w:rsidRDefault="00CF14ED" w:rsidP="00FA6C28">
            <w:pPr>
              <w:pStyle w:val="TableText0"/>
            </w:pPr>
            <w:r w:rsidRPr="00572C9E">
              <w:t>EXPEDITON-8</w:t>
            </w:r>
          </w:p>
          <w:p w14:paraId="489D987B" w14:textId="77777777" w:rsidR="00CF14ED" w:rsidRPr="00572C9E" w:rsidRDefault="00CF14ED" w:rsidP="00FA6C28">
            <w:pPr>
              <w:pStyle w:val="TableText0"/>
              <w:rPr>
                <w:i/>
              </w:rPr>
            </w:pPr>
            <w:r w:rsidRPr="00572C9E">
              <w:t>NCT03089944 (clinicaltrials.gov identifier)</w:t>
            </w:r>
          </w:p>
        </w:tc>
        <w:tc>
          <w:tcPr>
            <w:tcW w:w="1755" w:type="pct"/>
          </w:tcPr>
          <w:p w14:paraId="60EF883D" w14:textId="77777777" w:rsidR="00CF14ED" w:rsidRPr="00572C9E" w:rsidRDefault="00CF14ED" w:rsidP="00FA6C28">
            <w:pPr>
              <w:pStyle w:val="TableText0"/>
            </w:pPr>
            <w:r w:rsidRPr="00572C9E">
              <w:t xml:space="preserve">A Study of </w:t>
            </w:r>
            <w:proofErr w:type="spellStart"/>
            <w:r w:rsidRPr="00572C9E">
              <w:t>Glecaprevir</w:t>
            </w:r>
            <w:proofErr w:type="spellEnd"/>
            <w:r w:rsidRPr="00572C9E">
              <w:t xml:space="preserve"> (GLE)/</w:t>
            </w:r>
            <w:proofErr w:type="spellStart"/>
            <w:r w:rsidRPr="00572C9E">
              <w:t>Pibrentasvir</w:t>
            </w:r>
            <w:proofErr w:type="spellEnd"/>
            <w:r w:rsidRPr="00572C9E">
              <w:t xml:space="preserve"> (PIB) in Treatment-Naive Adults With Chronic Hepatitis C Virus (HCV) Genotype 1-6 Infection and Compensated Cirrhosis (EXPEDITION-8)</w:t>
            </w:r>
          </w:p>
        </w:tc>
        <w:tc>
          <w:tcPr>
            <w:tcW w:w="2443" w:type="pct"/>
          </w:tcPr>
          <w:p w14:paraId="604A7908" w14:textId="77777777" w:rsidR="00CF14ED" w:rsidRPr="00572C9E" w:rsidRDefault="00B35DB4" w:rsidP="00F8279F">
            <w:pPr>
              <w:pStyle w:val="TableText0"/>
            </w:pPr>
            <w:r w:rsidRPr="00572C9E">
              <w:t xml:space="preserve">Brown </w:t>
            </w:r>
            <w:r w:rsidR="00F8279F" w:rsidRPr="00572C9E">
              <w:t>et al.</w:t>
            </w:r>
            <w:r w:rsidRPr="00572C9E">
              <w:t xml:space="preserve"> </w:t>
            </w:r>
            <w:proofErr w:type="spellStart"/>
            <w:r w:rsidRPr="00572C9E">
              <w:t>Glecaprevir</w:t>
            </w:r>
            <w:proofErr w:type="spellEnd"/>
            <w:r w:rsidRPr="00572C9E">
              <w:t>/</w:t>
            </w:r>
            <w:proofErr w:type="spellStart"/>
            <w:r w:rsidRPr="00572C9E">
              <w:t>pibrentasvir</w:t>
            </w:r>
            <w:proofErr w:type="spellEnd"/>
            <w:r w:rsidRPr="00572C9E">
              <w:t xml:space="preserve"> for 8 weeks in treatment-naïve patients with chronic HCV genotypes 1-6 and compensated cirrhosis: The EXPEDITION-8 trial. J </w:t>
            </w:r>
            <w:proofErr w:type="spellStart"/>
            <w:r w:rsidRPr="00572C9E">
              <w:t>Hepatol</w:t>
            </w:r>
            <w:proofErr w:type="spellEnd"/>
            <w:r w:rsidRPr="00572C9E">
              <w:t>. 2020 Mar</w:t>
            </w:r>
            <w:proofErr w:type="gramStart"/>
            <w:r w:rsidRPr="00572C9E">
              <w:t>;72</w:t>
            </w:r>
            <w:proofErr w:type="gramEnd"/>
            <w:r w:rsidRPr="00572C9E">
              <w:t xml:space="preserve">(3):441-449. </w:t>
            </w:r>
            <w:proofErr w:type="spellStart"/>
            <w:proofErr w:type="gramStart"/>
            <w:r w:rsidRPr="00572C9E">
              <w:t>doi</w:t>
            </w:r>
            <w:proofErr w:type="spellEnd"/>
            <w:proofErr w:type="gramEnd"/>
            <w:r w:rsidRPr="00572C9E">
              <w:t xml:space="preserve">: 10.1016/j.jhep.2019.10.020. </w:t>
            </w:r>
            <w:proofErr w:type="spellStart"/>
            <w:r w:rsidRPr="00572C9E">
              <w:t>Epub</w:t>
            </w:r>
            <w:proofErr w:type="spellEnd"/>
            <w:r w:rsidRPr="00572C9E">
              <w:t xml:space="preserve"> 2019 Nov 2.</w:t>
            </w:r>
          </w:p>
        </w:tc>
      </w:tr>
    </w:tbl>
    <w:p w14:paraId="6169B31A" w14:textId="77777777" w:rsidR="00CF14ED" w:rsidRPr="00572C9E" w:rsidRDefault="00CF14ED" w:rsidP="00CF14ED">
      <w:pPr>
        <w:pStyle w:val="3Bodytext"/>
        <w:numPr>
          <w:ilvl w:val="0"/>
          <w:numId w:val="0"/>
        </w:numPr>
        <w:ind w:left="720"/>
      </w:pPr>
    </w:p>
    <w:p w14:paraId="2F08CD1B" w14:textId="77777777" w:rsidR="005A3173" w:rsidRPr="00572C9E" w:rsidRDefault="007F0021" w:rsidP="00917D69">
      <w:pPr>
        <w:pStyle w:val="4-SubsectionHeading"/>
        <w:rPr>
          <w:lang w:eastAsia="en-US"/>
        </w:rPr>
      </w:pPr>
      <w:r w:rsidRPr="00572C9E">
        <w:rPr>
          <w:lang w:eastAsia="en-US"/>
        </w:rPr>
        <w:t xml:space="preserve">Comparative </w:t>
      </w:r>
      <w:r w:rsidR="005A3173" w:rsidRPr="00572C9E">
        <w:rPr>
          <w:lang w:eastAsia="en-US"/>
        </w:rPr>
        <w:t>effectiveness</w:t>
      </w:r>
    </w:p>
    <w:p w14:paraId="7FB1446B" w14:textId="77777777" w:rsidR="00064321" w:rsidRPr="005F7ADC" w:rsidRDefault="00850476" w:rsidP="005F7ADC">
      <w:pPr>
        <w:pStyle w:val="3Bodytext"/>
        <w:jc w:val="both"/>
      </w:pPr>
      <w:r w:rsidRPr="00572C9E">
        <w:t xml:space="preserve">The outcomes of the EXPEDITION-8 trial showed high efficacy for </w:t>
      </w:r>
      <w:r w:rsidR="00E04887" w:rsidRPr="00572C9E">
        <w:t xml:space="preserve">per protocol (PP) analyses and </w:t>
      </w:r>
      <w:r w:rsidRPr="00572C9E">
        <w:t>the pooled genotype intention-to-treat (ITT), with 99.7% of the PP population (N=335) and 97.7% (N=343) of the ITT population achieving SVR12. The pooled genotype study results are presented in Table 3 below.</w:t>
      </w:r>
    </w:p>
    <w:p w14:paraId="4E9AC53D" w14:textId="77777777" w:rsidR="00DE7D3E" w:rsidRPr="00572C9E" w:rsidRDefault="00DE7D3E" w:rsidP="005F7ADC">
      <w:pPr>
        <w:pStyle w:val="Tabletitles"/>
        <w:keepNext/>
        <w:keepLines/>
      </w:pPr>
      <w:r w:rsidRPr="00572C9E">
        <w:t xml:space="preserve">Table </w:t>
      </w:r>
      <w:r w:rsidR="003B0E53" w:rsidRPr="00572C9E">
        <w:t>3</w:t>
      </w:r>
      <w:r w:rsidRPr="00572C9E">
        <w:t>: EXPEDITION-8 SVR12 Efficacy endpoints – GT1-6</w:t>
      </w:r>
    </w:p>
    <w:tbl>
      <w:tblPr>
        <w:tblStyle w:val="TableGrid"/>
        <w:tblW w:w="8027" w:type="dxa"/>
        <w:tblLayout w:type="fixed"/>
        <w:tblLook w:val="04A0" w:firstRow="1" w:lastRow="0" w:firstColumn="1" w:lastColumn="0" w:noHBand="0" w:noVBand="1"/>
        <w:tblCaption w:val="Table 3"/>
      </w:tblPr>
      <w:tblGrid>
        <w:gridCol w:w="4531"/>
        <w:gridCol w:w="1748"/>
        <w:gridCol w:w="1748"/>
      </w:tblGrid>
      <w:tr w:rsidR="00F8279F" w:rsidRPr="005F7ADC" w14:paraId="5517036E" w14:textId="77777777" w:rsidTr="00DB337B">
        <w:trPr>
          <w:trHeight w:val="369"/>
          <w:tblHeader/>
        </w:trPr>
        <w:tc>
          <w:tcPr>
            <w:tcW w:w="4531" w:type="dxa"/>
            <w:tcBorders>
              <w:top w:val="single" w:sz="4" w:space="0" w:color="auto"/>
              <w:bottom w:val="single" w:sz="4" w:space="0" w:color="auto"/>
            </w:tcBorders>
            <w:shd w:val="clear" w:color="auto" w:fill="auto"/>
            <w:noWrap/>
          </w:tcPr>
          <w:p w14:paraId="228DA57B" w14:textId="77777777" w:rsidR="00F8279F" w:rsidRPr="005F7ADC" w:rsidRDefault="00F8279F" w:rsidP="005F7ADC">
            <w:pPr>
              <w:pStyle w:val="Tabletitles"/>
              <w:keepNext/>
              <w:keepLines/>
              <w:rPr>
                <w:b w:val="0"/>
                <w:szCs w:val="20"/>
              </w:rPr>
            </w:pPr>
          </w:p>
        </w:tc>
        <w:tc>
          <w:tcPr>
            <w:tcW w:w="1748" w:type="dxa"/>
            <w:tcBorders>
              <w:top w:val="single" w:sz="4" w:space="0" w:color="auto"/>
              <w:bottom w:val="single" w:sz="4" w:space="0" w:color="auto"/>
            </w:tcBorders>
            <w:shd w:val="clear" w:color="auto" w:fill="auto"/>
          </w:tcPr>
          <w:p w14:paraId="2F121DE0" w14:textId="77777777" w:rsidR="00F8279F" w:rsidRPr="005F7ADC" w:rsidRDefault="00F8279F" w:rsidP="005F7ADC">
            <w:pPr>
              <w:pStyle w:val="Tabletitles"/>
              <w:keepNext/>
              <w:keepLines/>
              <w:rPr>
                <w:szCs w:val="20"/>
              </w:rPr>
            </w:pPr>
            <w:r w:rsidRPr="005F7ADC">
              <w:rPr>
                <w:szCs w:val="20"/>
              </w:rPr>
              <w:t xml:space="preserve">GT1-6 </w:t>
            </w:r>
            <w:r w:rsidRPr="005F7ADC">
              <w:rPr>
                <w:szCs w:val="20"/>
              </w:rPr>
              <w:br/>
              <w:t>PP Population</w:t>
            </w:r>
          </w:p>
        </w:tc>
        <w:tc>
          <w:tcPr>
            <w:tcW w:w="1748" w:type="dxa"/>
            <w:tcBorders>
              <w:top w:val="single" w:sz="4" w:space="0" w:color="auto"/>
              <w:bottom w:val="single" w:sz="4" w:space="0" w:color="auto"/>
            </w:tcBorders>
            <w:shd w:val="clear" w:color="auto" w:fill="auto"/>
          </w:tcPr>
          <w:p w14:paraId="6510EB12" w14:textId="77777777" w:rsidR="00F8279F" w:rsidRPr="005F7ADC" w:rsidRDefault="00F8279F" w:rsidP="005F7ADC">
            <w:pPr>
              <w:pStyle w:val="Tabletitles"/>
              <w:keepNext/>
              <w:keepLines/>
              <w:rPr>
                <w:szCs w:val="20"/>
              </w:rPr>
            </w:pPr>
            <w:r w:rsidRPr="005F7ADC">
              <w:rPr>
                <w:szCs w:val="20"/>
              </w:rPr>
              <w:t xml:space="preserve">GT1-6 </w:t>
            </w:r>
            <w:r w:rsidRPr="005F7ADC">
              <w:rPr>
                <w:szCs w:val="20"/>
              </w:rPr>
              <w:br/>
              <w:t>ITT Population</w:t>
            </w:r>
          </w:p>
        </w:tc>
      </w:tr>
      <w:tr w:rsidR="00DE7D3E" w:rsidRPr="005F7ADC" w14:paraId="55124D14" w14:textId="77777777" w:rsidTr="00A83A19">
        <w:trPr>
          <w:trHeight w:val="53"/>
        </w:trPr>
        <w:tc>
          <w:tcPr>
            <w:tcW w:w="4531" w:type="dxa"/>
            <w:tcBorders>
              <w:bottom w:val="single" w:sz="4" w:space="0" w:color="auto"/>
            </w:tcBorders>
            <w:shd w:val="clear" w:color="auto" w:fill="auto"/>
            <w:noWrap/>
            <w:hideMark/>
          </w:tcPr>
          <w:p w14:paraId="6EEB7065" w14:textId="77777777" w:rsidR="00DE7D3E" w:rsidRPr="005F7ADC" w:rsidRDefault="00DE7D3E" w:rsidP="005F7ADC">
            <w:pPr>
              <w:pStyle w:val="Tabletitles"/>
              <w:keepNext/>
              <w:keepLines/>
              <w:rPr>
                <w:b w:val="0"/>
                <w:szCs w:val="20"/>
              </w:rPr>
            </w:pPr>
            <w:r w:rsidRPr="005F7ADC">
              <w:rPr>
                <w:b w:val="0"/>
                <w:szCs w:val="20"/>
              </w:rPr>
              <w:t>Patient population</w:t>
            </w:r>
          </w:p>
        </w:tc>
        <w:tc>
          <w:tcPr>
            <w:tcW w:w="1748" w:type="dxa"/>
            <w:tcBorders>
              <w:bottom w:val="single" w:sz="4" w:space="0" w:color="auto"/>
            </w:tcBorders>
            <w:shd w:val="clear" w:color="auto" w:fill="auto"/>
            <w:hideMark/>
          </w:tcPr>
          <w:p w14:paraId="5943BFF0" w14:textId="77777777" w:rsidR="00DE7D3E" w:rsidRPr="005F7ADC" w:rsidRDefault="00DE7D3E" w:rsidP="005F7ADC">
            <w:pPr>
              <w:pStyle w:val="Tabletitles"/>
              <w:keepNext/>
              <w:keepLines/>
              <w:rPr>
                <w:b w:val="0"/>
                <w:szCs w:val="20"/>
              </w:rPr>
            </w:pPr>
            <w:r w:rsidRPr="005F7ADC">
              <w:rPr>
                <w:b w:val="0"/>
                <w:szCs w:val="20"/>
              </w:rPr>
              <w:t>N=335</w:t>
            </w:r>
          </w:p>
        </w:tc>
        <w:tc>
          <w:tcPr>
            <w:tcW w:w="1748" w:type="dxa"/>
            <w:tcBorders>
              <w:bottom w:val="single" w:sz="4" w:space="0" w:color="auto"/>
            </w:tcBorders>
            <w:shd w:val="clear" w:color="auto" w:fill="auto"/>
            <w:hideMark/>
          </w:tcPr>
          <w:p w14:paraId="17272DBC" w14:textId="77777777" w:rsidR="00DE7D3E" w:rsidRPr="005F7ADC" w:rsidRDefault="00DE7D3E" w:rsidP="005F7ADC">
            <w:pPr>
              <w:pStyle w:val="Tabletitles"/>
              <w:keepNext/>
              <w:keepLines/>
              <w:rPr>
                <w:b w:val="0"/>
                <w:szCs w:val="20"/>
              </w:rPr>
            </w:pPr>
            <w:r w:rsidRPr="005F7ADC">
              <w:rPr>
                <w:b w:val="0"/>
                <w:szCs w:val="20"/>
              </w:rPr>
              <w:t>N=343</w:t>
            </w:r>
          </w:p>
        </w:tc>
      </w:tr>
      <w:tr w:rsidR="00DE7D3E" w:rsidRPr="005F7ADC" w14:paraId="028EDDB0" w14:textId="77777777" w:rsidTr="000819DF">
        <w:trPr>
          <w:trHeight w:val="300"/>
        </w:trPr>
        <w:tc>
          <w:tcPr>
            <w:tcW w:w="4531" w:type="dxa"/>
            <w:tcBorders>
              <w:bottom w:val="nil"/>
            </w:tcBorders>
            <w:shd w:val="clear" w:color="auto" w:fill="auto"/>
            <w:noWrap/>
            <w:hideMark/>
          </w:tcPr>
          <w:p w14:paraId="3A23D28E" w14:textId="77777777" w:rsidR="00DE7D3E" w:rsidRPr="005F7ADC" w:rsidRDefault="00DE7D3E" w:rsidP="005F7ADC">
            <w:pPr>
              <w:pStyle w:val="Tabletitles"/>
              <w:keepNext/>
              <w:keepLines/>
              <w:rPr>
                <w:b w:val="0"/>
                <w:szCs w:val="20"/>
              </w:rPr>
            </w:pPr>
            <w:r w:rsidRPr="005F7ADC">
              <w:rPr>
                <w:b w:val="0"/>
                <w:szCs w:val="20"/>
              </w:rPr>
              <w:t>SVR12</w:t>
            </w:r>
          </w:p>
          <w:p w14:paraId="0B5166B5" w14:textId="77777777" w:rsidR="00DE7D3E" w:rsidRPr="005F7ADC" w:rsidRDefault="00DE7D3E" w:rsidP="005F7ADC">
            <w:pPr>
              <w:pStyle w:val="Tabletitles"/>
              <w:keepNext/>
              <w:keepLines/>
              <w:rPr>
                <w:b w:val="0"/>
                <w:szCs w:val="20"/>
              </w:rPr>
            </w:pPr>
            <w:r w:rsidRPr="005F7ADC">
              <w:rPr>
                <w:b w:val="0"/>
                <w:szCs w:val="20"/>
              </w:rPr>
              <w:t>n/N</w:t>
            </w:r>
          </w:p>
        </w:tc>
        <w:tc>
          <w:tcPr>
            <w:tcW w:w="1748" w:type="dxa"/>
            <w:tcBorders>
              <w:bottom w:val="nil"/>
            </w:tcBorders>
            <w:shd w:val="clear" w:color="auto" w:fill="auto"/>
            <w:noWrap/>
            <w:hideMark/>
          </w:tcPr>
          <w:p w14:paraId="4CDDEE6B" w14:textId="77777777" w:rsidR="00DE7D3E" w:rsidRPr="005F7ADC" w:rsidRDefault="00DE7D3E" w:rsidP="005F7ADC">
            <w:pPr>
              <w:pStyle w:val="Tabletitles"/>
              <w:keepNext/>
              <w:keepLines/>
              <w:rPr>
                <w:b w:val="0"/>
                <w:szCs w:val="20"/>
              </w:rPr>
            </w:pPr>
            <w:r w:rsidRPr="005F7ADC">
              <w:rPr>
                <w:b w:val="0"/>
                <w:szCs w:val="20"/>
              </w:rPr>
              <w:t>99.7%</w:t>
            </w:r>
          </w:p>
          <w:p w14:paraId="79104F57" w14:textId="77777777" w:rsidR="00DE7D3E" w:rsidRPr="005F7ADC" w:rsidRDefault="00DE7D3E" w:rsidP="005F7ADC">
            <w:pPr>
              <w:pStyle w:val="Tabletitles"/>
              <w:keepNext/>
              <w:keepLines/>
              <w:rPr>
                <w:b w:val="0"/>
                <w:szCs w:val="20"/>
              </w:rPr>
            </w:pPr>
            <w:r w:rsidRPr="005F7ADC">
              <w:rPr>
                <w:b w:val="0"/>
                <w:szCs w:val="20"/>
              </w:rPr>
              <w:t>334/3</w:t>
            </w:r>
            <w:r w:rsidR="00F8279F" w:rsidRPr="005F7ADC">
              <w:rPr>
                <w:b w:val="0"/>
                <w:szCs w:val="20"/>
              </w:rPr>
              <w:t>3</w:t>
            </w:r>
            <w:r w:rsidRPr="005F7ADC">
              <w:rPr>
                <w:b w:val="0"/>
                <w:szCs w:val="20"/>
              </w:rPr>
              <w:t xml:space="preserve">5 </w:t>
            </w:r>
          </w:p>
        </w:tc>
        <w:tc>
          <w:tcPr>
            <w:tcW w:w="1748" w:type="dxa"/>
            <w:tcBorders>
              <w:bottom w:val="nil"/>
            </w:tcBorders>
            <w:shd w:val="clear" w:color="auto" w:fill="auto"/>
            <w:noWrap/>
            <w:hideMark/>
          </w:tcPr>
          <w:p w14:paraId="01C0BFF5" w14:textId="77777777" w:rsidR="00DE7D3E" w:rsidRPr="005F7ADC" w:rsidRDefault="00DE7D3E" w:rsidP="005F7ADC">
            <w:pPr>
              <w:pStyle w:val="Tabletitles"/>
              <w:keepNext/>
              <w:keepLines/>
              <w:rPr>
                <w:b w:val="0"/>
                <w:szCs w:val="20"/>
              </w:rPr>
            </w:pPr>
            <w:r w:rsidRPr="005F7ADC">
              <w:rPr>
                <w:b w:val="0"/>
                <w:szCs w:val="20"/>
              </w:rPr>
              <w:t>97.7%</w:t>
            </w:r>
          </w:p>
          <w:p w14:paraId="5A90DD83" w14:textId="77777777" w:rsidR="00DE7D3E" w:rsidRPr="005F7ADC" w:rsidRDefault="00DE7D3E" w:rsidP="005F7ADC">
            <w:pPr>
              <w:pStyle w:val="Tabletitles"/>
              <w:keepNext/>
              <w:keepLines/>
              <w:rPr>
                <w:b w:val="0"/>
                <w:szCs w:val="20"/>
              </w:rPr>
            </w:pPr>
            <w:r w:rsidRPr="005F7ADC">
              <w:rPr>
                <w:b w:val="0"/>
                <w:szCs w:val="20"/>
              </w:rPr>
              <w:t xml:space="preserve">335/343 </w:t>
            </w:r>
          </w:p>
        </w:tc>
      </w:tr>
      <w:tr w:rsidR="00DE7D3E" w:rsidRPr="005F7ADC" w14:paraId="6E5D1866" w14:textId="77777777" w:rsidTr="000819DF">
        <w:trPr>
          <w:trHeight w:val="300"/>
        </w:trPr>
        <w:tc>
          <w:tcPr>
            <w:tcW w:w="4531" w:type="dxa"/>
            <w:tcBorders>
              <w:top w:val="nil"/>
              <w:bottom w:val="single" w:sz="4" w:space="0" w:color="auto"/>
            </w:tcBorders>
            <w:shd w:val="clear" w:color="auto" w:fill="auto"/>
            <w:noWrap/>
            <w:hideMark/>
          </w:tcPr>
          <w:p w14:paraId="3DDB4D0E" w14:textId="77777777" w:rsidR="00DE7D3E" w:rsidRPr="005F7ADC" w:rsidRDefault="00DE7D3E" w:rsidP="005F7ADC">
            <w:pPr>
              <w:pStyle w:val="Tabletitles"/>
              <w:keepNext/>
              <w:keepLines/>
              <w:rPr>
                <w:b w:val="0"/>
                <w:szCs w:val="20"/>
              </w:rPr>
            </w:pPr>
            <w:r w:rsidRPr="005F7ADC">
              <w:rPr>
                <w:b w:val="0"/>
                <w:szCs w:val="20"/>
              </w:rPr>
              <w:t>95% CI</w:t>
            </w:r>
          </w:p>
        </w:tc>
        <w:tc>
          <w:tcPr>
            <w:tcW w:w="1748" w:type="dxa"/>
            <w:tcBorders>
              <w:top w:val="nil"/>
              <w:bottom w:val="single" w:sz="4" w:space="0" w:color="auto"/>
            </w:tcBorders>
            <w:shd w:val="clear" w:color="auto" w:fill="auto"/>
            <w:noWrap/>
            <w:hideMark/>
          </w:tcPr>
          <w:p w14:paraId="2127DAB2" w14:textId="77777777" w:rsidR="00DE7D3E" w:rsidRPr="005F7ADC" w:rsidRDefault="00DE7D3E" w:rsidP="005F7ADC">
            <w:pPr>
              <w:pStyle w:val="Tabletitles"/>
              <w:keepNext/>
              <w:keepLines/>
              <w:rPr>
                <w:b w:val="0"/>
                <w:szCs w:val="20"/>
              </w:rPr>
            </w:pPr>
            <w:r w:rsidRPr="005F7ADC">
              <w:rPr>
                <w:b w:val="0"/>
                <w:szCs w:val="20"/>
              </w:rPr>
              <w:t>98.3-99.9</w:t>
            </w:r>
          </w:p>
        </w:tc>
        <w:tc>
          <w:tcPr>
            <w:tcW w:w="1748" w:type="dxa"/>
            <w:tcBorders>
              <w:top w:val="nil"/>
              <w:bottom w:val="single" w:sz="4" w:space="0" w:color="auto"/>
            </w:tcBorders>
            <w:shd w:val="clear" w:color="auto" w:fill="auto"/>
            <w:noWrap/>
            <w:hideMark/>
          </w:tcPr>
          <w:p w14:paraId="10FDA985" w14:textId="77777777" w:rsidR="00DE7D3E" w:rsidRPr="005F7ADC" w:rsidRDefault="00DE7D3E" w:rsidP="005F7ADC">
            <w:pPr>
              <w:pStyle w:val="Tabletitles"/>
              <w:keepNext/>
              <w:keepLines/>
              <w:rPr>
                <w:b w:val="0"/>
                <w:szCs w:val="20"/>
              </w:rPr>
            </w:pPr>
            <w:r w:rsidRPr="005F7ADC">
              <w:rPr>
                <w:b w:val="0"/>
                <w:szCs w:val="20"/>
              </w:rPr>
              <w:t>96.1-99.3</w:t>
            </w:r>
          </w:p>
        </w:tc>
      </w:tr>
      <w:tr w:rsidR="00DE7D3E" w:rsidRPr="005F7ADC" w14:paraId="72CEA508" w14:textId="77777777" w:rsidTr="000819DF">
        <w:trPr>
          <w:trHeight w:val="300"/>
        </w:trPr>
        <w:tc>
          <w:tcPr>
            <w:tcW w:w="4531" w:type="dxa"/>
            <w:tcBorders>
              <w:bottom w:val="nil"/>
            </w:tcBorders>
            <w:shd w:val="clear" w:color="auto" w:fill="auto"/>
            <w:noWrap/>
            <w:hideMark/>
          </w:tcPr>
          <w:p w14:paraId="047DED08" w14:textId="77777777" w:rsidR="00DE7D3E" w:rsidRPr="005F7ADC" w:rsidRDefault="00DE7D3E" w:rsidP="005F7ADC">
            <w:pPr>
              <w:pStyle w:val="Tabletitles"/>
              <w:keepNext/>
              <w:keepLines/>
              <w:rPr>
                <w:b w:val="0"/>
                <w:szCs w:val="20"/>
              </w:rPr>
            </w:pPr>
            <w:r w:rsidRPr="005F7ADC">
              <w:rPr>
                <w:b w:val="0"/>
                <w:szCs w:val="20"/>
              </w:rPr>
              <w:t xml:space="preserve">Non-response* </w:t>
            </w:r>
          </w:p>
        </w:tc>
        <w:tc>
          <w:tcPr>
            <w:tcW w:w="1748" w:type="dxa"/>
            <w:tcBorders>
              <w:bottom w:val="nil"/>
            </w:tcBorders>
            <w:shd w:val="clear" w:color="auto" w:fill="auto"/>
            <w:noWrap/>
            <w:hideMark/>
          </w:tcPr>
          <w:p w14:paraId="6DFAF5A4" w14:textId="77777777" w:rsidR="00DE7D3E" w:rsidRPr="005F7ADC" w:rsidRDefault="00DE7D3E" w:rsidP="005F7ADC">
            <w:pPr>
              <w:pStyle w:val="Tabletitles"/>
              <w:keepNext/>
              <w:keepLines/>
              <w:rPr>
                <w:b w:val="0"/>
                <w:szCs w:val="20"/>
              </w:rPr>
            </w:pPr>
            <w:r w:rsidRPr="005F7ADC">
              <w:rPr>
                <w:b w:val="0"/>
                <w:szCs w:val="20"/>
              </w:rPr>
              <w:t xml:space="preserve">1/335 (0.3%) </w:t>
            </w:r>
          </w:p>
        </w:tc>
        <w:tc>
          <w:tcPr>
            <w:tcW w:w="1748" w:type="dxa"/>
            <w:tcBorders>
              <w:bottom w:val="nil"/>
            </w:tcBorders>
            <w:shd w:val="clear" w:color="auto" w:fill="auto"/>
            <w:noWrap/>
            <w:hideMark/>
          </w:tcPr>
          <w:p w14:paraId="4FAE7516" w14:textId="77777777" w:rsidR="00DE7D3E" w:rsidRPr="005F7ADC" w:rsidRDefault="00DE7D3E" w:rsidP="005F7ADC">
            <w:pPr>
              <w:pStyle w:val="Tabletitles"/>
              <w:keepNext/>
              <w:keepLines/>
              <w:rPr>
                <w:b w:val="0"/>
                <w:szCs w:val="20"/>
              </w:rPr>
            </w:pPr>
            <w:r w:rsidRPr="005F7ADC">
              <w:rPr>
                <w:b w:val="0"/>
                <w:szCs w:val="20"/>
              </w:rPr>
              <w:t xml:space="preserve">8/343 (2.3%) </w:t>
            </w:r>
          </w:p>
        </w:tc>
      </w:tr>
      <w:tr w:rsidR="00DE7D3E" w:rsidRPr="005F7ADC" w14:paraId="7AC5B863" w14:textId="77777777" w:rsidTr="000819DF">
        <w:trPr>
          <w:trHeight w:val="300"/>
        </w:trPr>
        <w:tc>
          <w:tcPr>
            <w:tcW w:w="4531" w:type="dxa"/>
            <w:tcBorders>
              <w:top w:val="nil"/>
              <w:bottom w:val="nil"/>
            </w:tcBorders>
            <w:shd w:val="clear" w:color="auto" w:fill="auto"/>
            <w:noWrap/>
            <w:hideMark/>
          </w:tcPr>
          <w:p w14:paraId="7C9E0E27" w14:textId="1F7C6516" w:rsidR="00DE7D3E" w:rsidRPr="005F7ADC" w:rsidRDefault="00091D85" w:rsidP="005F7ADC">
            <w:pPr>
              <w:pStyle w:val="Tabletitles"/>
              <w:keepNext/>
              <w:keepLines/>
              <w:rPr>
                <w:b w:val="0"/>
                <w:szCs w:val="20"/>
              </w:rPr>
            </w:pPr>
            <w:r>
              <w:rPr>
                <w:b w:val="0"/>
                <w:szCs w:val="20"/>
              </w:rPr>
              <w:t xml:space="preserve"> </w:t>
            </w:r>
            <w:proofErr w:type="spellStart"/>
            <w:r w:rsidR="00DE7D3E" w:rsidRPr="005F7ADC">
              <w:rPr>
                <w:b w:val="0"/>
                <w:szCs w:val="20"/>
              </w:rPr>
              <w:t>Virologic</w:t>
            </w:r>
            <w:proofErr w:type="spellEnd"/>
            <w:r w:rsidR="00DE7D3E" w:rsidRPr="005F7ADC">
              <w:rPr>
                <w:b w:val="0"/>
                <w:szCs w:val="20"/>
              </w:rPr>
              <w:t xml:space="preserve"> failure</w:t>
            </w:r>
          </w:p>
        </w:tc>
        <w:tc>
          <w:tcPr>
            <w:tcW w:w="1748" w:type="dxa"/>
            <w:tcBorders>
              <w:top w:val="nil"/>
              <w:bottom w:val="nil"/>
            </w:tcBorders>
            <w:shd w:val="clear" w:color="auto" w:fill="auto"/>
            <w:noWrap/>
          </w:tcPr>
          <w:p w14:paraId="5691DDE3" w14:textId="77777777" w:rsidR="00DE7D3E" w:rsidRPr="005F7ADC" w:rsidRDefault="00DE7D3E" w:rsidP="005F7ADC">
            <w:pPr>
              <w:pStyle w:val="Tabletitles"/>
              <w:keepNext/>
              <w:keepLines/>
              <w:rPr>
                <w:b w:val="0"/>
                <w:szCs w:val="20"/>
              </w:rPr>
            </w:pPr>
            <w:r w:rsidRPr="005F7ADC">
              <w:rPr>
                <w:b w:val="0"/>
                <w:szCs w:val="20"/>
              </w:rPr>
              <w:t>1/335 (0.3%)</w:t>
            </w:r>
          </w:p>
        </w:tc>
        <w:tc>
          <w:tcPr>
            <w:tcW w:w="1748" w:type="dxa"/>
            <w:tcBorders>
              <w:top w:val="nil"/>
              <w:bottom w:val="nil"/>
            </w:tcBorders>
            <w:shd w:val="clear" w:color="auto" w:fill="auto"/>
            <w:noWrap/>
          </w:tcPr>
          <w:p w14:paraId="34FA20B6" w14:textId="77777777" w:rsidR="00DE7D3E" w:rsidRPr="005F7ADC" w:rsidRDefault="00DE7D3E" w:rsidP="005F7ADC">
            <w:pPr>
              <w:pStyle w:val="Tabletitles"/>
              <w:keepNext/>
              <w:keepLines/>
              <w:rPr>
                <w:b w:val="0"/>
                <w:szCs w:val="20"/>
              </w:rPr>
            </w:pPr>
            <w:r w:rsidRPr="005F7ADC">
              <w:rPr>
                <w:b w:val="0"/>
                <w:szCs w:val="20"/>
              </w:rPr>
              <w:t xml:space="preserve">1/343 (0.3%) </w:t>
            </w:r>
          </w:p>
        </w:tc>
      </w:tr>
      <w:tr w:rsidR="00DE7D3E" w:rsidRPr="005F7ADC" w14:paraId="2DF30A57" w14:textId="77777777" w:rsidTr="000819DF">
        <w:trPr>
          <w:trHeight w:val="300"/>
        </w:trPr>
        <w:tc>
          <w:tcPr>
            <w:tcW w:w="4531" w:type="dxa"/>
            <w:tcBorders>
              <w:top w:val="nil"/>
              <w:bottom w:val="nil"/>
            </w:tcBorders>
            <w:shd w:val="clear" w:color="auto" w:fill="auto"/>
            <w:noWrap/>
          </w:tcPr>
          <w:p w14:paraId="0E3F98BE" w14:textId="77777777" w:rsidR="00DE7D3E" w:rsidRPr="005F7ADC" w:rsidRDefault="00DE7D3E" w:rsidP="005F7ADC">
            <w:pPr>
              <w:pStyle w:val="Tabletitles"/>
              <w:keepNext/>
              <w:keepLines/>
              <w:rPr>
                <w:b w:val="0"/>
                <w:szCs w:val="20"/>
              </w:rPr>
            </w:pPr>
            <w:r w:rsidRPr="005F7ADC">
              <w:rPr>
                <w:b w:val="0"/>
                <w:szCs w:val="20"/>
              </w:rPr>
              <w:t xml:space="preserve">On-treatment </w:t>
            </w:r>
            <w:proofErr w:type="spellStart"/>
            <w:r w:rsidRPr="005F7ADC">
              <w:rPr>
                <w:b w:val="0"/>
                <w:szCs w:val="20"/>
              </w:rPr>
              <w:t>virologic</w:t>
            </w:r>
            <w:proofErr w:type="spellEnd"/>
            <w:r w:rsidRPr="005F7ADC">
              <w:rPr>
                <w:b w:val="0"/>
                <w:szCs w:val="20"/>
              </w:rPr>
              <w:t xml:space="preserve"> failure</w:t>
            </w:r>
          </w:p>
        </w:tc>
        <w:tc>
          <w:tcPr>
            <w:tcW w:w="1748" w:type="dxa"/>
            <w:tcBorders>
              <w:top w:val="nil"/>
              <w:bottom w:val="nil"/>
            </w:tcBorders>
            <w:shd w:val="clear" w:color="auto" w:fill="auto"/>
            <w:noWrap/>
          </w:tcPr>
          <w:p w14:paraId="38D35E5B" w14:textId="77777777" w:rsidR="00DE7D3E" w:rsidRPr="005F7ADC" w:rsidRDefault="00DE7D3E" w:rsidP="005F7ADC">
            <w:pPr>
              <w:pStyle w:val="Tabletitles"/>
              <w:keepNext/>
              <w:keepLines/>
              <w:rPr>
                <w:b w:val="0"/>
                <w:szCs w:val="20"/>
              </w:rPr>
            </w:pPr>
            <w:r w:rsidRPr="005F7ADC">
              <w:rPr>
                <w:b w:val="0"/>
                <w:szCs w:val="20"/>
              </w:rPr>
              <w:t xml:space="preserve">0/335 </w:t>
            </w:r>
          </w:p>
        </w:tc>
        <w:tc>
          <w:tcPr>
            <w:tcW w:w="1748" w:type="dxa"/>
            <w:tcBorders>
              <w:top w:val="nil"/>
              <w:bottom w:val="nil"/>
            </w:tcBorders>
            <w:shd w:val="clear" w:color="auto" w:fill="auto"/>
            <w:noWrap/>
          </w:tcPr>
          <w:p w14:paraId="1FD79EC7" w14:textId="77777777" w:rsidR="00DE7D3E" w:rsidRPr="005F7ADC" w:rsidRDefault="00DE7D3E" w:rsidP="005F7ADC">
            <w:pPr>
              <w:pStyle w:val="Tabletitles"/>
              <w:keepNext/>
              <w:keepLines/>
              <w:rPr>
                <w:b w:val="0"/>
                <w:szCs w:val="20"/>
              </w:rPr>
            </w:pPr>
            <w:r w:rsidRPr="005F7ADC">
              <w:rPr>
                <w:b w:val="0"/>
                <w:szCs w:val="20"/>
              </w:rPr>
              <w:t xml:space="preserve">0/343 </w:t>
            </w:r>
          </w:p>
        </w:tc>
      </w:tr>
      <w:tr w:rsidR="00DE7D3E" w:rsidRPr="005F7ADC" w14:paraId="43FA4C15" w14:textId="77777777" w:rsidTr="000819DF">
        <w:trPr>
          <w:trHeight w:val="300"/>
        </w:trPr>
        <w:tc>
          <w:tcPr>
            <w:tcW w:w="4531" w:type="dxa"/>
            <w:tcBorders>
              <w:top w:val="nil"/>
              <w:bottom w:val="nil"/>
            </w:tcBorders>
            <w:shd w:val="clear" w:color="auto" w:fill="auto"/>
            <w:noWrap/>
            <w:hideMark/>
          </w:tcPr>
          <w:p w14:paraId="5FE08179" w14:textId="77777777" w:rsidR="00DE7D3E" w:rsidRPr="005F7ADC" w:rsidRDefault="00DE7D3E" w:rsidP="005F7ADC">
            <w:pPr>
              <w:pStyle w:val="Tabletitles"/>
              <w:keepNext/>
              <w:keepLines/>
              <w:rPr>
                <w:b w:val="0"/>
                <w:szCs w:val="20"/>
              </w:rPr>
            </w:pPr>
            <w:r w:rsidRPr="005F7ADC">
              <w:rPr>
                <w:b w:val="0"/>
                <w:szCs w:val="20"/>
              </w:rPr>
              <w:t>Relapse</w:t>
            </w:r>
          </w:p>
        </w:tc>
        <w:tc>
          <w:tcPr>
            <w:tcW w:w="1748" w:type="dxa"/>
            <w:tcBorders>
              <w:top w:val="nil"/>
              <w:bottom w:val="nil"/>
            </w:tcBorders>
            <w:shd w:val="clear" w:color="auto" w:fill="auto"/>
            <w:noWrap/>
            <w:hideMark/>
          </w:tcPr>
          <w:p w14:paraId="42D3DEF1" w14:textId="77777777" w:rsidR="00DE7D3E" w:rsidRPr="005F7ADC" w:rsidRDefault="00DE7D3E" w:rsidP="005F7ADC">
            <w:pPr>
              <w:pStyle w:val="Tabletitles"/>
              <w:keepNext/>
              <w:keepLines/>
              <w:rPr>
                <w:b w:val="0"/>
                <w:szCs w:val="20"/>
              </w:rPr>
            </w:pPr>
            <w:r w:rsidRPr="005F7ADC">
              <w:rPr>
                <w:b w:val="0"/>
                <w:szCs w:val="20"/>
              </w:rPr>
              <w:t xml:space="preserve">1/332 (0.3%) </w:t>
            </w:r>
          </w:p>
        </w:tc>
        <w:tc>
          <w:tcPr>
            <w:tcW w:w="1748" w:type="dxa"/>
            <w:tcBorders>
              <w:top w:val="nil"/>
              <w:bottom w:val="nil"/>
            </w:tcBorders>
            <w:shd w:val="clear" w:color="auto" w:fill="auto"/>
            <w:noWrap/>
            <w:hideMark/>
          </w:tcPr>
          <w:p w14:paraId="551C912D" w14:textId="77777777" w:rsidR="00DE7D3E" w:rsidRPr="005F7ADC" w:rsidRDefault="00DE7D3E" w:rsidP="005F7ADC">
            <w:pPr>
              <w:pStyle w:val="Tabletitles"/>
              <w:keepNext/>
              <w:keepLines/>
              <w:rPr>
                <w:b w:val="0"/>
                <w:szCs w:val="20"/>
              </w:rPr>
            </w:pPr>
            <w:r w:rsidRPr="005F7ADC">
              <w:rPr>
                <w:b w:val="0"/>
                <w:szCs w:val="20"/>
              </w:rPr>
              <w:t xml:space="preserve">1/336 (0.3%) </w:t>
            </w:r>
          </w:p>
        </w:tc>
      </w:tr>
      <w:tr w:rsidR="00DE7D3E" w:rsidRPr="005F7ADC" w14:paraId="714D60B3" w14:textId="77777777" w:rsidTr="000819DF">
        <w:trPr>
          <w:trHeight w:val="300"/>
        </w:trPr>
        <w:tc>
          <w:tcPr>
            <w:tcW w:w="4531" w:type="dxa"/>
            <w:tcBorders>
              <w:top w:val="nil"/>
              <w:bottom w:val="nil"/>
            </w:tcBorders>
            <w:shd w:val="clear" w:color="auto" w:fill="auto"/>
            <w:noWrap/>
            <w:hideMark/>
          </w:tcPr>
          <w:p w14:paraId="74458835" w14:textId="7A35FB41" w:rsidR="00DE7D3E" w:rsidRPr="005F7ADC" w:rsidRDefault="00091D85" w:rsidP="005F7ADC">
            <w:pPr>
              <w:pStyle w:val="Tabletitles"/>
              <w:keepNext/>
              <w:keepLines/>
              <w:rPr>
                <w:b w:val="0"/>
                <w:szCs w:val="20"/>
              </w:rPr>
            </w:pPr>
            <w:r>
              <w:rPr>
                <w:b w:val="0"/>
                <w:szCs w:val="20"/>
              </w:rPr>
              <w:t xml:space="preserve"> </w:t>
            </w:r>
            <w:r w:rsidR="00DE7D3E" w:rsidRPr="005F7ADC">
              <w:rPr>
                <w:b w:val="0"/>
                <w:szCs w:val="20"/>
              </w:rPr>
              <w:t>Non-</w:t>
            </w:r>
            <w:proofErr w:type="spellStart"/>
            <w:r w:rsidR="00DE7D3E" w:rsidRPr="005F7ADC">
              <w:rPr>
                <w:b w:val="0"/>
                <w:szCs w:val="20"/>
              </w:rPr>
              <w:t>virologic</w:t>
            </w:r>
            <w:proofErr w:type="spellEnd"/>
            <w:r w:rsidR="00DE7D3E" w:rsidRPr="005F7ADC">
              <w:rPr>
                <w:b w:val="0"/>
                <w:szCs w:val="20"/>
              </w:rPr>
              <w:t xml:space="preserve"> failure</w:t>
            </w:r>
          </w:p>
        </w:tc>
        <w:tc>
          <w:tcPr>
            <w:tcW w:w="1748" w:type="dxa"/>
            <w:tcBorders>
              <w:top w:val="nil"/>
              <w:bottom w:val="nil"/>
            </w:tcBorders>
            <w:shd w:val="clear" w:color="auto" w:fill="auto"/>
            <w:noWrap/>
            <w:hideMark/>
          </w:tcPr>
          <w:p w14:paraId="2A875D81" w14:textId="77777777" w:rsidR="00DE7D3E" w:rsidRPr="005F7ADC" w:rsidRDefault="00DE7D3E" w:rsidP="005F7ADC">
            <w:pPr>
              <w:pStyle w:val="Tabletitles"/>
              <w:keepNext/>
              <w:keepLines/>
              <w:rPr>
                <w:b w:val="0"/>
                <w:szCs w:val="20"/>
              </w:rPr>
            </w:pPr>
            <w:r w:rsidRPr="005F7ADC">
              <w:rPr>
                <w:b w:val="0"/>
                <w:szCs w:val="20"/>
              </w:rPr>
              <w:t>0/335</w:t>
            </w:r>
          </w:p>
        </w:tc>
        <w:tc>
          <w:tcPr>
            <w:tcW w:w="1748" w:type="dxa"/>
            <w:tcBorders>
              <w:top w:val="nil"/>
              <w:bottom w:val="nil"/>
            </w:tcBorders>
            <w:shd w:val="clear" w:color="auto" w:fill="auto"/>
            <w:noWrap/>
            <w:hideMark/>
          </w:tcPr>
          <w:p w14:paraId="261AE845" w14:textId="77777777" w:rsidR="00DE7D3E" w:rsidRPr="005F7ADC" w:rsidRDefault="00DE7D3E" w:rsidP="005F7ADC">
            <w:pPr>
              <w:pStyle w:val="Tabletitles"/>
              <w:keepNext/>
              <w:keepLines/>
              <w:rPr>
                <w:b w:val="0"/>
                <w:szCs w:val="20"/>
              </w:rPr>
            </w:pPr>
            <w:r w:rsidRPr="005F7ADC">
              <w:rPr>
                <w:b w:val="0"/>
                <w:szCs w:val="20"/>
              </w:rPr>
              <w:t xml:space="preserve">7/343 (2%) </w:t>
            </w:r>
          </w:p>
        </w:tc>
      </w:tr>
      <w:tr w:rsidR="00DE7D3E" w:rsidRPr="005F7ADC" w14:paraId="2E9009CF" w14:textId="77777777" w:rsidTr="000819DF">
        <w:trPr>
          <w:trHeight w:val="103"/>
        </w:trPr>
        <w:tc>
          <w:tcPr>
            <w:tcW w:w="4531" w:type="dxa"/>
            <w:tcBorders>
              <w:top w:val="nil"/>
              <w:bottom w:val="nil"/>
            </w:tcBorders>
            <w:shd w:val="clear" w:color="auto" w:fill="auto"/>
            <w:noWrap/>
            <w:hideMark/>
          </w:tcPr>
          <w:p w14:paraId="4083B7BA" w14:textId="77777777" w:rsidR="00DE7D3E" w:rsidRPr="005F7ADC" w:rsidRDefault="00DE7D3E" w:rsidP="005F7ADC">
            <w:pPr>
              <w:pStyle w:val="Tabletitles"/>
              <w:keepNext/>
              <w:keepLines/>
              <w:rPr>
                <w:b w:val="0"/>
                <w:szCs w:val="20"/>
              </w:rPr>
            </w:pPr>
            <w:r w:rsidRPr="005F7ADC">
              <w:rPr>
                <w:b w:val="0"/>
                <w:szCs w:val="20"/>
              </w:rPr>
              <w:t xml:space="preserve">Premature discontinuation of study drug </w:t>
            </w:r>
          </w:p>
        </w:tc>
        <w:tc>
          <w:tcPr>
            <w:tcW w:w="1748" w:type="dxa"/>
            <w:tcBorders>
              <w:top w:val="nil"/>
              <w:bottom w:val="nil"/>
            </w:tcBorders>
            <w:shd w:val="clear" w:color="auto" w:fill="auto"/>
            <w:noWrap/>
            <w:hideMark/>
          </w:tcPr>
          <w:p w14:paraId="182C286C" w14:textId="77777777" w:rsidR="00DE7D3E" w:rsidRPr="005F7ADC" w:rsidRDefault="00DE7D3E" w:rsidP="005F7ADC">
            <w:pPr>
              <w:pStyle w:val="Tabletitles"/>
              <w:keepNext/>
              <w:keepLines/>
              <w:rPr>
                <w:b w:val="0"/>
                <w:szCs w:val="20"/>
              </w:rPr>
            </w:pPr>
            <w:r w:rsidRPr="005F7ADC">
              <w:rPr>
                <w:b w:val="0"/>
                <w:szCs w:val="20"/>
              </w:rPr>
              <w:t>0/335</w:t>
            </w:r>
          </w:p>
        </w:tc>
        <w:tc>
          <w:tcPr>
            <w:tcW w:w="1748" w:type="dxa"/>
            <w:tcBorders>
              <w:top w:val="nil"/>
              <w:bottom w:val="nil"/>
            </w:tcBorders>
            <w:shd w:val="clear" w:color="auto" w:fill="auto"/>
            <w:noWrap/>
            <w:hideMark/>
          </w:tcPr>
          <w:p w14:paraId="71178681" w14:textId="77777777" w:rsidR="00DE7D3E" w:rsidRPr="005F7ADC" w:rsidRDefault="00DE7D3E" w:rsidP="005F7ADC">
            <w:pPr>
              <w:pStyle w:val="Tabletitles"/>
              <w:keepNext/>
              <w:keepLines/>
              <w:rPr>
                <w:b w:val="0"/>
                <w:szCs w:val="20"/>
              </w:rPr>
            </w:pPr>
            <w:r w:rsidRPr="005F7ADC">
              <w:rPr>
                <w:b w:val="0"/>
                <w:szCs w:val="20"/>
              </w:rPr>
              <w:t>1/343 (0.3%)</w:t>
            </w:r>
          </w:p>
        </w:tc>
      </w:tr>
      <w:tr w:rsidR="00DE7D3E" w:rsidRPr="005F7ADC" w14:paraId="6F9AADFD" w14:textId="77777777" w:rsidTr="000819DF">
        <w:trPr>
          <w:trHeight w:val="300"/>
        </w:trPr>
        <w:tc>
          <w:tcPr>
            <w:tcW w:w="4531" w:type="dxa"/>
            <w:tcBorders>
              <w:top w:val="nil"/>
              <w:bottom w:val="nil"/>
            </w:tcBorders>
            <w:shd w:val="clear" w:color="auto" w:fill="auto"/>
            <w:noWrap/>
          </w:tcPr>
          <w:p w14:paraId="66D52948" w14:textId="77777777" w:rsidR="00DE7D3E" w:rsidRPr="005F7ADC" w:rsidRDefault="00DE7D3E" w:rsidP="005F7ADC">
            <w:pPr>
              <w:pStyle w:val="Tabletitles"/>
              <w:keepNext/>
              <w:keepLines/>
              <w:rPr>
                <w:b w:val="0"/>
                <w:szCs w:val="20"/>
              </w:rPr>
            </w:pPr>
            <w:r w:rsidRPr="005F7ADC">
              <w:rPr>
                <w:b w:val="0"/>
                <w:szCs w:val="20"/>
              </w:rPr>
              <w:t>HCV re-infection</w:t>
            </w:r>
          </w:p>
        </w:tc>
        <w:tc>
          <w:tcPr>
            <w:tcW w:w="1748" w:type="dxa"/>
            <w:tcBorders>
              <w:top w:val="nil"/>
              <w:bottom w:val="nil"/>
            </w:tcBorders>
            <w:shd w:val="clear" w:color="auto" w:fill="auto"/>
            <w:noWrap/>
          </w:tcPr>
          <w:p w14:paraId="1A9D9C41" w14:textId="77777777" w:rsidR="00DE7D3E" w:rsidRPr="005F7ADC" w:rsidRDefault="00DE7D3E" w:rsidP="005F7ADC">
            <w:pPr>
              <w:pStyle w:val="Tabletitles"/>
              <w:keepNext/>
              <w:keepLines/>
              <w:rPr>
                <w:b w:val="0"/>
                <w:szCs w:val="20"/>
              </w:rPr>
            </w:pPr>
            <w:r w:rsidRPr="005F7ADC">
              <w:rPr>
                <w:b w:val="0"/>
                <w:szCs w:val="20"/>
              </w:rPr>
              <w:t>0/335</w:t>
            </w:r>
          </w:p>
        </w:tc>
        <w:tc>
          <w:tcPr>
            <w:tcW w:w="1748" w:type="dxa"/>
            <w:tcBorders>
              <w:top w:val="nil"/>
              <w:bottom w:val="nil"/>
            </w:tcBorders>
            <w:shd w:val="clear" w:color="auto" w:fill="auto"/>
            <w:noWrap/>
          </w:tcPr>
          <w:p w14:paraId="2B802F13" w14:textId="77777777" w:rsidR="00DE7D3E" w:rsidRPr="005F7ADC" w:rsidRDefault="00DE7D3E" w:rsidP="005F7ADC">
            <w:pPr>
              <w:pStyle w:val="Tabletitles"/>
              <w:keepNext/>
              <w:keepLines/>
              <w:rPr>
                <w:b w:val="0"/>
                <w:szCs w:val="20"/>
              </w:rPr>
            </w:pPr>
            <w:r w:rsidRPr="005F7ADC">
              <w:rPr>
                <w:b w:val="0"/>
                <w:szCs w:val="20"/>
              </w:rPr>
              <w:t xml:space="preserve">0/343 </w:t>
            </w:r>
          </w:p>
        </w:tc>
      </w:tr>
      <w:tr w:rsidR="00DE7D3E" w:rsidRPr="005F7ADC" w14:paraId="231AEABC" w14:textId="77777777" w:rsidTr="000819DF">
        <w:trPr>
          <w:trHeight w:val="300"/>
        </w:trPr>
        <w:tc>
          <w:tcPr>
            <w:tcW w:w="4531" w:type="dxa"/>
            <w:tcBorders>
              <w:top w:val="nil"/>
            </w:tcBorders>
            <w:shd w:val="clear" w:color="auto" w:fill="auto"/>
            <w:noWrap/>
            <w:hideMark/>
          </w:tcPr>
          <w:p w14:paraId="1C11A4B2" w14:textId="77777777" w:rsidR="00DE7D3E" w:rsidRPr="005F7ADC" w:rsidRDefault="00DE7D3E" w:rsidP="005F7ADC">
            <w:pPr>
              <w:pStyle w:val="Tabletitles"/>
              <w:keepNext/>
              <w:keepLines/>
              <w:rPr>
                <w:b w:val="0"/>
                <w:szCs w:val="20"/>
              </w:rPr>
            </w:pPr>
            <w:r w:rsidRPr="005F7ADC">
              <w:rPr>
                <w:b w:val="0"/>
                <w:szCs w:val="20"/>
              </w:rPr>
              <w:t xml:space="preserve">Missing SVR12 </w:t>
            </w:r>
          </w:p>
        </w:tc>
        <w:tc>
          <w:tcPr>
            <w:tcW w:w="1748" w:type="dxa"/>
            <w:tcBorders>
              <w:top w:val="nil"/>
            </w:tcBorders>
            <w:shd w:val="clear" w:color="auto" w:fill="auto"/>
            <w:noWrap/>
            <w:hideMark/>
          </w:tcPr>
          <w:p w14:paraId="6BE7F5C9" w14:textId="77777777" w:rsidR="00DE7D3E" w:rsidRPr="005F7ADC" w:rsidRDefault="00DE7D3E" w:rsidP="005F7ADC">
            <w:pPr>
              <w:pStyle w:val="Tabletitles"/>
              <w:keepNext/>
              <w:keepLines/>
              <w:rPr>
                <w:b w:val="0"/>
                <w:szCs w:val="20"/>
              </w:rPr>
            </w:pPr>
            <w:r w:rsidRPr="005F7ADC">
              <w:rPr>
                <w:b w:val="0"/>
                <w:szCs w:val="20"/>
              </w:rPr>
              <w:t>0/335</w:t>
            </w:r>
          </w:p>
        </w:tc>
        <w:tc>
          <w:tcPr>
            <w:tcW w:w="1748" w:type="dxa"/>
            <w:tcBorders>
              <w:top w:val="nil"/>
            </w:tcBorders>
            <w:shd w:val="clear" w:color="auto" w:fill="auto"/>
            <w:noWrap/>
            <w:hideMark/>
          </w:tcPr>
          <w:p w14:paraId="3CCD17E8" w14:textId="77777777" w:rsidR="00DE7D3E" w:rsidRPr="005F7ADC" w:rsidRDefault="00DE7D3E" w:rsidP="005F7ADC">
            <w:pPr>
              <w:pStyle w:val="Tabletitles"/>
              <w:keepNext/>
              <w:keepLines/>
              <w:rPr>
                <w:b w:val="0"/>
                <w:szCs w:val="20"/>
              </w:rPr>
            </w:pPr>
            <w:r w:rsidRPr="005F7ADC">
              <w:rPr>
                <w:b w:val="0"/>
                <w:szCs w:val="20"/>
              </w:rPr>
              <w:t>6/343 (1.7%)</w:t>
            </w:r>
          </w:p>
        </w:tc>
      </w:tr>
    </w:tbl>
    <w:p w14:paraId="5AAC04C3" w14:textId="77777777" w:rsidR="00F8279F" w:rsidRPr="00572C9E" w:rsidRDefault="00DE7D3E" w:rsidP="005F7ADC">
      <w:pPr>
        <w:pStyle w:val="TableFigureFooter"/>
        <w:keepNext/>
        <w:keepLines/>
      </w:pPr>
      <w:r w:rsidRPr="00572C9E">
        <w:t xml:space="preserve">* Non-responders; subjects not achieving SVR12 (includes both </w:t>
      </w:r>
      <w:proofErr w:type="spellStart"/>
      <w:r w:rsidRPr="00572C9E">
        <w:t>virologic</w:t>
      </w:r>
      <w:proofErr w:type="spellEnd"/>
      <w:r w:rsidRPr="00572C9E">
        <w:t xml:space="preserve"> failure and non-</w:t>
      </w:r>
      <w:proofErr w:type="spellStart"/>
      <w:r w:rsidRPr="00572C9E">
        <w:t>virologic</w:t>
      </w:r>
      <w:proofErr w:type="spellEnd"/>
      <w:r w:rsidRPr="00572C9E">
        <w:t xml:space="preserve"> failure)</w:t>
      </w:r>
    </w:p>
    <w:p w14:paraId="143F9E36" w14:textId="77777777" w:rsidR="00947ECE" w:rsidRPr="00572C9E" w:rsidRDefault="00DE7D3E" w:rsidP="005F7ADC">
      <w:pPr>
        <w:pStyle w:val="TableFigureFooter"/>
        <w:keepNext/>
        <w:keepLines/>
        <w:spacing w:after="160"/>
      </w:pPr>
      <w:r w:rsidRPr="00572C9E">
        <w:t>Source: Table 4of submission</w:t>
      </w:r>
    </w:p>
    <w:p w14:paraId="67A52A46" w14:textId="77777777" w:rsidR="00381BFE" w:rsidRPr="00572C9E" w:rsidRDefault="00850476" w:rsidP="009506EE">
      <w:pPr>
        <w:pStyle w:val="3Bodytext"/>
      </w:pPr>
      <w:r w:rsidRPr="00572C9E">
        <w:t>Genotype-specific results in TN/CC</w:t>
      </w:r>
      <w:r w:rsidR="00E04887" w:rsidRPr="00572C9E">
        <w:t xml:space="preserve"> </w:t>
      </w:r>
      <w:r w:rsidRPr="00572C9E">
        <w:t>subgroups</w:t>
      </w:r>
      <w:r w:rsidR="005E2660" w:rsidRPr="00572C9E">
        <w:t xml:space="preserve"> for GT 1-6</w:t>
      </w:r>
      <w:r w:rsidR="00947ECE" w:rsidRPr="00572C9E">
        <w:t xml:space="preserve"> </w:t>
      </w:r>
      <w:r w:rsidR="00FA6C28" w:rsidRPr="00572C9E">
        <w:t>are</w:t>
      </w:r>
      <w:r w:rsidR="00176222" w:rsidRPr="00572C9E">
        <w:t xml:space="preserve"> shown</w:t>
      </w:r>
      <w:r w:rsidR="00947ECE" w:rsidRPr="00572C9E">
        <w:t xml:space="preserve"> in </w:t>
      </w:r>
      <w:r w:rsidR="00064321" w:rsidRPr="00572C9E">
        <w:t>Figure 1</w:t>
      </w:r>
      <w:r w:rsidR="00572C9E">
        <w:t xml:space="preserve">. </w:t>
      </w:r>
    </w:p>
    <w:p w14:paraId="4653A329" w14:textId="77777777" w:rsidR="00381BFE" w:rsidRPr="00572C9E" w:rsidRDefault="000A2154" w:rsidP="00A83A19">
      <w:pPr>
        <w:pStyle w:val="TableFigureHeading"/>
      </w:pPr>
      <w:r w:rsidRPr="00572C9E">
        <w:lastRenderedPageBreak/>
        <w:t>Figure</w:t>
      </w:r>
      <w:r w:rsidR="005E5364" w:rsidRPr="00572C9E">
        <w:t xml:space="preserve"> 1</w:t>
      </w:r>
      <w:r w:rsidR="00381BFE" w:rsidRPr="00572C9E">
        <w:t>: Results from EXPEDITION-8 showing similarly high SVR12 rates across all CHC genotypes 1-6.</w:t>
      </w:r>
    </w:p>
    <w:p w14:paraId="11A72CAC" w14:textId="77777777" w:rsidR="00FA6C28" w:rsidRPr="00572C9E" w:rsidRDefault="00381BFE" w:rsidP="00FA6C28">
      <w:pPr>
        <w:pStyle w:val="3Bodytext"/>
        <w:numPr>
          <w:ilvl w:val="0"/>
          <w:numId w:val="0"/>
        </w:numPr>
        <w:rPr>
          <w:rFonts w:ascii="Arial Narrow" w:hAnsi="Arial Narrow"/>
          <w:sz w:val="18"/>
          <w:szCs w:val="18"/>
        </w:rPr>
      </w:pPr>
      <w:r w:rsidRPr="00FD0871">
        <w:rPr>
          <w:rFonts w:ascii="Arial" w:hAnsi="Arial" w:cs="Arial"/>
          <w:noProof/>
        </w:rPr>
        <w:drawing>
          <wp:inline distT="0" distB="0" distL="0" distR="0" wp14:anchorId="71F0E1A7" wp14:editId="410DBB1B">
            <wp:extent cx="5715000" cy="2508532"/>
            <wp:effectExtent l="0" t="0" r="0" b="6350"/>
            <wp:docPr id="11" name="Picture 11"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9610" cy="2519334"/>
                    </a:xfrm>
                    <a:prstGeom prst="rect">
                      <a:avLst/>
                    </a:prstGeom>
                  </pic:spPr>
                </pic:pic>
              </a:graphicData>
            </a:graphic>
          </wp:inline>
        </w:drawing>
      </w:r>
      <w:r w:rsidR="00FA6C28" w:rsidRPr="005F7ADC">
        <w:rPr>
          <w:rStyle w:val="TableFigureFooterChar"/>
        </w:rPr>
        <w:t>Source: Graphic 2 of the submission. Extracted from Brown et al 2020 (submission citation)</w:t>
      </w:r>
    </w:p>
    <w:p w14:paraId="55696E9E" w14:textId="77777777" w:rsidR="008605CC" w:rsidRPr="00572C9E" w:rsidRDefault="008605CC" w:rsidP="00692D66">
      <w:pPr>
        <w:pStyle w:val="3Bodytext"/>
        <w:jc w:val="both"/>
      </w:pPr>
      <w:r w:rsidRPr="00572C9E">
        <w:t>SVR12 rates of 100% were achieved for GT 1, 2, 4-6 in the PP population and 2 and 4</w:t>
      </w:r>
      <w:r w:rsidR="00694B97" w:rsidRPr="00572C9E">
        <w:noBreakHyphen/>
      </w:r>
      <w:r w:rsidRPr="00572C9E">
        <w:t>6</w:t>
      </w:r>
      <w:r w:rsidR="00A83A19" w:rsidRPr="00572C9E">
        <w:t xml:space="preserve"> in the ITT</w:t>
      </w:r>
      <w:r w:rsidRPr="00572C9E">
        <w:t xml:space="preserve"> population. Six patients in the ITT population were missing SVR12 data and were considered to have failed treatment. Five (1.8%) GT-1 patients were considered non-responders, none of which </w:t>
      </w:r>
      <w:r w:rsidR="00694B97" w:rsidRPr="00572C9E">
        <w:t xml:space="preserve">were </w:t>
      </w:r>
      <w:proofErr w:type="spellStart"/>
      <w:r w:rsidRPr="00572C9E">
        <w:t>virologic</w:t>
      </w:r>
      <w:proofErr w:type="spellEnd"/>
      <w:r w:rsidRPr="00572C9E">
        <w:t xml:space="preserve"> failures (Table 3). The lowest efficacy was found in the GT-3 population with 98.4% (60/61) and 95.2% (60/63) SVR</w:t>
      </w:r>
      <w:r w:rsidR="00F8279F" w:rsidRPr="00572C9E">
        <w:t>12</w:t>
      </w:r>
      <w:r w:rsidRPr="00572C9E">
        <w:t xml:space="preserve"> in the PP and ITT populations, respectively. The TGA Delegate’s Overview expressed concerns </w:t>
      </w:r>
      <w:r w:rsidR="00F8279F" w:rsidRPr="00572C9E">
        <w:t>regarding</w:t>
      </w:r>
      <w:r w:rsidRPr="00572C9E">
        <w:t xml:space="preserve"> the adequacy of the data to support the </w:t>
      </w:r>
      <w:r w:rsidR="00694B97" w:rsidRPr="00572C9E">
        <w:t>use of the 8</w:t>
      </w:r>
      <w:r w:rsidR="00694B97" w:rsidRPr="00572C9E">
        <w:noBreakHyphen/>
      </w:r>
      <w:r w:rsidR="00655FA0" w:rsidRPr="00572C9E">
        <w:t>week regimen in GT3 TN/CC patients and referred the matter to the ACM</w:t>
      </w:r>
      <w:r w:rsidRPr="00572C9E">
        <w:t>.</w:t>
      </w:r>
      <w:r w:rsidR="00655FA0" w:rsidRPr="00572C9E">
        <w:t xml:space="preserve"> Whilst the ACM supported registration of the 8-week treatment option for GT3 patients, the Committee also recommended that individualised decision-making should be left up to the prescriber for all 6 genotypes, by amending the treatment period to ‘8 or 12 weeks’ for GT1-6 TN/CC patients.</w:t>
      </w:r>
      <w:r w:rsidR="008558DB" w:rsidRPr="00572C9E">
        <w:t xml:space="preserve"> The Pre-PBAC Response noted the TGA registration was not yet finalised and </w:t>
      </w:r>
      <w:r w:rsidR="00EB04C6" w:rsidRPr="00572C9E">
        <w:t>stated the details of the finalised registration would be provided as soon as it was made available.</w:t>
      </w:r>
    </w:p>
    <w:p w14:paraId="48C57CB6" w14:textId="77777777" w:rsidR="00947ECE" w:rsidRPr="00572C9E" w:rsidRDefault="00947ECE" w:rsidP="00692D66">
      <w:pPr>
        <w:pStyle w:val="3Bodytext"/>
        <w:jc w:val="both"/>
      </w:pPr>
      <w:r w:rsidRPr="00572C9E">
        <w:t>The</w:t>
      </w:r>
      <w:r w:rsidR="00176222" w:rsidRPr="00572C9E">
        <w:t xml:space="preserve"> submission state</w:t>
      </w:r>
      <w:r w:rsidR="008605CC" w:rsidRPr="00572C9E">
        <w:t>d</w:t>
      </w:r>
      <w:r w:rsidR="00176222" w:rsidRPr="00572C9E">
        <w:t xml:space="preserve"> the</w:t>
      </w:r>
      <w:r w:rsidRPr="00572C9E">
        <w:t xml:space="preserve"> SVR12 rates from EXPEDITION-8 are similar to those seen in the</w:t>
      </w:r>
      <w:r w:rsidR="00CC56AF" w:rsidRPr="00572C9E">
        <w:t xml:space="preserve"> pooled GLE/PIB data previously presented to the PBAC, which found the</w:t>
      </w:r>
      <w:r w:rsidR="00F8279F" w:rsidRPr="00572C9E">
        <w:t xml:space="preserve"> </w:t>
      </w:r>
      <w:r w:rsidRPr="00572C9E">
        <w:t>proportion of subjects achieving SVR12 was 97.4% (n=1229/1262</w:t>
      </w:r>
      <w:r w:rsidR="008605CC" w:rsidRPr="00572C9E">
        <w:t>)</w:t>
      </w:r>
      <w:r w:rsidR="00F8279F" w:rsidRPr="00572C9E">
        <w:t xml:space="preserve"> </w:t>
      </w:r>
      <w:r w:rsidR="00782A4E" w:rsidRPr="00572C9E">
        <w:t xml:space="preserve">in TN or TE subjects with GT1-6 with </w:t>
      </w:r>
      <w:r w:rsidR="00CC56AF" w:rsidRPr="00572C9E">
        <w:t>or</w:t>
      </w:r>
      <w:r w:rsidR="00782A4E" w:rsidRPr="00572C9E">
        <w:t xml:space="preserve"> without cirrhosis</w:t>
      </w:r>
      <w:r w:rsidRPr="00572C9E">
        <w:t xml:space="preserve"> (</w:t>
      </w:r>
      <w:r w:rsidR="00782A4E" w:rsidRPr="00572C9E">
        <w:t xml:space="preserve">para 6.12, </w:t>
      </w:r>
      <w:proofErr w:type="spellStart"/>
      <w:r w:rsidR="007D0780" w:rsidRPr="00572C9E">
        <w:t>glecaprevir</w:t>
      </w:r>
      <w:proofErr w:type="spellEnd"/>
      <w:r w:rsidR="007D0780" w:rsidRPr="00572C9E">
        <w:t>/</w:t>
      </w:r>
      <w:proofErr w:type="spellStart"/>
      <w:r w:rsidR="007D0780" w:rsidRPr="00572C9E">
        <w:t>pibrentasvir</w:t>
      </w:r>
      <w:proofErr w:type="spellEnd"/>
      <w:r w:rsidR="007D0780" w:rsidRPr="00572C9E">
        <w:t xml:space="preserve"> </w:t>
      </w:r>
      <w:r w:rsidR="00E20BAA" w:rsidRPr="00572C9E">
        <w:t>Public Summary Document (</w:t>
      </w:r>
      <w:r w:rsidR="00782A4E" w:rsidRPr="00572C9E">
        <w:t>PSD</w:t>
      </w:r>
      <w:r w:rsidR="00E20BAA" w:rsidRPr="00572C9E">
        <w:t>)</w:t>
      </w:r>
      <w:r w:rsidR="00782A4E" w:rsidRPr="00572C9E">
        <w:t>,</w:t>
      </w:r>
      <w:r w:rsidRPr="00572C9E">
        <w:t xml:space="preserve"> July 2017 PBAC meet</w:t>
      </w:r>
      <w:r w:rsidR="00782A4E" w:rsidRPr="00572C9E">
        <w:t>ing</w:t>
      </w:r>
      <w:r w:rsidRPr="00572C9E">
        <w:t>).</w:t>
      </w:r>
    </w:p>
    <w:p w14:paraId="5B4E3FBC" w14:textId="77777777" w:rsidR="00947ECE" w:rsidRPr="00572C9E" w:rsidRDefault="00782A4E" w:rsidP="00692D66">
      <w:pPr>
        <w:pStyle w:val="3Bodytext"/>
        <w:jc w:val="both"/>
      </w:pPr>
      <w:r w:rsidRPr="00572C9E">
        <w:t>The submission state</w:t>
      </w:r>
      <w:r w:rsidR="00CC56AF" w:rsidRPr="00572C9E">
        <w:t>d</w:t>
      </w:r>
      <w:r w:rsidRPr="00572C9E">
        <w:t xml:space="preserve"> t</w:t>
      </w:r>
      <w:r w:rsidR="00947ECE" w:rsidRPr="00572C9E">
        <w:t>he SVR</w:t>
      </w:r>
      <w:r w:rsidR="00CC56AF" w:rsidRPr="00572C9E">
        <w:t>12</w:t>
      </w:r>
      <w:r w:rsidR="00947ECE" w:rsidRPr="00572C9E">
        <w:t xml:space="preserve"> rates for the </w:t>
      </w:r>
      <w:r w:rsidR="008A5CE3" w:rsidRPr="00572C9E">
        <w:t>8-week</w:t>
      </w:r>
      <w:r w:rsidR="00947ECE" w:rsidRPr="00572C9E">
        <w:t xml:space="preserve"> regimen in EXPEDITION-8 </w:t>
      </w:r>
      <w:r w:rsidR="00CC56AF" w:rsidRPr="00572C9E">
        <w:t>were</w:t>
      </w:r>
      <w:r w:rsidR="00947ECE" w:rsidRPr="00572C9E">
        <w:t xml:space="preserve"> also consistent with the </w:t>
      </w:r>
      <w:r w:rsidR="008A5CE3" w:rsidRPr="00572C9E">
        <w:t>12-week</w:t>
      </w:r>
      <w:r w:rsidR="00947ECE" w:rsidRPr="00572C9E">
        <w:t xml:space="preserve"> regimen in the EXPEDITION-1 study. The SVR12 rate for the T</w:t>
      </w:r>
      <w:r w:rsidR="005C7DD0" w:rsidRPr="00572C9E">
        <w:t>N/C</w:t>
      </w:r>
      <w:r w:rsidR="00947ECE" w:rsidRPr="00572C9E">
        <w:t>C subjects included in EXPEDITION-1 (N=110) was 100</w:t>
      </w:r>
      <w:r w:rsidRPr="00572C9E">
        <w:t xml:space="preserve">% (both ITT and PP </w:t>
      </w:r>
      <w:r w:rsidR="008A5CE3" w:rsidRPr="00572C9E">
        <w:t>populations;</w:t>
      </w:r>
      <w:r w:rsidR="005C7DD0" w:rsidRPr="00572C9E">
        <w:t xml:space="preserve"> however EXPEDITION-1 did not include any GT3 patients</w:t>
      </w:r>
      <w:r w:rsidRPr="00572C9E">
        <w:t>). The submission</w:t>
      </w:r>
      <w:r w:rsidR="00CC56AF" w:rsidRPr="00572C9E">
        <w:t xml:space="preserve"> argued it was reasonable to conclude</w:t>
      </w:r>
      <w:r w:rsidRPr="00572C9E">
        <w:t xml:space="preserve"> that the SVR12 results of EXPEDITION-1 would be similar and consistent with the </w:t>
      </w:r>
      <w:r w:rsidR="00CC56AF" w:rsidRPr="00572C9E">
        <w:t>S</w:t>
      </w:r>
      <w:r w:rsidRPr="00572C9E">
        <w:t xml:space="preserve">VR12 rates in EXPEDITION-8 if GT-3 subjects were included in the </w:t>
      </w:r>
      <w:r w:rsidR="00CC56AF" w:rsidRPr="00572C9E">
        <w:t>EXPEDITION-1 study</w:t>
      </w:r>
      <w:r w:rsidR="00947ECE" w:rsidRPr="00572C9E">
        <w:t>.</w:t>
      </w:r>
    </w:p>
    <w:p w14:paraId="63F00588" w14:textId="77777777" w:rsidR="005A3173" w:rsidRPr="00572C9E" w:rsidRDefault="007F0021" w:rsidP="00917D69">
      <w:pPr>
        <w:pStyle w:val="4-SubsectionHeading"/>
        <w:rPr>
          <w:lang w:eastAsia="en-US"/>
        </w:rPr>
      </w:pPr>
      <w:r w:rsidRPr="00572C9E">
        <w:rPr>
          <w:lang w:eastAsia="en-US"/>
        </w:rPr>
        <w:lastRenderedPageBreak/>
        <w:t xml:space="preserve">Comparative </w:t>
      </w:r>
      <w:r w:rsidR="005A3173" w:rsidRPr="00572C9E">
        <w:rPr>
          <w:lang w:eastAsia="en-US"/>
        </w:rPr>
        <w:t>harms</w:t>
      </w:r>
    </w:p>
    <w:p w14:paraId="0A112460" w14:textId="77777777" w:rsidR="00064321" w:rsidRPr="005F7ADC" w:rsidRDefault="00E7541D" w:rsidP="005F7ADC">
      <w:pPr>
        <w:pStyle w:val="3Bodytext"/>
        <w:jc w:val="both"/>
      </w:pPr>
      <w:r w:rsidRPr="00572C9E">
        <w:t xml:space="preserve">EXPEDITION-8 </w:t>
      </w:r>
      <w:r w:rsidR="00CC56AF" w:rsidRPr="00572C9E">
        <w:t xml:space="preserve">found </w:t>
      </w:r>
      <w:r w:rsidRPr="00572C9E">
        <w:t xml:space="preserve">lower adverse </w:t>
      </w:r>
      <w:r w:rsidR="00CC56AF" w:rsidRPr="00572C9E">
        <w:t xml:space="preserve">rates </w:t>
      </w:r>
      <w:r w:rsidRPr="00572C9E">
        <w:t xml:space="preserve">for </w:t>
      </w:r>
      <w:r w:rsidR="00CC56AF" w:rsidRPr="00572C9E">
        <w:t>the</w:t>
      </w:r>
      <w:r w:rsidRPr="00572C9E">
        <w:t xml:space="preserve"> </w:t>
      </w:r>
      <w:r w:rsidR="008A5CE3" w:rsidRPr="00572C9E">
        <w:t>8-week</w:t>
      </w:r>
      <w:r w:rsidR="00CC56AF" w:rsidRPr="00572C9E">
        <w:t xml:space="preserve"> GLE/PIB</w:t>
      </w:r>
      <w:r w:rsidRPr="00572C9E">
        <w:t xml:space="preserve"> </w:t>
      </w:r>
      <w:r w:rsidR="00CC56AF" w:rsidRPr="00572C9E">
        <w:t>regimen</w:t>
      </w:r>
      <w:r w:rsidRPr="00572C9E">
        <w:t xml:space="preserve"> compared to the </w:t>
      </w:r>
      <w:r w:rsidR="008A5CE3" w:rsidRPr="00572C9E">
        <w:t>12-week</w:t>
      </w:r>
      <w:r w:rsidRPr="00572C9E">
        <w:t xml:space="preserve"> course, potentially due to reduced overall </w:t>
      </w:r>
      <w:r w:rsidR="00CC56AF" w:rsidRPr="00572C9E">
        <w:t>treatment duration</w:t>
      </w:r>
      <w:r w:rsidRPr="00572C9E">
        <w:t xml:space="preserve">. </w:t>
      </w:r>
      <w:r w:rsidR="00262BBD" w:rsidRPr="00572C9E">
        <w:t xml:space="preserve">The submission stated that the </w:t>
      </w:r>
      <w:r w:rsidR="008A5CE3" w:rsidRPr="00572C9E">
        <w:t>8-week</w:t>
      </w:r>
      <w:r w:rsidR="00262BBD" w:rsidRPr="00572C9E">
        <w:t xml:space="preserve"> treatment course was well tolerated with no subjects discontinuing treatment due to adverse effects (AE), and no serious </w:t>
      </w:r>
      <w:r w:rsidR="004D6E2A" w:rsidRPr="00572C9E">
        <w:t xml:space="preserve">adverse </w:t>
      </w:r>
      <w:r w:rsidR="00262BBD" w:rsidRPr="00572C9E">
        <w:t xml:space="preserve">effects (SAE) attributed to </w:t>
      </w:r>
      <w:r w:rsidR="004D6E2A" w:rsidRPr="00572C9E">
        <w:t>GLE/PIB</w:t>
      </w:r>
      <w:r w:rsidR="00262BBD" w:rsidRPr="00572C9E">
        <w:t xml:space="preserve">. </w:t>
      </w:r>
      <w:r w:rsidR="00CC56AF" w:rsidRPr="00572C9E">
        <w:t>A comparison of safety outcomes for the 8-week and 12-week regimens is presented in</w:t>
      </w:r>
      <w:r w:rsidR="000A2154" w:rsidRPr="00572C9E">
        <w:t xml:space="preserve"> Table 4</w:t>
      </w:r>
      <w:r w:rsidRPr="00572C9E">
        <w:t xml:space="preserve">. </w:t>
      </w:r>
    </w:p>
    <w:p w14:paraId="4EAD34EA" w14:textId="77777777" w:rsidR="00E7541D" w:rsidRPr="00572C9E" w:rsidRDefault="000A2154" w:rsidP="005F7ADC">
      <w:pPr>
        <w:pStyle w:val="Tabletitles"/>
        <w:keepNext/>
        <w:keepLines/>
      </w:pPr>
      <w:r w:rsidRPr="00572C9E">
        <w:t>Table 4</w:t>
      </w:r>
      <w:r w:rsidR="00E7541D" w:rsidRPr="00572C9E">
        <w:t>: Treatment-emergent AEs in study EXPEDITION-8 vs. EXPEDITION-1</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1374"/>
        <w:gridCol w:w="1220"/>
        <w:gridCol w:w="1220"/>
        <w:gridCol w:w="1373"/>
      </w:tblGrid>
      <w:tr w:rsidR="00E7541D" w:rsidRPr="005F7ADC" w14:paraId="105520D1" w14:textId="77777777" w:rsidTr="003E0E65">
        <w:trPr>
          <w:trHeight w:val="237"/>
          <w:jc w:val="center"/>
        </w:trPr>
        <w:tc>
          <w:tcPr>
            <w:tcW w:w="2117" w:type="pct"/>
            <w:shd w:val="clear" w:color="auto" w:fill="auto"/>
            <w:noWrap/>
            <w:vAlign w:val="bottom"/>
          </w:tcPr>
          <w:p w14:paraId="65D3DE21" w14:textId="77777777" w:rsidR="00E7541D" w:rsidRPr="005F7ADC" w:rsidRDefault="00E7541D" w:rsidP="005F7ADC">
            <w:pPr>
              <w:pStyle w:val="Tabletitles"/>
              <w:keepNext/>
              <w:keepLines/>
              <w:rPr>
                <w:b w:val="0"/>
                <w:szCs w:val="20"/>
                <w:u w:val="single"/>
              </w:rPr>
            </w:pPr>
          </w:p>
        </w:tc>
        <w:tc>
          <w:tcPr>
            <w:tcW w:w="1441" w:type="pct"/>
            <w:gridSpan w:val="2"/>
            <w:shd w:val="clear" w:color="auto" w:fill="auto"/>
            <w:noWrap/>
            <w:vAlign w:val="bottom"/>
          </w:tcPr>
          <w:p w14:paraId="0BFD9220" w14:textId="77777777" w:rsidR="00E7541D" w:rsidRPr="005F7ADC" w:rsidRDefault="00E7541D" w:rsidP="005F7ADC">
            <w:pPr>
              <w:pStyle w:val="Tabletitles"/>
              <w:keepNext/>
              <w:keepLines/>
              <w:rPr>
                <w:b w:val="0"/>
                <w:iCs/>
                <w:szCs w:val="20"/>
              </w:rPr>
            </w:pPr>
            <w:r w:rsidRPr="005F7ADC">
              <w:rPr>
                <w:b w:val="0"/>
                <w:iCs/>
                <w:szCs w:val="20"/>
              </w:rPr>
              <w:t>EXPEDITION-8</w:t>
            </w:r>
          </w:p>
          <w:p w14:paraId="19DB8BF3" w14:textId="77777777" w:rsidR="00E7541D" w:rsidRPr="005F7ADC" w:rsidRDefault="00E7541D" w:rsidP="005F7ADC">
            <w:pPr>
              <w:pStyle w:val="Tabletitles"/>
              <w:keepNext/>
              <w:keepLines/>
              <w:rPr>
                <w:b w:val="0"/>
                <w:iCs/>
                <w:szCs w:val="20"/>
              </w:rPr>
            </w:pPr>
            <w:r w:rsidRPr="005F7ADC">
              <w:rPr>
                <w:b w:val="0"/>
                <w:iCs/>
                <w:szCs w:val="20"/>
              </w:rPr>
              <w:t>8 weeks treatment duration</w:t>
            </w:r>
          </w:p>
        </w:tc>
        <w:tc>
          <w:tcPr>
            <w:tcW w:w="1441" w:type="pct"/>
            <w:gridSpan w:val="2"/>
          </w:tcPr>
          <w:p w14:paraId="1694B735" w14:textId="77777777" w:rsidR="00E7541D" w:rsidRPr="005F7ADC" w:rsidRDefault="00E7541D" w:rsidP="005F7ADC">
            <w:pPr>
              <w:pStyle w:val="Tabletitles"/>
              <w:keepNext/>
              <w:keepLines/>
              <w:rPr>
                <w:b w:val="0"/>
                <w:iCs/>
                <w:szCs w:val="20"/>
              </w:rPr>
            </w:pPr>
            <w:r w:rsidRPr="005F7ADC">
              <w:rPr>
                <w:b w:val="0"/>
                <w:iCs/>
                <w:szCs w:val="20"/>
              </w:rPr>
              <w:t>EXPEDITION-1*</w:t>
            </w:r>
          </w:p>
          <w:p w14:paraId="62451C22" w14:textId="77777777" w:rsidR="00E7541D" w:rsidRPr="005F7ADC" w:rsidRDefault="00E7541D" w:rsidP="005F7ADC">
            <w:pPr>
              <w:pStyle w:val="Tabletitles"/>
              <w:keepNext/>
              <w:keepLines/>
              <w:rPr>
                <w:b w:val="0"/>
                <w:iCs/>
                <w:szCs w:val="20"/>
              </w:rPr>
            </w:pPr>
            <w:r w:rsidRPr="005F7ADC">
              <w:rPr>
                <w:b w:val="0"/>
                <w:iCs/>
                <w:szCs w:val="20"/>
              </w:rPr>
              <w:t>12 weeks treatment duration</w:t>
            </w:r>
          </w:p>
        </w:tc>
      </w:tr>
      <w:tr w:rsidR="00E7541D" w:rsidRPr="005F7ADC" w14:paraId="7BF6106F" w14:textId="77777777" w:rsidTr="003E0E65">
        <w:trPr>
          <w:trHeight w:val="254"/>
          <w:jc w:val="center"/>
        </w:trPr>
        <w:tc>
          <w:tcPr>
            <w:tcW w:w="2117" w:type="pct"/>
            <w:shd w:val="clear" w:color="auto" w:fill="auto"/>
            <w:noWrap/>
            <w:vAlign w:val="bottom"/>
            <w:hideMark/>
          </w:tcPr>
          <w:p w14:paraId="2CD8AAF3" w14:textId="77777777" w:rsidR="00E7541D" w:rsidRPr="005F7ADC" w:rsidRDefault="00E7541D" w:rsidP="005F7ADC">
            <w:pPr>
              <w:pStyle w:val="Tabletitles"/>
              <w:keepNext/>
              <w:keepLines/>
              <w:rPr>
                <w:b w:val="0"/>
                <w:szCs w:val="20"/>
                <w:u w:val="single"/>
              </w:rPr>
            </w:pPr>
            <w:r w:rsidRPr="005F7ADC">
              <w:rPr>
                <w:b w:val="0"/>
                <w:szCs w:val="20"/>
                <w:u w:val="single"/>
              </w:rPr>
              <w:t>Subjects</w:t>
            </w:r>
          </w:p>
        </w:tc>
        <w:tc>
          <w:tcPr>
            <w:tcW w:w="763" w:type="pct"/>
            <w:shd w:val="clear" w:color="auto" w:fill="auto"/>
            <w:noWrap/>
            <w:vAlign w:val="center"/>
            <w:hideMark/>
          </w:tcPr>
          <w:p w14:paraId="0F22E886" w14:textId="77777777" w:rsidR="00E7541D" w:rsidRPr="005F7ADC" w:rsidRDefault="00E7541D" w:rsidP="005F7ADC">
            <w:pPr>
              <w:pStyle w:val="Tabletitles"/>
              <w:keepNext/>
              <w:keepLines/>
              <w:rPr>
                <w:b w:val="0"/>
                <w:szCs w:val="20"/>
              </w:rPr>
            </w:pPr>
            <w:r w:rsidRPr="005F7ADC">
              <w:rPr>
                <w:b w:val="0"/>
                <w:szCs w:val="20"/>
              </w:rPr>
              <w:t>N=343</w:t>
            </w:r>
          </w:p>
        </w:tc>
        <w:tc>
          <w:tcPr>
            <w:tcW w:w="678" w:type="pct"/>
            <w:shd w:val="clear" w:color="auto" w:fill="auto"/>
            <w:noWrap/>
            <w:vAlign w:val="center"/>
            <w:hideMark/>
          </w:tcPr>
          <w:p w14:paraId="493F11A7" w14:textId="77777777" w:rsidR="00E7541D" w:rsidRPr="005F7ADC" w:rsidRDefault="00E7541D" w:rsidP="005F7ADC">
            <w:pPr>
              <w:pStyle w:val="Tabletitles"/>
              <w:keepNext/>
              <w:keepLines/>
              <w:rPr>
                <w:b w:val="0"/>
                <w:szCs w:val="20"/>
              </w:rPr>
            </w:pPr>
            <w:r w:rsidRPr="005F7ADC">
              <w:rPr>
                <w:b w:val="0"/>
                <w:szCs w:val="20"/>
              </w:rPr>
              <w:t>%</w:t>
            </w:r>
          </w:p>
        </w:tc>
        <w:tc>
          <w:tcPr>
            <w:tcW w:w="678" w:type="pct"/>
            <w:vAlign w:val="center"/>
          </w:tcPr>
          <w:p w14:paraId="13951D9F" w14:textId="77777777" w:rsidR="00E7541D" w:rsidRPr="005F7ADC" w:rsidRDefault="00E7541D" w:rsidP="005F7ADC">
            <w:pPr>
              <w:pStyle w:val="Tabletitles"/>
              <w:keepNext/>
              <w:keepLines/>
              <w:rPr>
                <w:b w:val="0"/>
                <w:szCs w:val="20"/>
              </w:rPr>
            </w:pPr>
            <w:r w:rsidRPr="005F7ADC">
              <w:rPr>
                <w:b w:val="0"/>
                <w:szCs w:val="20"/>
              </w:rPr>
              <w:t>N=146</w:t>
            </w:r>
          </w:p>
        </w:tc>
        <w:tc>
          <w:tcPr>
            <w:tcW w:w="763" w:type="pct"/>
            <w:vAlign w:val="center"/>
          </w:tcPr>
          <w:p w14:paraId="5A9E0A18" w14:textId="77777777" w:rsidR="00E7541D" w:rsidRPr="005F7ADC" w:rsidRDefault="00E7541D" w:rsidP="005F7ADC">
            <w:pPr>
              <w:pStyle w:val="Tabletitles"/>
              <w:keepNext/>
              <w:keepLines/>
              <w:rPr>
                <w:b w:val="0"/>
                <w:szCs w:val="20"/>
              </w:rPr>
            </w:pPr>
            <w:r w:rsidRPr="005F7ADC">
              <w:rPr>
                <w:b w:val="0"/>
                <w:szCs w:val="20"/>
              </w:rPr>
              <w:t>%</w:t>
            </w:r>
          </w:p>
        </w:tc>
      </w:tr>
      <w:tr w:rsidR="00E7541D" w:rsidRPr="005F7ADC" w14:paraId="6F08A8F4" w14:textId="77777777" w:rsidTr="003E0E65">
        <w:trPr>
          <w:trHeight w:val="254"/>
          <w:jc w:val="center"/>
        </w:trPr>
        <w:tc>
          <w:tcPr>
            <w:tcW w:w="2117" w:type="pct"/>
            <w:shd w:val="clear" w:color="auto" w:fill="auto"/>
            <w:noWrap/>
            <w:vAlign w:val="bottom"/>
            <w:hideMark/>
          </w:tcPr>
          <w:p w14:paraId="29E16ABC" w14:textId="77777777" w:rsidR="00E7541D" w:rsidRPr="005F7ADC" w:rsidRDefault="00E7541D" w:rsidP="005F7ADC">
            <w:pPr>
              <w:pStyle w:val="Tabletitles"/>
              <w:keepNext/>
              <w:keepLines/>
              <w:rPr>
                <w:b w:val="0"/>
                <w:szCs w:val="20"/>
              </w:rPr>
            </w:pPr>
            <w:r w:rsidRPr="005F7ADC">
              <w:rPr>
                <w:b w:val="0"/>
                <w:szCs w:val="20"/>
              </w:rPr>
              <w:t>Any AE</w:t>
            </w:r>
          </w:p>
        </w:tc>
        <w:tc>
          <w:tcPr>
            <w:tcW w:w="763" w:type="pct"/>
            <w:shd w:val="clear" w:color="auto" w:fill="auto"/>
            <w:noWrap/>
            <w:vAlign w:val="center"/>
            <w:hideMark/>
          </w:tcPr>
          <w:p w14:paraId="47C8843D" w14:textId="77777777" w:rsidR="00E7541D" w:rsidRPr="005F7ADC" w:rsidRDefault="00E7541D" w:rsidP="005F7ADC">
            <w:pPr>
              <w:pStyle w:val="Tabletitles"/>
              <w:keepNext/>
              <w:keepLines/>
              <w:rPr>
                <w:b w:val="0"/>
                <w:szCs w:val="20"/>
              </w:rPr>
            </w:pPr>
            <w:r w:rsidRPr="005F7ADC">
              <w:rPr>
                <w:b w:val="0"/>
                <w:szCs w:val="20"/>
              </w:rPr>
              <w:t>158</w:t>
            </w:r>
          </w:p>
        </w:tc>
        <w:tc>
          <w:tcPr>
            <w:tcW w:w="678" w:type="pct"/>
            <w:shd w:val="clear" w:color="auto" w:fill="auto"/>
            <w:noWrap/>
            <w:vAlign w:val="center"/>
            <w:hideMark/>
          </w:tcPr>
          <w:p w14:paraId="7285FF1C" w14:textId="77777777" w:rsidR="00E7541D" w:rsidRPr="005F7ADC" w:rsidRDefault="00E7541D" w:rsidP="005F7ADC">
            <w:pPr>
              <w:pStyle w:val="Tabletitles"/>
              <w:keepNext/>
              <w:keepLines/>
              <w:rPr>
                <w:b w:val="0"/>
                <w:szCs w:val="20"/>
              </w:rPr>
            </w:pPr>
            <w:r w:rsidRPr="005F7ADC">
              <w:rPr>
                <w:b w:val="0"/>
                <w:szCs w:val="20"/>
              </w:rPr>
              <w:t>46%</w:t>
            </w:r>
          </w:p>
        </w:tc>
        <w:tc>
          <w:tcPr>
            <w:tcW w:w="678" w:type="pct"/>
            <w:tcBorders>
              <w:bottom w:val="single" w:sz="4" w:space="0" w:color="auto"/>
            </w:tcBorders>
            <w:vAlign w:val="center"/>
          </w:tcPr>
          <w:p w14:paraId="1998C50B" w14:textId="77777777" w:rsidR="00E7541D" w:rsidRPr="005F7ADC" w:rsidRDefault="00E7541D" w:rsidP="005F7ADC">
            <w:pPr>
              <w:pStyle w:val="Tabletitles"/>
              <w:keepNext/>
              <w:keepLines/>
              <w:rPr>
                <w:b w:val="0"/>
                <w:szCs w:val="20"/>
              </w:rPr>
            </w:pPr>
            <w:r w:rsidRPr="005F7ADC">
              <w:rPr>
                <w:b w:val="0"/>
                <w:szCs w:val="20"/>
              </w:rPr>
              <w:t>101</w:t>
            </w:r>
          </w:p>
        </w:tc>
        <w:tc>
          <w:tcPr>
            <w:tcW w:w="763" w:type="pct"/>
            <w:tcBorders>
              <w:bottom w:val="single" w:sz="4" w:space="0" w:color="auto"/>
            </w:tcBorders>
            <w:vAlign w:val="center"/>
          </w:tcPr>
          <w:p w14:paraId="14CBF1D1" w14:textId="77777777" w:rsidR="00E7541D" w:rsidRPr="005F7ADC" w:rsidRDefault="00E7541D" w:rsidP="005F7ADC">
            <w:pPr>
              <w:pStyle w:val="Tabletitles"/>
              <w:keepNext/>
              <w:keepLines/>
              <w:rPr>
                <w:b w:val="0"/>
                <w:szCs w:val="20"/>
              </w:rPr>
            </w:pPr>
            <w:r w:rsidRPr="005F7ADC">
              <w:rPr>
                <w:b w:val="0"/>
                <w:szCs w:val="20"/>
              </w:rPr>
              <w:t>69%</w:t>
            </w:r>
          </w:p>
        </w:tc>
      </w:tr>
      <w:tr w:rsidR="00E7541D" w:rsidRPr="005F7ADC" w14:paraId="5C26CA2A" w14:textId="77777777" w:rsidTr="003E0E65">
        <w:trPr>
          <w:trHeight w:val="254"/>
          <w:jc w:val="center"/>
        </w:trPr>
        <w:tc>
          <w:tcPr>
            <w:tcW w:w="2117" w:type="pct"/>
            <w:shd w:val="clear" w:color="auto" w:fill="auto"/>
            <w:noWrap/>
            <w:vAlign w:val="bottom"/>
            <w:hideMark/>
          </w:tcPr>
          <w:p w14:paraId="3A46842A" w14:textId="77777777" w:rsidR="00E7541D" w:rsidRPr="005F7ADC" w:rsidRDefault="00E7541D" w:rsidP="005F7ADC">
            <w:pPr>
              <w:pStyle w:val="Tabletitles"/>
              <w:keepNext/>
              <w:keepLines/>
              <w:rPr>
                <w:b w:val="0"/>
                <w:szCs w:val="20"/>
              </w:rPr>
            </w:pPr>
            <w:r w:rsidRPr="005F7ADC">
              <w:rPr>
                <w:b w:val="0"/>
                <w:szCs w:val="20"/>
              </w:rPr>
              <w:t>Any AE grade ≥3</w:t>
            </w:r>
          </w:p>
        </w:tc>
        <w:tc>
          <w:tcPr>
            <w:tcW w:w="763" w:type="pct"/>
            <w:shd w:val="clear" w:color="auto" w:fill="auto"/>
            <w:noWrap/>
            <w:vAlign w:val="center"/>
            <w:hideMark/>
          </w:tcPr>
          <w:p w14:paraId="3E490BE9" w14:textId="77777777" w:rsidR="00E7541D" w:rsidRPr="005F7ADC" w:rsidRDefault="00E7541D" w:rsidP="005F7ADC">
            <w:pPr>
              <w:pStyle w:val="Tabletitles"/>
              <w:keepNext/>
              <w:keepLines/>
              <w:rPr>
                <w:b w:val="0"/>
                <w:szCs w:val="20"/>
              </w:rPr>
            </w:pPr>
            <w:r w:rsidRPr="005F7ADC">
              <w:rPr>
                <w:b w:val="0"/>
                <w:szCs w:val="20"/>
              </w:rPr>
              <w:t>11</w:t>
            </w:r>
          </w:p>
        </w:tc>
        <w:tc>
          <w:tcPr>
            <w:tcW w:w="678" w:type="pct"/>
            <w:shd w:val="clear" w:color="auto" w:fill="auto"/>
            <w:noWrap/>
            <w:vAlign w:val="center"/>
            <w:hideMark/>
          </w:tcPr>
          <w:p w14:paraId="135ABC85" w14:textId="77777777" w:rsidR="00E7541D" w:rsidRPr="005F7ADC" w:rsidRDefault="00E7541D" w:rsidP="005F7ADC">
            <w:pPr>
              <w:pStyle w:val="Tabletitles"/>
              <w:keepNext/>
              <w:keepLines/>
              <w:rPr>
                <w:b w:val="0"/>
                <w:szCs w:val="20"/>
              </w:rPr>
            </w:pPr>
            <w:r w:rsidRPr="005F7ADC">
              <w:rPr>
                <w:b w:val="0"/>
                <w:szCs w:val="20"/>
              </w:rPr>
              <w:t>3%</w:t>
            </w:r>
          </w:p>
        </w:tc>
        <w:tc>
          <w:tcPr>
            <w:tcW w:w="678" w:type="pct"/>
            <w:shd w:val="clear" w:color="auto" w:fill="EEECE1" w:themeFill="background2"/>
            <w:vAlign w:val="center"/>
          </w:tcPr>
          <w:p w14:paraId="1AFEE9C0" w14:textId="77777777" w:rsidR="00E7541D" w:rsidRPr="005F7ADC" w:rsidRDefault="005C7DD0" w:rsidP="005F7ADC">
            <w:pPr>
              <w:pStyle w:val="Tabletitles"/>
              <w:keepNext/>
              <w:keepLines/>
              <w:rPr>
                <w:b w:val="0"/>
                <w:szCs w:val="20"/>
              </w:rPr>
            </w:pPr>
            <w:r w:rsidRPr="005F7ADC">
              <w:rPr>
                <w:b w:val="0"/>
                <w:szCs w:val="20"/>
              </w:rPr>
              <w:t>NR</w:t>
            </w:r>
          </w:p>
        </w:tc>
        <w:tc>
          <w:tcPr>
            <w:tcW w:w="763" w:type="pct"/>
            <w:shd w:val="clear" w:color="auto" w:fill="EEECE1" w:themeFill="background2"/>
            <w:vAlign w:val="center"/>
          </w:tcPr>
          <w:p w14:paraId="405A1D67" w14:textId="77777777" w:rsidR="00E7541D" w:rsidRPr="005F7ADC" w:rsidRDefault="005C7DD0" w:rsidP="005F7ADC">
            <w:pPr>
              <w:pStyle w:val="Tabletitles"/>
              <w:keepNext/>
              <w:keepLines/>
              <w:rPr>
                <w:b w:val="0"/>
                <w:szCs w:val="20"/>
              </w:rPr>
            </w:pPr>
            <w:r w:rsidRPr="005F7ADC">
              <w:rPr>
                <w:b w:val="0"/>
                <w:szCs w:val="20"/>
              </w:rPr>
              <w:t>NR</w:t>
            </w:r>
          </w:p>
        </w:tc>
      </w:tr>
      <w:tr w:rsidR="00E7541D" w:rsidRPr="005F7ADC" w14:paraId="1DFEFFE2" w14:textId="77777777" w:rsidTr="003E0E65">
        <w:trPr>
          <w:trHeight w:val="254"/>
          <w:jc w:val="center"/>
        </w:trPr>
        <w:tc>
          <w:tcPr>
            <w:tcW w:w="2117" w:type="pct"/>
            <w:shd w:val="clear" w:color="auto" w:fill="auto"/>
            <w:noWrap/>
            <w:vAlign w:val="bottom"/>
            <w:hideMark/>
          </w:tcPr>
          <w:p w14:paraId="57268D9D" w14:textId="77777777" w:rsidR="00E7541D" w:rsidRPr="005F7ADC" w:rsidRDefault="00E7541D" w:rsidP="005F7ADC">
            <w:pPr>
              <w:pStyle w:val="Tabletitles"/>
              <w:keepNext/>
              <w:keepLines/>
              <w:rPr>
                <w:b w:val="0"/>
                <w:szCs w:val="20"/>
              </w:rPr>
            </w:pPr>
            <w:r w:rsidRPr="005F7ADC">
              <w:rPr>
                <w:b w:val="0"/>
                <w:szCs w:val="20"/>
              </w:rPr>
              <w:t>Any serious AE (SAE)</w:t>
            </w:r>
          </w:p>
        </w:tc>
        <w:tc>
          <w:tcPr>
            <w:tcW w:w="763" w:type="pct"/>
            <w:shd w:val="clear" w:color="auto" w:fill="auto"/>
            <w:noWrap/>
            <w:vAlign w:val="center"/>
            <w:hideMark/>
          </w:tcPr>
          <w:p w14:paraId="7D13B080" w14:textId="77777777" w:rsidR="00E7541D" w:rsidRPr="005F7ADC" w:rsidRDefault="00E7541D" w:rsidP="005F7ADC">
            <w:pPr>
              <w:pStyle w:val="Tabletitles"/>
              <w:keepNext/>
              <w:keepLines/>
              <w:rPr>
                <w:b w:val="0"/>
                <w:szCs w:val="20"/>
              </w:rPr>
            </w:pPr>
            <w:r w:rsidRPr="005F7ADC">
              <w:rPr>
                <w:b w:val="0"/>
                <w:szCs w:val="20"/>
              </w:rPr>
              <w:t>6</w:t>
            </w:r>
          </w:p>
        </w:tc>
        <w:tc>
          <w:tcPr>
            <w:tcW w:w="678" w:type="pct"/>
            <w:shd w:val="clear" w:color="auto" w:fill="auto"/>
            <w:noWrap/>
            <w:vAlign w:val="center"/>
            <w:hideMark/>
          </w:tcPr>
          <w:p w14:paraId="776710FD" w14:textId="77777777" w:rsidR="00E7541D" w:rsidRPr="005F7ADC" w:rsidRDefault="00E7541D" w:rsidP="005F7ADC">
            <w:pPr>
              <w:pStyle w:val="Tabletitles"/>
              <w:keepNext/>
              <w:keepLines/>
              <w:rPr>
                <w:b w:val="0"/>
                <w:szCs w:val="20"/>
              </w:rPr>
            </w:pPr>
            <w:r w:rsidRPr="005F7ADC">
              <w:rPr>
                <w:b w:val="0"/>
                <w:szCs w:val="20"/>
              </w:rPr>
              <w:t>2%</w:t>
            </w:r>
          </w:p>
        </w:tc>
        <w:tc>
          <w:tcPr>
            <w:tcW w:w="678" w:type="pct"/>
            <w:vAlign w:val="center"/>
          </w:tcPr>
          <w:p w14:paraId="4803A8BB" w14:textId="77777777" w:rsidR="00E7541D" w:rsidRPr="005F7ADC" w:rsidRDefault="00E7541D" w:rsidP="005F7ADC">
            <w:pPr>
              <w:pStyle w:val="Tabletitles"/>
              <w:keepNext/>
              <w:keepLines/>
              <w:rPr>
                <w:b w:val="0"/>
                <w:szCs w:val="20"/>
              </w:rPr>
            </w:pPr>
            <w:r w:rsidRPr="005F7ADC">
              <w:rPr>
                <w:b w:val="0"/>
                <w:szCs w:val="20"/>
              </w:rPr>
              <w:t>11</w:t>
            </w:r>
          </w:p>
        </w:tc>
        <w:tc>
          <w:tcPr>
            <w:tcW w:w="763" w:type="pct"/>
            <w:vAlign w:val="center"/>
          </w:tcPr>
          <w:p w14:paraId="4F6CDA49" w14:textId="77777777" w:rsidR="00E7541D" w:rsidRPr="005F7ADC" w:rsidRDefault="00E7541D" w:rsidP="005F7ADC">
            <w:pPr>
              <w:pStyle w:val="Tabletitles"/>
              <w:keepNext/>
              <w:keepLines/>
              <w:rPr>
                <w:b w:val="0"/>
                <w:szCs w:val="20"/>
              </w:rPr>
            </w:pPr>
            <w:r w:rsidRPr="005F7ADC">
              <w:rPr>
                <w:b w:val="0"/>
                <w:szCs w:val="20"/>
              </w:rPr>
              <w:t>8%</w:t>
            </w:r>
          </w:p>
        </w:tc>
      </w:tr>
      <w:tr w:rsidR="00E7541D" w:rsidRPr="005F7ADC" w14:paraId="39A61E61" w14:textId="77777777" w:rsidTr="003E0E65">
        <w:trPr>
          <w:trHeight w:val="254"/>
          <w:jc w:val="center"/>
        </w:trPr>
        <w:tc>
          <w:tcPr>
            <w:tcW w:w="2117" w:type="pct"/>
            <w:shd w:val="clear" w:color="auto" w:fill="auto"/>
            <w:noWrap/>
            <w:vAlign w:val="bottom"/>
            <w:hideMark/>
          </w:tcPr>
          <w:p w14:paraId="5AAB4104" w14:textId="77777777" w:rsidR="00E7541D" w:rsidRPr="005F7ADC" w:rsidRDefault="00E7541D" w:rsidP="005F7ADC">
            <w:pPr>
              <w:pStyle w:val="Tabletitles"/>
              <w:keepNext/>
              <w:keepLines/>
              <w:rPr>
                <w:b w:val="0"/>
                <w:szCs w:val="20"/>
              </w:rPr>
            </w:pPr>
            <w:r w:rsidRPr="005F7ADC">
              <w:rPr>
                <w:b w:val="0"/>
                <w:szCs w:val="20"/>
              </w:rPr>
              <w:t>Any drug-related SAE</w:t>
            </w:r>
          </w:p>
        </w:tc>
        <w:tc>
          <w:tcPr>
            <w:tcW w:w="763" w:type="pct"/>
            <w:shd w:val="clear" w:color="auto" w:fill="auto"/>
            <w:noWrap/>
            <w:vAlign w:val="center"/>
            <w:hideMark/>
          </w:tcPr>
          <w:p w14:paraId="76EA0DF7" w14:textId="77777777" w:rsidR="00E7541D" w:rsidRPr="005F7ADC" w:rsidRDefault="00E7541D" w:rsidP="005F7ADC">
            <w:pPr>
              <w:pStyle w:val="Tabletitles"/>
              <w:keepNext/>
              <w:keepLines/>
              <w:rPr>
                <w:b w:val="0"/>
                <w:szCs w:val="20"/>
              </w:rPr>
            </w:pPr>
            <w:r w:rsidRPr="005F7ADC">
              <w:rPr>
                <w:b w:val="0"/>
                <w:szCs w:val="20"/>
              </w:rPr>
              <w:t>0</w:t>
            </w:r>
          </w:p>
        </w:tc>
        <w:tc>
          <w:tcPr>
            <w:tcW w:w="678" w:type="pct"/>
            <w:shd w:val="clear" w:color="auto" w:fill="auto"/>
            <w:noWrap/>
            <w:vAlign w:val="center"/>
            <w:hideMark/>
          </w:tcPr>
          <w:p w14:paraId="0C26C2EE" w14:textId="77777777" w:rsidR="00E7541D" w:rsidRPr="005F7ADC" w:rsidRDefault="00E7541D" w:rsidP="005F7ADC">
            <w:pPr>
              <w:pStyle w:val="Tabletitles"/>
              <w:keepNext/>
              <w:keepLines/>
              <w:rPr>
                <w:b w:val="0"/>
                <w:szCs w:val="20"/>
              </w:rPr>
            </w:pPr>
            <w:r w:rsidRPr="005F7ADC">
              <w:rPr>
                <w:b w:val="0"/>
                <w:szCs w:val="20"/>
              </w:rPr>
              <w:t>0</w:t>
            </w:r>
          </w:p>
        </w:tc>
        <w:tc>
          <w:tcPr>
            <w:tcW w:w="678" w:type="pct"/>
            <w:tcBorders>
              <w:bottom w:val="single" w:sz="4" w:space="0" w:color="auto"/>
            </w:tcBorders>
            <w:vAlign w:val="center"/>
          </w:tcPr>
          <w:p w14:paraId="4610E43A" w14:textId="77777777" w:rsidR="00E7541D" w:rsidRPr="005F7ADC" w:rsidRDefault="00E7541D" w:rsidP="005F7ADC">
            <w:pPr>
              <w:pStyle w:val="Tabletitles"/>
              <w:keepNext/>
              <w:keepLines/>
              <w:rPr>
                <w:b w:val="0"/>
                <w:szCs w:val="20"/>
              </w:rPr>
            </w:pPr>
            <w:r w:rsidRPr="005F7ADC">
              <w:rPr>
                <w:b w:val="0"/>
                <w:szCs w:val="20"/>
              </w:rPr>
              <w:t>0</w:t>
            </w:r>
          </w:p>
        </w:tc>
        <w:tc>
          <w:tcPr>
            <w:tcW w:w="763" w:type="pct"/>
            <w:tcBorders>
              <w:bottom w:val="single" w:sz="4" w:space="0" w:color="auto"/>
            </w:tcBorders>
            <w:vAlign w:val="center"/>
          </w:tcPr>
          <w:p w14:paraId="11104EA7" w14:textId="77777777" w:rsidR="00E7541D" w:rsidRPr="005F7ADC" w:rsidRDefault="00E7541D" w:rsidP="005F7ADC">
            <w:pPr>
              <w:pStyle w:val="Tabletitles"/>
              <w:keepNext/>
              <w:keepLines/>
              <w:rPr>
                <w:b w:val="0"/>
                <w:szCs w:val="20"/>
              </w:rPr>
            </w:pPr>
            <w:r w:rsidRPr="005F7ADC">
              <w:rPr>
                <w:b w:val="0"/>
                <w:szCs w:val="20"/>
              </w:rPr>
              <w:t>0</w:t>
            </w:r>
          </w:p>
        </w:tc>
      </w:tr>
      <w:tr w:rsidR="00E7541D" w:rsidRPr="005F7ADC" w14:paraId="72C84934" w14:textId="77777777" w:rsidTr="003E0E65">
        <w:trPr>
          <w:trHeight w:val="254"/>
          <w:jc w:val="center"/>
        </w:trPr>
        <w:tc>
          <w:tcPr>
            <w:tcW w:w="2117" w:type="pct"/>
            <w:shd w:val="clear" w:color="auto" w:fill="auto"/>
            <w:noWrap/>
            <w:vAlign w:val="bottom"/>
            <w:hideMark/>
          </w:tcPr>
          <w:p w14:paraId="34E8548B" w14:textId="77777777" w:rsidR="00E7541D" w:rsidRPr="005F7ADC" w:rsidRDefault="00E7541D" w:rsidP="005F7ADC">
            <w:pPr>
              <w:pStyle w:val="Tabletitles"/>
              <w:keepNext/>
              <w:keepLines/>
              <w:rPr>
                <w:b w:val="0"/>
                <w:szCs w:val="20"/>
              </w:rPr>
            </w:pPr>
            <w:r w:rsidRPr="005F7ADC">
              <w:rPr>
                <w:b w:val="0"/>
                <w:szCs w:val="20"/>
              </w:rPr>
              <w:t xml:space="preserve">Any drug-related AE grade ≥3 </w:t>
            </w:r>
          </w:p>
        </w:tc>
        <w:tc>
          <w:tcPr>
            <w:tcW w:w="763" w:type="pct"/>
            <w:shd w:val="clear" w:color="auto" w:fill="auto"/>
            <w:noWrap/>
            <w:vAlign w:val="center"/>
            <w:hideMark/>
          </w:tcPr>
          <w:p w14:paraId="50002226" w14:textId="77777777" w:rsidR="00E7541D" w:rsidRPr="005F7ADC" w:rsidRDefault="00E7541D" w:rsidP="005F7ADC">
            <w:pPr>
              <w:pStyle w:val="Tabletitles"/>
              <w:keepNext/>
              <w:keepLines/>
              <w:rPr>
                <w:b w:val="0"/>
                <w:szCs w:val="20"/>
              </w:rPr>
            </w:pPr>
            <w:r w:rsidRPr="005F7ADC">
              <w:rPr>
                <w:b w:val="0"/>
                <w:szCs w:val="20"/>
              </w:rPr>
              <w:t>1</w:t>
            </w:r>
          </w:p>
        </w:tc>
        <w:tc>
          <w:tcPr>
            <w:tcW w:w="678" w:type="pct"/>
            <w:shd w:val="clear" w:color="auto" w:fill="auto"/>
            <w:noWrap/>
            <w:vAlign w:val="center"/>
            <w:hideMark/>
          </w:tcPr>
          <w:p w14:paraId="302AFADA" w14:textId="77777777" w:rsidR="00E7541D" w:rsidRPr="005F7ADC" w:rsidRDefault="00E7541D" w:rsidP="005F7ADC">
            <w:pPr>
              <w:pStyle w:val="Tabletitles"/>
              <w:keepNext/>
              <w:keepLines/>
              <w:rPr>
                <w:b w:val="0"/>
                <w:szCs w:val="20"/>
              </w:rPr>
            </w:pPr>
            <w:r w:rsidRPr="005F7ADC">
              <w:rPr>
                <w:b w:val="0"/>
                <w:szCs w:val="20"/>
              </w:rPr>
              <w:t>&lt;1%</w:t>
            </w:r>
          </w:p>
        </w:tc>
        <w:tc>
          <w:tcPr>
            <w:tcW w:w="678" w:type="pct"/>
            <w:shd w:val="clear" w:color="auto" w:fill="EEECE1" w:themeFill="background2"/>
            <w:vAlign w:val="center"/>
          </w:tcPr>
          <w:p w14:paraId="7BE63803" w14:textId="77777777" w:rsidR="00E7541D" w:rsidRPr="005F7ADC" w:rsidRDefault="005C7DD0" w:rsidP="005F7ADC">
            <w:pPr>
              <w:pStyle w:val="Tabletitles"/>
              <w:keepNext/>
              <w:keepLines/>
              <w:rPr>
                <w:b w:val="0"/>
                <w:szCs w:val="20"/>
              </w:rPr>
            </w:pPr>
            <w:r w:rsidRPr="005F7ADC">
              <w:rPr>
                <w:b w:val="0"/>
                <w:szCs w:val="20"/>
              </w:rPr>
              <w:t>NR</w:t>
            </w:r>
          </w:p>
        </w:tc>
        <w:tc>
          <w:tcPr>
            <w:tcW w:w="763" w:type="pct"/>
            <w:shd w:val="clear" w:color="auto" w:fill="EEECE1" w:themeFill="background2"/>
            <w:vAlign w:val="center"/>
          </w:tcPr>
          <w:p w14:paraId="49FFBB7B" w14:textId="77777777" w:rsidR="00E7541D" w:rsidRPr="005F7ADC" w:rsidRDefault="005C7DD0" w:rsidP="005F7ADC">
            <w:pPr>
              <w:pStyle w:val="Tabletitles"/>
              <w:keepNext/>
              <w:keepLines/>
              <w:rPr>
                <w:b w:val="0"/>
                <w:szCs w:val="20"/>
              </w:rPr>
            </w:pPr>
            <w:r w:rsidRPr="005F7ADC">
              <w:rPr>
                <w:b w:val="0"/>
                <w:szCs w:val="20"/>
              </w:rPr>
              <w:t>NR</w:t>
            </w:r>
          </w:p>
        </w:tc>
      </w:tr>
      <w:tr w:rsidR="00E7541D" w:rsidRPr="005F7ADC" w14:paraId="100AFB4E" w14:textId="77777777" w:rsidTr="003E0E65">
        <w:trPr>
          <w:trHeight w:val="254"/>
          <w:jc w:val="center"/>
        </w:trPr>
        <w:tc>
          <w:tcPr>
            <w:tcW w:w="2117" w:type="pct"/>
            <w:tcBorders>
              <w:bottom w:val="single" w:sz="4" w:space="0" w:color="auto"/>
            </w:tcBorders>
            <w:shd w:val="clear" w:color="auto" w:fill="auto"/>
            <w:noWrap/>
            <w:vAlign w:val="bottom"/>
            <w:hideMark/>
          </w:tcPr>
          <w:p w14:paraId="08AD42D6" w14:textId="77777777" w:rsidR="00E7541D" w:rsidRPr="005F7ADC" w:rsidRDefault="00E7541D" w:rsidP="005F7ADC">
            <w:pPr>
              <w:pStyle w:val="Tabletitles"/>
              <w:keepNext/>
              <w:keepLines/>
              <w:rPr>
                <w:b w:val="0"/>
                <w:szCs w:val="20"/>
              </w:rPr>
            </w:pPr>
            <w:r w:rsidRPr="005F7ADC">
              <w:rPr>
                <w:b w:val="0"/>
                <w:szCs w:val="20"/>
              </w:rPr>
              <w:t>Any AE leading to discontinuation</w:t>
            </w:r>
          </w:p>
        </w:tc>
        <w:tc>
          <w:tcPr>
            <w:tcW w:w="763" w:type="pct"/>
            <w:tcBorders>
              <w:bottom w:val="single" w:sz="4" w:space="0" w:color="auto"/>
            </w:tcBorders>
            <w:shd w:val="clear" w:color="auto" w:fill="auto"/>
            <w:noWrap/>
            <w:vAlign w:val="center"/>
            <w:hideMark/>
          </w:tcPr>
          <w:p w14:paraId="79E9B16E" w14:textId="77777777" w:rsidR="00E7541D" w:rsidRPr="005F7ADC" w:rsidRDefault="00E7541D" w:rsidP="005F7ADC">
            <w:pPr>
              <w:pStyle w:val="Tabletitles"/>
              <w:keepNext/>
              <w:keepLines/>
              <w:rPr>
                <w:b w:val="0"/>
                <w:szCs w:val="20"/>
              </w:rPr>
            </w:pPr>
            <w:r w:rsidRPr="005F7ADC">
              <w:rPr>
                <w:b w:val="0"/>
                <w:szCs w:val="20"/>
              </w:rPr>
              <w:t>0</w:t>
            </w:r>
          </w:p>
        </w:tc>
        <w:tc>
          <w:tcPr>
            <w:tcW w:w="678" w:type="pct"/>
            <w:tcBorders>
              <w:bottom w:val="single" w:sz="4" w:space="0" w:color="auto"/>
            </w:tcBorders>
            <w:shd w:val="clear" w:color="auto" w:fill="auto"/>
            <w:noWrap/>
            <w:vAlign w:val="center"/>
            <w:hideMark/>
          </w:tcPr>
          <w:p w14:paraId="1548B0D1" w14:textId="77777777" w:rsidR="00E7541D" w:rsidRPr="005F7ADC" w:rsidRDefault="00E7541D" w:rsidP="005F7ADC">
            <w:pPr>
              <w:pStyle w:val="Tabletitles"/>
              <w:keepNext/>
              <w:keepLines/>
              <w:rPr>
                <w:b w:val="0"/>
                <w:szCs w:val="20"/>
              </w:rPr>
            </w:pPr>
            <w:r w:rsidRPr="005F7ADC">
              <w:rPr>
                <w:b w:val="0"/>
                <w:szCs w:val="20"/>
              </w:rPr>
              <w:t>0</w:t>
            </w:r>
          </w:p>
        </w:tc>
        <w:tc>
          <w:tcPr>
            <w:tcW w:w="678" w:type="pct"/>
            <w:tcBorders>
              <w:bottom w:val="single" w:sz="4" w:space="0" w:color="auto"/>
            </w:tcBorders>
            <w:vAlign w:val="center"/>
          </w:tcPr>
          <w:p w14:paraId="20B3EC1D" w14:textId="77777777" w:rsidR="00E7541D" w:rsidRPr="005F7ADC" w:rsidRDefault="00E7541D" w:rsidP="005F7ADC">
            <w:pPr>
              <w:pStyle w:val="Tabletitles"/>
              <w:keepNext/>
              <w:keepLines/>
              <w:rPr>
                <w:b w:val="0"/>
                <w:szCs w:val="20"/>
              </w:rPr>
            </w:pPr>
            <w:r w:rsidRPr="005F7ADC">
              <w:rPr>
                <w:b w:val="0"/>
                <w:szCs w:val="20"/>
              </w:rPr>
              <w:t>0</w:t>
            </w:r>
          </w:p>
        </w:tc>
        <w:tc>
          <w:tcPr>
            <w:tcW w:w="763" w:type="pct"/>
            <w:tcBorders>
              <w:bottom w:val="single" w:sz="4" w:space="0" w:color="auto"/>
            </w:tcBorders>
            <w:vAlign w:val="center"/>
          </w:tcPr>
          <w:p w14:paraId="3175D221" w14:textId="77777777" w:rsidR="00E7541D" w:rsidRPr="005F7ADC" w:rsidRDefault="00E7541D" w:rsidP="005F7ADC">
            <w:pPr>
              <w:pStyle w:val="Tabletitles"/>
              <w:keepNext/>
              <w:keepLines/>
              <w:rPr>
                <w:b w:val="0"/>
                <w:szCs w:val="20"/>
              </w:rPr>
            </w:pPr>
            <w:r w:rsidRPr="005F7ADC">
              <w:rPr>
                <w:b w:val="0"/>
                <w:szCs w:val="20"/>
              </w:rPr>
              <w:t>0</w:t>
            </w:r>
          </w:p>
        </w:tc>
      </w:tr>
      <w:tr w:rsidR="00E7541D" w:rsidRPr="005F7ADC" w14:paraId="5316B345" w14:textId="77777777" w:rsidTr="003E0E65">
        <w:trPr>
          <w:trHeight w:val="254"/>
          <w:jc w:val="center"/>
        </w:trPr>
        <w:tc>
          <w:tcPr>
            <w:tcW w:w="2117" w:type="pct"/>
            <w:tcBorders>
              <w:bottom w:val="single" w:sz="4" w:space="0" w:color="auto"/>
            </w:tcBorders>
            <w:shd w:val="clear" w:color="auto" w:fill="auto"/>
            <w:noWrap/>
            <w:vAlign w:val="bottom"/>
          </w:tcPr>
          <w:p w14:paraId="1057A579" w14:textId="77777777" w:rsidR="00E7541D" w:rsidRPr="005F7ADC" w:rsidRDefault="00E7541D" w:rsidP="005F7ADC">
            <w:pPr>
              <w:pStyle w:val="Tabletitles"/>
              <w:keepNext/>
              <w:keepLines/>
              <w:rPr>
                <w:b w:val="0"/>
                <w:szCs w:val="20"/>
              </w:rPr>
            </w:pPr>
            <w:r w:rsidRPr="005F7ADC">
              <w:rPr>
                <w:b w:val="0"/>
                <w:szCs w:val="20"/>
              </w:rPr>
              <w:t>Deaths (any cause)</w:t>
            </w:r>
          </w:p>
        </w:tc>
        <w:tc>
          <w:tcPr>
            <w:tcW w:w="763" w:type="pct"/>
            <w:tcBorders>
              <w:bottom w:val="single" w:sz="4" w:space="0" w:color="auto"/>
            </w:tcBorders>
            <w:shd w:val="clear" w:color="auto" w:fill="auto"/>
            <w:noWrap/>
            <w:vAlign w:val="center"/>
          </w:tcPr>
          <w:p w14:paraId="0D73C709" w14:textId="77777777" w:rsidR="00E7541D" w:rsidRPr="005F7ADC" w:rsidRDefault="00E7541D" w:rsidP="005F7ADC">
            <w:pPr>
              <w:pStyle w:val="Tabletitles"/>
              <w:keepNext/>
              <w:keepLines/>
              <w:rPr>
                <w:b w:val="0"/>
                <w:szCs w:val="20"/>
              </w:rPr>
            </w:pPr>
            <w:r w:rsidRPr="005F7ADC">
              <w:rPr>
                <w:b w:val="0"/>
                <w:szCs w:val="20"/>
              </w:rPr>
              <w:t>0</w:t>
            </w:r>
          </w:p>
        </w:tc>
        <w:tc>
          <w:tcPr>
            <w:tcW w:w="678" w:type="pct"/>
            <w:tcBorders>
              <w:bottom w:val="single" w:sz="4" w:space="0" w:color="auto"/>
            </w:tcBorders>
            <w:shd w:val="clear" w:color="auto" w:fill="auto"/>
            <w:noWrap/>
            <w:vAlign w:val="center"/>
          </w:tcPr>
          <w:p w14:paraId="2DA760F7" w14:textId="77777777" w:rsidR="00E7541D" w:rsidRPr="005F7ADC" w:rsidRDefault="00E7541D" w:rsidP="005F7ADC">
            <w:pPr>
              <w:pStyle w:val="Tabletitles"/>
              <w:keepNext/>
              <w:keepLines/>
              <w:rPr>
                <w:b w:val="0"/>
                <w:szCs w:val="20"/>
              </w:rPr>
            </w:pPr>
            <w:r w:rsidRPr="005F7ADC">
              <w:rPr>
                <w:b w:val="0"/>
                <w:szCs w:val="20"/>
              </w:rPr>
              <w:t>0</w:t>
            </w:r>
          </w:p>
        </w:tc>
        <w:tc>
          <w:tcPr>
            <w:tcW w:w="678" w:type="pct"/>
            <w:tcBorders>
              <w:bottom w:val="single" w:sz="4" w:space="0" w:color="auto"/>
            </w:tcBorders>
            <w:vAlign w:val="center"/>
          </w:tcPr>
          <w:p w14:paraId="093F9C28" w14:textId="77777777" w:rsidR="00E7541D" w:rsidRPr="005F7ADC" w:rsidRDefault="00E7541D" w:rsidP="005F7ADC">
            <w:pPr>
              <w:pStyle w:val="Tabletitles"/>
              <w:keepNext/>
              <w:keepLines/>
              <w:rPr>
                <w:b w:val="0"/>
                <w:szCs w:val="20"/>
              </w:rPr>
            </w:pPr>
            <w:r w:rsidRPr="005F7ADC">
              <w:rPr>
                <w:b w:val="0"/>
                <w:szCs w:val="20"/>
              </w:rPr>
              <w:t>1</w:t>
            </w:r>
          </w:p>
        </w:tc>
        <w:tc>
          <w:tcPr>
            <w:tcW w:w="763" w:type="pct"/>
            <w:tcBorders>
              <w:bottom w:val="single" w:sz="4" w:space="0" w:color="auto"/>
            </w:tcBorders>
            <w:vAlign w:val="center"/>
          </w:tcPr>
          <w:p w14:paraId="68565563" w14:textId="77777777" w:rsidR="00E7541D" w:rsidRPr="005F7ADC" w:rsidRDefault="00E7541D" w:rsidP="005F7ADC">
            <w:pPr>
              <w:pStyle w:val="Tabletitles"/>
              <w:keepNext/>
              <w:keepLines/>
              <w:rPr>
                <w:b w:val="0"/>
                <w:szCs w:val="20"/>
              </w:rPr>
            </w:pPr>
            <w:r w:rsidRPr="005F7ADC">
              <w:rPr>
                <w:b w:val="0"/>
                <w:szCs w:val="20"/>
              </w:rPr>
              <w:t>1%</w:t>
            </w:r>
          </w:p>
        </w:tc>
      </w:tr>
      <w:tr w:rsidR="00E7541D" w:rsidRPr="005F7ADC" w14:paraId="2AFDD36A" w14:textId="77777777" w:rsidTr="003E0E65">
        <w:trPr>
          <w:trHeight w:val="254"/>
          <w:jc w:val="center"/>
        </w:trPr>
        <w:tc>
          <w:tcPr>
            <w:tcW w:w="2117" w:type="pct"/>
            <w:tcBorders>
              <w:bottom w:val="nil"/>
              <w:right w:val="nil"/>
            </w:tcBorders>
            <w:shd w:val="clear" w:color="auto" w:fill="auto"/>
            <w:noWrap/>
            <w:vAlign w:val="bottom"/>
            <w:hideMark/>
          </w:tcPr>
          <w:p w14:paraId="28E84505" w14:textId="77777777" w:rsidR="00E7541D" w:rsidRPr="005F7ADC" w:rsidRDefault="00E7541D" w:rsidP="005F7ADC">
            <w:pPr>
              <w:pStyle w:val="Tabletitles"/>
              <w:keepNext/>
              <w:keepLines/>
              <w:rPr>
                <w:b w:val="0"/>
                <w:szCs w:val="20"/>
              </w:rPr>
            </w:pPr>
            <w:r w:rsidRPr="005F7ADC">
              <w:rPr>
                <w:b w:val="0"/>
                <w:szCs w:val="20"/>
              </w:rPr>
              <w:t>AEs occurring in ≥5% subjects:</w:t>
            </w:r>
          </w:p>
        </w:tc>
        <w:tc>
          <w:tcPr>
            <w:tcW w:w="763" w:type="pct"/>
            <w:tcBorders>
              <w:left w:val="nil"/>
              <w:bottom w:val="nil"/>
              <w:right w:val="nil"/>
            </w:tcBorders>
            <w:shd w:val="clear" w:color="auto" w:fill="auto"/>
            <w:noWrap/>
            <w:vAlign w:val="bottom"/>
            <w:hideMark/>
          </w:tcPr>
          <w:p w14:paraId="71AC9A51" w14:textId="77777777" w:rsidR="00E7541D" w:rsidRPr="005F7ADC" w:rsidRDefault="00E7541D" w:rsidP="005F7ADC">
            <w:pPr>
              <w:pStyle w:val="Tabletitles"/>
              <w:keepNext/>
              <w:keepLines/>
              <w:rPr>
                <w:b w:val="0"/>
                <w:szCs w:val="20"/>
              </w:rPr>
            </w:pPr>
          </w:p>
        </w:tc>
        <w:tc>
          <w:tcPr>
            <w:tcW w:w="678" w:type="pct"/>
            <w:tcBorders>
              <w:left w:val="nil"/>
              <w:bottom w:val="nil"/>
            </w:tcBorders>
            <w:shd w:val="clear" w:color="auto" w:fill="auto"/>
            <w:noWrap/>
            <w:vAlign w:val="bottom"/>
            <w:hideMark/>
          </w:tcPr>
          <w:p w14:paraId="05A91CE6" w14:textId="77777777" w:rsidR="00E7541D" w:rsidRPr="005F7ADC" w:rsidRDefault="00E7541D" w:rsidP="005F7ADC">
            <w:pPr>
              <w:pStyle w:val="Tabletitles"/>
              <w:keepNext/>
              <w:keepLines/>
              <w:rPr>
                <w:b w:val="0"/>
                <w:szCs w:val="20"/>
              </w:rPr>
            </w:pPr>
          </w:p>
        </w:tc>
        <w:tc>
          <w:tcPr>
            <w:tcW w:w="678" w:type="pct"/>
            <w:tcBorders>
              <w:left w:val="nil"/>
              <w:bottom w:val="nil"/>
              <w:right w:val="nil"/>
            </w:tcBorders>
          </w:tcPr>
          <w:p w14:paraId="43C6669E" w14:textId="77777777" w:rsidR="00E7541D" w:rsidRPr="005F7ADC" w:rsidRDefault="00E7541D" w:rsidP="005F7ADC">
            <w:pPr>
              <w:pStyle w:val="Tabletitles"/>
              <w:keepNext/>
              <w:keepLines/>
              <w:rPr>
                <w:b w:val="0"/>
                <w:szCs w:val="20"/>
              </w:rPr>
            </w:pPr>
          </w:p>
        </w:tc>
        <w:tc>
          <w:tcPr>
            <w:tcW w:w="763" w:type="pct"/>
            <w:tcBorders>
              <w:left w:val="nil"/>
              <w:bottom w:val="nil"/>
            </w:tcBorders>
          </w:tcPr>
          <w:p w14:paraId="2D5B84AE" w14:textId="77777777" w:rsidR="00E7541D" w:rsidRPr="005F7ADC" w:rsidRDefault="00E7541D" w:rsidP="005F7ADC">
            <w:pPr>
              <w:pStyle w:val="Tabletitles"/>
              <w:keepNext/>
              <w:keepLines/>
              <w:rPr>
                <w:b w:val="0"/>
                <w:szCs w:val="20"/>
              </w:rPr>
            </w:pPr>
          </w:p>
        </w:tc>
      </w:tr>
      <w:tr w:rsidR="00E7541D" w:rsidRPr="005F7ADC" w14:paraId="6C78F667" w14:textId="77777777" w:rsidTr="003E0E65">
        <w:trPr>
          <w:trHeight w:val="254"/>
          <w:jc w:val="center"/>
        </w:trPr>
        <w:tc>
          <w:tcPr>
            <w:tcW w:w="2117" w:type="pct"/>
            <w:tcBorders>
              <w:top w:val="nil"/>
              <w:bottom w:val="nil"/>
              <w:right w:val="nil"/>
            </w:tcBorders>
            <w:shd w:val="clear" w:color="auto" w:fill="auto"/>
            <w:noWrap/>
            <w:vAlign w:val="bottom"/>
            <w:hideMark/>
          </w:tcPr>
          <w:p w14:paraId="66A458EE" w14:textId="12CB373C" w:rsidR="00E7541D" w:rsidRPr="005F7ADC" w:rsidRDefault="00091D85" w:rsidP="005F7ADC">
            <w:pPr>
              <w:pStyle w:val="Tabletitles"/>
              <w:keepNext/>
              <w:keepLines/>
              <w:rPr>
                <w:b w:val="0"/>
                <w:szCs w:val="20"/>
              </w:rPr>
            </w:pPr>
            <w:r>
              <w:rPr>
                <w:b w:val="0"/>
                <w:szCs w:val="20"/>
              </w:rPr>
              <w:t xml:space="preserve"> </w:t>
            </w:r>
            <w:r w:rsidR="00E7541D" w:rsidRPr="005F7ADC">
              <w:rPr>
                <w:b w:val="0"/>
                <w:szCs w:val="20"/>
              </w:rPr>
              <w:t xml:space="preserve">Fatigue </w:t>
            </w:r>
          </w:p>
        </w:tc>
        <w:tc>
          <w:tcPr>
            <w:tcW w:w="763" w:type="pct"/>
            <w:tcBorders>
              <w:top w:val="nil"/>
              <w:left w:val="nil"/>
              <w:bottom w:val="nil"/>
              <w:right w:val="nil"/>
            </w:tcBorders>
            <w:shd w:val="clear" w:color="auto" w:fill="auto"/>
            <w:noWrap/>
            <w:vAlign w:val="bottom"/>
            <w:hideMark/>
          </w:tcPr>
          <w:p w14:paraId="49F490FB" w14:textId="77777777" w:rsidR="00E7541D" w:rsidRPr="005F7ADC" w:rsidRDefault="00E7541D" w:rsidP="005F7ADC">
            <w:pPr>
              <w:pStyle w:val="Tabletitles"/>
              <w:keepNext/>
              <w:keepLines/>
              <w:rPr>
                <w:b w:val="0"/>
                <w:szCs w:val="20"/>
              </w:rPr>
            </w:pPr>
            <w:r w:rsidRPr="005F7ADC">
              <w:rPr>
                <w:b w:val="0"/>
                <w:szCs w:val="20"/>
              </w:rPr>
              <w:t>30</w:t>
            </w:r>
          </w:p>
        </w:tc>
        <w:tc>
          <w:tcPr>
            <w:tcW w:w="678" w:type="pct"/>
            <w:tcBorders>
              <w:top w:val="nil"/>
              <w:left w:val="nil"/>
              <w:bottom w:val="nil"/>
            </w:tcBorders>
            <w:shd w:val="clear" w:color="auto" w:fill="auto"/>
            <w:noWrap/>
            <w:vAlign w:val="bottom"/>
            <w:hideMark/>
          </w:tcPr>
          <w:p w14:paraId="466AC3F3" w14:textId="77777777" w:rsidR="00E7541D" w:rsidRPr="005F7ADC" w:rsidRDefault="00E7541D" w:rsidP="005F7ADC">
            <w:pPr>
              <w:pStyle w:val="Tabletitles"/>
              <w:keepNext/>
              <w:keepLines/>
              <w:rPr>
                <w:b w:val="0"/>
                <w:szCs w:val="20"/>
              </w:rPr>
            </w:pPr>
            <w:r w:rsidRPr="005F7ADC">
              <w:rPr>
                <w:b w:val="0"/>
                <w:szCs w:val="20"/>
              </w:rPr>
              <w:t>9%</w:t>
            </w:r>
          </w:p>
        </w:tc>
        <w:tc>
          <w:tcPr>
            <w:tcW w:w="678" w:type="pct"/>
            <w:tcBorders>
              <w:top w:val="nil"/>
              <w:left w:val="nil"/>
              <w:bottom w:val="nil"/>
              <w:right w:val="nil"/>
            </w:tcBorders>
          </w:tcPr>
          <w:p w14:paraId="08EC2828" w14:textId="77777777" w:rsidR="00E7541D" w:rsidRPr="005F7ADC" w:rsidRDefault="00E7541D" w:rsidP="005F7ADC">
            <w:pPr>
              <w:pStyle w:val="Tabletitles"/>
              <w:keepNext/>
              <w:keepLines/>
              <w:rPr>
                <w:b w:val="0"/>
                <w:szCs w:val="20"/>
              </w:rPr>
            </w:pPr>
            <w:r w:rsidRPr="005F7ADC">
              <w:rPr>
                <w:b w:val="0"/>
                <w:szCs w:val="20"/>
              </w:rPr>
              <w:t>28</w:t>
            </w:r>
          </w:p>
        </w:tc>
        <w:tc>
          <w:tcPr>
            <w:tcW w:w="763" w:type="pct"/>
            <w:tcBorders>
              <w:top w:val="nil"/>
              <w:left w:val="nil"/>
              <w:bottom w:val="nil"/>
            </w:tcBorders>
          </w:tcPr>
          <w:p w14:paraId="66CD4911" w14:textId="77777777" w:rsidR="00E7541D" w:rsidRPr="005F7ADC" w:rsidRDefault="00E7541D" w:rsidP="005F7ADC">
            <w:pPr>
              <w:pStyle w:val="Tabletitles"/>
              <w:keepNext/>
              <w:keepLines/>
              <w:rPr>
                <w:b w:val="0"/>
                <w:szCs w:val="20"/>
              </w:rPr>
            </w:pPr>
            <w:r w:rsidRPr="005F7ADC">
              <w:rPr>
                <w:b w:val="0"/>
                <w:szCs w:val="20"/>
              </w:rPr>
              <w:t>19%</w:t>
            </w:r>
          </w:p>
        </w:tc>
      </w:tr>
      <w:tr w:rsidR="00E7541D" w:rsidRPr="005F7ADC" w14:paraId="7089520D" w14:textId="77777777" w:rsidTr="003E0E65">
        <w:trPr>
          <w:trHeight w:val="254"/>
          <w:jc w:val="center"/>
        </w:trPr>
        <w:tc>
          <w:tcPr>
            <w:tcW w:w="2117" w:type="pct"/>
            <w:tcBorders>
              <w:top w:val="nil"/>
              <w:bottom w:val="nil"/>
              <w:right w:val="nil"/>
            </w:tcBorders>
            <w:shd w:val="clear" w:color="auto" w:fill="auto"/>
            <w:noWrap/>
            <w:vAlign w:val="bottom"/>
            <w:hideMark/>
          </w:tcPr>
          <w:p w14:paraId="7791B677" w14:textId="3E84884B" w:rsidR="00E7541D" w:rsidRPr="005F7ADC" w:rsidRDefault="00091D85" w:rsidP="005F7ADC">
            <w:pPr>
              <w:pStyle w:val="Tabletitles"/>
              <w:keepNext/>
              <w:keepLines/>
              <w:rPr>
                <w:b w:val="0"/>
                <w:szCs w:val="20"/>
              </w:rPr>
            </w:pPr>
            <w:r>
              <w:rPr>
                <w:b w:val="0"/>
                <w:szCs w:val="20"/>
              </w:rPr>
              <w:t xml:space="preserve"> </w:t>
            </w:r>
            <w:proofErr w:type="spellStart"/>
            <w:r w:rsidR="00E7541D" w:rsidRPr="005F7ADC">
              <w:rPr>
                <w:b w:val="0"/>
                <w:szCs w:val="20"/>
              </w:rPr>
              <w:t>Pruritis</w:t>
            </w:r>
            <w:proofErr w:type="spellEnd"/>
          </w:p>
        </w:tc>
        <w:tc>
          <w:tcPr>
            <w:tcW w:w="763" w:type="pct"/>
            <w:tcBorders>
              <w:top w:val="nil"/>
              <w:left w:val="nil"/>
              <w:bottom w:val="nil"/>
              <w:right w:val="nil"/>
            </w:tcBorders>
            <w:shd w:val="clear" w:color="auto" w:fill="auto"/>
            <w:noWrap/>
            <w:vAlign w:val="bottom"/>
            <w:hideMark/>
          </w:tcPr>
          <w:p w14:paraId="2C11E68C" w14:textId="77777777" w:rsidR="00E7541D" w:rsidRPr="005F7ADC" w:rsidRDefault="00E7541D" w:rsidP="005F7ADC">
            <w:pPr>
              <w:pStyle w:val="Tabletitles"/>
              <w:keepNext/>
              <w:keepLines/>
              <w:rPr>
                <w:b w:val="0"/>
                <w:szCs w:val="20"/>
              </w:rPr>
            </w:pPr>
            <w:r w:rsidRPr="005F7ADC">
              <w:rPr>
                <w:b w:val="0"/>
                <w:szCs w:val="20"/>
              </w:rPr>
              <w:t>29</w:t>
            </w:r>
          </w:p>
        </w:tc>
        <w:tc>
          <w:tcPr>
            <w:tcW w:w="678" w:type="pct"/>
            <w:tcBorders>
              <w:top w:val="nil"/>
              <w:left w:val="nil"/>
              <w:bottom w:val="nil"/>
            </w:tcBorders>
            <w:shd w:val="clear" w:color="auto" w:fill="auto"/>
            <w:noWrap/>
            <w:vAlign w:val="bottom"/>
            <w:hideMark/>
          </w:tcPr>
          <w:p w14:paraId="45C65151" w14:textId="77777777" w:rsidR="00E7541D" w:rsidRPr="005F7ADC" w:rsidRDefault="00E7541D" w:rsidP="005F7ADC">
            <w:pPr>
              <w:pStyle w:val="Tabletitles"/>
              <w:keepNext/>
              <w:keepLines/>
              <w:rPr>
                <w:b w:val="0"/>
                <w:szCs w:val="20"/>
              </w:rPr>
            </w:pPr>
            <w:r w:rsidRPr="005F7ADC">
              <w:rPr>
                <w:b w:val="0"/>
                <w:szCs w:val="20"/>
              </w:rPr>
              <w:t>8%</w:t>
            </w:r>
          </w:p>
        </w:tc>
        <w:tc>
          <w:tcPr>
            <w:tcW w:w="678" w:type="pct"/>
            <w:tcBorders>
              <w:top w:val="nil"/>
              <w:left w:val="nil"/>
              <w:bottom w:val="nil"/>
              <w:right w:val="nil"/>
            </w:tcBorders>
          </w:tcPr>
          <w:p w14:paraId="642A5CB3" w14:textId="77777777" w:rsidR="00E7541D" w:rsidRPr="005F7ADC" w:rsidRDefault="00E7541D" w:rsidP="005F7ADC">
            <w:pPr>
              <w:pStyle w:val="Tabletitles"/>
              <w:keepNext/>
              <w:keepLines/>
              <w:rPr>
                <w:b w:val="0"/>
                <w:szCs w:val="20"/>
              </w:rPr>
            </w:pPr>
            <w:r w:rsidRPr="005F7ADC">
              <w:rPr>
                <w:b w:val="0"/>
                <w:szCs w:val="20"/>
              </w:rPr>
              <w:t>14</w:t>
            </w:r>
          </w:p>
        </w:tc>
        <w:tc>
          <w:tcPr>
            <w:tcW w:w="763" w:type="pct"/>
            <w:tcBorders>
              <w:top w:val="nil"/>
              <w:left w:val="nil"/>
              <w:bottom w:val="nil"/>
            </w:tcBorders>
          </w:tcPr>
          <w:p w14:paraId="48333BC8" w14:textId="77777777" w:rsidR="00E7541D" w:rsidRPr="005F7ADC" w:rsidRDefault="00E7541D" w:rsidP="005F7ADC">
            <w:pPr>
              <w:pStyle w:val="Tabletitles"/>
              <w:keepNext/>
              <w:keepLines/>
              <w:rPr>
                <w:b w:val="0"/>
                <w:szCs w:val="20"/>
              </w:rPr>
            </w:pPr>
            <w:r w:rsidRPr="005F7ADC">
              <w:rPr>
                <w:b w:val="0"/>
                <w:szCs w:val="20"/>
              </w:rPr>
              <w:t>10%</w:t>
            </w:r>
          </w:p>
        </w:tc>
      </w:tr>
      <w:tr w:rsidR="00E7541D" w:rsidRPr="005F7ADC" w14:paraId="30F75727" w14:textId="77777777" w:rsidTr="003E0E65">
        <w:trPr>
          <w:trHeight w:val="254"/>
          <w:jc w:val="center"/>
        </w:trPr>
        <w:tc>
          <w:tcPr>
            <w:tcW w:w="2117" w:type="pct"/>
            <w:tcBorders>
              <w:top w:val="nil"/>
              <w:bottom w:val="nil"/>
              <w:right w:val="nil"/>
            </w:tcBorders>
            <w:shd w:val="clear" w:color="auto" w:fill="auto"/>
            <w:noWrap/>
            <w:vAlign w:val="bottom"/>
            <w:hideMark/>
          </w:tcPr>
          <w:p w14:paraId="5F1DBA3A" w14:textId="6E0C5F92" w:rsidR="00E7541D" w:rsidRPr="005F7ADC" w:rsidRDefault="00091D85" w:rsidP="005F7ADC">
            <w:pPr>
              <w:pStyle w:val="Tabletitles"/>
              <w:keepNext/>
              <w:keepLines/>
              <w:rPr>
                <w:b w:val="0"/>
                <w:szCs w:val="20"/>
              </w:rPr>
            </w:pPr>
            <w:r>
              <w:rPr>
                <w:b w:val="0"/>
                <w:szCs w:val="20"/>
              </w:rPr>
              <w:t xml:space="preserve"> </w:t>
            </w:r>
            <w:r w:rsidR="00E7541D" w:rsidRPr="005F7ADC">
              <w:rPr>
                <w:b w:val="0"/>
                <w:szCs w:val="20"/>
              </w:rPr>
              <w:t>Headache</w:t>
            </w:r>
          </w:p>
        </w:tc>
        <w:tc>
          <w:tcPr>
            <w:tcW w:w="763" w:type="pct"/>
            <w:tcBorders>
              <w:top w:val="nil"/>
              <w:left w:val="nil"/>
              <w:bottom w:val="nil"/>
              <w:right w:val="nil"/>
            </w:tcBorders>
            <w:shd w:val="clear" w:color="auto" w:fill="auto"/>
            <w:noWrap/>
            <w:vAlign w:val="bottom"/>
            <w:hideMark/>
          </w:tcPr>
          <w:p w14:paraId="127E2681" w14:textId="77777777" w:rsidR="00E7541D" w:rsidRPr="005F7ADC" w:rsidRDefault="00E7541D" w:rsidP="005F7ADC">
            <w:pPr>
              <w:pStyle w:val="Tabletitles"/>
              <w:keepNext/>
              <w:keepLines/>
              <w:rPr>
                <w:b w:val="0"/>
                <w:szCs w:val="20"/>
              </w:rPr>
            </w:pPr>
            <w:r w:rsidRPr="005F7ADC">
              <w:rPr>
                <w:b w:val="0"/>
                <w:szCs w:val="20"/>
              </w:rPr>
              <w:t>28</w:t>
            </w:r>
          </w:p>
        </w:tc>
        <w:tc>
          <w:tcPr>
            <w:tcW w:w="678" w:type="pct"/>
            <w:tcBorders>
              <w:top w:val="nil"/>
              <w:left w:val="nil"/>
              <w:bottom w:val="nil"/>
            </w:tcBorders>
            <w:shd w:val="clear" w:color="auto" w:fill="auto"/>
            <w:noWrap/>
            <w:vAlign w:val="bottom"/>
            <w:hideMark/>
          </w:tcPr>
          <w:p w14:paraId="0C97D7C4" w14:textId="77777777" w:rsidR="00E7541D" w:rsidRPr="005F7ADC" w:rsidRDefault="00E7541D" w:rsidP="005F7ADC">
            <w:pPr>
              <w:pStyle w:val="Tabletitles"/>
              <w:keepNext/>
              <w:keepLines/>
              <w:rPr>
                <w:b w:val="0"/>
                <w:szCs w:val="20"/>
              </w:rPr>
            </w:pPr>
            <w:r w:rsidRPr="005F7ADC">
              <w:rPr>
                <w:b w:val="0"/>
                <w:szCs w:val="20"/>
              </w:rPr>
              <w:t>8%</w:t>
            </w:r>
          </w:p>
        </w:tc>
        <w:tc>
          <w:tcPr>
            <w:tcW w:w="678" w:type="pct"/>
            <w:tcBorders>
              <w:top w:val="nil"/>
              <w:left w:val="nil"/>
              <w:bottom w:val="nil"/>
              <w:right w:val="nil"/>
            </w:tcBorders>
          </w:tcPr>
          <w:p w14:paraId="383D36D2" w14:textId="77777777" w:rsidR="00E7541D" w:rsidRPr="005F7ADC" w:rsidRDefault="00E7541D" w:rsidP="005F7ADC">
            <w:pPr>
              <w:pStyle w:val="Tabletitles"/>
              <w:keepNext/>
              <w:keepLines/>
              <w:rPr>
                <w:b w:val="0"/>
                <w:szCs w:val="20"/>
              </w:rPr>
            </w:pPr>
            <w:r w:rsidRPr="005F7ADC">
              <w:rPr>
                <w:b w:val="0"/>
                <w:szCs w:val="20"/>
              </w:rPr>
              <w:t>20</w:t>
            </w:r>
          </w:p>
        </w:tc>
        <w:tc>
          <w:tcPr>
            <w:tcW w:w="763" w:type="pct"/>
            <w:tcBorders>
              <w:top w:val="nil"/>
              <w:left w:val="nil"/>
              <w:bottom w:val="nil"/>
            </w:tcBorders>
          </w:tcPr>
          <w:p w14:paraId="1F6CEE1B" w14:textId="77777777" w:rsidR="00E7541D" w:rsidRPr="005F7ADC" w:rsidRDefault="00E7541D" w:rsidP="005F7ADC">
            <w:pPr>
              <w:pStyle w:val="Tabletitles"/>
              <w:keepNext/>
              <w:keepLines/>
              <w:rPr>
                <w:b w:val="0"/>
                <w:szCs w:val="20"/>
              </w:rPr>
            </w:pPr>
            <w:r w:rsidRPr="005F7ADC">
              <w:rPr>
                <w:b w:val="0"/>
                <w:szCs w:val="20"/>
              </w:rPr>
              <w:t>14%</w:t>
            </w:r>
          </w:p>
        </w:tc>
      </w:tr>
      <w:tr w:rsidR="00E7541D" w:rsidRPr="005F7ADC" w14:paraId="7AD2D230" w14:textId="77777777" w:rsidTr="003E0E65">
        <w:trPr>
          <w:trHeight w:val="254"/>
          <w:jc w:val="center"/>
        </w:trPr>
        <w:tc>
          <w:tcPr>
            <w:tcW w:w="2117" w:type="pct"/>
            <w:tcBorders>
              <w:top w:val="nil"/>
              <w:bottom w:val="nil"/>
              <w:right w:val="nil"/>
            </w:tcBorders>
            <w:shd w:val="clear" w:color="auto" w:fill="auto"/>
            <w:noWrap/>
            <w:vAlign w:val="bottom"/>
            <w:hideMark/>
          </w:tcPr>
          <w:p w14:paraId="1BD748BD" w14:textId="37A93281" w:rsidR="00E7541D" w:rsidRPr="005F7ADC" w:rsidRDefault="00091D85" w:rsidP="005F7ADC">
            <w:pPr>
              <w:pStyle w:val="Tabletitles"/>
              <w:keepNext/>
              <w:keepLines/>
              <w:rPr>
                <w:b w:val="0"/>
                <w:szCs w:val="20"/>
              </w:rPr>
            </w:pPr>
            <w:r>
              <w:rPr>
                <w:b w:val="0"/>
                <w:szCs w:val="20"/>
              </w:rPr>
              <w:t xml:space="preserve"> </w:t>
            </w:r>
            <w:r w:rsidR="00E7541D" w:rsidRPr="005F7ADC">
              <w:rPr>
                <w:b w:val="0"/>
                <w:szCs w:val="20"/>
              </w:rPr>
              <w:t>Nausea</w:t>
            </w:r>
          </w:p>
        </w:tc>
        <w:tc>
          <w:tcPr>
            <w:tcW w:w="763" w:type="pct"/>
            <w:tcBorders>
              <w:top w:val="nil"/>
              <w:left w:val="nil"/>
              <w:bottom w:val="nil"/>
              <w:right w:val="nil"/>
            </w:tcBorders>
            <w:shd w:val="clear" w:color="auto" w:fill="auto"/>
            <w:noWrap/>
            <w:vAlign w:val="bottom"/>
            <w:hideMark/>
          </w:tcPr>
          <w:p w14:paraId="2D0E3EC5" w14:textId="77777777" w:rsidR="00E7541D" w:rsidRPr="005F7ADC" w:rsidRDefault="00E7541D" w:rsidP="005F7ADC">
            <w:pPr>
              <w:pStyle w:val="Tabletitles"/>
              <w:keepNext/>
              <w:keepLines/>
              <w:rPr>
                <w:b w:val="0"/>
                <w:szCs w:val="20"/>
              </w:rPr>
            </w:pPr>
            <w:r w:rsidRPr="005F7ADC">
              <w:rPr>
                <w:b w:val="0"/>
                <w:szCs w:val="20"/>
              </w:rPr>
              <w:t>19</w:t>
            </w:r>
          </w:p>
        </w:tc>
        <w:tc>
          <w:tcPr>
            <w:tcW w:w="678" w:type="pct"/>
            <w:tcBorders>
              <w:top w:val="nil"/>
              <w:left w:val="nil"/>
              <w:bottom w:val="nil"/>
            </w:tcBorders>
            <w:shd w:val="clear" w:color="auto" w:fill="auto"/>
            <w:noWrap/>
            <w:vAlign w:val="bottom"/>
            <w:hideMark/>
          </w:tcPr>
          <w:p w14:paraId="168AE9AE" w14:textId="77777777" w:rsidR="00E7541D" w:rsidRPr="005F7ADC" w:rsidRDefault="00E7541D" w:rsidP="005F7ADC">
            <w:pPr>
              <w:pStyle w:val="Tabletitles"/>
              <w:keepNext/>
              <w:keepLines/>
              <w:rPr>
                <w:b w:val="0"/>
                <w:szCs w:val="20"/>
              </w:rPr>
            </w:pPr>
            <w:r w:rsidRPr="005F7ADC">
              <w:rPr>
                <w:b w:val="0"/>
                <w:szCs w:val="20"/>
              </w:rPr>
              <w:t>6%</w:t>
            </w:r>
          </w:p>
        </w:tc>
        <w:tc>
          <w:tcPr>
            <w:tcW w:w="678" w:type="pct"/>
            <w:tcBorders>
              <w:top w:val="nil"/>
              <w:left w:val="nil"/>
              <w:bottom w:val="nil"/>
              <w:right w:val="nil"/>
            </w:tcBorders>
          </w:tcPr>
          <w:p w14:paraId="6A337114" w14:textId="77777777" w:rsidR="00E7541D" w:rsidRPr="005F7ADC" w:rsidRDefault="00E7541D" w:rsidP="005F7ADC">
            <w:pPr>
              <w:pStyle w:val="Tabletitles"/>
              <w:keepNext/>
              <w:keepLines/>
              <w:rPr>
                <w:b w:val="0"/>
                <w:szCs w:val="20"/>
              </w:rPr>
            </w:pPr>
            <w:r w:rsidRPr="005F7ADC">
              <w:rPr>
                <w:b w:val="0"/>
                <w:szCs w:val="20"/>
              </w:rPr>
              <w:t>13</w:t>
            </w:r>
          </w:p>
        </w:tc>
        <w:tc>
          <w:tcPr>
            <w:tcW w:w="763" w:type="pct"/>
            <w:tcBorders>
              <w:top w:val="nil"/>
              <w:left w:val="nil"/>
              <w:bottom w:val="nil"/>
            </w:tcBorders>
          </w:tcPr>
          <w:p w14:paraId="5286074C" w14:textId="77777777" w:rsidR="00E7541D" w:rsidRPr="005F7ADC" w:rsidRDefault="00E7541D" w:rsidP="005F7ADC">
            <w:pPr>
              <w:pStyle w:val="Tabletitles"/>
              <w:keepNext/>
              <w:keepLines/>
              <w:rPr>
                <w:b w:val="0"/>
                <w:szCs w:val="20"/>
              </w:rPr>
            </w:pPr>
            <w:r w:rsidRPr="005F7ADC">
              <w:rPr>
                <w:b w:val="0"/>
                <w:szCs w:val="20"/>
              </w:rPr>
              <w:t>9%</w:t>
            </w:r>
          </w:p>
        </w:tc>
      </w:tr>
      <w:tr w:rsidR="00E7541D" w:rsidRPr="005F7ADC" w14:paraId="358E9F8E" w14:textId="77777777" w:rsidTr="003E0E65">
        <w:trPr>
          <w:trHeight w:val="254"/>
          <w:jc w:val="center"/>
        </w:trPr>
        <w:tc>
          <w:tcPr>
            <w:tcW w:w="2117" w:type="pct"/>
            <w:tcBorders>
              <w:top w:val="nil"/>
              <w:bottom w:val="nil"/>
              <w:right w:val="nil"/>
            </w:tcBorders>
            <w:shd w:val="clear" w:color="auto" w:fill="auto"/>
            <w:noWrap/>
            <w:vAlign w:val="bottom"/>
          </w:tcPr>
          <w:p w14:paraId="04D664A4" w14:textId="784E8133" w:rsidR="00E7541D" w:rsidRPr="005F7ADC" w:rsidRDefault="00091D85" w:rsidP="005F7ADC">
            <w:pPr>
              <w:pStyle w:val="Tabletitles"/>
              <w:keepNext/>
              <w:keepLines/>
              <w:rPr>
                <w:b w:val="0"/>
                <w:szCs w:val="20"/>
              </w:rPr>
            </w:pPr>
            <w:r>
              <w:rPr>
                <w:b w:val="0"/>
                <w:szCs w:val="20"/>
              </w:rPr>
              <w:t xml:space="preserve"> </w:t>
            </w:r>
            <w:r w:rsidR="00E7541D" w:rsidRPr="005F7ADC">
              <w:rPr>
                <w:b w:val="0"/>
                <w:szCs w:val="20"/>
              </w:rPr>
              <w:t>Diarrhoea</w:t>
            </w:r>
          </w:p>
        </w:tc>
        <w:tc>
          <w:tcPr>
            <w:tcW w:w="763" w:type="pct"/>
            <w:tcBorders>
              <w:top w:val="nil"/>
              <w:left w:val="nil"/>
              <w:bottom w:val="nil"/>
              <w:right w:val="nil"/>
            </w:tcBorders>
            <w:shd w:val="clear" w:color="auto" w:fill="auto"/>
            <w:noWrap/>
            <w:vAlign w:val="bottom"/>
          </w:tcPr>
          <w:p w14:paraId="2FDF9BF4" w14:textId="77777777" w:rsidR="00E7541D" w:rsidRPr="005F7ADC" w:rsidRDefault="00E7541D" w:rsidP="005F7ADC">
            <w:pPr>
              <w:pStyle w:val="Tabletitles"/>
              <w:keepNext/>
              <w:keepLines/>
              <w:rPr>
                <w:b w:val="0"/>
                <w:szCs w:val="20"/>
              </w:rPr>
            </w:pPr>
            <w:r w:rsidRPr="005F7ADC">
              <w:rPr>
                <w:b w:val="0"/>
                <w:szCs w:val="20"/>
              </w:rPr>
              <w:t>-</w:t>
            </w:r>
          </w:p>
        </w:tc>
        <w:tc>
          <w:tcPr>
            <w:tcW w:w="678" w:type="pct"/>
            <w:tcBorders>
              <w:top w:val="nil"/>
              <w:left w:val="nil"/>
              <w:bottom w:val="nil"/>
            </w:tcBorders>
            <w:shd w:val="clear" w:color="auto" w:fill="auto"/>
            <w:noWrap/>
            <w:vAlign w:val="bottom"/>
          </w:tcPr>
          <w:p w14:paraId="306EB835" w14:textId="77777777" w:rsidR="00E7541D" w:rsidRPr="005F7ADC" w:rsidRDefault="00E7541D" w:rsidP="005F7ADC">
            <w:pPr>
              <w:pStyle w:val="Tabletitles"/>
              <w:keepNext/>
              <w:keepLines/>
              <w:rPr>
                <w:b w:val="0"/>
                <w:szCs w:val="20"/>
              </w:rPr>
            </w:pPr>
            <w:r w:rsidRPr="005F7ADC">
              <w:rPr>
                <w:b w:val="0"/>
                <w:szCs w:val="20"/>
              </w:rPr>
              <w:t>-</w:t>
            </w:r>
          </w:p>
        </w:tc>
        <w:tc>
          <w:tcPr>
            <w:tcW w:w="678" w:type="pct"/>
            <w:tcBorders>
              <w:top w:val="nil"/>
              <w:left w:val="nil"/>
              <w:bottom w:val="nil"/>
              <w:right w:val="nil"/>
            </w:tcBorders>
          </w:tcPr>
          <w:p w14:paraId="229D978E" w14:textId="77777777" w:rsidR="00E7541D" w:rsidRPr="005F7ADC" w:rsidRDefault="00E7541D" w:rsidP="005F7ADC">
            <w:pPr>
              <w:pStyle w:val="Tabletitles"/>
              <w:keepNext/>
              <w:keepLines/>
              <w:rPr>
                <w:b w:val="0"/>
                <w:szCs w:val="20"/>
              </w:rPr>
            </w:pPr>
            <w:r w:rsidRPr="005F7ADC">
              <w:rPr>
                <w:b w:val="0"/>
                <w:szCs w:val="20"/>
              </w:rPr>
              <w:t>12</w:t>
            </w:r>
          </w:p>
        </w:tc>
        <w:tc>
          <w:tcPr>
            <w:tcW w:w="763" w:type="pct"/>
            <w:tcBorders>
              <w:top w:val="nil"/>
              <w:left w:val="nil"/>
              <w:bottom w:val="nil"/>
            </w:tcBorders>
          </w:tcPr>
          <w:p w14:paraId="12CBF54F" w14:textId="77777777" w:rsidR="00E7541D" w:rsidRPr="005F7ADC" w:rsidRDefault="00E7541D" w:rsidP="005F7ADC">
            <w:pPr>
              <w:pStyle w:val="Tabletitles"/>
              <w:keepNext/>
              <w:keepLines/>
              <w:rPr>
                <w:b w:val="0"/>
                <w:szCs w:val="20"/>
              </w:rPr>
            </w:pPr>
            <w:r w:rsidRPr="005F7ADC">
              <w:rPr>
                <w:b w:val="0"/>
                <w:szCs w:val="20"/>
              </w:rPr>
              <w:t>8%</w:t>
            </w:r>
          </w:p>
        </w:tc>
      </w:tr>
      <w:tr w:rsidR="00E7541D" w:rsidRPr="005F7ADC" w14:paraId="2BB2D207" w14:textId="77777777" w:rsidTr="003E0E65">
        <w:trPr>
          <w:trHeight w:val="254"/>
          <w:jc w:val="center"/>
        </w:trPr>
        <w:tc>
          <w:tcPr>
            <w:tcW w:w="2117" w:type="pct"/>
            <w:tcBorders>
              <w:top w:val="nil"/>
              <w:right w:val="nil"/>
            </w:tcBorders>
            <w:shd w:val="clear" w:color="auto" w:fill="auto"/>
            <w:noWrap/>
            <w:vAlign w:val="bottom"/>
          </w:tcPr>
          <w:p w14:paraId="3B8BEBD8" w14:textId="05444EDA" w:rsidR="00E7541D" w:rsidRPr="005F7ADC" w:rsidRDefault="00091D85" w:rsidP="005F7ADC">
            <w:pPr>
              <w:pStyle w:val="Tabletitles"/>
              <w:keepNext/>
              <w:keepLines/>
              <w:rPr>
                <w:b w:val="0"/>
                <w:szCs w:val="20"/>
              </w:rPr>
            </w:pPr>
            <w:r>
              <w:rPr>
                <w:b w:val="0"/>
                <w:szCs w:val="20"/>
              </w:rPr>
              <w:t xml:space="preserve"> </w:t>
            </w:r>
            <w:r w:rsidR="00E7541D" w:rsidRPr="005F7ADC">
              <w:rPr>
                <w:b w:val="0"/>
                <w:szCs w:val="20"/>
              </w:rPr>
              <w:t>Urinary Tract Infection</w:t>
            </w:r>
          </w:p>
        </w:tc>
        <w:tc>
          <w:tcPr>
            <w:tcW w:w="763" w:type="pct"/>
            <w:tcBorders>
              <w:top w:val="nil"/>
              <w:left w:val="nil"/>
              <w:right w:val="nil"/>
            </w:tcBorders>
            <w:shd w:val="clear" w:color="auto" w:fill="auto"/>
            <w:noWrap/>
            <w:vAlign w:val="bottom"/>
          </w:tcPr>
          <w:p w14:paraId="01E38E78" w14:textId="77777777" w:rsidR="00E7541D" w:rsidRPr="005F7ADC" w:rsidRDefault="00E7541D" w:rsidP="005F7ADC">
            <w:pPr>
              <w:pStyle w:val="Tabletitles"/>
              <w:keepNext/>
              <w:keepLines/>
              <w:rPr>
                <w:b w:val="0"/>
                <w:szCs w:val="20"/>
              </w:rPr>
            </w:pPr>
            <w:r w:rsidRPr="005F7ADC">
              <w:rPr>
                <w:b w:val="0"/>
                <w:szCs w:val="20"/>
              </w:rPr>
              <w:t>-</w:t>
            </w:r>
          </w:p>
        </w:tc>
        <w:tc>
          <w:tcPr>
            <w:tcW w:w="678" w:type="pct"/>
            <w:tcBorders>
              <w:top w:val="nil"/>
              <w:left w:val="nil"/>
            </w:tcBorders>
            <w:shd w:val="clear" w:color="auto" w:fill="auto"/>
            <w:noWrap/>
            <w:vAlign w:val="bottom"/>
          </w:tcPr>
          <w:p w14:paraId="11DD52A2" w14:textId="77777777" w:rsidR="00E7541D" w:rsidRPr="005F7ADC" w:rsidRDefault="00E7541D" w:rsidP="005F7ADC">
            <w:pPr>
              <w:pStyle w:val="Tabletitles"/>
              <w:keepNext/>
              <w:keepLines/>
              <w:rPr>
                <w:b w:val="0"/>
                <w:szCs w:val="20"/>
              </w:rPr>
            </w:pPr>
            <w:r w:rsidRPr="005F7ADC">
              <w:rPr>
                <w:b w:val="0"/>
                <w:szCs w:val="20"/>
              </w:rPr>
              <w:t>-</w:t>
            </w:r>
          </w:p>
        </w:tc>
        <w:tc>
          <w:tcPr>
            <w:tcW w:w="678" w:type="pct"/>
            <w:tcBorders>
              <w:top w:val="nil"/>
              <w:left w:val="nil"/>
              <w:right w:val="nil"/>
            </w:tcBorders>
          </w:tcPr>
          <w:p w14:paraId="72B7DDCD" w14:textId="77777777" w:rsidR="00E7541D" w:rsidRPr="005F7ADC" w:rsidRDefault="00E7541D" w:rsidP="005F7ADC">
            <w:pPr>
              <w:pStyle w:val="Tabletitles"/>
              <w:keepNext/>
              <w:keepLines/>
              <w:rPr>
                <w:b w:val="0"/>
                <w:szCs w:val="20"/>
              </w:rPr>
            </w:pPr>
            <w:r w:rsidRPr="005F7ADC">
              <w:rPr>
                <w:b w:val="0"/>
                <w:szCs w:val="20"/>
              </w:rPr>
              <w:t>9</w:t>
            </w:r>
          </w:p>
        </w:tc>
        <w:tc>
          <w:tcPr>
            <w:tcW w:w="763" w:type="pct"/>
            <w:tcBorders>
              <w:top w:val="nil"/>
              <w:left w:val="nil"/>
            </w:tcBorders>
          </w:tcPr>
          <w:p w14:paraId="12C50739" w14:textId="77777777" w:rsidR="00E7541D" w:rsidRPr="005F7ADC" w:rsidRDefault="00E7541D" w:rsidP="005F7ADC">
            <w:pPr>
              <w:pStyle w:val="Tabletitles"/>
              <w:keepNext/>
              <w:keepLines/>
              <w:rPr>
                <w:b w:val="0"/>
                <w:szCs w:val="20"/>
              </w:rPr>
            </w:pPr>
            <w:r w:rsidRPr="005F7ADC">
              <w:rPr>
                <w:b w:val="0"/>
                <w:szCs w:val="20"/>
              </w:rPr>
              <w:t>6%</w:t>
            </w:r>
          </w:p>
        </w:tc>
      </w:tr>
    </w:tbl>
    <w:p w14:paraId="0630127D" w14:textId="77777777" w:rsidR="00E7541D" w:rsidRPr="00572C9E" w:rsidRDefault="00E7541D" w:rsidP="005F7ADC">
      <w:pPr>
        <w:pStyle w:val="TableFigureFooter"/>
        <w:keepNext/>
        <w:keepLines/>
        <w:rPr>
          <w:szCs w:val="18"/>
        </w:rPr>
      </w:pPr>
      <w:r w:rsidRPr="00572C9E">
        <w:rPr>
          <w:szCs w:val="18"/>
        </w:rPr>
        <w:t xml:space="preserve">* EXPEDITION-1 was a single-arm open-label multicentre </w:t>
      </w:r>
      <w:proofErr w:type="spellStart"/>
      <w:r w:rsidRPr="00572C9E">
        <w:rPr>
          <w:szCs w:val="18"/>
        </w:rPr>
        <w:t>ph</w:t>
      </w:r>
      <w:proofErr w:type="spellEnd"/>
      <w:r w:rsidRPr="00572C9E">
        <w:rPr>
          <w:szCs w:val="18"/>
        </w:rPr>
        <w:t xml:space="preserve"> 3 trial of 12 weeks of GLE-PIB for adults with CC and CHC GT 1</w:t>
      </w:r>
      <w:r w:rsidR="008A5CE3" w:rsidRPr="00572C9E">
        <w:rPr>
          <w:szCs w:val="18"/>
        </w:rPr>
        <w:t>, 2,4,5,6</w:t>
      </w:r>
    </w:p>
    <w:p w14:paraId="7D4204DF" w14:textId="77777777" w:rsidR="005C7DD0" w:rsidRPr="00572C9E" w:rsidRDefault="005C7DD0" w:rsidP="005F7ADC">
      <w:pPr>
        <w:pStyle w:val="TableFigureFooter"/>
        <w:keepNext/>
        <w:keepLines/>
        <w:rPr>
          <w:rFonts w:cs="Times New Roman"/>
          <w:szCs w:val="18"/>
        </w:rPr>
      </w:pPr>
      <w:r w:rsidRPr="00572C9E">
        <w:rPr>
          <w:rFonts w:cs="Times New Roman"/>
          <w:szCs w:val="18"/>
        </w:rPr>
        <w:t>Abbreviations: NR = not reported</w:t>
      </w:r>
    </w:p>
    <w:p w14:paraId="68C1D971" w14:textId="77777777" w:rsidR="00764137" w:rsidRPr="00572C9E" w:rsidRDefault="00E7541D" w:rsidP="005F7ADC">
      <w:pPr>
        <w:pStyle w:val="TableFigureFooter"/>
        <w:keepNext/>
        <w:keepLines/>
        <w:spacing w:after="160"/>
        <w:rPr>
          <w:rFonts w:cs="Times New Roman"/>
          <w:szCs w:val="18"/>
        </w:rPr>
      </w:pPr>
      <w:r w:rsidRPr="00572C9E">
        <w:rPr>
          <w:rFonts w:cs="Times New Roman"/>
          <w:szCs w:val="18"/>
        </w:rPr>
        <w:t>Source: Table 5 of submission</w:t>
      </w:r>
    </w:p>
    <w:p w14:paraId="6FBFBCC2" w14:textId="77777777" w:rsidR="002A3F7C" w:rsidRPr="00572C9E" w:rsidRDefault="002A3F7C" w:rsidP="00692D66">
      <w:pPr>
        <w:pStyle w:val="3Bodytext"/>
        <w:jc w:val="both"/>
      </w:pPr>
      <w:r w:rsidRPr="00572C9E">
        <w:t>The submission argued no new safety signals were identified in EXPEDITION-8 and the safety profile was consistent with the established safety profile of GLE-PIB</w:t>
      </w:r>
      <w:r w:rsidR="008E4937" w:rsidRPr="00572C9E">
        <w:t>.</w:t>
      </w:r>
    </w:p>
    <w:p w14:paraId="29B95038" w14:textId="77777777" w:rsidR="003C2FB5" w:rsidRPr="00572C9E" w:rsidRDefault="005A3173" w:rsidP="00917D69">
      <w:pPr>
        <w:pStyle w:val="4-SubsectionHeading"/>
        <w:rPr>
          <w:lang w:eastAsia="en-US"/>
        </w:rPr>
      </w:pPr>
      <w:r w:rsidRPr="00572C9E">
        <w:rPr>
          <w:lang w:eastAsia="en-US"/>
        </w:rPr>
        <w:t>Clinical claim</w:t>
      </w:r>
    </w:p>
    <w:p w14:paraId="454743FE" w14:textId="77777777" w:rsidR="00DC5390" w:rsidRPr="00572C9E" w:rsidRDefault="00FF2801" w:rsidP="00DC5390">
      <w:pPr>
        <w:pStyle w:val="3Bodytext"/>
        <w:jc w:val="both"/>
      </w:pPr>
      <w:r w:rsidRPr="00572C9E">
        <w:t>The submission claimed</w:t>
      </w:r>
      <w:r w:rsidR="00BB7EC3" w:rsidRPr="00572C9E">
        <w:t xml:space="preserve"> non-inferior comparative effectiveness and safety of </w:t>
      </w:r>
      <w:r w:rsidR="004D6E2A" w:rsidRPr="00572C9E">
        <w:t>GLE/PIB</w:t>
      </w:r>
      <w:r w:rsidR="00E7541D" w:rsidRPr="00572C9E">
        <w:t xml:space="preserve"> </w:t>
      </w:r>
      <w:r w:rsidR="008E4937" w:rsidRPr="00572C9E">
        <w:t>for the</w:t>
      </w:r>
      <w:r w:rsidR="00E7541D" w:rsidRPr="00572C9E">
        <w:t xml:space="preserve"> </w:t>
      </w:r>
      <w:r w:rsidR="000044DC" w:rsidRPr="00572C9E">
        <w:t>8-week</w:t>
      </w:r>
      <w:r w:rsidR="00E7541D" w:rsidRPr="00572C9E">
        <w:t xml:space="preserve"> treatment course</w:t>
      </w:r>
      <w:r w:rsidR="00F3263C" w:rsidRPr="00572C9E">
        <w:t xml:space="preserve"> </w:t>
      </w:r>
      <w:r w:rsidR="00BB7EC3" w:rsidRPr="00572C9E">
        <w:t xml:space="preserve">compared </w:t>
      </w:r>
      <w:r w:rsidR="008E4937" w:rsidRPr="00572C9E">
        <w:t>to the</w:t>
      </w:r>
      <w:r w:rsidR="00E7541D" w:rsidRPr="00572C9E">
        <w:t xml:space="preserve"> </w:t>
      </w:r>
      <w:r w:rsidR="000044DC" w:rsidRPr="00572C9E">
        <w:t>12-week</w:t>
      </w:r>
      <w:r w:rsidR="00E7541D" w:rsidRPr="00572C9E">
        <w:t xml:space="preserve"> </w:t>
      </w:r>
      <w:r w:rsidR="008E4937" w:rsidRPr="00572C9E">
        <w:t>course</w:t>
      </w:r>
      <w:r w:rsidR="00E7541D" w:rsidRPr="00572C9E">
        <w:t>.</w:t>
      </w:r>
    </w:p>
    <w:p w14:paraId="5A084455" w14:textId="77777777" w:rsidR="00DC5390" w:rsidRPr="00572C9E" w:rsidRDefault="00DC5390" w:rsidP="00DC5390">
      <w:pPr>
        <w:pStyle w:val="3Bodytext"/>
        <w:jc w:val="both"/>
      </w:pPr>
      <w:r w:rsidRPr="00572C9E">
        <w:t>The PBAC considered that the claim of non-inferior comparative effectiveness was reasonable.</w:t>
      </w:r>
    </w:p>
    <w:p w14:paraId="0A3261A6" w14:textId="77777777" w:rsidR="00DC5390" w:rsidRPr="00572C9E" w:rsidRDefault="00DC5390" w:rsidP="00DC5390">
      <w:pPr>
        <w:pStyle w:val="3Bodytext"/>
        <w:jc w:val="both"/>
      </w:pPr>
      <w:r w:rsidRPr="00572C9E">
        <w:t>The PBAC considered that the claim of non-inferi</w:t>
      </w:r>
      <w:r w:rsidR="00AF2FC8" w:rsidRPr="00572C9E">
        <w:t>or</w:t>
      </w:r>
      <w:r w:rsidRPr="00572C9E">
        <w:t xml:space="preserve"> comparative safety was reasonable.</w:t>
      </w:r>
    </w:p>
    <w:p w14:paraId="49D8DEF1" w14:textId="77777777" w:rsidR="005A3173" w:rsidRPr="00572C9E" w:rsidRDefault="005A3173" w:rsidP="00917D69">
      <w:pPr>
        <w:pStyle w:val="4-SubsectionHeading"/>
        <w:rPr>
          <w:lang w:eastAsia="en-US"/>
        </w:rPr>
      </w:pPr>
      <w:r w:rsidRPr="00572C9E">
        <w:rPr>
          <w:lang w:eastAsia="en-US"/>
        </w:rPr>
        <w:lastRenderedPageBreak/>
        <w:t>Economic analysis</w:t>
      </w:r>
      <w:r w:rsidR="009803E4" w:rsidRPr="00572C9E">
        <w:rPr>
          <w:lang w:eastAsia="en-US"/>
        </w:rPr>
        <w:t xml:space="preserve"> </w:t>
      </w:r>
    </w:p>
    <w:p w14:paraId="1FEDA1E3" w14:textId="77777777" w:rsidR="00977BF3" w:rsidRPr="00572C9E" w:rsidRDefault="009803E4" w:rsidP="00692D66">
      <w:pPr>
        <w:pStyle w:val="3Bodytext"/>
        <w:jc w:val="both"/>
        <w:rPr>
          <w:rFonts w:cstheme="minorHAnsi"/>
          <w:szCs w:val="24"/>
        </w:rPr>
      </w:pPr>
      <w:r w:rsidRPr="00572C9E">
        <w:t>The minor submission</w:t>
      </w:r>
      <w:r w:rsidR="00684989" w:rsidRPr="00572C9E">
        <w:t xml:space="preserve"> requested </w:t>
      </w:r>
      <w:r w:rsidR="006C6DF4" w:rsidRPr="00572C9E">
        <w:t xml:space="preserve">the same cost for the 8-week course as the current cost of the 12-week course </w:t>
      </w:r>
      <w:r w:rsidR="009D6BDD">
        <w:t>by application of the existing Special Pricing Arrangement (SPA)</w:t>
      </w:r>
      <w:r w:rsidR="006C6DF4" w:rsidRPr="00572C9E">
        <w:t>, and no changes to</w:t>
      </w:r>
      <w:r w:rsidR="00684989" w:rsidRPr="00572C9E">
        <w:t xml:space="preserve"> the risk sharing arrangements. </w:t>
      </w:r>
    </w:p>
    <w:p w14:paraId="7A684F3D" w14:textId="77777777" w:rsidR="005A3173" w:rsidRPr="00572C9E" w:rsidRDefault="005A3173" w:rsidP="00917D69">
      <w:pPr>
        <w:pStyle w:val="4-SubsectionHeading"/>
        <w:rPr>
          <w:lang w:eastAsia="en-US"/>
        </w:rPr>
      </w:pPr>
      <w:r w:rsidRPr="00572C9E">
        <w:rPr>
          <w:lang w:eastAsia="en-US"/>
        </w:rPr>
        <w:t>Estimated PBS usage &amp; financial implications</w:t>
      </w:r>
    </w:p>
    <w:p w14:paraId="0EB4C5D5" w14:textId="77777777" w:rsidR="00684989" w:rsidRPr="00572C9E" w:rsidRDefault="00FF2801" w:rsidP="00692D66">
      <w:pPr>
        <w:pStyle w:val="3Bodytext"/>
        <w:jc w:val="both"/>
        <w:rPr>
          <w:b/>
          <w:color w:val="FF00FF"/>
        </w:rPr>
      </w:pPr>
      <w:r w:rsidRPr="00572C9E">
        <w:t>The minor submission estimated</w:t>
      </w:r>
      <w:r w:rsidR="00C00DA7" w:rsidRPr="00572C9E">
        <w:t xml:space="preserve"> there to be no financial implications to the </w:t>
      </w:r>
      <w:r w:rsidR="007D0780" w:rsidRPr="00572C9E">
        <w:t>government</w:t>
      </w:r>
      <w:r w:rsidR="00684989" w:rsidRPr="00572C9E">
        <w:t xml:space="preserve"> in alignment with the PBAC’s recommendation that </w:t>
      </w:r>
      <w:r w:rsidR="004D6E2A" w:rsidRPr="00572C9E">
        <w:t>the</w:t>
      </w:r>
      <w:r w:rsidR="00684989" w:rsidRPr="00572C9E">
        <w:t xml:space="preserve"> cost of a course of treatment should be set irrespective of treatment duration (para 7.15, </w:t>
      </w:r>
      <w:proofErr w:type="spellStart"/>
      <w:r w:rsidR="00684989" w:rsidRPr="00572C9E">
        <w:t>Harvoni</w:t>
      </w:r>
      <w:proofErr w:type="spellEnd"/>
      <w:r w:rsidR="00684989" w:rsidRPr="00572C9E">
        <w:t>®</w:t>
      </w:r>
      <w:r w:rsidR="004D6E2A" w:rsidRPr="00572C9E">
        <w:t xml:space="preserve"> PSD</w:t>
      </w:r>
      <w:r w:rsidR="00684989" w:rsidRPr="00572C9E">
        <w:t>, March 2015</w:t>
      </w:r>
      <w:r w:rsidR="004D6E2A" w:rsidRPr="00572C9E">
        <w:t xml:space="preserve"> PBAC meeting</w:t>
      </w:r>
      <w:r w:rsidR="00684989" w:rsidRPr="00572C9E">
        <w:t xml:space="preserve">). The submission further stated that this principle has been applied to DAA recommendations (para 7.2, </w:t>
      </w:r>
      <w:proofErr w:type="spellStart"/>
      <w:r w:rsidR="00684989" w:rsidRPr="00572C9E">
        <w:t>Viekira</w:t>
      </w:r>
      <w:proofErr w:type="spellEnd"/>
      <w:r w:rsidR="00684989" w:rsidRPr="00572C9E">
        <w:t xml:space="preserve"> Pak®</w:t>
      </w:r>
      <w:r w:rsidR="004D6E2A" w:rsidRPr="00572C9E">
        <w:t xml:space="preserve"> PSD</w:t>
      </w:r>
      <w:r w:rsidR="00684989" w:rsidRPr="00572C9E">
        <w:t>, July 2015</w:t>
      </w:r>
      <w:r w:rsidR="004D6E2A" w:rsidRPr="00572C9E">
        <w:t xml:space="preserve"> PBAC meeting;</w:t>
      </w:r>
      <w:r w:rsidR="00684989" w:rsidRPr="00572C9E">
        <w:t xml:space="preserve"> para 6</w:t>
      </w:r>
      <w:r w:rsidR="00FC4FDF" w:rsidRPr="00572C9E">
        <w:t>.</w:t>
      </w:r>
      <w:r w:rsidR="00684989" w:rsidRPr="00572C9E">
        <w:t xml:space="preserve">44, </w:t>
      </w:r>
      <w:proofErr w:type="spellStart"/>
      <w:r w:rsidR="00684989" w:rsidRPr="00572C9E">
        <w:t>Zepatier</w:t>
      </w:r>
      <w:proofErr w:type="spellEnd"/>
      <w:r w:rsidR="00684989" w:rsidRPr="00572C9E">
        <w:t>®</w:t>
      </w:r>
      <w:r w:rsidR="004D6E2A" w:rsidRPr="00572C9E">
        <w:t xml:space="preserve"> PSD</w:t>
      </w:r>
      <w:r w:rsidR="00684989" w:rsidRPr="00572C9E">
        <w:t>, July 2016</w:t>
      </w:r>
      <w:r w:rsidR="004D6E2A" w:rsidRPr="00572C9E">
        <w:t xml:space="preserve"> PBAC meeting</w:t>
      </w:r>
      <w:r w:rsidR="00684989" w:rsidRPr="00572C9E">
        <w:t>)</w:t>
      </w:r>
      <w:r w:rsidR="00572C9E">
        <w:t xml:space="preserve">. </w:t>
      </w:r>
    </w:p>
    <w:p w14:paraId="48163ACB" w14:textId="77777777" w:rsidR="00946BDE" w:rsidRPr="00572C9E" w:rsidRDefault="00946BDE" w:rsidP="00692D66">
      <w:pPr>
        <w:pStyle w:val="3Bodytext"/>
        <w:jc w:val="both"/>
        <w:rPr>
          <w:b/>
          <w:color w:val="FF00FF"/>
        </w:rPr>
      </w:pPr>
      <w:r w:rsidRPr="00572C9E">
        <w:t>The submission</w:t>
      </w:r>
      <w:r w:rsidR="008E4937" w:rsidRPr="00572C9E">
        <w:t xml:space="preserve"> estimated</w:t>
      </w:r>
      <w:r w:rsidRPr="00572C9E">
        <w:t xml:space="preserve"> </w:t>
      </w:r>
      <w:r w:rsidR="00CC56AF" w:rsidRPr="00572C9E">
        <w:t xml:space="preserve">an increased market share for GLE/PIB </w:t>
      </w:r>
      <w:r w:rsidRPr="00572C9E">
        <w:t xml:space="preserve">as the submission </w:t>
      </w:r>
      <w:r w:rsidR="008E4937" w:rsidRPr="00572C9E">
        <w:t xml:space="preserve">assumed </w:t>
      </w:r>
      <w:r w:rsidRPr="00572C9E">
        <w:t>patients</w:t>
      </w:r>
      <w:r w:rsidR="00CC56AF" w:rsidRPr="00572C9E">
        <w:t xml:space="preserve"> </w:t>
      </w:r>
      <w:r w:rsidR="004D6E2A" w:rsidRPr="00572C9E">
        <w:t xml:space="preserve">would </w:t>
      </w:r>
      <w:r w:rsidR="008E4937" w:rsidRPr="00572C9E">
        <w:t xml:space="preserve">prefer an </w:t>
      </w:r>
      <w:r w:rsidR="00692D66" w:rsidRPr="00572C9E">
        <w:t>8-week</w:t>
      </w:r>
      <w:r w:rsidR="008E4937" w:rsidRPr="00572C9E">
        <w:t xml:space="preserve"> treatment course </w:t>
      </w:r>
      <w:r w:rsidR="00CC56AF" w:rsidRPr="00572C9E">
        <w:t>and the</w:t>
      </w:r>
      <w:r w:rsidR="008E4937" w:rsidRPr="00572C9E">
        <w:t xml:space="preserve"> equivalent</w:t>
      </w:r>
      <w:r w:rsidR="00CC56AF" w:rsidRPr="00572C9E">
        <w:t xml:space="preserve"> </w:t>
      </w:r>
      <w:r w:rsidR="008E4937" w:rsidRPr="00572C9E">
        <w:t>treatment course for the alternative pan-genotypic treatment (SOF/VEL) is 12 weeks. The submission noted GLE/PIB was listed on a cost minimisation basis with SOF/VEL.</w:t>
      </w:r>
    </w:p>
    <w:p w14:paraId="17DA635A" w14:textId="77777777" w:rsidR="00FC4FDF" w:rsidRPr="00572C9E" w:rsidRDefault="00FF2801" w:rsidP="00692D66">
      <w:pPr>
        <w:pStyle w:val="3Bodytext"/>
        <w:keepNext/>
        <w:jc w:val="both"/>
      </w:pPr>
      <w:r w:rsidRPr="00572C9E">
        <w:t>The minor submission estimated</w:t>
      </w:r>
      <w:r w:rsidR="00C00DA7" w:rsidRPr="00572C9E">
        <w:t xml:space="preserve"> a net save to the PBS</w:t>
      </w:r>
      <w:r w:rsidR="007D0780" w:rsidRPr="00572C9E">
        <w:t xml:space="preserve"> budget</w:t>
      </w:r>
      <w:r w:rsidR="00CF1084" w:rsidRPr="00572C9E">
        <w:t xml:space="preserve"> (at published price)</w:t>
      </w:r>
      <w:r w:rsidR="00C00DA7" w:rsidRPr="00572C9E">
        <w:t xml:space="preserve"> of</w:t>
      </w:r>
      <w:r w:rsidR="00694B97" w:rsidRPr="00572C9E">
        <w:t xml:space="preserve"> </w:t>
      </w:r>
      <w:r w:rsidR="00182848">
        <w:t>$10 million to &lt; $20 million</w:t>
      </w:r>
      <w:r w:rsidR="00694B97" w:rsidRPr="00572C9E">
        <w:t xml:space="preserve"> in Year </w:t>
      </w:r>
      <w:r w:rsidR="00946BDE" w:rsidRPr="00572C9E">
        <w:t xml:space="preserve">1 decreasing to a saving of </w:t>
      </w:r>
      <w:r w:rsidR="00182848">
        <w:t>$0 to &lt; $10 million</w:t>
      </w:r>
      <w:r w:rsidR="00946BDE" w:rsidRPr="00572C9E">
        <w:t xml:space="preserve"> in Year 6 as the prevalent population with CHC reduces</w:t>
      </w:r>
      <w:r w:rsidR="00C7409E" w:rsidRPr="00572C9E">
        <w:t xml:space="preserve">. </w:t>
      </w:r>
      <w:r w:rsidR="000A2154" w:rsidRPr="00572C9E">
        <w:t xml:space="preserve">This is summarised in the Table 5 </w:t>
      </w:r>
      <w:r w:rsidR="00977BF3" w:rsidRPr="00572C9E">
        <w:t xml:space="preserve">as well as the expected </w:t>
      </w:r>
      <w:r w:rsidR="00C00DA7" w:rsidRPr="00572C9E">
        <w:t xml:space="preserve">prescription numbers. </w:t>
      </w:r>
    </w:p>
    <w:p w14:paraId="7D281E73" w14:textId="77777777" w:rsidR="003E0E65" w:rsidRDefault="003E0E65">
      <w:pPr>
        <w:jc w:val="left"/>
        <w:rPr>
          <w:rStyle w:val="CommentReference"/>
          <w:rFonts w:ascii="Arial Narrow" w:hAnsi="Arial Narrow"/>
          <w:b/>
          <w:sz w:val="20"/>
          <w:szCs w:val="22"/>
        </w:rPr>
      </w:pPr>
      <w:r>
        <w:rPr>
          <w:rStyle w:val="CommentReference"/>
          <w:sz w:val="20"/>
          <w:szCs w:val="22"/>
        </w:rPr>
        <w:br w:type="page"/>
      </w:r>
    </w:p>
    <w:p w14:paraId="302232DC" w14:textId="737F7E95" w:rsidR="00C7409E" w:rsidRPr="00572C9E" w:rsidRDefault="00C7409E" w:rsidP="00BB1EDB">
      <w:pPr>
        <w:pStyle w:val="Tabletitles"/>
      </w:pPr>
      <w:r w:rsidRPr="00572C9E">
        <w:rPr>
          <w:rStyle w:val="CommentReference"/>
          <w:sz w:val="20"/>
          <w:szCs w:val="22"/>
        </w:rPr>
        <w:lastRenderedPageBreak/>
        <w:t>Table</w:t>
      </w:r>
      <w:r w:rsidR="000A2154" w:rsidRPr="00572C9E">
        <w:rPr>
          <w:rFonts w:eastAsiaTheme="majorEastAsia"/>
        </w:rPr>
        <w:t xml:space="preserve"> 5</w:t>
      </w:r>
      <w:r w:rsidR="00EE31A2" w:rsidRPr="00572C9E">
        <w:rPr>
          <w:rFonts w:eastAsiaTheme="majorEastAsia"/>
        </w:rPr>
        <w:t xml:space="preserve">: </w:t>
      </w:r>
      <w:r w:rsidRPr="00572C9E">
        <w:rPr>
          <w:rStyle w:val="CommentReference"/>
          <w:sz w:val="20"/>
          <w:szCs w:val="22"/>
        </w:rPr>
        <w:t>Estimated use and financial implications</w:t>
      </w:r>
      <w:r w:rsidR="00E80788" w:rsidRPr="00572C9E">
        <w:rPr>
          <w:rStyle w:val="CommentReference"/>
          <w:sz w:val="20"/>
          <w:szCs w:val="22"/>
        </w:rPr>
        <w:t xml:space="preserve"> (published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9"/>
        <w:gridCol w:w="1180"/>
        <w:gridCol w:w="1179"/>
        <w:gridCol w:w="1179"/>
        <w:gridCol w:w="1179"/>
        <w:gridCol w:w="1179"/>
        <w:gridCol w:w="1181"/>
      </w:tblGrid>
      <w:tr w:rsidR="00460DA0" w:rsidRPr="005F7ADC" w14:paraId="4F7D6F6D" w14:textId="77777777" w:rsidTr="005F7ADC">
        <w:trPr>
          <w:tblHeader/>
        </w:trPr>
        <w:tc>
          <w:tcPr>
            <w:tcW w:w="1075" w:type="pct"/>
            <w:shd w:val="clear" w:color="auto" w:fill="auto"/>
            <w:vAlign w:val="center"/>
          </w:tcPr>
          <w:p w14:paraId="2B06007C" w14:textId="77777777" w:rsidR="00460DA0" w:rsidRPr="005F7ADC" w:rsidRDefault="00460DA0" w:rsidP="000819DF">
            <w:pPr>
              <w:pStyle w:val="TableText0"/>
              <w:rPr>
                <w:szCs w:val="20"/>
              </w:rPr>
            </w:pPr>
          </w:p>
        </w:tc>
        <w:tc>
          <w:tcPr>
            <w:tcW w:w="654" w:type="pct"/>
            <w:shd w:val="clear" w:color="auto" w:fill="auto"/>
            <w:vAlign w:val="center"/>
          </w:tcPr>
          <w:p w14:paraId="204D515E" w14:textId="77777777" w:rsidR="00460DA0" w:rsidRPr="005F7ADC" w:rsidRDefault="00460DA0" w:rsidP="000819DF">
            <w:pPr>
              <w:pStyle w:val="TableText0"/>
              <w:rPr>
                <w:b/>
                <w:szCs w:val="20"/>
              </w:rPr>
            </w:pPr>
            <w:r w:rsidRPr="005F7ADC">
              <w:rPr>
                <w:b/>
                <w:szCs w:val="20"/>
              </w:rPr>
              <w:t>Year 1</w:t>
            </w:r>
          </w:p>
        </w:tc>
        <w:tc>
          <w:tcPr>
            <w:tcW w:w="654" w:type="pct"/>
            <w:shd w:val="clear" w:color="auto" w:fill="auto"/>
            <w:vAlign w:val="center"/>
          </w:tcPr>
          <w:p w14:paraId="51373F17" w14:textId="77777777" w:rsidR="00460DA0" w:rsidRPr="005F7ADC" w:rsidRDefault="00460DA0" w:rsidP="000819DF">
            <w:pPr>
              <w:pStyle w:val="TableText0"/>
              <w:rPr>
                <w:b/>
                <w:szCs w:val="20"/>
              </w:rPr>
            </w:pPr>
            <w:r w:rsidRPr="005F7ADC">
              <w:rPr>
                <w:b/>
                <w:szCs w:val="20"/>
              </w:rPr>
              <w:t>Year 2</w:t>
            </w:r>
          </w:p>
        </w:tc>
        <w:tc>
          <w:tcPr>
            <w:tcW w:w="654" w:type="pct"/>
            <w:shd w:val="clear" w:color="auto" w:fill="auto"/>
            <w:vAlign w:val="center"/>
          </w:tcPr>
          <w:p w14:paraId="4F7C3B2F" w14:textId="77777777" w:rsidR="00460DA0" w:rsidRPr="005F7ADC" w:rsidRDefault="00460DA0" w:rsidP="000819DF">
            <w:pPr>
              <w:pStyle w:val="TableText0"/>
              <w:rPr>
                <w:b/>
                <w:szCs w:val="20"/>
              </w:rPr>
            </w:pPr>
            <w:r w:rsidRPr="005F7ADC">
              <w:rPr>
                <w:b/>
                <w:szCs w:val="20"/>
              </w:rPr>
              <w:t>Year 3</w:t>
            </w:r>
          </w:p>
        </w:tc>
        <w:tc>
          <w:tcPr>
            <w:tcW w:w="654" w:type="pct"/>
            <w:shd w:val="clear" w:color="auto" w:fill="auto"/>
            <w:vAlign w:val="center"/>
          </w:tcPr>
          <w:p w14:paraId="6BF74E24" w14:textId="77777777" w:rsidR="00460DA0" w:rsidRPr="005F7ADC" w:rsidRDefault="00460DA0" w:rsidP="000819DF">
            <w:pPr>
              <w:pStyle w:val="TableText0"/>
              <w:rPr>
                <w:b/>
                <w:szCs w:val="20"/>
              </w:rPr>
            </w:pPr>
            <w:r w:rsidRPr="005F7ADC">
              <w:rPr>
                <w:b/>
                <w:szCs w:val="20"/>
              </w:rPr>
              <w:t>Year 4</w:t>
            </w:r>
          </w:p>
        </w:tc>
        <w:tc>
          <w:tcPr>
            <w:tcW w:w="654" w:type="pct"/>
            <w:shd w:val="clear" w:color="auto" w:fill="auto"/>
            <w:vAlign w:val="center"/>
          </w:tcPr>
          <w:p w14:paraId="097DB3A4" w14:textId="77777777" w:rsidR="00460DA0" w:rsidRPr="005F7ADC" w:rsidRDefault="00460DA0" w:rsidP="000819DF">
            <w:pPr>
              <w:pStyle w:val="TableText0"/>
              <w:rPr>
                <w:b/>
                <w:szCs w:val="20"/>
              </w:rPr>
            </w:pPr>
            <w:r w:rsidRPr="005F7ADC">
              <w:rPr>
                <w:b/>
                <w:szCs w:val="20"/>
              </w:rPr>
              <w:t>Year 5</w:t>
            </w:r>
          </w:p>
        </w:tc>
        <w:tc>
          <w:tcPr>
            <w:tcW w:w="655" w:type="pct"/>
          </w:tcPr>
          <w:p w14:paraId="36615818" w14:textId="77777777" w:rsidR="00460DA0" w:rsidRPr="005F7ADC" w:rsidRDefault="00460DA0" w:rsidP="000819DF">
            <w:pPr>
              <w:pStyle w:val="TableText0"/>
              <w:rPr>
                <w:b/>
                <w:szCs w:val="20"/>
              </w:rPr>
            </w:pPr>
            <w:r w:rsidRPr="005F7ADC">
              <w:rPr>
                <w:b/>
                <w:szCs w:val="20"/>
              </w:rPr>
              <w:t>Year 6</w:t>
            </w:r>
          </w:p>
        </w:tc>
      </w:tr>
      <w:tr w:rsidR="00460DA0" w:rsidRPr="005F7ADC" w14:paraId="228AAD0C" w14:textId="77777777" w:rsidTr="005F7ADC">
        <w:tc>
          <w:tcPr>
            <w:tcW w:w="5000" w:type="pct"/>
            <w:gridSpan w:val="7"/>
            <w:shd w:val="clear" w:color="auto" w:fill="auto"/>
            <w:vAlign w:val="center"/>
          </w:tcPr>
          <w:p w14:paraId="1A289938" w14:textId="77777777" w:rsidR="00460DA0" w:rsidRPr="005F7ADC" w:rsidRDefault="00460DA0" w:rsidP="000819DF">
            <w:pPr>
              <w:pStyle w:val="TableText0"/>
              <w:rPr>
                <w:b/>
                <w:color w:val="000000"/>
                <w:szCs w:val="20"/>
              </w:rPr>
            </w:pPr>
            <w:r w:rsidRPr="005F7ADC">
              <w:rPr>
                <w:b/>
                <w:color w:val="000000"/>
                <w:szCs w:val="20"/>
              </w:rPr>
              <w:t>Estimated extent of use</w:t>
            </w:r>
          </w:p>
        </w:tc>
      </w:tr>
      <w:tr w:rsidR="00460DA0" w:rsidRPr="005F7ADC" w14:paraId="752B55E3" w14:textId="77777777" w:rsidTr="005F7ADC">
        <w:tc>
          <w:tcPr>
            <w:tcW w:w="1075" w:type="pct"/>
            <w:shd w:val="clear" w:color="auto" w:fill="auto"/>
            <w:vAlign w:val="center"/>
          </w:tcPr>
          <w:p w14:paraId="3D1D6593" w14:textId="77777777" w:rsidR="00460DA0" w:rsidRPr="005F7ADC" w:rsidRDefault="00460DA0" w:rsidP="00641CE3">
            <w:pPr>
              <w:pStyle w:val="TableText0"/>
              <w:rPr>
                <w:szCs w:val="20"/>
              </w:rPr>
            </w:pPr>
            <w:r w:rsidRPr="005F7ADC">
              <w:rPr>
                <w:szCs w:val="20"/>
              </w:rPr>
              <w:t xml:space="preserve">Number of </w:t>
            </w:r>
            <w:r w:rsidR="00641CE3" w:rsidRPr="005F7ADC">
              <w:rPr>
                <w:szCs w:val="20"/>
              </w:rPr>
              <w:t>scripts</w:t>
            </w:r>
            <w:r w:rsidRPr="005F7ADC">
              <w:rPr>
                <w:szCs w:val="20"/>
              </w:rPr>
              <w:t xml:space="preserve"> dispensed</w:t>
            </w:r>
          </w:p>
        </w:tc>
        <w:tc>
          <w:tcPr>
            <w:tcW w:w="654" w:type="pct"/>
            <w:shd w:val="clear" w:color="auto" w:fill="auto"/>
            <w:vAlign w:val="center"/>
          </w:tcPr>
          <w:p w14:paraId="2BCE856E" w14:textId="77777777" w:rsidR="00460DA0" w:rsidRPr="005F7ADC" w:rsidRDefault="000D7B83" w:rsidP="00460DA0">
            <w:pPr>
              <w:pStyle w:val="TableText0"/>
              <w:rPr>
                <w:szCs w:val="20"/>
              </w:rPr>
            </w:pPr>
            <w:r>
              <w:rPr>
                <w:noProof/>
                <w:color w:val="000000"/>
                <w:szCs w:val="20"/>
                <w:highlight w:val="black"/>
              </w:rPr>
              <w:t>'''''''''''''</w:t>
            </w:r>
            <w:r w:rsidR="00DF3049" w:rsidRPr="00DF3049">
              <w:rPr>
                <w:szCs w:val="20"/>
                <w:vertAlign w:val="superscript"/>
              </w:rPr>
              <w:t>1</w:t>
            </w:r>
          </w:p>
        </w:tc>
        <w:tc>
          <w:tcPr>
            <w:tcW w:w="654" w:type="pct"/>
            <w:shd w:val="clear" w:color="auto" w:fill="auto"/>
            <w:vAlign w:val="center"/>
          </w:tcPr>
          <w:p w14:paraId="2CE19C50" w14:textId="77777777" w:rsidR="00460DA0" w:rsidRPr="005F7ADC" w:rsidRDefault="000D7B83" w:rsidP="00460DA0">
            <w:pPr>
              <w:pStyle w:val="TableText0"/>
              <w:rPr>
                <w:szCs w:val="20"/>
              </w:rPr>
            </w:pPr>
            <w:r>
              <w:rPr>
                <w:noProof/>
                <w:color w:val="000000"/>
                <w:szCs w:val="20"/>
                <w:highlight w:val="black"/>
              </w:rPr>
              <w:t>''''''''''''''</w:t>
            </w:r>
            <w:r w:rsidR="00DF3049" w:rsidRPr="00555AD9">
              <w:rPr>
                <w:szCs w:val="20"/>
                <w:vertAlign w:val="superscript"/>
              </w:rPr>
              <w:t>1</w:t>
            </w:r>
          </w:p>
        </w:tc>
        <w:tc>
          <w:tcPr>
            <w:tcW w:w="654" w:type="pct"/>
            <w:shd w:val="clear" w:color="auto" w:fill="auto"/>
            <w:vAlign w:val="center"/>
          </w:tcPr>
          <w:p w14:paraId="66366A40" w14:textId="77777777" w:rsidR="00460DA0" w:rsidRPr="005F7ADC" w:rsidRDefault="000D7B83" w:rsidP="00460DA0">
            <w:pPr>
              <w:pStyle w:val="TableText0"/>
              <w:rPr>
                <w:szCs w:val="20"/>
              </w:rPr>
            </w:pPr>
            <w:r>
              <w:rPr>
                <w:noProof/>
                <w:color w:val="000000"/>
                <w:szCs w:val="20"/>
                <w:highlight w:val="black"/>
              </w:rPr>
              <w:t>''''''''''''''</w:t>
            </w:r>
            <w:r w:rsidR="00DF3049" w:rsidRPr="00555AD9">
              <w:rPr>
                <w:szCs w:val="20"/>
                <w:vertAlign w:val="superscript"/>
              </w:rPr>
              <w:t>1</w:t>
            </w:r>
          </w:p>
        </w:tc>
        <w:tc>
          <w:tcPr>
            <w:tcW w:w="654" w:type="pct"/>
            <w:shd w:val="clear" w:color="auto" w:fill="auto"/>
            <w:vAlign w:val="center"/>
          </w:tcPr>
          <w:p w14:paraId="5096F423" w14:textId="66FA8E4F" w:rsidR="00460DA0" w:rsidRPr="005F7ADC" w:rsidRDefault="000D7B83" w:rsidP="00460DA0">
            <w:pPr>
              <w:pStyle w:val="TableText0"/>
              <w:rPr>
                <w:szCs w:val="20"/>
              </w:rPr>
            </w:pPr>
            <w:r>
              <w:rPr>
                <w:noProof/>
                <w:color w:val="000000"/>
                <w:szCs w:val="20"/>
                <w:highlight w:val="black"/>
              </w:rPr>
              <w:t>''''''''''''</w:t>
            </w:r>
            <w:r w:rsidR="00DF3049" w:rsidRPr="00555AD9">
              <w:rPr>
                <w:szCs w:val="20"/>
                <w:vertAlign w:val="superscript"/>
              </w:rPr>
              <w:t>1</w:t>
            </w:r>
            <w:r w:rsidR="00091D85">
              <w:rPr>
                <w:szCs w:val="20"/>
              </w:rPr>
              <w:t xml:space="preserve"> </w:t>
            </w:r>
          </w:p>
        </w:tc>
        <w:tc>
          <w:tcPr>
            <w:tcW w:w="654" w:type="pct"/>
            <w:shd w:val="clear" w:color="auto" w:fill="auto"/>
            <w:vAlign w:val="center"/>
          </w:tcPr>
          <w:p w14:paraId="4A20C937" w14:textId="77777777" w:rsidR="00460DA0" w:rsidRPr="005F7ADC" w:rsidRDefault="000D7B83" w:rsidP="00460DA0">
            <w:pPr>
              <w:pStyle w:val="TableText0"/>
              <w:rPr>
                <w:szCs w:val="20"/>
              </w:rPr>
            </w:pPr>
            <w:r>
              <w:rPr>
                <w:noProof/>
                <w:color w:val="000000"/>
                <w:szCs w:val="20"/>
                <w:highlight w:val="black"/>
              </w:rPr>
              <w:t>''''''''''''''</w:t>
            </w:r>
            <w:r w:rsidR="00DF3049" w:rsidRPr="00555AD9">
              <w:rPr>
                <w:szCs w:val="20"/>
                <w:vertAlign w:val="superscript"/>
              </w:rPr>
              <w:t>1</w:t>
            </w:r>
          </w:p>
        </w:tc>
        <w:tc>
          <w:tcPr>
            <w:tcW w:w="655" w:type="pct"/>
            <w:vAlign w:val="center"/>
          </w:tcPr>
          <w:p w14:paraId="66D42F66" w14:textId="77777777" w:rsidR="00460DA0" w:rsidRPr="005F7ADC" w:rsidRDefault="000D7B83" w:rsidP="00460DA0">
            <w:pPr>
              <w:pStyle w:val="TableText0"/>
              <w:rPr>
                <w:szCs w:val="20"/>
              </w:rPr>
            </w:pPr>
            <w:r>
              <w:rPr>
                <w:noProof/>
                <w:color w:val="000000"/>
                <w:szCs w:val="20"/>
                <w:highlight w:val="black"/>
              </w:rPr>
              <w:t>''''''''</w:t>
            </w:r>
            <w:r w:rsidR="00DF3049" w:rsidRPr="00555AD9">
              <w:rPr>
                <w:szCs w:val="20"/>
                <w:vertAlign w:val="superscript"/>
              </w:rPr>
              <w:t>1</w:t>
            </w:r>
            <w:r w:rsidR="00460DA0" w:rsidRPr="005F7ADC">
              <w:rPr>
                <w:szCs w:val="20"/>
              </w:rPr>
              <w:t xml:space="preserve"> </w:t>
            </w:r>
          </w:p>
        </w:tc>
      </w:tr>
      <w:tr w:rsidR="00460DA0" w:rsidRPr="005F7ADC" w14:paraId="59D98E10" w14:textId="77777777" w:rsidTr="005F7ADC">
        <w:tc>
          <w:tcPr>
            <w:tcW w:w="5000" w:type="pct"/>
            <w:gridSpan w:val="7"/>
            <w:shd w:val="clear" w:color="auto" w:fill="auto"/>
            <w:vAlign w:val="center"/>
          </w:tcPr>
          <w:p w14:paraId="1A8ACCA5" w14:textId="77777777" w:rsidR="00460DA0" w:rsidRPr="005F7ADC" w:rsidRDefault="00460DA0" w:rsidP="004911D6">
            <w:pPr>
              <w:pStyle w:val="TableText0"/>
              <w:rPr>
                <w:b/>
                <w:color w:val="000000"/>
                <w:szCs w:val="20"/>
                <w:vertAlign w:val="superscript"/>
              </w:rPr>
            </w:pPr>
            <w:r w:rsidRPr="005F7ADC">
              <w:rPr>
                <w:b/>
                <w:color w:val="000000"/>
                <w:szCs w:val="20"/>
              </w:rPr>
              <w:t xml:space="preserve">Estimated financial implications of </w:t>
            </w:r>
            <w:proofErr w:type="spellStart"/>
            <w:r w:rsidR="004911D6" w:rsidRPr="005F7ADC">
              <w:rPr>
                <w:b/>
                <w:color w:val="000000"/>
                <w:szCs w:val="20"/>
              </w:rPr>
              <w:t>Maviret</w:t>
            </w:r>
            <w:proofErr w:type="spellEnd"/>
          </w:p>
        </w:tc>
      </w:tr>
      <w:tr w:rsidR="00460DA0" w:rsidRPr="005F7ADC" w14:paraId="1D7F202F" w14:textId="77777777" w:rsidTr="005F7ADC">
        <w:tc>
          <w:tcPr>
            <w:tcW w:w="1075" w:type="pct"/>
            <w:shd w:val="clear" w:color="auto" w:fill="auto"/>
            <w:vAlign w:val="center"/>
          </w:tcPr>
          <w:p w14:paraId="0A2BD787" w14:textId="77777777" w:rsidR="00460DA0" w:rsidRPr="005F7ADC" w:rsidRDefault="00460DA0" w:rsidP="00460DA0">
            <w:pPr>
              <w:pStyle w:val="TableText0"/>
              <w:rPr>
                <w:szCs w:val="20"/>
              </w:rPr>
            </w:pPr>
            <w:r w:rsidRPr="005F7ADC">
              <w:rPr>
                <w:szCs w:val="20"/>
              </w:rPr>
              <w:t>to PBS</w:t>
            </w:r>
          </w:p>
        </w:tc>
        <w:tc>
          <w:tcPr>
            <w:tcW w:w="654" w:type="pct"/>
            <w:shd w:val="clear" w:color="auto" w:fill="auto"/>
            <w:vAlign w:val="center"/>
          </w:tcPr>
          <w:p w14:paraId="4EF8161B" w14:textId="77777777" w:rsidR="00460DA0" w:rsidRPr="00DF3049" w:rsidRDefault="00460DA0" w:rsidP="00460DA0">
            <w:pPr>
              <w:pStyle w:val="TableText0"/>
              <w:rPr>
                <w:szCs w:val="20"/>
                <w:vertAlign w:val="superscript"/>
              </w:rPr>
            </w:pPr>
            <w:r w:rsidRPr="005F7ADC">
              <w:rPr>
                <w:szCs w:val="20"/>
              </w:rPr>
              <w:t>$</w:t>
            </w:r>
            <w:r w:rsidR="000D7B83">
              <w:rPr>
                <w:noProof/>
                <w:color w:val="000000"/>
                <w:szCs w:val="20"/>
                <w:highlight w:val="black"/>
              </w:rPr>
              <w:t>'''''''''''''''''''''''''</w:t>
            </w:r>
            <w:r w:rsidR="00DF3049" w:rsidRPr="00DF3049">
              <w:rPr>
                <w:szCs w:val="20"/>
                <w:vertAlign w:val="superscript"/>
              </w:rPr>
              <w:t>2</w:t>
            </w:r>
          </w:p>
        </w:tc>
        <w:tc>
          <w:tcPr>
            <w:tcW w:w="654" w:type="pct"/>
            <w:shd w:val="clear" w:color="auto" w:fill="auto"/>
            <w:vAlign w:val="center"/>
          </w:tcPr>
          <w:p w14:paraId="1E74EF44"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sidRPr="00555AD9">
              <w:rPr>
                <w:szCs w:val="20"/>
                <w:vertAlign w:val="superscript"/>
              </w:rPr>
              <w:t>2</w:t>
            </w:r>
          </w:p>
        </w:tc>
        <w:tc>
          <w:tcPr>
            <w:tcW w:w="654" w:type="pct"/>
            <w:shd w:val="clear" w:color="auto" w:fill="auto"/>
            <w:vAlign w:val="center"/>
          </w:tcPr>
          <w:p w14:paraId="070BB4EF"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sidRPr="00555AD9">
              <w:rPr>
                <w:szCs w:val="20"/>
                <w:vertAlign w:val="superscript"/>
              </w:rPr>
              <w:t>2</w:t>
            </w:r>
          </w:p>
        </w:tc>
        <w:tc>
          <w:tcPr>
            <w:tcW w:w="654" w:type="pct"/>
            <w:shd w:val="clear" w:color="auto" w:fill="auto"/>
            <w:vAlign w:val="center"/>
          </w:tcPr>
          <w:p w14:paraId="6728F543"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sidRPr="00555AD9">
              <w:rPr>
                <w:szCs w:val="20"/>
                <w:vertAlign w:val="superscript"/>
              </w:rPr>
              <w:t>2</w:t>
            </w:r>
          </w:p>
        </w:tc>
        <w:tc>
          <w:tcPr>
            <w:tcW w:w="654" w:type="pct"/>
            <w:shd w:val="clear" w:color="auto" w:fill="auto"/>
            <w:vAlign w:val="center"/>
          </w:tcPr>
          <w:p w14:paraId="2955ED46" w14:textId="77777777" w:rsidR="00460DA0" w:rsidRPr="00DF3049" w:rsidRDefault="00460DA0" w:rsidP="00460DA0">
            <w:pPr>
              <w:pStyle w:val="TableText0"/>
              <w:rPr>
                <w:szCs w:val="20"/>
              </w:rPr>
            </w:pPr>
            <w:r w:rsidRPr="005F7ADC">
              <w:rPr>
                <w:szCs w:val="20"/>
              </w:rPr>
              <w:t>$</w:t>
            </w:r>
            <w:r w:rsidR="000D7B83">
              <w:rPr>
                <w:noProof/>
                <w:color w:val="000000"/>
                <w:szCs w:val="20"/>
                <w:highlight w:val="black"/>
              </w:rPr>
              <w:t>'''''''''''''''''''''''''''''</w:t>
            </w:r>
            <w:r w:rsidR="00DF3049" w:rsidRPr="00DF3049">
              <w:rPr>
                <w:szCs w:val="20"/>
                <w:vertAlign w:val="superscript"/>
              </w:rPr>
              <w:t>3</w:t>
            </w:r>
          </w:p>
        </w:tc>
        <w:tc>
          <w:tcPr>
            <w:tcW w:w="655" w:type="pct"/>
            <w:vAlign w:val="center"/>
          </w:tcPr>
          <w:p w14:paraId="607C596A"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sidRPr="00555AD9">
              <w:rPr>
                <w:szCs w:val="20"/>
                <w:vertAlign w:val="superscript"/>
              </w:rPr>
              <w:t>3</w:t>
            </w:r>
          </w:p>
        </w:tc>
      </w:tr>
      <w:tr w:rsidR="00460DA0" w:rsidRPr="005F7ADC" w14:paraId="58628184" w14:textId="77777777" w:rsidTr="005F7ADC">
        <w:tc>
          <w:tcPr>
            <w:tcW w:w="1075" w:type="pct"/>
            <w:shd w:val="clear" w:color="auto" w:fill="auto"/>
            <w:vAlign w:val="center"/>
          </w:tcPr>
          <w:p w14:paraId="31027B66" w14:textId="77777777" w:rsidR="00460DA0" w:rsidRPr="005F7ADC" w:rsidRDefault="00460DA0" w:rsidP="00460DA0">
            <w:pPr>
              <w:pStyle w:val="TableText0"/>
              <w:rPr>
                <w:szCs w:val="20"/>
              </w:rPr>
            </w:pPr>
            <w:r w:rsidRPr="005F7ADC">
              <w:rPr>
                <w:szCs w:val="20"/>
              </w:rPr>
              <w:t>to RPBS</w:t>
            </w:r>
          </w:p>
        </w:tc>
        <w:tc>
          <w:tcPr>
            <w:tcW w:w="654" w:type="pct"/>
            <w:shd w:val="clear" w:color="auto" w:fill="auto"/>
            <w:vAlign w:val="center"/>
          </w:tcPr>
          <w:p w14:paraId="4744C71B" w14:textId="77777777" w:rsidR="00460DA0" w:rsidRPr="00DF3049" w:rsidRDefault="00460DA0" w:rsidP="00460DA0">
            <w:pPr>
              <w:pStyle w:val="TableText0"/>
              <w:rPr>
                <w:szCs w:val="20"/>
              </w:rPr>
            </w:pPr>
            <w:r w:rsidRPr="005F7ADC">
              <w:rPr>
                <w:szCs w:val="20"/>
              </w:rPr>
              <w:t>$</w:t>
            </w:r>
            <w:r w:rsidR="000D7B83">
              <w:rPr>
                <w:noProof/>
                <w:color w:val="000000"/>
                <w:szCs w:val="20"/>
                <w:highlight w:val="black"/>
              </w:rPr>
              <w:t>'''''''''''''''''''</w:t>
            </w:r>
            <w:r w:rsidR="00DF3049" w:rsidRPr="00DF3049">
              <w:rPr>
                <w:szCs w:val="20"/>
                <w:vertAlign w:val="superscript"/>
              </w:rPr>
              <w:t>4</w:t>
            </w:r>
          </w:p>
        </w:tc>
        <w:tc>
          <w:tcPr>
            <w:tcW w:w="654" w:type="pct"/>
            <w:shd w:val="clear" w:color="auto" w:fill="auto"/>
            <w:vAlign w:val="center"/>
          </w:tcPr>
          <w:p w14:paraId="3497227D"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sidRPr="00555AD9">
              <w:rPr>
                <w:szCs w:val="20"/>
                <w:vertAlign w:val="superscript"/>
              </w:rPr>
              <w:t>4</w:t>
            </w:r>
          </w:p>
        </w:tc>
        <w:tc>
          <w:tcPr>
            <w:tcW w:w="654" w:type="pct"/>
            <w:shd w:val="clear" w:color="auto" w:fill="auto"/>
            <w:vAlign w:val="center"/>
          </w:tcPr>
          <w:p w14:paraId="2512DA6C"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sidRPr="00555AD9">
              <w:rPr>
                <w:szCs w:val="20"/>
                <w:vertAlign w:val="superscript"/>
              </w:rPr>
              <w:t>4</w:t>
            </w:r>
          </w:p>
        </w:tc>
        <w:tc>
          <w:tcPr>
            <w:tcW w:w="654" w:type="pct"/>
            <w:shd w:val="clear" w:color="auto" w:fill="auto"/>
            <w:vAlign w:val="center"/>
          </w:tcPr>
          <w:p w14:paraId="5F521FDF"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sidRPr="00555AD9">
              <w:rPr>
                <w:szCs w:val="20"/>
                <w:vertAlign w:val="superscript"/>
              </w:rPr>
              <w:t>4</w:t>
            </w:r>
          </w:p>
        </w:tc>
        <w:tc>
          <w:tcPr>
            <w:tcW w:w="654" w:type="pct"/>
            <w:shd w:val="clear" w:color="auto" w:fill="auto"/>
            <w:vAlign w:val="center"/>
          </w:tcPr>
          <w:p w14:paraId="6C9DA884"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sidRPr="00555AD9">
              <w:rPr>
                <w:szCs w:val="20"/>
                <w:vertAlign w:val="superscript"/>
              </w:rPr>
              <w:t>4</w:t>
            </w:r>
          </w:p>
        </w:tc>
        <w:tc>
          <w:tcPr>
            <w:tcW w:w="655" w:type="pct"/>
            <w:vAlign w:val="center"/>
          </w:tcPr>
          <w:p w14:paraId="7756CF7A"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sidRPr="00555AD9">
              <w:rPr>
                <w:szCs w:val="20"/>
                <w:vertAlign w:val="superscript"/>
              </w:rPr>
              <w:t>4</w:t>
            </w:r>
          </w:p>
        </w:tc>
      </w:tr>
      <w:tr w:rsidR="00460DA0" w:rsidRPr="005F7ADC" w14:paraId="2FE10073" w14:textId="77777777" w:rsidTr="005F7ADC">
        <w:tc>
          <w:tcPr>
            <w:tcW w:w="1075" w:type="pct"/>
            <w:shd w:val="clear" w:color="auto" w:fill="auto"/>
            <w:vAlign w:val="center"/>
          </w:tcPr>
          <w:p w14:paraId="560F8B14" w14:textId="77777777" w:rsidR="00460DA0" w:rsidRPr="005F7ADC" w:rsidRDefault="00460DA0" w:rsidP="00460DA0">
            <w:pPr>
              <w:pStyle w:val="TableText0"/>
              <w:rPr>
                <w:szCs w:val="20"/>
              </w:rPr>
            </w:pPr>
            <w:r w:rsidRPr="005F7ADC">
              <w:rPr>
                <w:szCs w:val="20"/>
              </w:rPr>
              <w:t>to PBS/RPBS</w:t>
            </w:r>
          </w:p>
        </w:tc>
        <w:tc>
          <w:tcPr>
            <w:tcW w:w="654" w:type="pct"/>
            <w:shd w:val="clear" w:color="auto" w:fill="auto"/>
            <w:vAlign w:val="center"/>
          </w:tcPr>
          <w:p w14:paraId="2D576E36"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sidRPr="00555AD9">
              <w:rPr>
                <w:szCs w:val="20"/>
                <w:vertAlign w:val="superscript"/>
              </w:rPr>
              <w:t>2</w:t>
            </w:r>
          </w:p>
        </w:tc>
        <w:tc>
          <w:tcPr>
            <w:tcW w:w="654" w:type="pct"/>
            <w:shd w:val="clear" w:color="auto" w:fill="auto"/>
            <w:vAlign w:val="center"/>
          </w:tcPr>
          <w:p w14:paraId="0E2BCF55"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sidRPr="00555AD9">
              <w:rPr>
                <w:szCs w:val="20"/>
                <w:vertAlign w:val="superscript"/>
              </w:rPr>
              <w:t>2</w:t>
            </w:r>
          </w:p>
        </w:tc>
        <w:tc>
          <w:tcPr>
            <w:tcW w:w="654" w:type="pct"/>
            <w:shd w:val="clear" w:color="auto" w:fill="auto"/>
            <w:vAlign w:val="center"/>
          </w:tcPr>
          <w:p w14:paraId="41BDAED2"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sidRPr="00555AD9">
              <w:rPr>
                <w:szCs w:val="20"/>
                <w:vertAlign w:val="superscript"/>
              </w:rPr>
              <w:t>2</w:t>
            </w:r>
          </w:p>
        </w:tc>
        <w:tc>
          <w:tcPr>
            <w:tcW w:w="654" w:type="pct"/>
            <w:shd w:val="clear" w:color="auto" w:fill="auto"/>
            <w:vAlign w:val="center"/>
          </w:tcPr>
          <w:p w14:paraId="24E877F2"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sidRPr="00555AD9">
              <w:rPr>
                <w:szCs w:val="20"/>
                <w:vertAlign w:val="superscript"/>
              </w:rPr>
              <w:t>2</w:t>
            </w:r>
          </w:p>
        </w:tc>
        <w:tc>
          <w:tcPr>
            <w:tcW w:w="654" w:type="pct"/>
            <w:shd w:val="clear" w:color="auto" w:fill="auto"/>
            <w:vAlign w:val="center"/>
          </w:tcPr>
          <w:p w14:paraId="054E4799"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sidRPr="00555AD9">
              <w:rPr>
                <w:szCs w:val="20"/>
                <w:vertAlign w:val="superscript"/>
              </w:rPr>
              <w:t>3</w:t>
            </w:r>
          </w:p>
        </w:tc>
        <w:tc>
          <w:tcPr>
            <w:tcW w:w="655" w:type="pct"/>
            <w:vAlign w:val="center"/>
          </w:tcPr>
          <w:p w14:paraId="271D7367"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sidRPr="00555AD9">
              <w:rPr>
                <w:szCs w:val="20"/>
                <w:vertAlign w:val="superscript"/>
              </w:rPr>
              <w:t>3</w:t>
            </w:r>
          </w:p>
        </w:tc>
      </w:tr>
      <w:tr w:rsidR="00460DA0" w:rsidRPr="005F7ADC" w14:paraId="1DBFC3C4" w14:textId="77777777" w:rsidTr="005F7ADC">
        <w:tc>
          <w:tcPr>
            <w:tcW w:w="5000" w:type="pct"/>
            <w:gridSpan w:val="7"/>
            <w:shd w:val="clear" w:color="auto" w:fill="auto"/>
            <w:vAlign w:val="center"/>
          </w:tcPr>
          <w:p w14:paraId="65DB00EF" w14:textId="77777777" w:rsidR="00460DA0" w:rsidRPr="005F7ADC" w:rsidRDefault="00460DA0" w:rsidP="004911D6">
            <w:pPr>
              <w:pStyle w:val="TableText0"/>
              <w:rPr>
                <w:b/>
                <w:color w:val="000000"/>
                <w:szCs w:val="20"/>
              </w:rPr>
            </w:pPr>
            <w:r w:rsidRPr="005F7ADC">
              <w:rPr>
                <w:b/>
                <w:color w:val="000000"/>
                <w:szCs w:val="20"/>
              </w:rPr>
              <w:t xml:space="preserve">Estimate financial implications of other </w:t>
            </w:r>
            <w:r w:rsidR="004911D6" w:rsidRPr="005F7ADC">
              <w:rPr>
                <w:b/>
                <w:color w:val="000000"/>
                <w:szCs w:val="20"/>
              </w:rPr>
              <w:t>impacted medicines</w:t>
            </w:r>
            <w:r w:rsidRPr="005F7ADC">
              <w:rPr>
                <w:b/>
                <w:color w:val="000000"/>
                <w:szCs w:val="20"/>
              </w:rPr>
              <w:t xml:space="preserve"> </w:t>
            </w:r>
          </w:p>
        </w:tc>
      </w:tr>
      <w:tr w:rsidR="00460DA0" w:rsidRPr="005F7ADC" w14:paraId="283F3F9D" w14:textId="77777777" w:rsidTr="005F7ADC">
        <w:tc>
          <w:tcPr>
            <w:tcW w:w="1075" w:type="pct"/>
            <w:shd w:val="clear" w:color="auto" w:fill="auto"/>
            <w:vAlign w:val="center"/>
          </w:tcPr>
          <w:p w14:paraId="60C6021B" w14:textId="77777777" w:rsidR="00460DA0" w:rsidRPr="005F7ADC" w:rsidDel="00027929" w:rsidRDefault="00460DA0" w:rsidP="00460DA0">
            <w:pPr>
              <w:pStyle w:val="TableText0"/>
              <w:rPr>
                <w:szCs w:val="20"/>
              </w:rPr>
            </w:pPr>
            <w:r w:rsidRPr="005F7ADC">
              <w:rPr>
                <w:szCs w:val="20"/>
              </w:rPr>
              <w:t>to PBS</w:t>
            </w:r>
          </w:p>
        </w:tc>
        <w:tc>
          <w:tcPr>
            <w:tcW w:w="654" w:type="pct"/>
            <w:shd w:val="clear" w:color="auto" w:fill="auto"/>
            <w:vAlign w:val="center"/>
          </w:tcPr>
          <w:p w14:paraId="274B9FB9"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1B3B54DA"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4E32DE1A"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107F5A0C"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00AE4698"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5" w:type="pct"/>
            <w:vAlign w:val="center"/>
          </w:tcPr>
          <w:p w14:paraId="38D6EC97"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r>
      <w:tr w:rsidR="00460DA0" w:rsidRPr="005F7ADC" w14:paraId="5561858C" w14:textId="77777777" w:rsidTr="005F7ADC">
        <w:tc>
          <w:tcPr>
            <w:tcW w:w="1075" w:type="pct"/>
            <w:shd w:val="clear" w:color="auto" w:fill="auto"/>
            <w:vAlign w:val="center"/>
          </w:tcPr>
          <w:p w14:paraId="1D78386A" w14:textId="77777777" w:rsidR="00460DA0" w:rsidRPr="005F7ADC" w:rsidDel="00027929" w:rsidRDefault="00460DA0" w:rsidP="00460DA0">
            <w:pPr>
              <w:pStyle w:val="TableText0"/>
              <w:rPr>
                <w:szCs w:val="20"/>
              </w:rPr>
            </w:pPr>
            <w:r w:rsidRPr="005F7ADC">
              <w:rPr>
                <w:szCs w:val="20"/>
              </w:rPr>
              <w:t>to RPBS</w:t>
            </w:r>
          </w:p>
        </w:tc>
        <w:tc>
          <w:tcPr>
            <w:tcW w:w="654" w:type="pct"/>
            <w:shd w:val="clear" w:color="auto" w:fill="auto"/>
            <w:vAlign w:val="center"/>
          </w:tcPr>
          <w:p w14:paraId="2818EDD6"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5F68EE7A"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57919FF3"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08B2211F"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34AD4EB2"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5" w:type="pct"/>
            <w:vAlign w:val="center"/>
          </w:tcPr>
          <w:p w14:paraId="77B0D17C"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r>
      <w:tr w:rsidR="00460DA0" w:rsidRPr="005F7ADC" w14:paraId="698ADAB3" w14:textId="77777777" w:rsidTr="005F7ADC">
        <w:tc>
          <w:tcPr>
            <w:tcW w:w="1075" w:type="pct"/>
            <w:shd w:val="clear" w:color="auto" w:fill="auto"/>
            <w:vAlign w:val="center"/>
          </w:tcPr>
          <w:p w14:paraId="194D1D4F" w14:textId="77777777" w:rsidR="00460DA0" w:rsidRPr="005F7ADC" w:rsidRDefault="00460DA0" w:rsidP="00460DA0">
            <w:pPr>
              <w:pStyle w:val="TableText0"/>
              <w:rPr>
                <w:szCs w:val="20"/>
              </w:rPr>
            </w:pPr>
            <w:r w:rsidRPr="005F7ADC">
              <w:rPr>
                <w:szCs w:val="20"/>
              </w:rPr>
              <w:t>to PBS/RPBS</w:t>
            </w:r>
          </w:p>
        </w:tc>
        <w:tc>
          <w:tcPr>
            <w:tcW w:w="654" w:type="pct"/>
            <w:shd w:val="clear" w:color="auto" w:fill="auto"/>
            <w:vAlign w:val="center"/>
          </w:tcPr>
          <w:p w14:paraId="3E6A242F"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08FAF9AB"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1F48B964"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43FCE182"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57640A32"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5" w:type="pct"/>
            <w:vAlign w:val="center"/>
          </w:tcPr>
          <w:p w14:paraId="33E8156E"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r>
      <w:tr w:rsidR="00460DA0" w:rsidRPr="005F7ADC" w14:paraId="66F38FD5" w14:textId="77777777" w:rsidTr="005F7ADC">
        <w:tc>
          <w:tcPr>
            <w:tcW w:w="5000" w:type="pct"/>
            <w:gridSpan w:val="7"/>
            <w:shd w:val="clear" w:color="auto" w:fill="auto"/>
            <w:vAlign w:val="center"/>
          </w:tcPr>
          <w:p w14:paraId="0EF4F8A5" w14:textId="77777777" w:rsidR="00460DA0" w:rsidRPr="005F7ADC" w:rsidRDefault="00460DA0" w:rsidP="000819DF">
            <w:pPr>
              <w:pStyle w:val="TableText0"/>
              <w:rPr>
                <w:b/>
                <w:color w:val="000000"/>
                <w:szCs w:val="20"/>
              </w:rPr>
            </w:pPr>
            <w:r w:rsidRPr="005F7ADC">
              <w:rPr>
                <w:b/>
                <w:color w:val="000000"/>
                <w:szCs w:val="20"/>
              </w:rPr>
              <w:t>Net financial implications</w:t>
            </w:r>
            <w:r w:rsidRPr="005F7ADC">
              <w:rPr>
                <w:b/>
                <w:color w:val="4BACC6" w:themeColor="accent5"/>
                <w:szCs w:val="20"/>
              </w:rPr>
              <w:t xml:space="preserve"> </w:t>
            </w:r>
          </w:p>
        </w:tc>
      </w:tr>
      <w:tr w:rsidR="00460DA0" w:rsidRPr="005F7ADC" w14:paraId="3E0891FC" w14:textId="77777777" w:rsidTr="005F7ADC">
        <w:tc>
          <w:tcPr>
            <w:tcW w:w="1075" w:type="pct"/>
            <w:shd w:val="clear" w:color="auto" w:fill="auto"/>
            <w:vAlign w:val="center"/>
          </w:tcPr>
          <w:p w14:paraId="28E1B992" w14:textId="77777777" w:rsidR="00460DA0" w:rsidRPr="005F7ADC" w:rsidRDefault="00460DA0" w:rsidP="00460DA0">
            <w:pPr>
              <w:pStyle w:val="TableText0"/>
              <w:rPr>
                <w:szCs w:val="20"/>
              </w:rPr>
            </w:pPr>
            <w:r w:rsidRPr="005F7ADC">
              <w:rPr>
                <w:szCs w:val="20"/>
              </w:rPr>
              <w:t>to PBS</w:t>
            </w:r>
          </w:p>
        </w:tc>
        <w:tc>
          <w:tcPr>
            <w:tcW w:w="654" w:type="pct"/>
            <w:shd w:val="clear" w:color="auto" w:fill="auto"/>
            <w:vAlign w:val="center"/>
          </w:tcPr>
          <w:p w14:paraId="7698CBAF"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5ECAFADF"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2C07386C"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2C0C40EE"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6D23BF0D"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5" w:type="pct"/>
            <w:vAlign w:val="center"/>
          </w:tcPr>
          <w:p w14:paraId="0F6558B3"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r>
      <w:tr w:rsidR="00460DA0" w:rsidRPr="005F7ADC" w14:paraId="74518EFC" w14:textId="77777777" w:rsidTr="005F7ADC">
        <w:tc>
          <w:tcPr>
            <w:tcW w:w="1075" w:type="pct"/>
            <w:shd w:val="clear" w:color="auto" w:fill="auto"/>
            <w:vAlign w:val="center"/>
          </w:tcPr>
          <w:p w14:paraId="69D54AE8" w14:textId="77777777" w:rsidR="00460DA0" w:rsidRPr="005F7ADC" w:rsidRDefault="00460DA0" w:rsidP="00460DA0">
            <w:pPr>
              <w:pStyle w:val="TableText0"/>
              <w:rPr>
                <w:szCs w:val="20"/>
              </w:rPr>
            </w:pPr>
            <w:r w:rsidRPr="005F7ADC">
              <w:rPr>
                <w:szCs w:val="20"/>
              </w:rPr>
              <w:t>to RPBS</w:t>
            </w:r>
          </w:p>
        </w:tc>
        <w:tc>
          <w:tcPr>
            <w:tcW w:w="654" w:type="pct"/>
            <w:shd w:val="clear" w:color="auto" w:fill="auto"/>
            <w:vAlign w:val="center"/>
          </w:tcPr>
          <w:p w14:paraId="36A7A8BB"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5900F0D6"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142438F5"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4CA9C21B"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27885B01"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5" w:type="pct"/>
            <w:vAlign w:val="center"/>
          </w:tcPr>
          <w:p w14:paraId="3517FCFF"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r>
      <w:tr w:rsidR="00460DA0" w:rsidRPr="005F7ADC" w14:paraId="2F917B02" w14:textId="77777777" w:rsidTr="005F7ADC">
        <w:tc>
          <w:tcPr>
            <w:tcW w:w="1075" w:type="pct"/>
            <w:shd w:val="clear" w:color="auto" w:fill="auto"/>
          </w:tcPr>
          <w:p w14:paraId="77E75D45" w14:textId="77777777" w:rsidR="00460DA0" w:rsidRPr="005F7ADC" w:rsidRDefault="00460DA0" w:rsidP="00460DA0">
            <w:pPr>
              <w:pStyle w:val="TableText0"/>
              <w:rPr>
                <w:szCs w:val="20"/>
              </w:rPr>
            </w:pPr>
            <w:r w:rsidRPr="005F7ADC">
              <w:rPr>
                <w:szCs w:val="20"/>
              </w:rPr>
              <w:t>to PBS/RPBS</w:t>
            </w:r>
          </w:p>
        </w:tc>
        <w:tc>
          <w:tcPr>
            <w:tcW w:w="654" w:type="pct"/>
            <w:shd w:val="clear" w:color="auto" w:fill="auto"/>
            <w:vAlign w:val="center"/>
          </w:tcPr>
          <w:p w14:paraId="01F2067F"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3CEFF54D"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5CA26988"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5DB78017"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4" w:type="pct"/>
            <w:shd w:val="clear" w:color="auto" w:fill="auto"/>
            <w:vAlign w:val="center"/>
          </w:tcPr>
          <w:p w14:paraId="63B9CB98"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c>
          <w:tcPr>
            <w:tcW w:w="655" w:type="pct"/>
            <w:vAlign w:val="center"/>
          </w:tcPr>
          <w:p w14:paraId="69C46CDE" w14:textId="77777777" w:rsidR="00460DA0" w:rsidRPr="005F7ADC" w:rsidRDefault="00460DA0" w:rsidP="00460DA0">
            <w:pPr>
              <w:pStyle w:val="TableText0"/>
              <w:rPr>
                <w:szCs w:val="20"/>
              </w:rPr>
            </w:pPr>
            <w:r w:rsidRPr="005F7ADC">
              <w:rPr>
                <w:szCs w:val="20"/>
              </w:rPr>
              <w:t>-$</w:t>
            </w:r>
            <w:r w:rsidR="000D7B83">
              <w:rPr>
                <w:noProof/>
                <w:color w:val="000000"/>
                <w:szCs w:val="20"/>
                <w:highlight w:val="black"/>
              </w:rPr>
              <w:t>''''''''''''''''''''''</w:t>
            </w:r>
            <w:r w:rsidR="00DF3049">
              <w:rPr>
                <w:szCs w:val="20"/>
                <w:vertAlign w:val="superscript"/>
              </w:rPr>
              <w:t>5</w:t>
            </w:r>
          </w:p>
        </w:tc>
      </w:tr>
    </w:tbl>
    <w:p w14:paraId="7B28C6F4" w14:textId="77777777" w:rsidR="00052528" w:rsidRDefault="00C7409E" w:rsidP="00F37ECA">
      <w:pPr>
        <w:pStyle w:val="TableFigureFooter"/>
        <w:keepNext/>
      </w:pPr>
      <w:r w:rsidRPr="00572C9E">
        <w:t xml:space="preserve">Source: </w:t>
      </w:r>
      <w:proofErr w:type="spellStart"/>
      <w:r w:rsidR="00641CE3" w:rsidRPr="00572C9E">
        <w:t>Maviret</w:t>
      </w:r>
      <w:proofErr w:type="spellEnd"/>
      <w:r w:rsidR="00641CE3" w:rsidRPr="00572C9E">
        <w:t xml:space="preserve"> utilisation and cost model workbook attachment. </w:t>
      </w:r>
    </w:p>
    <w:p w14:paraId="66656690" w14:textId="77777777" w:rsidR="00DF3049" w:rsidRDefault="00DF3049" w:rsidP="00F37ECA">
      <w:pPr>
        <w:pStyle w:val="TableFigureFooter"/>
        <w:keepNext/>
        <w:rPr>
          <w:i/>
        </w:rPr>
      </w:pPr>
      <w:r>
        <w:rPr>
          <w:i/>
        </w:rPr>
        <w:t xml:space="preserve">The redacted values correspond to the following ranges </w:t>
      </w:r>
    </w:p>
    <w:p w14:paraId="5B1CA01E" w14:textId="77777777" w:rsidR="00DF3049" w:rsidRDefault="00DF3049" w:rsidP="00F37ECA">
      <w:pPr>
        <w:pStyle w:val="TableFigureFooter"/>
        <w:keepNext/>
        <w:rPr>
          <w:i/>
        </w:rPr>
      </w:pPr>
      <w:r>
        <w:rPr>
          <w:i/>
          <w:vertAlign w:val="superscript"/>
        </w:rPr>
        <w:t>1</w:t>
      </w:r>
      <w:r>
        <w:rPr>
          <w:i/>
        </w:rPr>
        <w:t xml:space="preserve"> 500 to &lt; 5,000</w:t>
      </w:r>
    </w:p>
    <w:p w14:paraId="743777C3" w14:textId="77777777" w:rsidR="00DF3049" w:rsidRDefault="00DF3049" w:rsidP="00F37ECA">
      <w:pPr>
        <w:pStyle w:val="TableFigureFooter"/>
        <w:keepNext/>
        <w:rPr>
          <w:i/>
        </w:rPr>
      </w:pPr>
      <w:r>
        <w:rPr>
          <w:i/>
          <w:vertAlign w:val="superscript"/>
        </w:rPr>
        <w:t>2</w:t>
      </w:r>
      <w:r>
        <w:rPr>
          <w:i/>
        </w:rPr>
        <w:t xml:space="preserve"> $20 million to &lt; $30 million</w:t>
      </w:r>
    </w:p>
    <w:p w14:paraId="0EFA5E04" w14:textId="77777777" w:rsidR="00DF3049" w:rsidRDefault="00DF3049" w:rsidP="00F37ECA">
      <w:pPr>
        <w:pStyle w:val="TableFigureFooter"/>
        <w:keepNext/>
        <w:rPr>
          <w:i/>
        </w:rPr>
      </w:pPr>
      <w:r>
        <w:rPr>
          <w:i/>
          <w:vertAlign w:val="superscript"/>
        </w:rPr>
        <w:t>3</w:t>
      </w:r>
      <w:r>
        <w:rPr>
          <w:i/>
        </w:rPr>
        <w:t xml:space="preserve"> $10 million to &lt; $20 million</w:t>
      </w:r>
    </w:p>
    <w:p w14:paraId="35F581C4" w14:textId="77777777" w:rsidR="00DF3049" w:rsidRDefault="00DF3049" w:rsidP="00F37ECA">
      <w:pPr>
        <w:pStyle w:val="TableFigureFooter"/>
        <w:keepNext/>
        <w:rPr>
          <w:i/>
        </w:rPr>
      </w:pPr>
      <w:r>
        <w:rPr>
          <w:i/>
          <w:vertAlign w:val="superscript"/>
        </w:rPr>
        <w:t>4</w:t>
      </w:r>
      <w:r>
        <w:rPr>
          <w:i/>
        </w:rPr>
        <w:t xml:space="preserve"> $0 to &lt; $10 million</w:t>
      </w:r>
    </w:p>
    <w:p w14:paraId="26800C87" w14:textId="77777777" w:rsidR="00DF3049" w:rsidRPr="00DF3049" w:rsidRDefault="00DF3049" w:rsidP="00F37ECA">
      <w:pPr>
        <w:pStyle w:val="TableFigureFooter"/>
        <w:keepNext/>
        <w:rPr>
          <w:i/>
        </w:rPr>
      </w:pPr>
      <w:r>
        <w:rPr>
          <w:i/>
          <w:vertAlign w:val="superscript"/>
        </w:rPr>
        <w:t>5</w:t>
      </w:r>
      <w:r>
        <w:rPr>
          <w:i/>
        </w:rPr>
        <w:t xml:space="preserve"> net cost saving</w:t>
      </w:r>
    </w:p>
    <w:p w14:paraId="196D6618" w14:textId="77777777" w:rsidR="004D6E2A" w:rsidRPr="00572C9E" w:rsidRDefault="00F87EBA" w:rsidP="00692D66">
      <w:pPr>
        <w:pStyle w:val="3Bodytext"/>
        <w:jc w:val="both"/>
      </w:pPr>
      <w:r w:rsidRPr="00572C9E">
        <w:t>The submission claimed that there would be no change in the net financial impact to government,</w:t>
      </w:r>
      <w:r w:rsidR="004D6E2A" w:rsidRPr="00572C9E">
        <w:t xml:space="preserve"> </w:t>
      </w:r>
      <w:r w:rsidRPr="00572C9E">
        <w:t xml:space="preserve">noting that a set cost per treatment course (irrespective of duration) is administered through the current </w:t>
      </w:r>
      <w:r w:rsidR="004D6E2A" w:rsidRPr="00572C9E">
        <w:t>Deed of Agreement</w:t>
      </w:r>
      <w:r w:rsidRPr="00572C9E">
        <w:t xml:space="preserve">. </w:t>
      </w:r>
    </w:p>
    <w:p w14:paraId="14F27266" w14:textId="77777777" w:rsidR="00BA347C" w:rsidRPr="00572C9E" w:rsidRDefault="00BA347C" w:rsidP="00692D66">
      <w:pPr>
        <w:pStyle w:val="3Bodytext"/>
        <w:jc w:val="both"/>
      </w:pPr>
      <w:r w:rsidRPr="00572C9E">
        <w:t>As a minor submission, the financial estimates have not been independently evaluated.</w:t>
      </w:r>
    </w:p>
    <w:p w14:paraId="341B7811" w14:textId="77777777" w:rsidR="00641CE3" w:rsidRPr="00572C9E" w:rsidRDefault="00641CE3" w:rsidP="00641CE3">
      <w:pPr>
        <w:pStyle w:val="4-SubsectionHeading"/>
      </w:pPr>
      <w:r w:rsidRPr="00572C9E">
        <w:t>Quality Use of Medicines</w:t>
      </w:r>
    </w:p>
    <w:p w14:paraId="1CD9E2D1" w14:textId="77777777" w:rsidR="00641CE3" w:rsidRPr="00572C9E" w:rsidRDefault="00154F79" w:rsidP="00692D66">
      <w:pPr>
        <w:pStyle w:val="3Bodytext"/>
        <w:jc w:val="both"/>
      </w:pPr>
      <w:r w:rsidRPr="00572C9E">
        <w:t>The sponsor state</w:t>
      </w:r>
      <w:r w:rsidR="004D6E2A" w:rsidRPr="00572C9E">
        <w:t>d</w:t>
      </w:r>
      <w:r w:rsidRPr="00572C9E">
        <w:t xml:space="preserve"> that a reduction in the duration of therapy while maintaining efficacy at reduced patient cost is consistent with Quality Use of Medicines principles. </w:t>
      </w:r>
    </w:p>
    <w:p w14:paraId="6DDF4011" w14:textId="77777777" w:rsidR="00154F79" w:rsidRPr="00572C9E" w:rsidRDefault="00154F79" w:rsidP="005F7ADC">
      <w:pPr>
        <w:pStyle w:val="3Bodytext"/>
        <w:keepNext/>
        <w:jc w:val="both"/>
      </w:pPr>
      <w:r w:rsidRPr="00572C9E">
        <w:t>The sponsor reiterate</w:t>
      </w:r>
      <w:r w:rsidR="005A25C7" w:rsidRPr="00572C9E">
        <w:t>d</w:t>
      </w:r>
      <w:r w:rsidRPr="00572C9E">
        <w:t xml:space="preserve"> that an </w:t>
      </w:r>
      <w:r w:rsidR="00F746E3" w:rsidRPr="00572C9E">
        <w:t>8-week</w:t>
      </w:r>
      <w:r w:rsidRPr="00572C9E">
        <w:t xml:space="preserve"> treatment duration has non-inferior comparative effectiveness to the </w:t>
      </w:r>
      <w:r w:rsidR="00F746E3" w:rsidRPr="00572C9E">
        <w:t>12-week</w:t>
      </w:r>
      <w:r w:rsidRPr="00572C9E">
        <w:t xml:space="preserve"> treatment, as well as reducing </w:t>
      </w:r>
      <w:r w:rsidR="005A25C7" w:rsidRPr="00572C9E">
        <w:t>patient</w:t>
      </w:r>
      <w:r w:rsidRPr="00572C9E">
        <w:t xml:space="preserve"> visits to the pharmacy and </w:t>
      </w:r>
      <w:r w:rsidR="004D6E2A" w:rsidRPr="00572C9E">
        <w:t>cost to the patient</w:t>
      </w:r>
      <w:r w:rsidRPr="00572C9E">
        <w:t>. The sponsor also claim</w:t>
      </w:r>
      <w:r w:rsidR="005A25C7" w:rsidRPr="00572C9E">
        <w:t>ed</w:t>
      </w:r>
      <w:r w:rsidRPr="00572C9E">
        <w:t xml:space="preserve"> reduced treatment duration regimens </w:t>
      </w:r>
      <w:r w:rsidR="00A527F2" w:rsidRPr="00572C9E">
        <w:t>would</w:t>
      </w:r>
      <w:r w:rsidRPr="00572C9E">
        <w:t xml:space="preserve"> improve adherence. </w:t>
      </w:r>
    </w:p>
    <w:p w14:paraId="28A9CBB5" w14:textId="77777777" w:rsidR="00064321" w:rsidRPr="00572C9E" w:rsidRDefault="00DC5390" w:rsidP="005F7ADC">
      <w:pPr>
        <w:pStyle w:val="3Bodytext"/>
        <w:numPr>
          <w:ilvl w:val="0"/>
          <w:numId w:val="0"/>
        </w:numPr>
        <w:ind w:firstLine="720"/>
        <w:jc w:val="both"/>
        <w:rPr>
          <w:i/>
        </w:rPr>
      </w:pPr>
      <w:r w:rsidRPr="00572C9E">
        <w:rPr>
          <w:i/>
        </w:rPr>
        <w:t>For more detail on PBAC’s view, see section 6 PBAC outcome.</w:t>
      </w:r>
    </w:p>
    <w:p w14:paraId="14F8983A" w14:textId="77777777" w:rsidR="005F5A32" w:rsidRPr="00572C9E" w:rsidRDefault="005F5A32" w:rsidP="00594C3D">
      <w:pPr>
        <w:pStyle w:val="2-SectionHeading"/>
      </w:pPr>
      <w:r w:rsidRPr="00572C9E">
        <w:t>PBAC Outcome</w:t>
      </w:r>
    </w:p>
    <w:p w14:paraId="1FF4A8C3" w14:textId="77777777" w:rsidR="00B71890" w:rsidRPr="0088295C" w:rsidRDefault="00DA691B" w:rsidP="005F7ADC">
      <w:pPr>
        <w:pStyle w:val="3Bodytext"/>
        <w:jc w:val="both"/>
        <w:rPr>
          <w:snapToGrid w:val="0"/>
        </w:rPr>
      </w:pPr>
      <w:r w:rsidRPr="0088295C">
        <w:rPr>
          <w:snapToGrid w:val="0"/>
        </w:rPr>
        <w:t>The PBAC</w:t>
      </w:r>
      <w:r w:rsidR="0055053C" w:rsidRPr="0088295C">
        <w:rPr>
          <w:snapToGrid w:val="0"/>
        </w:rPr>
        <w:t xml:space="preserve"> was of a mind to recommend the listing of an 8-week treatment option of </w:t>
      </w:r>
      <w:proofErr w:type="spellStart"/>
      <w:r w:rsidR="0055053C" w:rsidRPr="0088295C">
        <w:rPr>
          <w:snapToGrid w:val="0"/>
        </w:rPr>
        <w:t>glecaprevir</w:t>
      </w:r>
      <w:proofErr w:type="spellEnd"/>
      <w:r w:rsidR="0055053C" w:rsidRPr="0088295C">
        <w:rPr>
          <w:snapToGrid w:val="0"/>
        </w:rPr>
        <w:t xml:space="preserve"> with </w:t>
      </w:r>
      <w:proofErr w:type="spellStart"/>
      <w:r w:rsidR="0055053C" w:rsidRPr="0088295C">
        <w:rPr>
          <w:snapToGrid w:val="0"/>
        </w:rPr>
        <w:t>pibrentasvir</w:t>
      </w:r>
      <w:proofErr w:type="spellEnd"/>
      <w:r w:rsidR="0055053C" w:rsidRPr="0088295C">
        <w:rPr>
          <w:snapToGrid w:val="0"/>
        </w:rPr>
        <w:t xml:space="preserve"> (GLE/PIB) for the treatment of chronic hepatitis C (CHC) infection in patients who are treatment-naïve with compensated cirrhosis (TN/CC), however deferred</w:t>
      </w:r>
      <w:r w:rsidRPr="0088295C">
        <w:rPr>
          <w:snapToGrid w:val="0"/>
        </w:rPr>
        <w:t xml:space="preserve"> making a recommendation to amend the General Statement </w:t>
      </w:r>
      <w:r w:rsidRPr="00572C9E">
        <w:t xml:space="preserve">for Drugs for the Treatment of Hepatitis C (the General Statement) pending </w:t>
      </w:r>
      <w:r w:rsidR="0055053C" w:rsidRPr="00572C9E">
        <w:t xml:space="preserve">finalisation of </w:t>
      </w:r>
      <w:r w:rsidR="0055053C" w:rsidRPr="00572C9E">
        <w:lastRenderedPageBreak/>
        <w:t>the TGA registration</w:t>
      </w:r>
      <w:r w:rsidRPr="00572C9E">
        <w:t xml:space="preserve">. </w:t>
      </w:r>
      <w:r w:rsidR="0055053C" w:rsidRPr="00572C9E">
        <w:t xml:space="preserve">The PBAC noted the Advisory Committee for Medicines </w:t>
      </w:r>
      <w:r w:rsidR="009513FF" w:rsidRPr="00572C9E">
        <w:t xml:space="preserve">(ACM) </w:t>
      </w:r>
      <w:r w:rsidR="0055053C" w:rsidRPr="00572C9E">
        <w:t>supported registration of the 8-week regimen for patients with genotype 3 infection, however also recommended retaining the 12-week regimen as an option for the TN/CC population to allow for individual</w:t>
      </w:r>
      <w:r w:rsidR="006A224B" w:rsidRPr="00572C9E">
        <w:t xml:space="preserve"> clinical</w:t>
      </w:r>
      <w:r w:rsidR="0055053C" w:rsidRPr="00572C9E">
        <w:t xml:space="preserve"> decision-making. As there was residual uncertainty as to whether the 12-week regimen would rema</w:t>
      </w:r>
      <w:r w:rsidR="006A224B" w:rsidRPr="00572C9E">
        <w:t>in as part of the TGA registration, the PBAC decided to defer making a recommendation until the final TGA outcome was known.</w:t>
      </w:r>
    </w:p>
    <w:p w14:paraId="07FB0374" w14:textId="77777777" w:rsidR="006514B2" w:rsidRPr="0088295C" w:rsidRDefault="00074C11" w:rsidP="005F7ADC">
      <w:pPr>
        <w:pStyle w:val="3Bodytext"/>
        <w:jc w:val="both"/>
        <w:rPr>
          <w:snapToGrid w:val="0"/>
        </w:rPr>
      </w:pPr>
      <w:r w:rsidRPr="0088295C">
        <w:rPr>
          <w:snapToGrid w:val="0"/>
        </w:rPr>
        <w:t>The PBAC was</w:t>
      </w:r>
      <w:r w:rsidR="006514B2" w:rsidRPr="0088295C">
        <w:rPr>
          <w:snapToGrid w:val="0"/>
        </w:rPr>
        <w:t xml:space="preserve"> of a mind to retain </w:t>
      </w:r>
      <w:r w:rsidR="006A224B" w:rsidRPr="0088295C">
        <w:rPr>
          <w:snapToGrid w:val="0"/>
        </w:rPr>
        <w:t>the 12-week regimen option</w:t>
      </w:r>
      <w:r w:rsidR="006514B2" w:rsidRPr="0088295C">
        <w:rPr>
          <w:snapToGrid w:val="0"/>
        </w:rPr>
        <w:t xml:space="preserve"> </w:t>
      </w:r>
      <w:r w:rsidR="006A224B" w:rsidRPr="0088295C">
        <w:rPr>
          <w:snapToGrid w:val="0"/>
        </w:rPr>
        <w:t>if it remains part of the TGA registration</w:t>
      </w:r>
      <w:r w:rsidRPr="0088295C">
        <w:rPr>
          <w:snapToGrid w:val="0"/>
        </w:rPr>
        <w:t>. The Committee</w:t>
      </w:r>
      <w:r w:rsidR="006514B2" w:rsidRPr="0088295C">
        <w:rPr>
          <w:snapToGrid w:val="0"/>
        </w:rPr>
        <w:t xml:space="preserve"> advised that this</w:t>
      </w:r>
      <w:r w:rsidR="006A224B" w:rsidRPr="0088295C">
        <w:rPr>
          <w:snapToGrid w:val="0"/>
        </w:rPr>
        <w:t xml:space="preserve"> regimen</w:t>
      </w:r>
      <w:r w:rsidR="006514B2" w:rsidRPr="0088295C">
        <w:rPr>
          <w:snapToGrid w:val="0"/>
        </w:rPr>
        <w:t xml:space="preserve"> should be included as a footnote to the Ge</w:t>
      </w:r>
      <w:r w:rsidR="00B71890" w:rsidRPr="0088295C">
        <w:rPr>
          <w:snapToGrid w:val="0"/>
        </w:rPr>
        <w:t xml:space="preserve">neral Statement for simplicity and </w:t>
      </w:r>
      <w:r w:rsidR="00A42688" w:rsidRPr="0088295C">
        <w:rPr>
          <w:snapToGrid w:val="0"/>
        </w:rPr>
        <w:t xml:space="preserve">reaffirmed that </w:t>
      </w:r>
      <w:r w:rsidR="00B71890" w:rsidRPr="0088295C">
        <w:rPr>
          <w:snapToGrid w:val="0"/>
        </w:rPr>
        <w:t xml:space="preserve">any change to </w:t>
      </w:r>
      <w:r w:rsidR="006A224B" w:rsidRPr="0088295C">
        <w:rPr>
          <w:snapToGrid w:val="0"/>
        </w:rPr>
        <w:t>treatment options within the General Statement that achieve the same health outcomes</w:t>
      </w:r>
      <w:r w:rsidR="00B71890" w:rsidRPr="0088295C">
        <w:rPr>
          <w:snapToGrid w:val="0"/>
        </w:rPr>
        <w:t xml:space="preserve"> must be at no increase in the average cost to the Government. The </w:t>
      </w:r>
      <w:r w:rsidR="006A224B" w:rsidRPr="0088295C">
        <w:rPr>
          <w:snapToGrid w:val="0"/>
        </w:rPr>
        <w:t>PBAC considered that there may</w:t>
      </w:r>
      <w:r w:rsidR="00B71890" w:rsidRPr="0088295C">
        <w:rPr>
          <w:snapToGrid w:val="0"/>
        </w:rPr>
        <w:t xml:space="preserve"> be a small number of</w:t>
      </w:r>
      <w:r w:rsidR="009513FF" w:rsidRPr="0088295C">
        <w:rPr>
          <w:snapToGrid w:val="0"/>
        </w:rPr>
        <w:t xml:space="preserve"> patients utilising the 12-week</w:t>
      </w:r>
      <w:r w:rsidR="00B71890" w:rsidRPr="0088295C">
        <w:rPr>
          <w:snapToGrid w:val="0"/>
        </w:rPr>
        <w:t xml:space="preserve"> treatment regimen</w:t>
      </w:r>
      <w:r w:rsidR="009513FF" w:rsidRPr="0088295C">
        <w:rPr>
          <w:snapToGrid w:val="0"/>
        </w:rPr>
        <w:t xml:space="preserve"> as physician and patient</w:t>
      </w:r>
      <w:r w:rsidR="006A224B" w:rsidRPr="0088295C">
        <w:rPr>
          <w:snapToGrid w:val="0"/>
        </w:rPr>
        <w:t xml:space="preserve"> preference would most likely</w:t>
      </w:r>
      <w:r w:rsidR="009513FF" w:rsidRPr="0088295C">
        <w:rPr>
          <w:snapToGrid w:val="0"/>
        </w:rPr>
        <w:t xml:space="preserve"> be for the</w:t>
      </w:r>
      <w:r w:rsidR="006A224B" w:rsidRPr="0088295C">
        <w:rPr>
          <w:snapToGrid w:val="0"/>
        </w:rPr>
        <w:t xml:space="preserve"> 8-week</w:t>
      </w:r>
      <w:r w:rsidR="00B71890" w:rsidRPr="0088295C">
        <w:rPr>
          <w:snapToGrid w:val="0"/>
        </w:rPr>
        <w:t xml:space="preserve"> treatment regimen. </w:t>
      </w:r>
    </w:p>
    <w:p w14:paraId="43C03EF9" w14:textId="77777777" w:rsidR="002F43DD" w:rsidRPr="0088295C" w:rsidRDefault="008160A8" w:rsidP="005F7ADC">
      <w:pPr>
        <w:pStyle w:val="3Bodytext"/>
        <w:jc w:val="both"/>
        <w:rPr>
          <w:snapToGrid w:val="0"/>
        </w:rPr>
      </w:pPr>
      <w:r w:rsidRPr="0088295C">
        <w:rPr>
          <w:snapToGrid w:val="0"/>
        </w:rPr>
        <w:t xml:space="preserve">The PBAC noted </w:t>
      </w:r>
      <w:r w:rsidR="002F43DD" w:rsidRPr="0088295C">
        <w:rPr>
          <w:snapToGrid w:val="0"/>
        </w:rPr>
        <w:t>the EXPEDITION-8 trial</w:t>
      </w:r>
      <w:r w:rsidR="004A220A" w:rsidRPr="0088295C">
        <w:rPr>
          <w:snapToGrid w:val="0"/>
        </w:rPr>
        <w:t xml:space="preserve"> presented in the submission demonstrated the 8-week regimen of GLE/PIB achieves similar efficacy outcomes to the 12-week regimen</w:t>
      </w:r>
      <w:r w:rsidR="002F43DD" w:rsidRPr="0088295C">
        <w:rPr>
          <w:snapToGrid w:val="0"/>
        </w:rPr>
        <w:t>,</w:t>
      </w:r>
      <w:r w:rsidR="004A220A" w:rsidRPr="0088295C">
        <w:rPr>
          <w:snapToGrid w:val="0"/>
        </w:rPr>
        <w:t xml:space="preserve"> in terms of sustained virological response rates at week 12 (SVR12). The PBAC noted</w:t>
      </w:r>
      <w:r w:rsidR="002F43DD" w:rsidRPr="0088295C">
        <w:rPr>
          <w:snapToGrid w:val="0"/>
        </w:rPr>
        <w:t xml:space="preserve"> there was one case of virological failure in GT3 and some p</w:t>
      </w:r>
      <w:r w:rsidR="009513FF" w:rsidRPr="0088295C">
        <w:rPr>
          <w:snapToGrid w:val="0"/>
        </w:rPr>
        <w:t xml:space="preserve">atients were lost </w:t>
      </w:r>
      <w:r w:rsidR="00E451F0" w:rsidRPr="0088295C">
        <w:rPr>
          <w:snapToGrid w:val="0"/>
        </w:rPr>
        <w:t xml:space="preserve">to </w:t>
      </w:r>
      <w:r w:rsidR="009513FF" w:rsidRPr="0088295C">
        <w:rPr>
          <w:snapToGrid w:val="0"/>
        </w:rPr>
        <w:t>final follow-up</w:t>
      </w:r>
      <w:r w:rsidR="004A220A" w:rsidRPr="0088295C">
        <w:rPr>
          <w:snapToGrid w:val="0"/>
        </w:rPr>
        <w:t>, however noted GT3 is known to be more difficult to treat and considered the missing data would</w:t>
      </w:r>
      <w:r w:rsidR="009513FF" w:rsidRPr="0088295C">
        <w:rPr>
          <w:snapToGrid w:val="0"/>
        </w:rPr>
        <w:t xml:space="preserve"> likely</w:t>
      </w:r>
      <w:r w:rsidR="004A220A" w:rsidRPr="0088295C">
        <w:rPr>
          <w:snapToGrid w:val="0"/>
        </w:rPr>
        <w:t xml:space="preserve"> not alter its overall conclusions with regards to efficacy outcomes.</w:t>
      </w:r>
    </w:p>
    <w:p w14:paraId="413CBB63" w14:textId="77777777" w:rsidR="002F43DD" w:rsidRPr="0088295C" w:rsidRDefault="002F43DD" w:rsidP="005F7ADC">
      <w:pPr>
        <w:pStyle w:val="3Bodytext"/>
        <w:jc w:val="both"/>
        <w:rPr>
          <w:snapToGrid w:val="0"/>
        </w:rPr>
      </w:pPr>
      <w:r w:rsidRPr="0088295C">
        <w:rPr>
          <w:snapToGrid w:val="0"/>
        </w:rPr>
        <w:t>The PBAC considered that the comparative harm</w:t>
      </w:r>
      <w:r w:rsidR="004A220A" w:rsidRPr="0088295C">
        <w:rPr>
          <w:snapToGrid w:val="0"/>
        </w:rPr>
        <w:t>s of the</w:t>
      </w:r>
      <w:r w:rsidRPr="0088295C">
        <w:rPr>
          <w:snapToGrid w:val="0"/>
        </w:rPr>
        <w:t xml:space="preserve"> 8-week treatment regimen</w:t>
      </w:r>
      <w:r w:rsidR="004A220A" w:rsidRPr="0088295C">
        <w:rPr>
          <w:snapToGrid w:val="0"/>
        </w:rPr>
        <w:t xml:space="preserve"> </w:t>
      </w:r>
      <w:r w:rsidR="00E451F0" w:rsidRPr="0088295C">
        <w:rPr>
          <w:snapToGrid w:val="0"/>
        </w:rPr>
        <w:t xml:space="preserve">were </w:t>
      </w:r>
      <w:r w:rsidR="004A220A" w:rsidRPr="0088295C">
        <w:rPr>
          <w:snapToGrid w:val="0"/>
        </w:rPr>
        <w:t>consistent with the known safety profile of GLE/PIB and appeared</w:t>
      </w:r>
      <w:r w:rsidRPr="0088295C">
        <w:rPr>
          <w:snapToGrid w:val="0"/>
        </w:rPr>
        <w:t xml:space="preserve"> no worse than the 12-week treatment regimen. </w:t>
      </w:r>
    </w:p>
    <w:p w14:paraId="51ED9224" w14:textId="77777777" w:rsidR="00B71890" w:rsidRPr="0088295C" w:rsidRDefault="00B71890" w:rsidP="005F7ADC">
      <w:pPr>
        <w:pStyle w:val="3Bodytext"/>
        <w:jc w:val="both"/>
        <w:rPr>
          <w:snapToGrid w:val="0"/>
        </w:rPr>
      </w:pPr>
      <w:r w:rsidRPr="0088295C">
        <w:rPr>
          <w:snapToGrid w:val="0"/>
        </w:rPr>
        <w:t xml:space="preserve">The PBAC noted that the sponsor estimated a net save </w:t>
      </w:r>
      <w:r w:rsidR="00A32387" w:rsidRPr="0088295C">
        <w:rPr>
          <w:snapToGrid w:val="0"/>
        </w:rPr>
        <w:t>in published PBS expenditure, however no net financial impact at the effective</w:t>
      </w:r>
      <w:r w:rsidR="00221920" w:rsidRPr="0088295C">
        <w:rPr>
          <w:snapToGrid w:val="0"/>
        </w:rPr>
        <w:t xml:space="preserve"> price</w:t>
      </w:r>
      <w:r w:rsidR="00A32387" w:rsidRPr="0088295C">
        <w:rPr>
          <w:snapToGrid w:val="0"/>
        </w:rPr>
        <w:t xml:space="preserve"> level</w:t>
      </w:r>
      <w:r w:rsidRPr="0088295C">
        <w:rPr>
          <w:snapToGrid w:val="0"/>
        </w:rPr>
        <w:t xml:space="preserve">. </w:t>
      </w:r>
      <w:r w:rsidR="00A32387" w:rsidRPr="0088295C">
        <w:rPr>
          <w:snapToGrid w:val="0"/>
        </w:rPr>
        <w:t>T</w:t>
      </w:r>
      <w:r w:rsidR="0055053C" w:rsidRPr="0088295C">
        <w:rPr>
          <w:snapToGrid w:val="0"/>
        </w:rPr>
        <w:t xml:space="preserve">he Committee noted reduced treatment durations would result in a </w:t>
      </w:r>
      <w:r w:rsidR="00A32387" w:rsidRPr="0088295C">
        <w:rPr>
          <w:snapToGrid w:val="0"/>
        </w:rPr>
        <w:t>reduced number of co-payments for</w:t>
      </w:r>
      <w:r w:rsidR="00572C9E">
        <w:rPr>
          <w:snapToGrid w:val="0"/>
        </w:rPr>
        <w:t xml:space="preserve"> </w:t>
      </w:r>
      <w:r w:rsidR="0055053C" w:rsidRPr="0088295C">
        <w:rPr>
          <w:snapToGrid w:val="0"/>
        </w:rPr>
        <w:t>patients. The Committee also considered that</w:t>
      </w:r>
      <w:r w:rsidR="000146BA" w:rsidRPr="0088295C">
        <w:rPr>
          <w:snapToGrid w:val="0"/>
        </w:rPr>
        <w:t xml:space="preserve"> since the cost per course of treatment would remain the same (as administered through the current Deed of Agreement), the introduction of an 8-week regimen </w:t>
      </w:r>
      <w:r w:rsidR="006C6DF4" w:rsidRPr="0088295C">
        <w:rPr>
          <w:snapToGrid w:val="0"/>
        </w:rPr>
        <w:t>should not increase</w:t>
      </w:r>
      <w:r w:rsidR="000146BA" w:rsidRPr="0088295C">
        <w:rPr>
          <w:snapToGrid w:val="0"/>
        </w:rPr>
        <w:t xml:space="preserve"> the effective net cost to government</w:t>
      </w:r>
      <w:r w:rsidR="0055053C" w:rsidRPr="0088295C">
        <w:rPr>
          <w:snapToGrid w:val="0"/>
        </w:rPr>
        <w:t>.</w:t>
      </w:r>
    </w:p>
    <w:p w14:paraId="220C4C5E" w14:textId="77777777" w:rsidR="005F5A32" w:rsidRPr="0088295C" w:rsidRDefault="005F5A32" w:rsidP="005F5A32">
      <w:pPr>
        <w:spacing w:before="240"/>
        <w:rPr>
          <w:rFonts w:asciiTheme="minorHAnsi" w:hAnsiTheme="minorHAnsi" w:cs="Arial"/>
          <w:b/>
          <w:bCs/>
          <w:snapToGrid w:val="0"/>
        </w:rPr>
      </w:pPr>
      <w:r w:rsidRPr="0088295C">
        <w:rPr>
          <w:rFonts w:asciiTheme="minorHAnsi" w:hAnsiTheme="minorHAnsi" w:cs="Arial"/>
          <w:b/>
          <w:bCs/>
          <w:snapToGrid w:val="0"/>
        </w:rPr>
        <w:t>Outcome:</w:t>
      </w:r>
    </w:p>
    <w:p w14:paraId="4CDA6B18" w14:textId="77777777" w:rsidR="00AF2FC8" w:rsidRDefault="005F5A32" w:rsidP="00594C3D">
      <w:pPr>
        <w:rPr>
          <w:rFonts w:asciiTheme="minorHAnsi" w:hAnsiTheme="minorHAnsi" w:cs="Arial"/>
          <w:bCs/>
          <w:snapToGrid w:val="0"/>
        </w:rPr>
      </w:pPr>
      <w:r w:rsidRPr="0088295C">
        <w:rPr>
          <w:rFonts w:asciiTheme="minorHAnsi" w:hAnsiTheme="minorHAnsi" w:cs="Arial"/>
          <w:bCs/>
          <w:snapToGrid w:val="0"/>
        </w:rPr>
        <w:t>Deferred</w:t>
      </w:r>
    </w:p>
    <w:p w14:paraId="724B535A" w14:textId="77777777" w:rsidR="007B39EA" w:rsidRDefault="007B39EA" w:rsidP="00594C3D">
      <w:pPr>
        <w:rPr>
          <w:rFonts w:asciiTheme="minorHAnsi" w:hAnsiTheme="minorHAnsi" w:cs="Arial"/>
          <w:bCs/>
          <w:snapToGrid w:val="0"/>
        </w:rPr>
      </w:pPr>
    </w:p>
    <w:p w14:paraId="4EC9A984" w14:textId="77777777" w:rsidR="007B39EA" w:rsidRDefault="007B39EA" w:rsidP="007B39EA">
      <w:pPr>
        <w:pStyle w:val="2-SectionHeading"/>
        <w:rPr>
          <w:bCs/>
          <w:lang w:val="en-GB"/>
        </w:rPr>
      </w:pPr>
      <w:r w:rsidRPr="00C07617">
        <w:t>Context for Decision</w:t>
      </w:r>
    </w:p>
    <w:p w14:paraId="297916AE" w14:textId="77777777" w:rsidR="007B39EA" w:rsidRPr="007129F2" w:rsidRDefault="007B39EA" w:rsidP="007B39EA">
      <w:pPr>
        <w:spacing w:after="120"/>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w:t>
      </w:r>
      <w:r w:rsidRPr="007129F2">
        <w:rPr>
          <w:rFonts w:asciiTheme="minorHAnsi" w:hAnsiTheme="minorHAnsi" w:cs="Arial"/>
          <w:bCs/>
          <w:lang w:val="en-GB"/>
        </w:rPr>
        <w:lastRenderedPageBreak/>
        <w:t>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567D001" w14:textId="77777777" w:rsidR="007B39EA" w:rsidRPr="00C07617" w:rsidRDefault="007B39EA" w:rsidP="007B39EA">
      <w:pPr>
        <w:pStyle w:val="2-SectionHeading"/>
      </w:pPr>
      <w:r>
        <w:t>Sponsor’s Comment</w:t>
      </w:r>
    </w:p>
    <w:p w14:paraId="1AA37215" w14:textId="6332891D" w:rsidR="009D6BDD" w:rsidRDefault="009D6BDD" w:rsidP="009D6BDD">
      <w:pPr>
        <w:rPr>
          <w:rFonts w:asciiTheme="minorHAnsi" w:hAnsiTheme="minorHAnsi" w:cs="Arial"/>
        </w:rPr>
      </w:pPr>
      <w:r w:rsidRPr="00D2658B">
        <w:rPr>
          <w:rFonts w:asciiTheme="minorHAnsi" w:hAnsiTheme="minorHAnsi" w:cs="Arial"/>
        </w:rPr>
        <w:t>AbbVie thanks the PBAC for its consideration of this item to reduce the duration of a treatment course for this sub-group of chronic hepatitis C patients.</w:t>
      </w:r>
    </w:p>
    <w:p w14:paraId="24C30503" w14:textId="7C737A16" w:rsidR="0031467F" w:rsidRDefault="0031467F">
      <w:pPr>
        <w:jc w:val="left"/>
        <w:rPr>
          <w:rFonts w:asciiTheme="minorHAnsi" w:hAnsiTheme="minorHAnsi" w:cs="Arial"/>
        </w:rPr>
      </w:pPr>
      <w:r>
        <w:rPr>
          <w:rFonts w:asciiTheme="minorHAnsi" w:hAnsiTheme="minorHAnsi" w:cs="Arial"/>
        </w:rPr>
        <w:br w:type="page"/>
      </w:r>
    </w:p>
    <w:p w14:paraId="35069D5B" w14:textId="77777777" w:rsidR="0031467F" w:rsidRPr="00115667" w:rsidRDefault="0031467F" w:rsidP="0031467F">
      <w:pPr>
        <w:pStyle w:val="3-BodyText"/>
        <w:numPr>
          <w:ilvl w:val="0"/>
          <w:numId w:val="0"/>
        </w:numPr>
        <w:rPr>
          <w:b/>
          <w:color w:val="FF0000"/>
          <w:sz w:val="28"/>
          <w:szCs w:val="28"/>
        </w:rPr>
      </w:pPr>
      <w:r w:rsidRPr="00115667">
        <w:rPr>
          <w:b/>
          <w:color w:val="FF0000"/>
          <w:sz w:val="28"/>
          <w:szCs w:val="28"/>
        </w:rPr>
        <w:t>Addendum to the November 2020 PBAC Minutes:</w:t>
      </w:r>
    </w:p>
    <w:p w14:paraId="59CF79FC" w14:textId="77777777" w:rsidR="0031467F" w:rsidRPr="00572C9E" w:rsidRDefault="0031467F" w:rsidP="0031467F">
      <w:pPr>
        <w:pStyle w:val="1MainTitle"/>
        <w:jc w:val="left"/>
      </w:pPr>
      <w:r>
        <w:rPr>
          <w:rFonts w:eastAsia="Calibri"/>
          <w:lang w:eastAsia="en-US"/>
        </w:rPr>
        <w:t>4.05</w:t>
      </w:r>
      <w:r w:rsidRPr="00572C9E">
        <w:rPr>
          <w:rFonts w:eastAsia="Calibri"/>
          <w:lang w:eastAsia="en-US"/>
        </w:rPr>
        <w:t xml:space="preserve"> </w:t>
      </w:r>
      <w:r w:rsidRPr="00572C9E">
        <w:rPr>
          <w:rFonts w:eastAsia="Times New Roman" w:cs="Arial"/>
          <w:spacing w:val="0"/>
          <w:kern w:val="0"/>
          <w:szCs w:val="24"/>
        </w:rPr>
        <w:t>GLECAPREVIR with PIBRENTASVIR</w:t>
      </w:r>
      <w:r w:rsidRPr="00572C9E">
        <w:t xml:space="preserve">, </w:t>
      </w:r>
      <w:r w:rsidRPr="00572C9E">
        <w:br/>
        <w:t xml:space="preserve">Tablet containing 100 mg </w:t>
      </w:r>
      <w:proofErr w:type="spellStart"/>
      <w:r w:rsidRPr="00572C9E">
        <w:t>glecaprevir</w:t>
      </w:r>
      <w:proofErr w:type="spellEnd"/>
      <w:r w:rsidRPr="00572C9E">
        <w:t xml:space="preserve"> </w:t>
      </w:r>
      <w:r w:rsidRPr="00572C9E">
        <w:br/>
        <w:t xml:space="preserve">with 40 mg </w:t>
      </w:r>
      <w:proofErr w:type="spellStart"/>
      <w:r w:rsidRPr="00572C9E">
        <w:t>pibrentasvir</w:t>
      </w:r>
      <w:proofErr w:type="spellEnd"/>
      <w:r w:rsidRPr="00572C9E">
        <w:t xml:space="preserve">, </w:t>
      </w:r>
      <w:r w:rsidRPr="00572C9E">
        <w:br/>
      </w:r>
      <w:proofErr w:type="spellStart"/>
      <w:r w:rsidRPr="00572C9E">
        <w:t>Maviret</w:t>
      </w:r>
      <w:proofErr w:type="spellEnd"/>
      <w:r w:rsidRPr="00572C9E">
        <w:t xml:space="preserve">®, </w:t>
      </w:r>
      <w:r w:rsidRPr="00572C9E">
        <w:br/>
        <w:t>AbbVie Pty Ltd.</w:t>
      </w:r>
    </w:p>
    <w:p w14:paraId="07878ECB" w14:textId="77777777" w:rsidR="0031467F" w:rsidRDefault="0031467F" w:rsidP="0031467F">
      <w:pPr>
        <w:pStyle w:val="2-SectionHeading"/>
        <w:numPr>
          <w:ilvl w:val="0"/>
          <w:numId w:val="1"/>
        </w:numPr>
      </w:pPr>
      <w:r>
        <w:t>Background and current situation</w:t>
      </w:r>
    </w:p>
    <w:p w14:paraId="767DB7D7" w14:textId="77777777" w:rsidR="0031467F" w:rsidRDefault="0031467F" w:rsidP="0031467F">
      <w:pPr>
        <w:pStyle w:val="3Bodytext"/>
        <w:jc w:val="both"/>
      </w:pPr>
      <w:r>
        <w:t xml:space="preserve">At its November 2020 meeting, the PBAC deferred making a recommendation on the request to amend the listing of </w:t>
      </w:r>
      <w:proofErr w:type="spellStart"/>
      <w:r>
        <w:t>glecaprevir</w:t>
      </w:r>
      <w:proofErr w:type="spellEnd"/>
      <w:r>
        <w:t xml:space="preserve"> with </w:t>
      </w:r>
      <w:proofErr w:type="spellStart"/>
      <w:r>
        <w:t>pibrentasvir</w:t>
      </w:r>
      <w:proofErr w:type="spellEnd"/>
      <w:r>
        <w:t xml:space="preserve"> (GLE/PIB) </w:t>
      </w:r>
      <w:r w:rsidRPr="00F57D92">
        <w:t xml:space="preserve">to shorten the </w:t>
      </w:r>
      <w:r>
        <w:t xml:space="preserve">duration of treatment course </w:t>
      </w:r>
      <w:r w:rsidRPr="00F57D92">
        <w:t>from 12 weeks to 8 weeks for patients with genotypes (GT) 1-6 chronic hepatitis C (CHC) who are treatment naïve (TN) with compensated cirrhosis (CC)</w:t>
      </w:r>
      <w:r>
        <w:t>. The deferral was due to uncertainty as to whether the 12-week regimen would be retained in the TGA registration for this population.</w:t>
      </w:r>
    </w:p>
    <w:p w14:paraId="5002B8DA" w14:textId="77777777" w:rsidR="0031467F" w:rsidRPr="00F57D92" w:rsidRDefault="0031467F" w:rsidP="0031467F">
      <w:pPr>
        <w:pStyle w:val="3Bodytext"/>
        <w:jc w:val="both"/>
      </w:pPr>
      <w:r>
        <w:t xml:space="preserve">At time of consideration, the PBAC noted </w:t>
      </w:r>
      <w:r w:rsidRPr="00F57D92">
        <w:t xml:space="preserve">the Advisory Committee for Medicines (ACM) </w:t>
      </w:r>
      <w:r>
        <w:t>supported registration of the 8-week</w:t>
      </w:r>
      <w:r w:rsidRPr="00F57D92">
        <w:t xml:space="preserve"> regimen</w:t>
      </w:r>
      <w:r>
        <w:t>,</w:t>
      </w:r>
      <w:r w:rsidRPr="00F57D92">
        <w:t xml:space="preserve"> however al</w:t>
      </w:r>
      <w:r>
        <w:t>so recommended retaining the 12-week</w:t>
      </w:r>
      <w:r w:rsidRPr="00F57D92">
        <w:t xml:space="preserve"> regimen as an option for the TN/CC population to allow for individual clinical decision-making. As there was residual uncertainty as to whether the 12-week regimen would remain as part of the TGA registration, the PBAC decided to defer making a recommendation until the final TGA outcome was known.</w:t>
      </w:r>
    </w:p>
    <w:p w14:paraId="137A65E1" w14:textId="77777777" w:rsidR="0031467F" w:rsidRDefault="0031467F" w:rsidP="0031467F">
      <w:pPr>
        <w:pStyle w:val="3Bodytext"/>
        <w:jc w:val="both"/>
      </w:pPr>
      <w:r>
        <w:t>Following the November 2020 meeting, the sponsor of GLE/PIB, AbbVie Pty Ltd, advised the TGA had finalised the registration and Product Information, which included retention of the 12-week treatment regimen for TN/CC patients as an option, ‘at the discretion of the prescriber’.</w:t>
      </w:r>
    </w:p>
    <w:p w14:paraId="59A324AE" w14:textId="77777777" w:rsidR="0031467F" w:rsidRPr="00572C9E" w:rsidRDefault="0031467F" w:rsidP="0031467F">
      <w:pPr>
        <w:pStyle w:val="2-SectionHeading"/>
        <w:numPr>
          <w:ilvl w:val="0"/>
          <w:numId w:val="1"/>
        </w:numPr>
      </w:pPr>
      <w:r>
        <w:t>PBAC Outcome</w:t>
      </w:r>
    </w:p>
    <w:p w14:paraId="62C30D09" w14:textId="77777777" w:rsidR="0031467F" w:rsidRDefault="0031467F" w:rsidP="0031467F">
      <w:pPr>
        <w:pStyle w:val="3Bodytext"/>
        <w:jc w:val="both"/>
        <w:rPr>
          <w:snapToGrid w:val="0"/>
        </w:rPr>
      </w:pPr>
      <w:r w:rsidRPr="0088295C">
        <w:rPr>
          <w:snapToGrid w:val="0"/>
        </w:rPr>
        <w:t xml:space="preserve">The PBAC </w:t>
      </w:r>
      <w:r>
        <w:rPr>
          <w:snapToGrid w:val="0"/>
        </w:rPr>
        <w:t xml:space="preserve">recommended amending the listing of </w:t>
      </w:r>
      <w:proofErr w:type="spellStart"/>
      <w:r>
        <w:rPr>
          <w:snapToGrid w:val="0"/>
        </w:rPr>
        <w:t>glecaprevir</w:t>
      </w:r>
      <w:proofErr w:type="spellEnd"/>
      <w:r>
        <w:rPr>
          <w:snapToGrid w:val="0"/>
        </w:rPr>
        <w:t xml:space="preserve"> with </w:t>
      </w:r>
      <w:proofErr w:type="spellStart"/>
      <w:r>
        <w:rPr>
          <w:snapToGrid w:val="0"/>
        </w:rPr>
        <w:t>pibrentasvir</w:t>
      </w:r>
      <w:proofErr w:type="spellEnd"/>
      <w:r>
        <w:rPr>
          <w:snapToGrid w:val="0"/>
        </w:rPr>
        <w:t xml:space="preserve"> (GLE/PIB) to include an</w:t>
      </w:r>
      <w:r w:rsidRPr="00F57D92">
        <w:rPr>
          <w:snapToGrid w:val="0"/>
        </w:rPr>
        <w:t xml:space="preserve"> 8-week treatment option for the treatment of chronic hepatitis C (CHC) infection in patients who are treatment-naïve wit</w:t>
      </w:r>
      <w:r>
        <w:rPr>
          <w:snapToGrid w:val="0"/>
        </w:rPr>
        <w:t>h compensated cirrhosis (TN/CC). The PBAC’s recommendation was based on, among other matters, its assessment that an 8-week regimen of GLE/PIB in TN/CC patients achieves similar therapeutic outcomes to the currently PBS-listed 12-week regimen.</w:t>
      </w:r>
    </w:p>
    <w:p w14:paraId="6FD80CB3" w14:textId="77777777" w:rsidR="0031467F" w:rsidRPr="00A84554" w:rsidRDefault="0031467F" w:rsidP="0031467F">
      <w:pPr>
        <w:pStyle w:val="3Bodytext"/>
        <w:jc w:val="both"/>
        <w:rPr>
          <w:snapToGrid w:val="0"/>
        </w:rPr>
      </w:pPr>
      <w:r>
        <w:t>In making this recommendation, the PBAC noted the TGA registration had now been finalised, which included retention of the 12-week regimen for the TN/CC population as an option for use at the discretion of the treating clinician. Consistent with its view expressed at its November 2020 meeting, the PBAC agreed</w:t>
      </w:r>
      <w:r w:rsidRPr="00A84554">
        <w:t xml:space="preserve"> that this regimen should be</w:t>
      </w:r>
      <w:r>
        <w:t xml:space="preserve"> retained as an option and</w:t>
      </w:r>
      <w:r w:rsidRPr="00A84554">
        <w:t xml:space="preserve"> included as a footnote to the General Statement for </w:t>
      </w:r>
      <w:r>
        <w:t xml:space="preserve">simplicity. </w:t>
      </w:r>
      <w:r w:rsidRPr="00A84554">
        <w:t>The PBAC</w:t>
      </w:r>
      <w:r>
        <w:t xml:space="preserve"> reaffirmed its view</w:t>
      </w:r>
      <w:r w:rsidRPr="00A84554">
        <w:t xml:space="preserve"> that there may be a small number of patients utilising the 12-week treatment regimen as physician and patient preference</w:t>
      </w:r>
      <w:r>
        <w:t xml:space="preserve"> would most likely be for the 8-week</w:t>
      </w:r>
      <w:r w:rsidRPr="00A84554">
        <w:t xml:space="preserve"> treatment regimen.</w:t>
      </w:r>
    </w:p>
    <w:p w14:paraId="4E6C2796" w14:textId="77777777" w:rsidR="0031467F" w:rsidRPr="00A84554" w:rsidRDefault="0031467F" w:rsidP="0031467F">
      <w:pPr>
        <w:pStyle w:val="3Bodytext"/>
        <w:jc w:val="both"/>
        <w:rPr>
          <w:snapToGrid w:val="0"/>
        </w:rPr>
      </w:pPr>
      <w:r>
        <w:t>The PBAC noted the change to listing could be achieved through an amendment to the General Statement and that changes to individual PBS item codes were not required.</w:t>
      </w:r>
    </w:p>
    <w:p w14:paraId="26378960" w14:textId="77777777" w:rsidR="0031467F" w:rsidRPr="00A84554" w:rsidRDefault="0031467F" w:rsidP="0031467F">
      <w:pPr>
        <w:pStyle w:val="3Bodytext"/>
        <w:jc w:val="both"/>
        <w:rPr>
          <w:snapToGrid w:val="0"/>
        </w:rPr>
      </w:pPr>
      <w:r>
        <w:t>The PBAC reaffirmed its view that based on the evidence presented, an 8-week regimen of GLE/PIB achieves similar efficacy and safety outcomes to a 12-week regimen in TN/CC patients.</w:t>
      </w:r>
    </w:p>
    <w:p w14:paraId="3B9DE039" w14:textId="77777777" w:rsidR="0031467F" w:rsidRDefault="0031467F" w:rsidP="0031467F">
      <w:pPr>
        <w:pStyle w:val="3Bodytext"/>
        <w:jc w:val="both"/>
      </w:pPr>
      <w:r>
        <w:t>The PBAC</w:t>
      </w:r>
      <w:r w:rsidRPr="00A84554">
        <w:t xml:space="preserve"> reaffirmed</w:t>
      </w:r>
      <w:r>
        <w:t xml:space="preserve"> its view</w:t>
      </w:r>
      <w:r w:rsidRPr="00A84554">
        <w:t xml:space="preserve"> that any change to treatment options within the General Statement that achieve the same health outcomes must be at no increase in the</w:t>
      </w:r>
      <w:r>
        <w:t xml:space="preserve"> average cost to the Government. Further, the PBAC also reaffirmed its advice that </w:t>
      </w:r>
      <w:r w:rsidRPr="004A3CD1">
        <w:t>the introduction of an 8-week regimen should not increase the effective net cost to government</w:t>
      </w:r>
      <w:r>
        <w:t xml:space="preserve"> and</w:t>
      </w:r>
      <w:r w:rsidRPr="004A3CD1">
        <w:t xml:space="preserve"> noted reduced treatment durations would result in a reduced number of co-payments for patients</w:t>
      </w:r>
      <w:r>
        <w:t xml:space="preserve"> who receive an 8-week course.</w:t>
      </w:r>
    </w:p>
    <w:p w14:paraId="32AFB4F6" w14:textId="77777777" w:rsidR="0031467F" w:rsidRPr="004A3CD1" w:rsidRDefault="0031467F" w:rsidP="0031467F">
      <w:pPr>
        <w:spacing w:before="240"/>
        <w:outlineLvl w:val="1"/>
        <w:rPr>
          <w:rFonts w:asciiTheme="minorHAnsi" w:hAnsiTheme="minorHAnsi" w:cs="Arial"/>
          <w:b/>
          <w:bCs/>
          <w:snapToGrid w:val="0"/>
        </w:rPr>
      </w:pPr>
      <w:r w:rsidRPr="0088295C">
        <w:rPr>
          <w:rFonts w:asciiTheme="minorHAnsi" w:hAnsiTheme="minorHAnsi" w:cs="Arial"/>
          <w:b/>
          <w:bCs/>
          <w:snapToGrid w:val="0"/>
        </w:rPr>
        <w:t>Outcome:</w:t>
      </w:r>
      <w:r>
        <w:rPr>
          <w:rFonts w:asciiTheme="minorHAnsi" w:hAnsiTheme="minorHAnsi" w:cs="Arial"/>
          <w:b/>
          <w:bCs/>
          <w:snapToGrid w:val="0"/>
        </w:rPr>
        <w:t xml:space="preserve"> </w:t>
      </w:r>
      <w:r>
        <w:rPr>
          <w:rFonts w:asciiTheme="minorHAnsi" w:hAnsiTheme="minorHAnsi" w:cs="Arial"/>
          <w:b/>
          <w:bCs/>
          <w:snapToGrid w:val="0"/>
        </w:rPr>
        <w:br/>
      </w:r>
      <w:r>
        <w:rPr>
          <w:rFonts w:asciiTheme="minorHAnsi" w:hAnsiTheme="minorHAnsi" w:cs="Arial"/>
          <w:bCs/>
          <w:snapToGrid w:val="0"/>
        </w:rPr>
        <w:t>Recommended</w:t>
      </w:r>
    </w:p>
    <w:p w14:paraId="19BE1B6F" w14:textId="77777777" w:rsidR="0031467F" w:rsidRPr="004A3CD1" w:rsidRDefault="0031467F" w:rsidP="0031467F">
      <w:pPr>
        <w:pStyle w:val="3Bodytext"/>
        <w:numPr>
          <w:ilvl w:val="0"/>
          <w:numId w:val="0"/>
        </w:numPr>
      </w:pPr>
    </w:p>
    <w:p w14:paraId="2D2F318A" w14:textId="77777777" w:rsidR="0031467F" w:rsidRPr="008833DA" w:rsidRDefault="0031467F" w:rsidP="0031467F">
      <w:pPr>
        <w:keepNext/>
        <w:widowControl w:val="0"/>
        <w:numPr>
          <w:ilvl w:val="0"/>
          <w:numId w:val="1"/>
        </w:numPr>
        <w:spacing w:before="240" w:after="120"/>
        <w:outlineLvl w:val="0"/>
        <w:rPr>
          <w:rFonts w:cs="Arial"/>
          <w:b/>
          <w:bCs/>
          <w:snapToGrid w:val="0"/>
          <w:sz w:val="32"/>
        </w:rPr>
      </w:pPr>
      <w:r w:rsidRPr="008833DA">
        <w:rPr>
          <w:rFonts w:cs="Arial"/>
          <w:b/>
          <w:bCs/>
          <w:snapToGrid w:val="0"/>
          <w:sz w:val="32"/>
        </w:rPr>
        <w:t>Recommended listing</w:t>
      </w:r>
    </w:p>
    <w:p w14:paraId="068C482A" w14:textId="77777777" w:rsidR="0031467F" w:rsidRPr="004A3CD1" w:rsidRDefault="0031467F" w:rsidP="0031467F">
      <w:pPr>
        <w:widowControl w:val="0"/>
        <w:numPr>
          <w:ilvl w:val="1"/>
          <w:numId w:val="1"/>
        </w:numPr>
        <w:spacing w:after="120"/>
        <w:rPr>
          <w:rFonts w:cs="Arial"/>
          <w:b/>
          <w:bCs/>
          <w:snapToGrid w:val="0"/>
        </w:rPr>
      </w:pPr>
      <w:r w:rsidRPr="008F1F69">
        <w:rPr>
          <w:rFonts w:cs="Arial"/>
          <w:bCs/>
          <w:snapToGrid w:val="0"/>
        </w:rPr>
        <w:t xml:space="preserve">Amend </w:t>
      </w:r>
      <w:r>
        <w:rPr>
          <w:rFonts w:cs="Arial"/>
          <w:bCs/>
          <w:snapToGrid w:val="0"/>
        </w:rPr>
        <w:t>the General Statement for Drugs for the Treatment of Hepatitis C as follows (wording mirrors approved Product Information):</w:t>
      </w:r>
    </w:p>
    <w:tbl>
      <w:tblPr>
        <w:tblStyle w:val="Summarybox1"/>
        <w:tblpPr w:leftFromText="180" w:rightFromText="180" w:vertAnchor="text" w:horzAnchor="margin" w:tblpX="108" w:tblpY="120"/>
        <w:tblW w:w="5000" w:type="pct"/>
        <w:tblLook w:val="04A0" w:firstRow="1" w:lastRow="0" w:firstColumn="1" w:lastColumn="0" w:noHBand="0" w:noVBand="1"/>
      </w:tblPr>
      <w:tblGrid>
        <w:gridCol w:w="1690"/>
        <w:gridCol w:w="3666"/>
        <w:gridCol w:w="3660"/>
      </w:tblGrid>
      <w:tr w:rsidR="0031467F" w:rsidRPr="00572C9E" w14:paraId="2E7D5E13" w14:textId="77777777" w:rsidTr="00091D85">
        <w:trPr>
          <w:trHeight w:val="332"/>
          <w:tblHeader/>
        </w:trPr>
        <w:tc>
          <w:tcPr>
            <w:tcW w:w="5000" w:type="pct"/>
            <w:gridSpan w:val="3"/>
            <w:tcBorders>
              <w:top w:val="single" w:sz="4" w:space="0" w:color="auto"/>
            </w:tcBorders>
            <w:shd w:val="clear" w:color="auto" w:fill="auto"/>
            <w:vAlign w:val="center"/>
          </w:tcPr>
          <w:p w14:paraId="4EB91C3E" w14:textId="77777777" w:rsidR="0031467F" w:rsidRPr="00572C9E" w:rsidRDefault="0031467F" w:rsidP="004024D9">
            <w:pPr>
              <w:keepNext/>
              <w:widowControl w:val="0"/>
              <w:spacing w:before="40" w:after="120"/>
              <w:jc w:val="center"/>
              <w:rPr>
                <w:rFonts w:ascii="Arial Narrow" w:eastAsia="Calibri" w:hAnsi="Arial Narrow" w:cs="Arial"/>
                <w:b/>
                <w:iCs/>
                <w:sz w:val="20"/>
                <w:szCs w:val="20"/>
                <w:u w:val="single"/>
                <w:lang w:eastAsia="en-US"/>
              </w:rPr>
            </w:pPr>
            <w:r w:rsidRPr="00572C9E">
              <w:rPr>
                <w:rFonts w:ascii="Arial Narrow" w:eastAsia="Calibri" w:hAnsi="Arial Narrow" w:cs="Arial"/>
                <w:b/>
                <w:bCs/>
                <w:iCs/>
                <w:sz w:val="20"/>
                <w:szCs w:val="20"/>
                <w:lang w:eastAsia="en-US"/>
              </w:rPr>
              <w:t xml:space="preserve">Hepatitis C – Cirrhotic </w:t>
            </w:r>
            <w:proofErr w:type="spellStart"/>
            <w:r w:rsidRPr="00572C9E">
              <w:rPr>
                <w:rFonts w:ascii="Arial Narrow" w:eastAsia="Calibri" w:hAnsi="Arial Narrow" w:cs="Arial"/>
                <w:b/>
                <w:bCs/>
                <w:iCs/>
                <w:sz w:val="20"/>
                <w:szCs w:val="20"/>
                <w:lang w:eastAsia="en-US"/>
              </w:rPr>
              <w:t>patients</w:t>
            </w:r>
            <w:r w:rsidRPr="00572C9E">
              <w:rPr>
                <w:rFonts w:ascii="Arial Narrow" w:eastAsia="Calibri" w:hAnsi="Arial Narrow" w:cs="Arial"/>
                <w:b/>
                <w:bCs/>
                <w:iCs/>
                <w:sz w:val="20"/>
                <w:szCs w:val="20"/>
                <w:vertAlign w:val="superscript"/>
                <w:lang w:eastAsia="en-US"/>
              </w:rPr>
              <w:t>a</w:t>
            </w:r>
            <w:proofErr w:type="spellEnd"/>
          </w:p>
        </w:tc>
      </w:tr>
      <w:tr w:rsidR="0031467F" w:rsidRPr="00572C9E" w14:paraId="2F124A3A" w14:textId="77777777" w:rsidTr="00091D85">
        <w:trPr>
          <w:trHeight w:val="332"/>
          <w:tblHeader/>
        </w:trPr>
        <w:tc>
          <w:tcPr>
            <w:tcW w:w="937" w:type="pct"/>
            <w:tcBorders>
              <w:top w:val="single" w:sz="4" w:space="0" w:color="auto"/>
            </w:tcBorders>
            <w:shd w:val="clear" w:color="auto" w:fill="auto"/>
            <w:vAlign w:val="center"/>
          </w:tcPr>
          <w:p w14:paraId="1A8ED9CB" w14:textId="77777777" w:rsidR="0031467F" w:rsidRPr="00572C9E" w:rsidRDefault="0031467F" w:rsidP="004024D9">
            <w:pPr>
              <w:keepNext/>
              <w:widowControl w:val="0"/>
              <w:spacing w:after="120"/>
              <w:jc w:val="center"/>
              <w:rPr>
                <w:rFonts w:ascii="Arial Narrow" w:hAnsi="Arial Narrow" w:cs="Arial"/>
                <w:iCs/>
                <w:color w:val="000000"/>
                <w:sz w:val="20"/>
                <w:szCs w:val="20"/>
                <w:lang w:eastAsia="en-US"/>
              </w:rPr>
            </w:pPr>
          </w:p>
        </w:tc>
        <w:tc>
          <w:tcPr>
            <w:tcW w:w="2033" w:type="pct"/>
            <w:tcBorders>
              <w:top w:val="single" w:sz="4" w:space="0" w:color="auto"/>
            </w:tcBorders>
            <w:shd w:val="clear" w:color="auto" w:fill="auto"/>
            <w:vAlign w:val="center"/>
          </w:tcPr>
          <w:p w14:paraId="754600E2" w14:textId="77777777" w:rsidR="0031467F" w:rsidRPr="00572C9E" w:rsidRDefault="0031467F" w:rsidP="004024D9">
            <w:pPr>
              <w:keepNext/>
              <w:widowControl w:val="0"/>
              <w:spacing w:before="40" w:after="120"/>
              <w:jc w:val="center"/>
              <w:rPr>
                <w:rFonts w:ascii="Arial Narrow" w:eastAsia="Calibri" w:hAnsi="Arial Narrow" w:cs="Arial"/>
                <w:b/>
                <w:iCs/>
                <w:sz w:val="20"/>
                <w:szCs w:val="20"/>
                <w:lang w:eastAsia="en-US"/>
              </w:rPr>
            </w:pPr>
            <w:r w:rsidRPr="00572C9E">
              <w:rPr>
                <w:rFonts w:ascii="Arial Narrow" w:eastAsia="Calibri" w:hAnsi="Arial Narrow" w:cs="Arial"/>
                <w:b/>
                <w:iCs/>
                <w:sz w:val="20"/>
                <w:szCs w:val="20"/>
                <w:lang w:eastAsia="en-US"/>
              </w:rPr>
              <w:t>Treatment naïve</w:t>
            </w:r>
          </w:p>
        </w:tc>
        <w:tc>
          <w:tcPr>
            <w:tcW w:w="2030" w:type="pct"/>
            <w:tcBorders>
              <w:top w:val="single" w:sz="4" w:space="0" w:color="auto"/>
            </w:tcBorders>
            <w:shd w:val="clear" w:color="auto" w:fill="auto"/>
            <w:vAlign w:val="center"/>
          </w:tcPr>
          <w:p w14:paraId="199CCA87" w14:textId="77777777" w:rsidR="0031467F" w:rsidRPr="00572C9E" w:rsidRDefault="0031467F" w:rsidP="004024D9">
            <w:pPr>
              <w:keepNext/>
              <w:widowControl w:val="0"/>
              <w:spacing w:before="40" w:after="120"/>
              <w:jc w:val="center"/>
              <w:rPr>
                <w:rFonts w:ascii="Arial Narrow" w:eastAsia="Calibri" w:hAnsi="Arial Narrow" w:cs="Arial"/>
                <w:b/>
                <w:iCs/>
                <w:sz w:val="20"/>
                <w:szCs w:val="20"/>
                <w:lang w:eastAsia="en-US"/>
              </w:rPr>
            </w:pPr>
            <w:r w:rsidRPr="00572C9E">
              <w:rPr>
                <w:rFonts w:ascii="Arial Narrow" w:eastAsia="Calibri" w:hAnsi="Arial Narrow" w:cs="Arial"/>
                <w:b/>
                <w:iCs/>
                <w:sz w:val="20"/>
                <w:szCs w:val="20"/>
                <w:lang w:eastAsia="en-US"/>
              </w:rPr>
              <w:t>Treatment experienced</w:t>
            </w:r>
          </w:p>
        </w:tc>
      </w:tr>
      <w:tr w:rsidR="0031467F" w:rsidRPr="00572C9E" w14:paraId="179F3877" w14:textId="77777777" w:rsidTr="004024D9">
        <w:trPr>
          <w:trHeight w:val="332"/>
        </w:trPr>
        <w:tc>
          <w:tcPr>
            <w:tcW w:w="937" w:type="pct"/>
            <w:shd w:val="clear" w:color="auto" w:fill="auto"/>
            <w:vAlign w:val="center"/>
          </w:tcPr>
          <w:p w14:paraId="6BB65AD9" w14:textId="77777777" w:rsidR="0031467F" w:rsidRPr="00572C9E" w:rsidRDefault="0031467F" w:rsidP="004024D9">
            <w:pPr>
              <w:keepNext/>
              <w:widowControl w:val="0"/>
              <w:jc w:val="center"/>
              <w:rPr>
                <w:rFonts w:ascii="Arial Narrow" w:hAnsi="Arial Narrow" w:cs="Arial"/>
                <w:b/>
                <w:iCs/>
                <w:color w:val="000000"/>
                <w:sz w:val="20"/>
                <w:szCs w:val="20"/>
                <w:lang w:eastAsia="en-US"/>
              </w:rPr>
            </w:pPr>
            <w:r w:rsidRPr="00572C9E">
              <w:rPr>
                <w:rFonts w:ascii="Arial Narrow" w:hAnsi="Arial Narrow" w:cs="Arial"/>
                <w:b/>
                <w:iCs/>
                <w:color w:val="000000"/>
                <w:sz w:val="20"/>
                <w:szCs w:val="20"/>
                <w:lang w:eastAsia="en-US"/>
              </w:rPr>
              <w:t>All genotypes (Pan-genotypic regimens)</w:t>
            </w:r>
          </w:p>
        </w:tc>
        <w:tc>
          <w:tcPr>
            <w:tcW w:w="2033" w:type="pct"/>
            <w:shd w:val="clear" w:color="auto" w:fill="auto"/>
            <w:vAlign w:val="center"/>
          </w:tcPr>
          <w:p w14:paraId="4DC8377C" w14:textId="77777777" w:rsidR="0031467F" w:rsidRPr="00572C9E" w:rsidRDefault="0031467F" w:rsidP="004024D9">
            <w:pPr>
              <w:keepNext/>
              <w:widowControl w:val="0"/>
              <w:spacing w:before="40"/>
              <w:jc w:val="center"/>
              <w:rPr>
                <w:rFonts w:ascii="Arial Narrow" w:eastAsia="Calibri" w:hAnsi="Arial Narrow" w:cs="Arial"/>
                <w:bCs/>
                <w:iCs/>
                <w:sz w:val="20"/>
                <w:szCs w:val="20"/>
                <w:lang w:eastAsia="en-US"/>
              </w:rPr>
            </w:pPr>
            <w:r w:rsidRPr="00572C9E">
              <w:rPr>
                <w:rFonts w:ascii="Arial Narrow" w:eastAsia="Calibri" w:hAnsi="Arial Narrow" w:cs="Arial"/>
                <w:bCs/>
                <w:iCs/>
                <w:sz w:val="20"/>
                <w:szCs w:val="20"/>
                <w:lang w:eastAsia="en-US"/>
              </w:rPr>
              <w:t>GLECAPREVIR + PIBRENTASVIR</w:t>
            </w:r>
          </w:p>
          <w:p w14:paraId="1505653E" w14:textId="77777777" w:rsidR="0031467F" w:rsidRPr="004A3CD1" w:rsidRDefault="0031467F" w:rsidP="004024D9">
            <w:pPr>
              <w:keepNext/>
              <w:widowControl w:val="0"/>
              <w:spacing w:before="40"/>
              <w:jc w:val="center"/>
              <w:rPr>
                <w:rFonts w:ascii="Arial Narrow" w:eastAsia="Calibri" w:hAnsi="Arial Narrow" w:cs="Arial"/>
                <w:bCs/>
                <w:iCs/>
                <w:sz w:val="20"/>
                <w:szCs w:val="20"/>
                <w:vertAlign w:val="superscript"/>
                <w:lang w:eastAsia="en-US"/>
              </w:rPr>
            </w:pPr>
            <w:r w:rsidRPr="00572C9E">
              <w:rPr>
                <w:rFonts w:ascii="Arial Narrow" w:eastAsia="Calibri" w:hAnsi="Arial Narrow" w:cs="Arial"/>
                <w:bCs/>
                <w:iCs/>
                <w:sz w:val="20"/>
                <w:szCs w:val="20"/>
                <w:lang w:eastAsia="en-US"/>
              </w:rPr>
              <w:t>[</w:t>
            </w:r>
            <w:r w:rsidRPr="00572C9E">
              <w:rPr>
                <w:rFonts w:ascii="Arial Narrow" w:eastAsia="Calibri" w:hAnsi="Arial Narrow" w:cs="Arial"/>
                <w:bCs/>
                <w:iCs/>
                <w:strike/>
                <w:sz w:val="20"/>
                <w:szCs w:val="20"/>
                <w:lang w:eastAsia="en-US"/>
              </w:rPr>
              <w:t>12 weeks</w:t>
            </w:r>
            <w:r w:rsidRPr="00572C9E">
              <w:rPr>
                <w:rFonts w:ascii="Arial Narrow" w:eastAsia="Calibri" w:hAnsi="Arial Narrow" w:cs="Arial"/>
                <w:bCs/>
                <w:iCs/>
                <w:sz w:val="20"/>
                <w:szCs w:val="20"/>
                <w:lang w:eastAsia="en-US"/>
              </w:rPr>
              <w:t xml:space="preserve"> 8 weeks]</w:t>
            </w:r>
            <w:r>
              <w:rPr>
                <w:rFonts w:ascii="Arial Narrow" w:eastAsia="Calibri" w:hAnsi="Arial Narrow" w:cs="Arial"/>
                <w:bCs/>
                <w:iCs/>
                <w:sz w:val="20"/>
                <w:szCs w:val="20"/>
                <w:vertAlign w:val="superscript"/>
                <w:lang w:eastAsia="en-US"/>
              </w:rPr>
              <w:t>8</w:t>
            </w:r>
          </w:p>
        </w:tc>
        <w:tc>
          <w:tcPr>
            <w:tcW w:w="2030" w:type="pct"/>
            <w:shd w:val="clear" w:color="auto" w:fill="auto"/>
            <w:vAlign w:val="center"/>
          </w:tcPr>
          <w:p w14:paraId="0B09C329" w14:textId="77777777" w:rsidR="0031467F" w:rsidRPr="00572C9E" w:rsidRDefault="0031467F" w:rsidP="004024D9">
            <w:pPr>
              <w:keepNext/>
              <w:widowControl w:val="0"/>
              <w:spacing w:before="40"/>
              <w:jc w:val="center"/>
              <w:rPr>
                <w:rFonts w:ascii="Arial Narrow" w:eastAsia="Calibri" w:hAnsi="Arial Narrow" w:cs="Arial"/>
                <w:bCs/>
                <w:iCs/>
                <w:sz w:val="20"/>
                <w:szCs w:val="20"/>
                <w:lang w:eastAsia="en-US"/>
              </w:rPr>
            </w:pPr>
            <w:r w:rsidRPr="00572C9E">
              <w:rPr>
                <w:rFonts w:ascii="Arial Narrow" w:eastAsia="Calibri" w:hAnsi="Arial Narrow" w:cs="Arial"/>
                <w:bCs/>
                <w:iCs/>
                <w:sz w:val="20"/>
                <w:szCs w:val="20"/>
                <w:lang w:eastAsia="en-US"/>
              </w:rPr>
              <w:t>GLECAPREVIR + PIBRENTASVIR</w:t>
            </w:r>
          </w:p>
          <w:p w14:paraId="1090A1E3" w14:textId="77777777" w:rsidR="0031467F" w:rsidRPr="00572C9E" w:rsidRDefault="0031467F" w:rsidP="004024D9">
            <w:pPr>
              <w:keepNext/>
              <w:widowControl w:val="0"/>
              <w:spacing w:before="40"/>
              <w:jc w:val="center"/>
              <w:rPr>
                <w:rFonts w:ascii="Arial Narrow" w:eastAsia="Calibri" w:hAnsi="Arial Narrow" w:cs="Arial"/>
                <w:bCs/>
                <w:iCs/>
                <w:sz w:val="20"/>
                <w:szCs w:val="20"/>
                <w:lang w:eastAsia="en-US"/>
              </w:rPr>
            </w:pPr>
            <w:r w:rsidRPr="00572C9E">
              <w:rPr>
                <w:rFonts w:ascii="Arial Narrow" w:eastAsia="Calibri" w:hAnsi="Arial Narrow" w:cs="Arial"/>
                <w:bCs/>
                <w:iCs/>
                <w:sz w:val="20"/>
                <w:szCs w:val="20"/>
                <w:lang w:eastAsia="en-US"/>
              </w:rPr>
              <w:t>[12 or 16 weeks]</w:t>
            </w:r>
          </w:p>
        </w:tc>
      </w:tr>
    </w:tbl>
    <w:p w14:paraId="5245ED25" w14:textId="77777777" w:rsidR="0031467F" w:rsidRPr="004A3CD1" w:rsidRDefault="0031467F" w:rsidP="0031467F">
      <w:pPr>
        <w:widowControl w:val="0"/>
        <w:spacing w:before="120" w:after="120"/>
        <w:ind w:left="284"/>
        <w:rPr>
          <w:rFonts w:cs="Arial"/>
          <w:bCs/>
          <w:snapToGrid w:val="0"/>
          <w:sz w:val="20"/>
          <w:szCs w:val="20"/>
        </w:rPr>
      </w:pPr>
      <w:r>
        <w:rPr>
          <w:rFonts w:cs="Arial"/>
          <w:bCs/>
          <w:snapToGrid w:val="0"/>
          <w:sz w:val="20"/>
          <w:szCs w:val="20"/>
          <w:vertAlign w:val="superscript"/>
        </w:rPr>
        <w:t>8</w:t>
      </w:r>
      <w:r>
        <w:rPr>
          <w:rFonts w:cs="Arial"/>
          <w:bCs/>
          <w:snapToGrid w:val="0"/>
          <w:sz w:val="20"/>
          <w:szCs w:val="20"/>
        </w:rPr>
        <w:t xml:space="preserve"> GLECAPREVIR + PIBRENTASVIR – A treatment duration of 12 weeks may be considered for patients with compensated cirrhosis, at the discretion of the prescriber.</w:t>
      </w:r>
    </w:p>
    <w:p w14:paraId="5FA77BF5" w14:textId="77777777" w:rsidR="0031467F" w:rsidRDefault="0031467F" w:rsidP="0031467F">
      <w:pPr>
        <w:widowControl w:val="0"/>
        <w:spacing w:after="120"/>
        <w:rPr>
          <w:rFonts w:cs="Arial"/>
          <w:bCs/>
          <w:snapToGrid w:val="0"/>
        </w:rPr>
      </w:pPr>
    </w:p>
    <w:p w14:paraId="374B45D7" w14:textId="77777777" w:rsidR="0031467F" w:rsidRPr="00300BEC" w:rsidRDefault="0031467F" w:rsidP="0031467F">
      <w:pPr>
        <w:pStyle w:val="Bodytextitalics"/>
        <w:jc w:val="left"/>
        <w:rPr>
          <w:b/>
          <w:color w:val="1F497D"/>
          <w:sz w:val="22"/>
        </w:rPr>
      </w:pPr>
      <w:r w:rsidRPr="00300BEC">
        <w:rPr>
          <w:b/>
        </w:rPr>
        <w:t>This restriction may be subject to further review. Should there be any changes made to the restriction the Sponsor will be informed.</w:t>
      </w:r>
    </w:p>
    <w:p w14:paraId="5DC308CB" w14:textId="77777777" w:rsidR="0031467F" w:rsidRPr="00D32DD5" w:rsidRDefault="0031467F" w:rsidP="0031467F">
      <w:pPr>
        <w:widowControl w:val="0"/>
        <w:spacing w:after="120"/>
        <w:rPr>
          <w:rFonts w:cs="Arial"/>
          <w:b/>
          <w:bCs/>
          <w:snapToGrid w:val="0"/>
        </w:rPr>
      </w:pPr>
    </w:p>
    <w:p w14:paraId="1E353CB9" w14:textId="77777777" w:rsidR="0031467F" w:rsidRDefault="0031467F" w:rsidP="0031467F">
      <w:pPr>
        <w:rPr>
          <w:rFonts w:asciiTheme="minorHAnsi" w:hAnsiTheme="minorHAnsi" w:cs="Arial"/>
          <w:bCs/>
          <w:snapToGrid w:val="0"/>
        </w:rPr>
      </w:pPr>
    </w:p>
    <w:p w14:paraId="7B674B09" w14:textId="77777777" w:rsidR="0031467F" w:rsidRDefault="0031467F" w:rsidP="0031467F">
      <w:pPr>
        <w:pStyle w:val="2-SectionHeading"/>
        <w:numPr>
          <w:ilvl w:val="0"/>
          <w:numId w:val="1"/>
        </w:numPr>
        <w:rPr>
          <w:bCs/>
          <w:lang w:val="en-GB"/>
        </w:rPr>
      </w:pPr>
      <w:r w:rsidRPr="00C07617">
        <w:t>Context for Decision</w:t>
      </w:r>
    </w:p>
    <w:p w14:paraId="44B6A390" w14:textId="77777777" w:rsidR="0031467F" w:rsidRPr="007129F2" w:rsidRDefault="0031467F" w:rsidP="0031467F">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DAD9891" w14:textId="77777777" w:rsidR="0031467F" w:rsidRPr="004A5E5C" w:rsidRDefault="0031467F" w:rsidP="0031467F">
      <w:pPr>
        <w:pStyle w:val="2-SectionHeading"/>
        <w:numPr>
          <w:ilvl w:val="0"/>
          <w:numId w:val="1"/>
        </w:numPr>
      </w:pPr>
      <w:r w:rsidRPr="00BE15AE">
        <w:t>Sponsor’s Comment</w:t>
      </w:r>
    </w:p>
    <w:p w14:paraId="751F8790" w14:textId="597464C7" w:rsidR="0031467F" w:rsidRPr="00D2658B" w:rsidRDefault="0031467F" w:rsidP="00091D85">
      <w:pPr>
        <w:jc w:val="left"/>
        <w:rPr>
          <w:rFonts w:asciiTheme="minorHAnsi" w:hAnsiTheme="minorHAnsi" w:cs="Arial"/>
          <w:bCs/>
          <w:snapToGrid w:val="0"/>
        </w:rPr>
      </w:pPr>
      <w:r w:rsidRPr="00BE15AE">
        <w:rPr>
          <w:rFonts w:asciiTheme="minorHAnsi" w:hAnsiTheme="minorHAnsi" w:cs="Arial"/>
          <w:bCs/>
          <w:snapToGrid w:val="0"/>
        </w:rPr>
        <w:t>AbbVie welcomes the decision of the PBAC and is working with the Department of Health on the earliest possible listing.</w:t>
      </w:r>
      <w:bookmarkStart w:id="3" w:name="_GoBack"/>
      <w:bookmarkEnd w:id="3"/>
    </w:p>
    <w:p w14:paraId="0B5C608E" w14:textId="77777777" w:rsidR="007B39EA" w:rsidRPr="0088295C" w:rsidRDefault="007B39EA" w:rsidP="00594C3D">
      <w:pPr>
        <w:rPr>
          <w:rFonts w:asciiTheme="minorHAnsi" w:hAnsiTheme="minorHAnsi" w:cs="Arial"/>
          <w:bCs/>
          <w:snapToGrid w:val="0"/>
        </w:rPr>
      </w:pPr>
    </w:p>
    <w:sectPr w:rsidR="007B39EA" w:rsidRPr="0088295C"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2CA7A" w14:textId="77777777" w:rsidR="000D7B83" w:rsidRDefault="000D7B83">
      <w:r>
        <w:separator/>
      </w:r>
    </w:p>
    <w:p w14:paraId="338E7A1F" w14:textId="77777777" w:rsidR="000D7B83" w:rsidRDefault="000D7B83"/>
  </w:endnote>
  <w:endnote w:type="continuationSeparator" w:id="0">
    <w:p w14:paraId="370828B8" w14:textId="77777777" w:rsidR="000D7B83" w:rsidRDefault="000D7B83">
      <w:r>
        <w:continuationSeparator/>
      </w:r>
    </w:p>
    <w:p w14:paraId="4F0EDD4E" w14:textId="77777777" w:rsidR="000D7B83" w:rsidRDefault="000D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AF6F54" w14:paraId="64767AAD" w14:textId="77777777" w:rsidTr="005A3173">
      <w:trPr>
        <w:trHeight w:val="151"/>
      </w:trPr>
      <w:tc>
        <w:tcPr>
          <w:tcW w:w="2250" w:type="pct"/>
          <w:tcBorders>
            <w:top w:val="nil"/>
            <w:left w:val="nil"/>
            <w:bottom w:val="single" w:sz="4" w:space="0" w:color="4F81BD"/>
            <w:right w:val="nil"/>
          </w:tcBorders>
        </w:tcPr>
        <w:p w14:paraId="2611F1CF" w14:textId="77777777" w:rsidR="00AF6F54" w:rsidRPr="005A3173" w:rsidRDefault="00AF6F54" w:rsidP="005A3173">
          <w:pPr>
            <w:pStyle w:val="Header"/>
            <w:spacing w:line="276" w:lineRule="auto"/>
            <w:rPr>
              <w:rFonts w:eastAsia="MS Gothic"/>
              <w:b/>
              <w:bCs/>
              <w:color w:val="4F81BD"/>
            </w:rPr>
          </w:pPr>
        </w:p>
      </w:tc>
      <w:tc>
        <w:tcPr>
          <w:tcW w:w="500" w:type="pct"/>
          <w:vMerge w:val="restart"/>
          <w:noWrap/>
          <w:vAlign w:val="center"/>
          <w:hideMark/>
        </w:tcPr>
        <w:p w14:paraId="19764DEB" w14:textId="77777777" w:rsidR="00AF6F54" w:rsidRPr="005A3173" w:rsidRDefault="00AF6F5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A98014B" w14:textId="77777777" w:rsidR="00AF6F54" w:rsidRPr="005A3173" w:rsidRDefault="00AF6F54" w:rsidP="005A3173">
          <w:pPr>
            <w:pStyle w:val="Header"/>
            <w:spacing w:line="276" w:lineRule="auto"/>
            <w:rPr>
              <w:rFonts w:eastAsia="MS Gothic"/>
              <w:b/>
              <w:bCs/>
              <w:color w:val="4F81BD"/>
            </w:rPr>
          </w:pPr>
        </w:p>
      </w:tc>
    </w:tr>
    <w:tr w:rsidR="00AF6F54" w14:paraId="32C7F722" w14:textId="77777777" w:rsidTr="005A3173">
      <w:trPr>
        <w:trHeight w:val="150"/>
      </w:trPr>
      <w:tc>
        <w:tcPr>
          <w:tcW w:w="2250" w:type="pct"/>
          <w:tcBorders>
            <w:top w:val="single" w:sz="4" w:space="0" w:color="4F81BD"/>
            <w:left w:val="nil"/>
            <w:bottom w:val="nil"/>
            <w:right w:val="nil"/>
          </w:tcBorders>
        </w:tcPr>
        <w:p w14:paraId="304D3649" w14:textId="77777777" w:rsidR="00AF6F54" w:rsidRPr="005A3173" w:rsidRDefault="00AF6F54" w:rsidP="005A3173">
          <w:pPr>
            <w:pStyle w:val="Header"/>
            <w:spacing w:line="276" w:lineRule="auto"/>
            <w:rPr>
              <w:rFonts w:eastAsia="MS Gothic"/>
              <w:b/>
              <w:bCs/>
              <w:color w:val="4F81BD"/>
            </w:rPr>
          </w:pPr>
        </w:p>
      </w:tc>
      <w:tc>
        <w:tcPr>
          <w:tcW w:w="0" w:type="auto"/>
          <w:vMerge/>
          <w:vAlign w:val="center"/>
          <w:hideMark/>
        </w:tcPr>
        <w:p w14:paraId="1D285687" w14:textId="77777777" w:rsidR="00AF6F54" w:rsidRPr="005A3173" w:rsidRDefault="00AF6F54" w:rsidP="005A3173">
          <w:pPr>
            <w:rPr>
              <w:color w:val="365F91"/>
              <w:sz w:val="22"/>
              <w:szCs w:val="22"/>
            </w:rPr>
          </w:pPr>
        </w:p>
      </w:tc>
      <w:tc>
        <w:tcPr>
          <w:tcW w:w="2250" w:type="pct"/>
          <w:tcBorders>
            <w:top w:val="single" w:sz="4" w:space="0" w:color="4F81BD"/>
            <w:left w:val="nil"/>
            <w:bottom w:val="nil"/>
            <w:right w:val="nil"/>
          </w:tcBorders>
        </w:tcPr>
        <w:p w14:paraId="2F8C41E0" w14:textId="77777777" w:rsidR="00AF6F54" w:rsidRPr="005A3173" w:rsidRDefault="00AF6F54" w:rsidP="005A3173">
          <w:pPr>
            <w:pStyle w:val="Header"/>
            <w:spacing w:line="276" w:lineRule="auto"/>
            <w:rPr>
              <w:rFonts w:eastAsia="MS Gothic"/>
              <w:b/>
              <w:bCs/>
              <w:color w:val="4F81BD"/>
            </w:rPr>
          </w:pPr>
        </w:p>
      </w:tc>
    </w:tr>
  </w:tbl>
  <w:p w14:paraId="3C609524" w14:textId="77777777" w:rsidR="00AF6F54" w:rsidRDefault="00AF6F5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464BFC" w14:textId="77777777" w:rsidR="00AF6F54" w:rsidRDefault="00AF6F54">
    <w:pPr>
      <w:pStyle w:val="Footer"/>
    </w:pPr>
  </w:p>
  <w:p w14:paraId="03DDEE73" w14:textId="77777777" w:rsidR="00AF6F54" w:rsidRDefault="00AF6F5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25D41" w14:textId="77777777" w:rsidR="00144063" w:rsidRDefault="00144063" w:rsidP="00144063">
    <w:pPr>
      <w:pStyle w:val="Footer"/>
      <w:jc w:val="center"/>
      <w:rPr>
        <w:caps/>
        <w:color w:val="4F81BD" w:themeColor="accent1"/>
      </w:rPr>
    </w:pPr>
  </w:p>
  <w:p w14:paraId="2220628D" w14:textId="479D48B5" w:rsidR="00AF6F54" w:rsidRPr="00144063" w:rsidRDefault="00AF6F54" w:rsidP="00144063">
    <w:pPr>
      <w:pStyle w:val="Footer"/>
      <w:jc w:val="center"/>
      <w:rPr>
        <w:b/>
        <w:caps/>
        <w:noProof/>
        <w:color w:val="4F81BD" w:themeColor="accent1"/>
      </w:rPr>
    </w:pPr>
    <w:r w:rsidRPr="00DC5390">
      <w:rPr>
        <w:b/>
        <w:caps/>
      </w:rPr>
      <w:fldChar w:fldCharType="begin"/>
    </w:r>
    <w:r w:rsidRPr="00DC5390">
      <w:rPr>
        <w:b/>
        <w:caps/>
      </w:rPr>
      <w:instrText xml:space="preserve"> PAGE   \* MERGEFORMAT </w:instrText>
    </w:r>
    <w:r w:rsidRPr="00DC5390">
      <w:rPr>
        <w:b/>
        <w:caps/>
      </w:rPr>
      <w:fldChar w:fldCharType="separate"/>
    </w:r>
    <w:r w:rsidR="00091D85">
      <w:rPr>
        <w:b/>
        <w:caps/>
        <w:noProof/>
      </w:rPr>
      <w:t>12</w:t>
    </w:r>
    <w:r w:rsidRPr="00DC5390">
      <w:rPr>
        <w:b/>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AF6F54" w14:paraId="2812CCC5" w14:textId="77777777" w:rsidTr="005A3173">
      <w:trPr>
        <w:trHeight w:val="151"/>
      </w:trPr>
      <w:tc>
        <w:tcPr>
          <w:tcW w:w="2250" w:type="pct"/>
          <w:tcBorders>
            <w:top w:val="nil"/>
            <w:left w:val="nil"/>
            <w:bottom w:val="single" w:sz="4" w:space="0" w:color="4F81BD"/>
            <w:right w:val="nil"/>
          </w:tcBorders>
        </w:tcPr>
        <w:p w14:paraId="65A947BB" w14:textId="77777777" w:rsidR="00AF6F54" w:rsidRPr="005A3173" w:rsidRDefault="00AF6F54" w:rsidP="005A3173">
          <w:pPr>
            <w:pStyle w:val="Header"/>
            <w:spacing w:line="276" w:lineRule="auto"/>
            <w:rPr>
              <w:rFonts w:eastAsia="MS Gothic"/>
              <w:b/>
              <w:bCs/>
              <w:color w:val="4F81BD"/>
            </w:rPr>
          </w:pPr>
        </w:p>
      </w:tc>
      <w:tc>
        <w:tcPr>
          <w:tcW w:w="500" w:type="pct"/>
          <w:vMerge w:val="restart"/>
          <w:noWrap/>
          <w:vAlign w:val="center"/>
          <w:hideMark/>
        </w:tcPr>
        <w:p w14:paraId="2A31C1C7" w14:textId="77777777" w:rsidR="00AF6F54" w:rsidRPr="005A3173" w:rsidRDefault="00AF6F5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E3B7E6" w14:textId="77777777" w:rsidR="00AF6F54" w:rsidRPr="005A3173" w:rsidRDefault="00AF6F54" w:rsidP="005A3173">
          <w:pPr>
            <w:pStyle w:val="Header"/>
            <w:spacing w:line="276" w:lineRule="auto"/>
            <w:rPr>
              <w:rFonts w:eastAsia="MS Gothic"/>
              <w:b/>
              <w:bCs/>
              <w:color w:val="4F81BD"/>
            </w:rPr>
          </w:pPr>
        </w:p>
      </w:tc>
    </w:tr>
    <w:tr w:rsidR="00AF6F54" w14:paraId="4033C4BE" w14:textId="77777777" w:rsidTr="005A3173">
      <w:trPr>
        <w:trHeight w:val="150"/>
      </w:trPr>
      <w:tc>
        <w:tcPr>
          <w:tcW w:w="2250" w:type="pct"/>
          <w:tcBorders>
            <w:top w:val="single" w:sz="4" w:space="0" w:color="4F81BD"/>
            <w:left w:val="nil"/>
            <w:bottom w:val="nil"/>
            <w:right w:val="nil"/>
          </w:tcBorders>
        </w:tcPr>
        <w:p w14:paraId="74466FB7" w14:textId="77777777" w:rsidR="00AF6F54" w:rsidRPr="005A3173" w:rsidRDefault="00AF6F54" w:rsidP="005A3173">
          <w:pPr>
            <w:pStyle w:val="Header"/>
            <w:spacing w:line="276" w:lineRule="auto"/>
            <w:rPr>
              <w:rFonts w:eastAsia="MS Gothic"/>
              <w:b/>
              <w:bCs/>
              <w:color w:val="4F81BD"/>
            </w:rPr>
          </w:pPr>
        </w:p>
      </w:tc>
      <w:tc>
        <w:tcPr>
          <w:tcW w:w="0" w:type="auto"/>
          <w:vMerge/>
          <w:vAlign w:val="center"/>
          <w:hideMark/>
        </w:tcPr>
        <w:p w14:paraId="4D38AAA1" w14:textId="77777777" w:rsidR="00AF6F54" w:rsidRPr="005A3173" w:rsidRDefault="00AF6F54" w:rsidP="005A3173">
          <w:pPr>
            <w:rPr>
              <w:color w:val="365F91"/>
              <w:sz w:val="22"/>
              <w:szCs w:val="22"/>
            </w:rPr>
          </w:pPr>
        </w:p>
      </w:tc>
      <w:tc>
        <w:tcPr>
          <w:tcW w:w="2250" w:type="pct"/>
          <w:tcBorders>
            <w:top w:val="single" w:sz="4" w:space="0" w:color="4F81BD"/>
            <w:left w:val="nil"/>
            <w:bottom w:val="nil"/>
            <w:right w:val="nil"/>
          </w:tcBorders>
        </w:tcPr>
        <w:p w14:paraId="11F6B2BD" w14:textId="77777777" w:rsidR="00AF6F54" w:rsidRPr="005A3173" w:rsidRDefault="00AF6F54"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AF6F54" w14:paraId="530C8AD2" w14:textId="77777777" w:rsidTr="005A3173">
      <w:trPr>
        <w:trHeight w:val="151"/>
      </w:trPr>
      <w:tc>
        <w:tcPr>
          <w:tcW w:w="2250" w:type="pct"/>
          <w:tcBorders>
            <w:top w:val="nil"/>
            <w:left w:val="nil"/>
            <w:bottom w:val="single" w:sz="4" w:space="0" w:color="4F81BD"/>
            <w:right w:val="nil"/>
          </w:tcBorders>
        </w:tcPr>
        <w:p w14:paraId="1D0F7CD3" w14:textId="77777777" w:rsidR="00AF6F54" w:rsidRPr="005A3173" w:rsidRDefault="00AF6F54" w:rsidP="005A3173">
          <w:pPr>
            <w:pStyle w:val="Header"/>
            <w:spacing w:line="276" w:lineRule="auto"/>
            <w:rPr>
              <w:rFonts w:eastAsia="MS Gothic"/>
              <w:b/>
              <w:bCs/>
              <w:color w:val="4F81BD"/>
            </w:rPr>
          </w:pPr>
        </w:p>
      </w:tc>
      <w:tc>
        <w:tcPr>
          <w:tcW w:w="500" w:type="pct"/>
          <w:vMerge w:val="restart"/>
          <w:noWrap/>
          <w:vAlign w:val="center"/>
          <w:hideMark/>
        </w:tcPr>
        <w:p w14:paraId="76346F49" w14:textId="77777777" w:rsidR="00AF6F54" w:rsidRPr="005A3173" w:rsidRDefault="00AF6F5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49E2C0B" w14:textId="77777777" w:rsidR="00AF6F54" w:rsidRPr="005A3173" w:rsidRDefault="00AF6F54" w:rsidP="005A3173">
          <w:pPr>
            <w:pStyle w:val="Header"/>
            <w:spacing w:line="276" w:lineRule="auto"/>
            <w:rPr>
              <w:rFonts w:eastAsia="MS Gothic"/>
              <w:b/>
              <w:bCs/>
              <w:color w:val="4F81BD"/>
            </w:rPr>
          </w:pPr>
        </w:p>
      </w:tc>
    </w:tr>
    <w:tr w:rsidR="00AF6F54" w14:paraId="16C0C436" w14:textId="77777777" w:rsidTr="005A3173">
      <w:trPr>
        <w:trHeight w:val="150"/>
      </w:trPr>
      <w:tc>
        <w:tcPr>
          <w:tcW w:w="2250" w:type="pct"/>
          <w:tcBorders>
            <w:top w:val="single" w:sz="4" w:space="0" w:color="4F81BD"/>
            <w:left w:val="nil"/>
            <w:bottom w:val="nil"/>
            <w:right w:val="nil"/>
          </w:tcBorders>
        </w:tcPr>
        <w:p w14:paraId="2336788D" w14:textId="77777777" w:rsidR="00AF6F54" w:rsidRPr="005A3173" w:rsidRDefault="00AF6F54" w:rsidP="005A3173">
          <w:pPr>
            <w:pStyle w:val="Header"/>
            <w:spacing w:line="276" w:lineRule="auto"/>
            <w:rPr>
              <w:rFonts w:eastAsia="MS Gothic"/>
              <w:b/>
              <w:bCs/>
              <w:color w:val="4F81BD"/>
            </w:rPr>
          </w:pPr>
        </w:p>
      </w:tc>
      <w:tc>
        <w:tcPr>
          <w:tcW w:w="0" w:type="auto"/>
          <w:vMerge/>
          <w:vAlign w:val="center"/>
          <w:hideMark/>
        </w:tcPr>
        <w:p w14:paraId="7BBB8007" w14:textId="77777777" w:rsidR="00AF6F54" w:rsidRPr="005A3173" w:rsidRDefault="00AF6F54" w:rsidP="005A3173">
          <w:pPr>
            <w:rPr>
              <w:color w:val="365F91"/>
              <w:sz w:val="22"/>
              <w:szCs w:val="22"/>
            </w:rPr>
          </w:pPr>
        </w:p>
      </w:tc>
      <w:tc>
        <w:tcPr>
          <w:tcW w:w="2250" w:type="pct"/>
          <w:tcBorders>
            <w:top w:val="single" w:sz="4" w:space="0" w:color="4F81BD"/>
            <w:left w:val="nil"/>
            <w:bottom w:val="nil"/>
            <w:right w:val="nil"/>
          </w:tcBorders>
        </w:tcPr>
        <w:p w14:paraId="632B7F55" w14:textId="77777777" w:rsidR="00AF6F54" w:rsidRPr="005A3173" w:rsidRDefault="00AF6F54" w:rsidP="005A3173">
          <w:pPr>
            <w:pStyle w:val="Header"/>
            <w:spacing w:line="276" w:lineRule="auto"/>
            <w:rPr>
              <w:rFonts w:eastAsia="MS Gothic"/>
              <w:b/>
              <w:bCs/>
              <w:color w:val="4F81BD"/>
            </w:rPr>
          </w:pPr>
        </w:p>
      </w:tc>
    </w:tr>
  </w:tbl>
  <w:p w14:paraId="7C340768" w14:textId="1B76C0E9" w:rsidR="00AF6F54" w:rsidRPr="007C0F57" w:rsidRDefault="00AF6F5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DB337B">
      <w:rPr>
        <w:rStyle w:val="PageNumber"/>
        <w:noProof/>
      </w:rPr>
      <w:t>1</w:t>
    </w:r>
    <w:r>
      <w:rPr>
        <w:rStyle w:val="PageNumber"/>
      </w:rPr>
      <w:fldChar w:fldCharType="end"/>
    </w:r>
    <w:r w:rsidRPr="007C0F57">
      <w:rPr>
        <w:b/>
        <w:i/>
        <w:sz w:val="20"/>
        <w:szCs w:val="20"/>
      </w:rPr>
      <w:t>BAC Meeting</w:t>
    </w:r>
  </w:p>
  <w:p w14:paraId="730D1F08" w14:textId="77777777" w:rsidR="00AF6F54" w:rsidRPr="007C0F57" w:rsidRDefault="00AF6F54" w:rsidP="007C0F57">
    <w:pPr>
      <w:pStyle w:val="Footer"/>
      <w:jc w:val="center"/>
      <w:rPr>
        <w:b/>
        <w:i/>
        <w:sz w:val="20"/>
        <w:szCs w:val="20"/>
      </w:rPr>
    </w:pPr>
    <w:r w:rsidRPr="007C0F57">
      <w:rPr>
        <w:b/>
        <w:i/>
        <w:sz w:val="20"/>
        <w:szCs w:val="20"/>
      </w:rPr>
      <w:t>Commercial-in-Confidence</w:t>
    </w:r>
  </w:p>
  <w:p w14:paraId="596C78A8" w14:textId="77777777" w:rsidR="00AF6F54" w:rsidRDefault="00AF6F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3A36E" w14:textId="77777777" w:rsidR="000D7B83" w:rsidRDefault="000D7B83">
      <w:r>
        <w:separator/>
      </w:r>
    </w:p>
    <w:p w14:paraId="7B416EAD" w14:textId="77777777" w:rsidR="000D7B83" w:rsidRDefault="000D7B83"/>
  </w:footnote>
  <w:footnote w:type="continuationSeparator" w:id="0">
    <w:p w14:paraId="64A02AC8" w14:textId="77777777" w:rsidR="000D7B83" w:rsidRDefault="000D7B83">
      <w:r>
        <w:continuationSeparator/>
      </w:r>
    </w:p>
    <w:p w14:paraId="6F963217" w14:textId="77777777" w:rsidR="000D7B83" w:rsidRDefault="000D7B83"/>
  </w:footnote>
  <w:footnote w:id="1">
    <w:p w14:paraId="590E7AEE" w14:textId="77777777" w:rsidR="00AF6F54" w:rsidRDefault="00AF6F54" w:rsidP="00C37F0A">
      <w:pPr>
        <w:pStyle w:val="FootnoteText"/>
      </w:pPr>
      <w:r>
        <w:rPr>
          <w:rStyle w:val="FootnoteReference"/>
        </w:rPr>
        <w:footnoteRef/>
      </w:r>
      <w:r>
        <w:t xml:space="preserve"> </w:t>
      </w:r>
      <w:hyperlink r:id="rId1" w:history="1">
        <w:r>
          <w:rPr>
            <w:rStyle w:val="Hyperlink"/>
          </w:rPr>
          <w:t>https://www.pbs.gov.au/info/healthpro/explanatory-notes/general-statement-hep-c</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AF6F54" w:rsidRPr="008E0D90" w14:paraId="0B357449" w14:textId="77777777" w:rsidTr="00A06225">
      <w:trPr>
        <w:trHeight w:val="151"/>
      </w:trPr>
      <w:tc>
        <w:tcPr>
          <w:tcW w:w="2389" w:type="pct"/>
          <w:tcBorders>
            <w:top w:val="nil"/>
            <w:left w:val="nil"/>
            <w:bottom w:val="single" w:sz="4" w:space="0" w:color="4F81BD"/>
            <w:right w:val="nil"/>
          </w:tcBorders>
        </w:tcPr>
        <w:p w14:paraId="06F7CF65" w14:textId="77777777" w:rsidR="00AF6F54" w:rsidRPr="00A06225" w:rsidRDefault="00AF6F54">
          <w:pPr>
            <w:pStyle w:val="Header"/>
            <w:spacing w:line="276" w:lineRule="auto"/>
            <w:rPr>
              <w:rFonts w:ascii="Cambria" w:eastAsia="MS Gothic" w:hAnsi="Cambria"/>
              <w:b/>
              <w:bCs/>
              <w:color w:val="4F81BD"/>
            </w:rPr>
          </w:pPr>
        </w:p>
      </w:tc>
      <w:tc>
        <w:tcPr>
          <w:tcW w:w="333" w:type="pct"/>
          <w:vMerge w:val="restart"/>
          <w:noWrap/>
          <w:vAlign w:val="center"/>
          <w:hideMark/>
        </w:tcPr>
        <w:p w14:paraId="6BDBFBC1" w14:textId="77777777" w:rsidR="00AF6F54" w:rsidRPr="00A06225" w:rsidRDefault="00AF6F5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7155FF71" w14:textId="77777777" w:rsidR="00AF6F54" w:rsidRPr="00A06225" w:rsidRDefault="00AF6F54">
          <w:pPr>
            <w:pStyle w:val="Header"/>
            <w:spacing w:line="276" w:lineRule="auto"/>
            <w:rPr>
              <w:rFonts w:ascii="Cambria" w:eastAsia="MS Gothic" w:hAnsi="Cambria"/>
              <w:b/>
              <w:bCs/>
              <w:color w:val="4F81BD"/>
            </w:rPr>
          </w:pPr>
        </w:p>
      </w:tc>
    </w:tr>
    <w:tr w:rsidR="00AF6F54" w:rsidRPr="008E0D90" w14:paraId="7D84A95E" w14:textId="77777777" w:rsidTr="00A06225">
      <w:trPr>
        <w:trHeight w:val="150"/>
      </w:trPr>
      <w:tc>
        <w:tcPr>
          <w:tcW w:w="2389" w:type="pct"/>
          <w:tcBorders>
            <w:top w:val="single" w:sz="4" w:space="0" w:color="4F81BD"/>
            <w:left w:val="nil"/>
            <w:bottom w:val="nil"/>
            <w:right w:val="nil"/>
          </w:tcBorders>
        </w:tcPr>
        <w:p w14:paraId="1CBACD18" w14:textId="77777777" w:rsidR="00AF6F54" w:rsidRPr="00A06225" w:rsidRDefault="00AF6F54">
          <w:pPr>
            <w:pStyle w:val="Header"/>
            <w:spacing w:line="276" w:lineRule="auto"/>
            <w:rPr>
              <w:rFonts w:ascii="Cambria" w:eastAsia="MS Gothic" w:hAnsi="Cambria"/>
              <w:b/>
              <w:bCs/>
              <w:color w:val="4F81BD"/>
            </w:rPr>
          </w:pPr>
        </w:p>
      </w:tc>
      <w:tc>
        <w:tcPr>
          <w:tcW w:w="0" w:type="auto"/>
          <w:vMerge/>
          <w:vAlign w:val="center"/>
          <w:hideMark/>
        </w:tcPr>
        <w:p w14:paraId="455ACA84" w14:textId="77777777" w:rsidR="00AF6F54" w:rsidRPr="00A06225" w:rsidRDefault="00AF6F54">
          <w:pPr>
            <w:rPr>
              <w:rFonts w:ascii="Cambria" w:hAnsi="Cambria"/>
              <w:color w:val="4F81BD"/>
              <w:sz w:val="22"/>
              <w:szCs w:val="22"/>
            </w:rPr>
          </w:pPr>
        </w:p>
      </w:tc>
      <w:tc>
        <w:tcPr>
          <w:tcW w:w="2278" w:type="pct"/>
          <w:tcBorders>
            <w:top w:val="single" w:sz="4" w:space="0" w:color="4F81BD"/>
            <w:left w:val="nil"/>
            <w:bottom w:val="nil"/>
            <w:right w:val="nil"/>
          </w:tcBorders>
        </w:tcPr>
        <w:p w14:paraId="4717F7A7" w14:textId="77777777" w:rsidR="00AF6F54" w:rsidRPr="00A06225" w:rsidRDefault="00AF6F54">
          <w:pPr>
            <w:pStyle w:val="Header"/>
            <w:spacing w:line="276" w:lineRule="auto"/>
            <w:rPr>
              <w:rFonts w:ascii="Cambria" w:eastAsia="MS Gothic" w:hAnsi="Cambria"/>
              <w:b/>
              <w:bCs/>
              <w:color w:val="4F81BD"/>
            </w:rPr>
          </w:pPr>
        </w:p>
      </w:tc>
    </w:tr>
  </w:tbl>
  <w:p w14:paraId="656263F9" w14:textId="77777777" w:rsidR="00AF6F54" w:rsidRDefault="00AF6F54">
    <w:pPr>
      <w:pStyle w:val="Header"/>
    </w:pPr>
  </w:p>
  <w:p w14:paraId="0AA225CC" w14:textId="77777777" w:rsidR="00AF6F54" w:rsidRDefault="00AF6F5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A9EFD" w14:textId="3BC944E7" w:rsidR="00AF6F54" w:rsidRDefault="00BC7762" w:rsidP="00DC5390">
    <w:pPr>
      <w:pStyle w:val="Header"/>
      <w:ind w:left="360"/>
      <w:rPr>
        <w:rFonts w:asciiTheme="minorHAnsi" w:hAnsiTheme="minorHAnsi" w:cs="Arial"/>
        <w:i/>
        <w:color w:val="808080"/>
      </w:rPr>
    </w:pPr>
    <w:r>
      <w:rPr>
        <w:rFonts w:asciiTheme="minorHAnsi" w:hAnsiTheme="minorHAnsi" w:cs="Arial"/>
        <w:i/>
        <w:color w:val="808080"/>
      </w:rPr>
      <w:t>Public Summary Document</w:t>
    </w:r>
    <w:r w:rsidR="00AF6F54" w:rsidRPr="00056684">
      <w:rPr>
        <w:rFonts w:asciiTheme="minorHAnsi" w:hAnsiTheme="minorHAnsi" w:cs="Arial"/>
        <w:i/>
        <w:color w:val="808080"/>
      </w:rPr>
      <w:t xml:space="preserve"> – </w:t>
    </w:r>
    <w:r w:rsidR="00AF6F54">
      <w:rPr>
        <w:rFonts w:asciiTheme="minorHAnsi" w:hAnsiTheme="minorHAnsi" w:cs="Arial"/>
        <w:i/>
        <w:color w:val="808080"/>
      </w:rPr>
      <w:t>November 2020</w:t>
    </w:r>
    <w:r w:rsidR="00AF6F54" w:rsidRPr="00056684">
      <w:rPr>
        <w:rFonts w:asciiTheme="minorHAnsi" w:hAnsiTheme="minorHAnsi" w:cs="Arial"/>
        <w:i/>
        <w:color w:val="808080"/>
      </w:rPr>
      <w:t xml:space="preserve"> PBAC Meeting</w:t>
    </w:r>
    <w:r w:rsidR="00B45E86">
      <w:rPr>
        <w:rFonts w:asciiTheme="minorHAnsi" w:hAnsiTheme="minorHAnsi" w:cs="Arial"/>
        <w:i/>
        <w:color w:val="808080"/>
      </w:rPr>
      <w:t xml:space="preserve"> with December 2020</w:t>
    </w:r>
  </w:p>
  <w:p w14:paraId="33652491" w14:textId="062DED18" w:rsidR="00B45E86" w:rsidRPr="00056684" w:rsidRDefault="00B45E86" w:rsidP="00DC5390">
    <w:pPr>
      <w:pStyle w:val="Header"/>
      <w:ind w:left="360"/>
      <w:rPr>
        <w:rFonts w:asciiTheme="minorHAnsi" w:hAnsiTheme="minorHAnsi" w:cs="Arial"/>
        <w:i/>
        <w:color w:val="808080"/>
      </w:rPr>
    </w:pPr>
    <w:r>
      <w:rPr>
        <w:rFonts w:asciiTheme="minorHAnsi" w:hAnsiTheme="minorHAnsi" w:cs="Arial"/>
        <w:i/>
        <w:color w:val="808080"/>
      </w:rPr>
      <w:t>Addendum</w:t>
    </w:r>
  </w:p>
  <w:p w14:paraId="07498BE3" w14:textId="0DBBE656" w:rsidR="00AF6F54" w:rsidRDefault="00AF6F54"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635967"/>
    <w:multiLevelType w:val="multilevel"/>
    <w:tmpl w:val="191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2"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4"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0F7BBB"/>
    <w:multiLevelType w:val="hybridMultilevel"/>
    <w:tmpl w:val="2B084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139332A"/>
    <w:multiLevelType w:val="hybridMultilevel"/>
    <w:tmpl w:val="BC62B366"/>
    <w:lvl w:ilvl="0" w:tplc="05946E4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84D033C"/>
    <w:multiLevelType w:val="multilevel"/>
    <w:tmpl w:val="E850E6E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D934CA2"/>
    <w:multiLevelType w:val="hybridMultilevel"/>
    <w:tmpl w:val="406E5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25"/>
  </w:num>
  <w:num w:numId="4">
    <w:abstractNumId w:val="20"/>
  </w:num>
  <w:num w:numId="5">
    <w:abstractNumId w:val="17"/>
  </w:num>
  <w:num w:numId="6">
    <w:abstractNumId w:val="27"/>
  </w:num>
  <w:num w:numId="7">
    <w:abstractNumId w:val="22"/>
  </w:num>
  <w:num w:numId="8">
    <w:abstractNumId w:val="24"/>
  </w:num>
  <w:num w:numId="9">
    <w:abstractNumId w:val="15"/>
  </w:num>
  <w:num w:numId="10">
    <w:abstractNumId w:val="23"/>
  </w:num>
  <w:num w:numId="11">
    <w:abstractNumId w:val="11"/>
  </w:num>
  <w:num w:numId="12">
    <w:abstractNumId w:val="11"/>
  </w:num>
  <w:num w:numId="13">
    <w:abstractNumId w:val="11"/>
    <w:lvlOverride w:ilvl="0">
      <w:startOverride w:val="1"/>
    </w:lvlOverride>
  </w:num>
  <w:num w:numId="14">
    <w:abstractNumId w:val="13"/>
  </w:num>
  <w:num w:numId="15">
    <w:abstractNumId w:val="11"/>
    <w:lvlOverride w:ilvl="0">
      <w:startOverride w:val="4"/>
    </w:lvlOverride>
  </w:num>
  <w:num w:numId="16">
    <w:abstractNumId w:val="3"/>
  </w:num>
  <w:num w:numId="17">
    <w:abstractNumId w:val="10"/>
  </w:num>
  <w:num w:numId="18">
    <w:abstractNumId w:val="1"/>
  </w:num>
  <w:num w:numId="19">
    <w:abstractNumId w:val="5"/>
  </w:num>
  <w:num w:numId="20">
    <w:abstractNumId w:val="26"/>
  </w:num>
  <w:num w:numId="21">
    <w:abstractNumId w:val="21"/>
  </w:num>
  <w:num w:numId="22">
    <w:abstractNumId w:val="14"/>
  </w:num>
  <w:num w:numId="23">
    <w:abstractNumId w:val="12"/>
  </w:num>
  <w:num w:numId="24">
    <w:abstractNumId w:val="25"/>
  </w:num>
  <w:num w:numId="25">
    <w:abstractNumId w:val="11"/>
    <w:lvlOverride w:ilvl="0">
      <w:startOverride w:val="1"/>
    </w:lvlOverride>
  </w:num>
  <w:num w:numId="26">
    <w:abstractNumId w:val="9"/>
  </w:num>
  <w:num w:numId="27">
    <w:abstractNumId w:val="16"/>
  </w:num>
  <w:num w:numId="28">
    <w:abstractNumId w:val="28"/>
  </w:num>
  <w:num w:numId="29">
    <w:abstractNumId w:val="25"/>
  </w:num>
  <w:num w:numId="30">
    <w:abstractNumId w:val="18"/>
  </w:num>
  <w:num w:numId="31">
    <w:abstractNumId w:val="19"/>
  </w:num>
  <w:num w:numId="32">
    <w:abstractNumId w:val="4"/>
  </w:num>
  <w:num w:numId="33">
    <w:abstractNumId w:val="2"/>
  </w:num>
  <w:num w:numId="34">
    <w:abstractNumId w:val="7"/>
  </w:num>
  <w:num w:numId="35">
    <w:abstractNumId w:val="8"/>
  </w:num>
  <w:num w:numId="3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44DC"/>
    <w:rsid w:val="00011A59"/>
    <w:rsid w:val="000146BA"/>
    <w:rsid w:val="00016A41"/>
    <w:rsid w:val="000214D1"/>
    <w:rsid w:val="0002464A"/>
    <w:rsid w:val="0003106B"/>
    <w:rsid w:val="00034905"/>
    <w:rsid w:val="000421A1"/>
    <w:rsid w:val="0004240E"/>
    <w:rsid w:val="00045E26"/>
    <w:rsid w:val="000514B5"/>
    <w:rsid w:val="00052528"/>
    <w:rsid w:val="00060E64"/>
    <w:rsid w:val="00064321"/>
    <w:rsid w:val="000646A4"/>
    <w:rsid w:val="00066755"/>
    <w:rsid w:val="00074C11"/>
    <w:rsid w:val="000763D5"/>
    <w:rsid w:val="00076C9A"/>
    <w:rsid w:val="00077143"/>
    <w:rsid w:val="000819DF"/>
    <w:rsid w:val="00082169"/>
    <w:rsid w:val="000918CB"/>
    <w:rsid w:val="00091B06"/>
    <w:rsid w:val="00091D85"/>
    <w:rsid w:val="000951C4"/>
    <w:rsid w:val="00095ADA"/>
    <w:rsid w:val="000969AD"/>
    <w:rsid w:val="000A2154"/>
    <w:rsid w:val="000A3AA2"/>
    <w:rsid w:val="000A44B2"/>
    <w:rsid w:val="000A52F6"/>
    <w:rsid w:val="000B44C3"/>
    <w:rsid w:val="000B558D"/>
    <w:rsid w:val="000C5F95"/>
    <w:rsid w:val="000C6996"/>
    <w:rsid w:val="000C7102"/>
    <w:rsid w:val="000D09E9"/>
    <w:rsid w:val="000D113F"/>
    <w:rsid w:val="000D23BA"/>
    <w:rsid w:val="000D517C"/>
    <w:rsid w:val="000D7B83"/>
    <w:rsid w:val="000E5581"/>
    <w:rsid w:val="000E5EA1"/>
    <w:rsid w:val="000E681E"/>
    <w:rsid w:val="000F0003"/>
    <w:rsid w:val="000F3384"/>
    <w:rsid w:val="000F4E6A"/>
    <w:rsid w:val="000F7354"/>
    <w:rsid w:val="00101ABE"/>
    <w:rsid w:val="00102202"/>
    <w:rsid w:val="00104227"/>
    <w:rsid w:val="00105EAE"/>
    <w:rsid w:val="001107BF"/>
    <w:rsid w:val="00113649"/>
    <w:rsid w:val="0012417C"/>
    <w:rsid w:val="0012749D"/>
    <w:rsid w:val="00142395"/>
    <w:rsid w:val="00142714"/>
    <w:rsid w:val="00144063"/>
    <w:rsid w:val="001452ED"/>
    <w:rsid w:val="00147D84"/>
    <w:rsid w:val="00153BBE"/>
    <w:rsid w:val="001549C1"/>
    <w:rsid w:val="00154F79"/>
    <w:rsid w:val="00162BDD"/>
    <w:rsid w:val="00162D4E"/>
    <w:rsid w:val="00163329"/>
    <w:rsid w:val="00164623"/>
    <w:rsid w:val="001652DE"/>
    <w:rsid w:val="00165B64"/>
    <w:rsid w:val="00176222"/>
    <w:rsid w:val="00180713"/>
    <w:rsid w:val="00180720"/>
    <w:rsid w:val="00182848"/>
    <w:rsid w:val="001830CE"/>
    <w:rsid w:val="0018643B"/>
    <w:rsid w:val="00186F52"/>
    <w:rsid w:val="00196307"/>
    <w:rsid w:val="001A33EA"/>
    <w:rsid w:val="001A4C4F"/>
    <w:rsid w:val="001A76FB"/>
    <w:rsid w:val="001B017F"/>
    <w:rsid w:val="001B17B1"/>
    <w:rsid w:val="001B2BBC"/>
    <w:rsid w:val="001B3A40"/>
    <w:rsid w:val="001B3FFE"/>
    <w:rsid w:val="001B5129"/>
    <w:rsid w:val="001C0B4C"/>
    <w:rsid w:val="001C1195"/>
    <w:rsid w:val="001C2E42"/>
    <w:rsid w:val="001D1C95"/>
    <w:rsid w:val="001D1F5F"/>
    <w:rsid w:val="001E06D2"/>
    <w:rsid w:val="001F005B"/>
    <w:rsid w:val="001F1850"/>
    <w:rsid w:val="001F3189"/>
    <w:rsid w:val="001F5207"/>
    <w:rsid w:val="00203230"/>
    <w:rsid w:val="00203FAC"/>
    <w:rsid w:val="00213CFB"/>
    <w:rsid w:val="0021553C"/>
    <w:rsid w:val="0021557B"/>
    <w:rsid w:val="002174FD"/>
    <w:rsid w:val="00217BE1"/>
    <w:rsid w:val="00221920"/>
    <w:rsid w:val="00234252"/>
    <w:rsid w:val="00237AC6"/>
    <w:rsid w:val="00244490"/>
    <w:rsid w:val="00245B9C"/>
    <w:rsid w:val="00253499"/>
    <w:rsid w:val="002551A4"/>
    <w:rsid w:val="00257664"/>
    <w:rsid w:val="00257D8C"/>
    <w:rsid w:val="00262BBD"/>
    <w:rsid w:val="00265151"/>
    <w:rsid w:val="00266509"/>
    <w:rsid w:val="00271BA1"/>
    <w:rsid w:val="002762FA"/>
    <w:rsid w:val="00277505"/>
    <w:rsid w:val="00280B88"/>
    <w:rsid w:val="002823B6"/>
    <w:rsid w:val="00282B17"/>
    <w:rsid w:val="00282BEB"/>
    <w:rsid w:val="00294274"/>
    <w:rsid w:val="0029458F"/>
    <w:rsid w:val="00295BD8"/>
    <w:rsid w:val="002A0E04"/>
    <w:rsid w:val="002A104C"/>
    <w:rsid w:val="002A1EF7"/>
    <w:rsid w:val="002A3F7C"/>
    <w:rsid w:val="002A494D"/>
    <w:rsid w:val="002A4960"/>
    <w:rsid w:val="002B0AE0"/>
    <w:rsid w:val="002B1AE6"/>
    <w:rsid w:val="002B1D51"/>
    <w:rsid w:val="002B2DE8"/>
    <w:rsid w:val="002B30F8"/>
    <w:rsid w:val="002B388A"/>
    <w:rsid w:val="002B5596"/>
    <w:rsid w:val="002C212F"/>
    <w:rsid w:val="002C7485"/>
    <w:rsid w:val="002D283A"/>
    <w:rsid w:val="002D4543"/>
    <w:rsid w:val="002E3153"/>
    <w:rsid w:val="002E5292"/>
    <w:rsid w:val="002E72CA"/>
    <w:rsid w:val="002F2E3A"/>
    <w:rsid w:val="002F43DD"/>
    <w:rsid w:val="002F600D"/>
    <w:rsid w:val="00300AD6"/>
    <w:rsid w:val="00300B1B"/>
    <w:rsid w:val="003019D0"/>
    <w:rsid w:val="003064AF"/>
    <w:rsid w:val="00310B68"/>
    <w:rsid w:val="0031467F"/>
    <w:rsid w:val="003175B3"/>
    <w:rsid w:val="00317C6C"/>
    <w:rsid w:val="00320CD3"/>
    <w:rsid w:val="00326E79"/>
    <w:rsid w:val="003301B1"/>
    <w:rsid w:val="00330DE7"/>
    <w:rsid w:val="00331189"/>
    <w:rsid w:val="0033263D"/>
    <w:rsid w:val="0033518A"/>
    <w:rsid w:val="003367EF"/>
    <w:rsid w:val="00341AE4"/>
    <w:rsid w:val="003476EE"/>
    <w:rsid w:val="003541DD"/>
    <w:rsid w:val="00356E5B"/>
    <w:rsid w:val="003629FD"/>
    <w:rsid w:val="003736C9"/>
    <w:rsid w:val="00381BFE"/>
    <w:rsid w:val="00384988"/>
    <w:rsid w:val="003872CF"/>
    <w:rsid w:val="0039507C"/>
    <w:rsid w:val="0039782C"/>
    <w:rsid w:val="003A26E3"/>
    <w:rsid w:val="003A5B4A"/>
    <w:rsid w:val="003A5D95"/>
    <w:rsid w:val="003B0E53"/>
    <w:rsid w:val="003B2304"/>
    <w:rsid w:val="003B23C5"/>
    <w:rsid w:val="003B2A75"/>
    <w:rsid w:val="003B6124"/>
    <w:rsid w:val="003C093A"/>
    <w:rsid w:val="003C1ECF"/>
    <w:rsid w:val="003C2FB5"/>
    <w:rsid w:val="003D24C5"/>
    <w:rsid w:val="003D466B"/>
    <w:rsid w:val="003D4AC4"/>
    <w:rsid w:val="003D63B7"/>
    <w:rsid w:val="003D74C5"/>
    <w:rsid w:val="003E0E65"/>
    <w:rsid w:val="003E0F73"/>
    <w:rsid w:val="003E468B"/>
    <w:rsid w:val="003E62BD"/>
    <w:rsid w:val="003F0C3A"/>
    <w:rsid w:val="003F3228"/>
    <w:rsid w:val="003F5C8C"/>
    <w:rsid w:val="003F63CE"/>
    <w:rsid w:val="003F775A"/>
    <w:rsid w:val="00400E55"/>
    <w:rsid w:val="0040128E"/>
    <w:rsid w:val="0040216B"/>
    <w:rsid w:val="00405CA3"/>
    <w:rsid w:val="004252EC"/>
    <w:rsid w:val="00430D39"/>
    <w:rsid w:val="004465BD"/>
    <w:rsid w:val="0044663A"/>
    <w:rsid w:val="00446938"/>
    <w:rsid w:val="00447324"/>
    <w:rsid w:val="00453894"/>
    <w:rsid w:val="00460DA0"/>
    <w:rsid w:val="00461A44"/>
    <w:rsid w:val="00466ADA"/>
    <w:rsid w:val="004702BB"/>
    <w:rsid w:val="0047494B"/>
    <w:rsid w:val="00475E44"/>
    <w:rsid w:val="00476245"/>
    <w:rsid w:val="00477A9B"/>
    <w:rsid w:val="00483035"/>
    <w:rsid w:val="00485940"/>
    <w:rsid w:val="004904B9"/>
    <w:rsid w:val="004911D6"/>
    <w:rsid w:val="00496662"/>
    <w:rsid w:val="004A220A"/>
    <w:rsid w:val="004A2484"/>
    <w:rsid w:val="004A58F0"/>
    <w:rsid w:val="004A5A85"/>
    <w:rsid w:val="004A71D1"/>
    <w:rsid w:val="004A7C5B"/>
    <w:rsid w:val="004B1845"/>
    <w:rsid w:val="004B2E98"/>
    <w:rsid w:val="004B5640"/>
    <w:rsid w:val="004B5A0E"/>
    <w:rsid w:val="004C03D0"/>
    <w:rsid w:val="004C1BD7"/>
    <w:rsid w:val="004C31FE"/>
    <w:rsid w:val="004C524C"/>
    <w:rsid w:val="004C5FFA"/>
    <w:rsid w:val="004C691D"/>
    <w:rsid w:val="004C6C07"/>
    <w:rsid w:val="004D26B7"/>
    <w:rsid w:val="004D4FF6"/>
    <w:rsid w:val="004D6E2A"/>
    <w:rsid w:val="004E45C1"/>
    <w:rsid w:val="004E692D"/>
    <w:rsid w:val="004E7D87"/>
    <w:rsid w:val="004F2553"/>
    <w:rsid w:val="004F57A9"/>
    <w:rsid w:val="00501390"/>
    <w:rsid w:val="00501554"/>
    <w:rsid w:val="00502AFE"/>
    <w:rsid w:val="00503AD7"/>
    <w:rsid w:val="00504E0C"/>
    <w:rsid w:val="005109D4"/>
    <w:rsid w:val="00514CD7"/>
    <w:rsid w:val="00520D6A"/>
    <w:rsid w:val="00522DB6"/>
    <w:rsid w:val="0052792D"/>
    <w:rsid w:val="005319B2"/>
    <w:rsid w:val="00532402"/>
    <w:rsid w:val="00532C74"/>
    <w:rsid w:val="00534E2E"/>
    <w:rsid w:val="00536C01"/>
    <w:rsid w:val="00544552"/>
    <w:rsid w:val="00545130"/>
    <w:rsid w:val="0055053C"/>
    <w:rsid w:val="0055286A"/>
    <w:rsid w:val="00555745"/>
    <w:rsid w:val="00557D4F"/>
    <w:rsid w:val="0056484E"/>
    <w:rsid w:val="00572C9E"/>
    <w:rsid w:val="005764CD"/>
    <w:rsid w:val="00577C4D"/>
    <w:rsid w:val="00580532"/>
    <w:rsid w:val="00581932"/>
    <w:rsid w:val="0058534F"/>
    <w:rsid w:val="00594C3D"/>
    <w:rsid w:val="005963BB"/>
    <w:rsid w:val="005A1289"/>
    <w:rsid w:val="005A25C7"/>
    <w:rsid w:val="005A3173"/>
    <w:rsid w:val="005A3223"/>
    <w:rsid w:val="005A3DA3"/>
    <w:rsid w:val="005A52C4"/>
    <w:rsid w:val="005C4F73"/>
    <w:rsid w:val="005C7DD0"/>
    <w:rsid w:val="005D03AB"/>
    <w:rsid w:val="005D5017"/>
    <w:rsid w:val="005D63FA"/>
    <w:rsid w:val="005E0D82"/>
    <w:rsid w:val="005E1333"/>
    <w:rsid w:val="005E2660"/>
    <w:rsid w:val="005E3136"/>
    <w:rsid w:val="005E507D"/>
    <w:rsid w:val="005E5364"/>
    <w:rsid w:val="005F5A32"/>
    <w:rsid w:val="005F7ADC"/>
    <w:rsid w:val="00601A91"/>
    <w:rsid w:val="00602BA3"/>
    <w:rsid w:val="00605B63"/>
    <w:rsid w:val="00605F9A"/>
    <w:rsid w:val="00606EED"/>
    <w:rsid w:val="00612E34"/>
    <w:rsid w:val="00613AE2"/>
    <w:rsid w:val="00614159"/>
    <w:rsid w:val="00616C5F"/>
    <w:rsid w:val="00616DAC"/>
    <w:rsid w:val="00617C00"/>
    <w:rsid w:val="006203AC"/>
    <w:rsid w:val="006219AE"/>
    <w:rsid w:val="006263BF"/>
    <w:rsid w:val="0062748A"/>
    <w:rsid w:val="00630311"/>
    <w:rsid w:val="00630A2C"/>
    <w:rsid w:val="00633E33"/>
    <w:rsid w:val="0063682E"/>
    <w:rsid w:val="00641CE3"/>
    <w:rsid w:val="00642DA8"/>
    <w:rsid w:val="006436CD"/>
    <w:rsid w:val="00651169"/>
    <w:rsid w:val="006514B2"/>
    <w:rsid w:val="00653D69"/>
    <w:rsid w:val="006552E6"/>
    <w:rsid w:val="00655794"/>
    <w:rsid w:val="00655FA0"/>
    <w:rsid w:val="00657C63"/>
    <w:rsid w:val="00662CCB"/>
    <w:rsid w:val="006670BE"/>
    <w:rsid w:val="00670A76"/>
    <w:rsid w:val="006711AA"/>
    <w:rsid w:val="00672B57"/>
    <w:rsid w:val="00673F1F"/>
    <w:rsid w:val="00675622"/>
    <w:rsid w:val="0067747D"/>
    <w:rsid w:val="006818D5"/>
    <w:rsid w:val="00681CA4"/>
    <w:rsid w:val="00684989"/>
    <w:rsid w:val="0069039D"/>
    <w:rsid w:val="006906DB"/>
    <w:rsid w:val="00691E6C"/>
    <w:rsid w:val="00692D66"/>
    <w:rsid w:val="00693DFB"/>
    <w:rsid w:val="00694B97"/>
    <w:rsid w:val="0069501D"/>
    <w:rsid w:val="00695974"/>
    <w:rsid w:val="00696129"/>
    <w:rsid w:val="00696EE8"/>
    <w:rsid w:val="00697CF2"/>
    <w:rsid w:val="006A12A5"/>
    <w:rsid w:val="006A224B"/>
    <w:rsid w:val="006A5E20"/>
    <w:rsid w:val="006B0D94"/>
    <w:rsid w:val="006B25D3"/>
    <w:rsid w:val="006B485D"/>
    <w:rsid w:val="006C334C"/>
    <w:rsid w:val="006C6DF4"/>
    <w:rsid w:val="006C708E"/>
    <w:rsid w:val="006D14E7"/>
    <w:rsid w:val="006D4444"/>
    <w:rsid w:val="006D6493"/>
    <w:rsid w:val="006D6BBF"/>
    <w:rsid w:val="006D6EC7"/>
    <w:rsid w:val="006E1BCD"/>
    <w:rsid w:val="006E2EE9"/>
    <w:rsid w:val="006F0A71"/>
    <w:rsid w:val="006F40C2"/>
    <w:rsid w:val="006F5125"/>
    <w:rsid w:val="006F733D"/>
    <w:rsid w:val="00700382"/>
    <w:rsid w:val="00702B6F"/>
    <w:rsid w:val="00706A2F"/>
    <w:rsid w:val="0070718E"/>
    <w:rsid w:val="00710259"/>
    <w:rsid w:val="0071031F"/>
    <w:rsid w:val="007106AF"/>
    <w:rsid w:val="0071340B"/>
    <w:rsid w:val="00715BBB"/>
    <w:rsid w:val="00716E6A"/>
    <w:rsid w:val="007174BB"/>
    <w:rsid w:val="0072025D"/>
    <w:rsid w:val="0073137C"/>
    <w:rsid w:val="007353D3"/>
    <w:rsid w:val="0074156B"/>
    <w:rsid w:val="00747092"/>
    <w:rsid w:val="007555E8"/>
    <w:rsid w:val="00764137"/>
    <w:rsid w:val="0076420C"/>
    <w:rsid w:val="00771D07"/>
    <w:rsid w:val="00773BE3"/>
    <w:rsid w:val="007743DD"/>
    <w:rsid w:val="00774E2C"/>
    <w:rsid w:val="007753C2"/>
    <w:rsid w:val="00782A4E"/>
    <w:rsid w:val="007838B8"/>
    <w:rsid w:val="007915BA"/>
    <w:rsid w:val="007B39EA"/>
    <w:rsid w:val="007B3DDC"/>
    <w:rsid w:val="007B72A6"/>
    <w:rsid w:val="007C0F57"/>
    <w:rsid w:val="007C40B6"/>
    <w:rsid w:val="007C729F"/>
    <w:rsid w:val="007D0780"/>
    <w:rsid w:val="007D503D"/>
    <w:rsid w:val="007E1D28"/>
    <w:rsid w:val="007F0021"/>
    <w:rsid w:val="007F2641"/>
    <w:rsid w:val="007F7C36"/>
    <w:rsid w:val="00806796"/>
    <w:rsid w:val="00811CC0"/>
    <w:rsid w:val="008151D6"/>
    <w:rsid w:val="008160A8"/>
    <w:rsid w:val="0081723C"/>
    <w:rsid w:val="00821527"/>
    <w:rsid w:val="008268BB"/>
    <w:rsid w:val="00826F6D"/>
    <w:rsid w:val="008306F3"/>
    <w:rsid w:val="00830E40"/>
    <w:rsid w:val="00835C62"/>
    <w:rsid w:val="00846056"/>
    <w:rsid w:val="00847EC0"/>
    <w:rsid w:val="00850476"/>
    <w:rsid w:val="008558DB"/>
    <w:rsid w:val="00855FD6"/>
    <w:rsid w:val="00856DDD"/>
    <w:rsid w:val="008605CC"/>
    <w:rsid w:val="00863E68"/>
    <w:rsid w:val="008647B5"/>
    <w:rsid w:val="00874990"/>
    <w:rsid w:val="00875DCB"/>
    <w:rsid w:val="00882085"/>
    <w:rsid w:val="0088295C"/>
    <w:rsid w:val="00883188"/>
    <w:rsid w:val="00897D58"/>
    <w:rsid w:val="00897F22"/>
    <w:rsid w:val="008A0B39"/>
    <w:rsid w:val="008A1956"/>
    <w:rsid w:val="008A4937"/>
    <w:rsid w:val="008A50F1"/>
    <w:rsid w:val="008A59D9"/>
    <w:rsid w:val="008A5CE3"/>
    <w:rsid w:val="008A6819"/>
    <w:rsid w:val="008B2EC0"/>
    <w:rsid w:val="008C3E12"/>
    <w:rsid w:val="008D1B5C"/>
    <w:rsid w:val="008D3C82"/>
    <w:rsid w:val="008D447E"/>
    <w:rsid w:val="008D7A41"/>
    <w:rsid w:val="008E2C72"/>
    <w:rsid w:val="008E3680"/>
    <w:rsid w:val="008E4937"/>
    <w:rsid w:val="008E5870"/>
    <w:rsid w:val="008E605E"/>
    <w:rsid w:val="008F0213"/>
    <w:rsid w:val="008F1434"/>
    <w:rsid w:val="008F54C3"/>
    <w:rsid w:val="008F7355"/>
    <w:rsid w:val="009023DC"/>
    <w:rsid w:val="009027C5"/>
    <w:rsid w:val="00904B03"/>
    <w:rsid w:val="009067B7"/>
    <w:rsid w:val="00912CCE"/>
    <w:rsid w:val="0091462F"/>
    <w:rsid w:val="0091539D"/>
    <w:rsid w:val="00917D69"/>
    <w:rsid w:val="00926560"/>
    <w:rsid w:val="00930937"/>
    <w:rsid w:val="00930D9D"/>
    <w:rsid w:val="009324A6"/>
    <w:rsid w:val="00933E6C"/>
    <w:rsid w:val="009372F3"/>
    <w:rsid w:val="00937958"/>
    <w:rsid w:val="00941602"/>
    <w:rsid w:val="00942160"/>
    <w:rsid w:val="00943E44"/>
    <w:rsid w:val="00946BDE"/>
    <w:rsid w:val="00947ECE"/>
    <w:rsid w:val="009506EE"/>
    <w:rsid w:val="009513FF"/>
    <w:rsid w:val="0095146F"/>
    <w:rsid w:val="009574FA"/>
    <w:rsid w:val="00957944"/>
    <w:rsid w:val="009602C5"/>
    <w:rsid w:val="00962223"/>
    <w:rsid w:val="00966D0D"/>
    <w:rsid w:val="0096783C"/>
    <w:rsid w:val="009722B3"/>
    <w:rsid w:val="00974C21"/>
    <w:rsid w:val="00975948"/>
    <w:rsid w:val="00977BF3"/>
    <w:rsid w:val="009803E4"/>
    <w:rsid w:val="00980B0E"/>
    <w:rsid w:val="009836A3"/>
    <w:rsid w:val="009855A8"/>
    <w:rsid w:val="009913F4"/>
    <w:rsid w:val="0099465B"/>
    <w:rsid w:val="009963EF"/>
    <w:rsid w:val="009A0CDD"/>
    <w:rsid w:val="009A3168"/>
    <w:rsid w:val="009A61CA"/>
    <w:rsid w:val="009B055C"/>
    <w:rsid w:val="009B0C64"/>
    <w:rsid w:val="009B0F67"/>
    <w:rsid w:val="009C703C"/>
    <w:rsid w:val="009D206E"/>
    <w:rsid w:val="009D3CAA"/>
    <w:rsid w:val="009D6167"/>
    <w:rsid w:val="009D6532"/>
    <w:rsid w:val="009D6BDD"/>
    <w:rsid w:val="009E1250"/>
    <w:rsid w:val="009E2E8E"/>
    <w:rsid w:val="009E40E1"/>
    <w:rsid w:val="009F0EFA"/>
    <w:rsid w:val="009F4E46"/>
    <w:rsid w:val="009F5B65"/>
    <w:rsid w:val="009F5F2E"/>
    <w:rsid w:val="00A01432"/>
    <w:rsid w:val="00A06225"/>
    <w:rsid w:val="00A11AA3"/>
    <w:rsid w:val="00A128E6"/>
    <w:rsid w:val="00A144D3"/>
    <w:rsid w:val="00A22AC3"/>
    <w:rsid w:val="00A23157"/>
    <w:rsid w:val="00A23F3F"/>
    <w:rsid w:val="00A24067"/>
    <w:rsid w:val="00A2744D"/>
    <w:rsid w:val="00A32387"/>
    <w:rsid w:val="00A34E6C"/>
    <w:rsid w:val="00A35DBA"/>
    <w:rsid w:val="00A36398"/>
    <w:rsid w:val="00A37C8D"/>
    <w:rsid w:val="00A4020E"/>
    <w:rsid w:val="00A40FB5"/>
    <w:rsid w:val="00A42688"/>
    <w:rsid w:val="00A42826"/>
    <w:rsid w:val="00A429B3"/>
    <w:rsid w:val="00A45423"/>
    <w:rsid w:val="00A510E4"/>
    <w:rsid w:val="00A5273B"/>
    <w:rsid w:val="00A527F2"/>
    <w:rsid w:val="00A53A9D"/>
    <w:rsid w:val="00A55FEE"/>
    <w:rsid w:val="00A57422"/>
    <w:rsid w:val="00A62071"/>
    <w:rsid w:val="00A62C1A"/>
    <w:rsid w:val="00A6426D"/>
    <w:rsid w:val="00A665C1"/>
    <w:rsid w:val="00A673A4"/>
    <w:rsid w:val="00A70622"/>
    <w:rsid w:val="00A70977"/>
    <w:rsid w:val="00A70D58"/>
    <w:rsid w:val="00A744F9"/>
    <w:rsid w:val="00A76140"/>
    <w:rsid w:val="00A77613"/>
    <w:rsid w:val="00A81851"/>
    <w:rsid w:val="00A8390C"/>
    <w:rsid w:val="00A83A19"/>
    <w:rsid w:val="00A86979"/>
    <w:rsid w:val="00A86AE0"/>
    <w:rsid w:val="00A928BD"/>
    <w:rsid w:val="00A92AA4"/>
    <w:rsid w:val="00A97DE9"/>
    <w:rsid w:val="00AA12CD"/>
    <w:rsid w:val="00AA4D1C"/>
    <w:rsid w:val="00AA52FD"/>
    <w:rsid w:val="00AA6E6F"/>
    <w:rsid w:val="00AB5856"/>
    <w:rsid w:val="00AC193C"/>
    <w:rsid w:val="00AC4DE5"/>
    <w:rsid w:val="00AC5206"/>
    <w:rsid w:val="00AD1F80"/>
    <w:rsid w:val="00AD4322"/>
    <w:rsid w:val="00AE11A5"/>
    <w:rsid w:val="00AE13E2"/>
    <w:rsid w:val="00AE22D3"/>
    <w:rsid w:val="00AE5A49"/>
    <w:rsid w:val="00AF2FC8"/>
    <w:rsid w:val="00AF62DF"/>
    <w:rsid w:val="00AF68CC"/>
    <w:rsid w:val="00AF6F54"/>
    <w:rsid w:val="00AF70D7"/>
    <w:rsid w:val="00AF7FDF"/>
    <w:rsid w:val="00B06478"/>
    <w:rsid w:val="00B07CFB"/>
    <w:rsid w:val="00B1059E"/>
    <w:rsid w:val="00B16273"/>
    <w:rsid w:val="00B170A5"/>
    <w:rsid w:val="00B176C8"/>
    <w:rsid w:val="00B17EE5"/>
    <w:rsid w:val="00B205AA"/>
    <w:rsid w:val="00B22E84"/>
    <w:rsid w:val="00B233AD"/>
    <w:rsid w:val="00B23E25"/>
    <w:rsid w:val="00B25F75"/>
    <w:rsid w:val="00B26B3F"/>
    <w:rsid w:val="00B2778F"/>
    <w:rsid w:val="00B33635"/>
    <w:rsid w:val="00B35DB4"/>
    <w:rsid w:val="00B42AF4"/>
    <w:rsid w:val="00B43E90"/>
    <w:rsid w:val="00B45E86"/>
    <w:rsid w:val="00B45FFD"/>
    <w:rsid w:val="00B467DC"/>
    <w:rsid w:val="00B56118"/>
    <w:rsid w:val="00B6773F"/>
    <w:rsid w:val="00B70EB3"/>
    <w:rsid w:val="00B71890"/>
    <w:rsid w:val="00B7525E"/>
    <w:rsid w:val="00B760FB"/>
    <w:rsid w:val="00B767AB"/>
    <w:rsid w:val="00B801BA"/>
    <w:rsid w:val="00B84D5C"/>
    <w:rsid w:val="00BA2DA8"/>
    <w:rsid w:val="00BA347C"/>
    <w:rsid w:val="00BB1EDB"/>
    <w:rsid w:val="00BB5C49"/>
    <w:rsid w:val="00BB69F5"/>
    <w:rsid w:val="00BB7EC3"/>
    <w:rsid w:val="00BC4B9A"/>
    <w:rsid w:val="00BC7762"/>
    <w:rsid w:val="00BD02C3"/>
    <w:rsid w:val="00BD7483"/>
    <w:rsid w:val="00BD784C"/>
    <w:rsid w:val="00BE020A"/>
    <w:rsid w:val="00BE13DF"/>
    <w:rsid w:val="00BF092C"/>
    <w:rsid w:val="00BF27A0"/>
    <w:rsid w:val="00BF4CB6"/>
    <w:rsid w:val="00C00DA7"/>
    <w:rsid w:val="00C04CDE"/>
    <w:rsid w:val="00C12768"/>
    <w:rsid w:val="00C12D70"/>
    <w:rsid w:val="00C21B09"/>
    <w:rsid w:val="00C2673A"/>
    <w:rsid w:val="00C2793F"/>
    <w:rsid w:val="00C27B58"/>
    <w:rsid w:val="00C35996"/>
    <w:rsid w:val="00C37576"/>
    <w:rsid w:val="00C37F0A"/>
    <w:rsid w:val="00C4747E"/>
    <w:rsid w:val="00C5151E"/>
    <w:rsid w:val="00C5342C"/>
    <w:rsid w:val="00C53B2B"/>
    <w:rsid w:val="00C60272"/>
    <w:rsid w:val="00C603D4"/>
    <w:rsid w:val="00C6256A"/>
    <w:rsid w:val="00C710E2"/>
    <w:rsid w:val="00C71C3F"/>
    <w:rsid w:val="00C7409E"/>
    <w:rsid w:val="00C74D6D"/>
    <w:rsid w:val="00C76E76"/>
    <w:rsid w:val="00C77891"/>
    <w:rsid w:val="00C91449"/>
    <w:rsid w:val="00C92D10"/>
    <w:rsid w:val="00CA48D9"/>
    <w:rsid w:val="00CB1193"/>
    <w:rsid w:val="00CB4767"/>
    <w:rsid w:val="00CB493D"/>
    <w:rsid w:val="00CC3B97"/>
    <w:rsid w:val="00CC56AF"/>
    <w:rsid w:val="00CE10C4"/>
    <w:rsid w:val="00CE27B5"/>
    <w:rsid w:val="00CE6DAF"/>
    <w:rsid w:val="00CF1084"/>
    <w:rsid w:val="00CF14ED"/>
    <w:rsid w:val="00CF410A"/>
    <w:rsid w:val="00D0321E"/>
    <w:rsid w:val="00D07A8A"/>
    <w:rsid w:val="00D1455A"/>
    <w:rsid w:val="00D22068"/>
    <w:rsid w:val="00D22093"/>
    <w:rsid w:val="00D2658B"/>
    <w:rsid w:val="00D31150"/>
    <w:rsid w:val="00D3138B"/>
    <w:rsid w:val="00D3280C"/>
    <w:rsid w:val="00D3406A"/>
    <w:rsid w:val="00D40B11"/>
    <w:rsid w:val="00D42609"/>
    <w:rsid w:val="00D441F1"/>
    <w:rsid w:val="00D4572C"/>
    <w:rsid w:val="00D469B2"/>
    <w:rsid w:val="00D50BE6"/>
    <w:rsid w:val="00D54B09"/>
    <w:rsid w:val="00D65658"/>
    <w:rsid w:val="00D72B6F"/>
    <w:rsid w:val="00D741EB"/>
    <w:rsid w:val="00D7679C"/>
    <w:rsid w:val="00D820F3"/>
    <w:rsid w:val="00D83605"/>
    <w:rsid w:val="00D84934"/>
    <w:rsid w:val="00D91271"/>
    <w:rsid w:val="00D919F5"/>
    <w:rsid w:val="00D94F03"/>
    <w:rsid w:val="00DA0A82"/>
    <w:rsid w:val="00DA0D14"/>
    <w:rsid w:val="00DA1FC9"/>
    <w:rsid w:val="00DA2CB5"/>
    <w:rsid w:val="00DA4BAC"/>
    <w:rsid w:val="00DA691B"/>
    <w:rsid w:val="00DB0151"/>
    <w:rsid w:val="00DB1682"/>
    <w:rsid w:val="00DB337B"/>
    <w:rsid w:val="00DC2C3E"/>
    <w:rsid w:val="00DC4880"/>
    <w:rsid w:val="00DC5390"/>
    <w:rsid w:val="00DE165C"/>
    <w:rsid w:val="00DE6D27"/>
    <w:rsid w:val="00DE7488"/>
    <w:rsid w:val="00DE7D3E"/>
    <w:rsid w:val="00DF01F8"/>
    <w:rsid w:val="00DF217D"/>
    <w:rsid w:val="00DF26A7"/>
    <w:rsid w:val="00DF27D8"/>
    <w:rsid w:val="00DF3049"/>
    <w:rsid w:val="00DF3277"/>
    <w:rsid w:val="00DF7919"/>
    <w:rsid w:val="00E0207E"/>
    <w:rsid w:val="00E03912"/>
    <w:rsid w:val="00E04887"/>
    <w:rsid w:val="00E05403"/>
    <w:rsid w:val="00E078D9"/>
    <w:rsid w:val="00E10293"/>
    <w:rsid w:val="00E15627"/>
    <w:rsid w:val="00E164B3"/>
    <w:rsid w:val="00E16910"/>
    <w:rsid w:val="00E20BAA"/>
    <w:rsid w:val="00E24E09"/>
    <w:rsid w:val="00E27234"/>
    <w:rsid w:val="00E3495C"/>
    <w:rsid w:val="00E42BDB"/>
    <w:rsid w:val="00E451F0"/>
    <w:rsid w:val="00E57EEB"/>
    <w:rsid w:val="00E62D94"/>
    <w:rsid w:val="00E64F37"/>
    <w:rsid w:val="00E65E54"/>
    <w:rsid w:val="00E661C7"/>
    <w:rsid w:val="00E7541D"/>
    <w:rsid w:val="00E80155"/>
    <w:rsid w:val="00E80788"/>
    <w:rsid w:val="00E8134B"/>
    <w:rsid w:val="00E81E0D"/>
    <w:rsid w:val="00E81F28"/>
    <w:rsid w:val="00E8335B"/>
    <w:rsid w:val="00E848C0"/>
    <w:rsid w:val="00E85362"/>
    <w:rsid w:val="00E87C57"/>
    <w:rsid w:val="00E91B96"/>
    <w:rsid w:val="00E9387D"/>
    <w:rsid w:val="00E93D1E"/>
    <w:rsid w:val="00E941A1"/>
    <w:rsid w:val="00E95CE3"/>
    <w:rsid w:val="00EA252F"/>
    <w:rsid w:val="00EA2825"/>
    <w:rsid w:val="00EA6518"/>
    <w:rsid w:val="00EA7466"/>
    <w:rsid w:val="00EA7EDE"/>
    <w:rsid w:val="00EB04C6"/>
    <w:rsid w:val="00EB0B63"/>
    <w:rsid w:val="00EB1936"/>
    <w:rsid w:val="00EB37BE"/>
    <w:rsid w:val="00EB5088"/>
    <w:rsid w:val="00ED1644"/>
    <w:rsid w:val="00ED2593"/>
    <w:rsid w:val="00ED364B"/>
    <w:rsid w:val="00ED4208"/>
    <w:rsid w:val="00ED7D55"/>
    <w:rsid w:val="00ED7D9C"/>
    <w:rsid w:val="00EE31A2"/>
    <w:rsid w:val="00EF0069"/>
    <w:rsid w:val="00EF2222"/>
    <w:rsid w:val="00EF44A0"/>
    <w:rsid w:val="00EF4FED"/>
    <w:rsid w:val="00EF6FB3"/>
    <w:rsid w:val="00F007C6"/>
    <w:rsid w:val="00F0172E"/>
    <w:rsid w:val="00F050BD"/>
    <w:rsid w:val="00F05657"/>
    <w:rsid w:val="00F17ED6"/>
    <w:rsid w:val="00F209E2"/>
    <w:rsid w:val="00F25578"/>
    <w:rsid w:val="00F258E5"/>
    <w:rsid w:val="00F25B9C"/>
    <w:rsid w:val="00F26CC6"/>
    <w:rsid w:val="00F300BC"/>
    <w:rsid w:val="00F3263C"/>
    <w:rsid w:val="00F3334E"/>
    <w:rsid w:val="00F36CCB"/>
    <w:rsid w:val="00F374E5"/>
    <w:rsid w:val="00F37B93"/>
    <w:rsid w:val="00F37BAD"/>
    <w:rsid w:val="00F37ECA"/>
    <w:rsid w:val="00F43AF2"/>
    <w:rsid w:val="00F5007E"/>
    <w:rsid w:val="00F50EC4"/>
    <w:rsid w:val="00F52232"/>
    <w:rsid w:val="00F52A0E"/>
    <w:rsid w:val="00F550CF"/>
    <w:rsid w:val="00F57A6D"/>
    <w:rsid w:val="00F638CC"/>
    <w:rsid w:val="00F64C9E"/>
    <w:rsid w:val="00F64CC1"/>
    <w:rsid w:val="00F72317"/>
    <w:rsid w:val="00F746E3"/>
    <w:rsid w:val="00F80475"/>
    <w:rsid w:val="00F8247A"/>
    <w:rsid w:val="00F82624"/>
    <w:rsid w:val="00F8279F"/>
    <w:rsid w:val="00F82E5C"/>
    <w:rsid w:val="00F87EBA"/>
    <w:rsid w:val="00F9629A"/>
    <w:rsid w:val="00F97EFC"/>
    <w:rsid w:val="00FA1BDD"/>
    <w:rsid w:val="00FA305C"/>
    <w:rsid w:val="00FA4DD5"/>
    <w:rsid w:val="00FA5883"/>
    <w:rsid w:val="00FA6055"/>
    <w:rsid w:val="00FA6C28"/>
    <w:rsid w:val="00FB0B39"/>
    <w:rsid w:val="00FB322F"/>
    <w:rsid w:val="00FB442F"/>
    <w:rsid w:val="00FB4AD9"/>
    <w:rsid w:val="00FC118C"/>
    <w:rsid w:val="00FC1929"/>
    <w:rsid w:val="00FC27F0"/>
    <w:rsid w:val="00FC4FDF"/>
    <w:rsid w:val="00FC5B46"/>
    <w:rsid w:val="00FD0871"/>
    <w:rsid w:val="00FD6D8E"/>
    <w:rsid w:val="00FE0663"/>
    <w:rsid w:val="00FE0E94"/>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35B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11"/>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8"/>
      </w:numPr>
      <w:contextualSpacing/>
    </w:pPr>
  </w:style>
  <w:style w:type="paragraph" w:customStyle="1" w:styleId="Headingunnumbered2">
    <w:name w:val="Heading unnumbered 2"/>
    <w:basedOn w:val="Heading2"/>
    <w:next w:val="Normal"/>
    <w:uiPriority w:val="9"/>
    <w:qFormat/>
    <w:rsid w:val="00DE7D3E"/>
    <w:pPr>
      <w:keepNext w:val="0"/>
      <w:spacing w:after="240" w:line="276" w:lineRule="auto"/>
      <w:contextualSpacing/>
      <w:jc w:val="left"/>
    </w:pPr>
    <w:rPr>
      <w:rFonts w:eastAsiaTheme="majorEastAsia" w:cstheme="majorBidi"/>
      <w:i w:val="0"/>
      <w:spacing w:val="5"/>
      <w:sz w:val="24"/>
      <w:szCs w:val="28"/>
      <w:lang w:eastAsia="en-US" w:bidi="en-US"/>
    </w:rPr>
  </w:style>
  <w:style w:type="paragraph" w:customStyle="1" w:styleId="TableText1">
    <w:name w:val="TableText"/>
    <w:basedOn w:val="Normal"/>
    <w:link w:val="TableTextChar1"/>
    <w:qFormat/>
    <w:rsid w:val="000819DF"/>
    <w:pPr>
      <w:keepNext/>
      <w:spacing w:before="40" w:after="40"/>
      <w:jc w:val="center"/>
    </w:pPr>
    <w:rPr>
      <w:iCs/>
      <w:sz w:val="20"/>
      <w:szCs w:val="18"/>
      <w:lang w:eastAsia="en-US"/>
    </w:rPr>
  </w:style>
  <w:style w:type="character" w:customStyle="1" w:styleId="TableTextChar1">
    <w:name w:val="TableText Char"/>
    <w:link w:val="TableText1"/>
    <w:rsid w:val="000819DF"/>
    <w:rPr>
      <w:rFonts w:ascii="Calibri" w:hAnsi="Calibri"/>
      <w:iCs/>
      <w:szCs w:val="18"/>
      <w:lang w:eastAsia="en-US"/>
    </w:rPr>
  </w:style>
  <w:style w:type="character" w:customStyle="1" w:styleId="StyleCalibri">
    <w:name w:val="Style Calibri"/>
    <w:basedOn w:val="DefaultParagraphFont"/>
    <w:uiPriority w:val="99"/>
    <w:rsid w:val="000819DF"/>
    <w:rPr>
      <w:rFonts w:ascii="Calibri" w:hAnsi="Calibri"/>
      <w:sz w:val="24"/>
    </w:rPr>
  </w:style>
  <w:style w:type="table" w:customStyle="1" w:styleId="Summarybox1">
    <w:name w:val="Summary box1"/>
    <w:basedOn w:val="TableNormal"/>
    <w:next w:val="TableGrid"/>
    <w:uiPriority w:val="59"/>
    <w:rsid w:val="000819DF"/>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19DF"/>
    <w:pPr>
      <w:spacing w:before="100" w:beforeAutospacing="1" w:after="100" w:afterAutospacing="1"/>
      <w:jc w:val="left"/>
    </w:pPr>
    <w:rPr>
      <w:rFonts w:ascii="Times New Roman" w:hAnsi="Times New Roman"/>
      <w:lang w:val="en-US" w:eastAsia="en-US"/>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7"/>
    <w:rsid w:val="00662CCB"/>
    <w:rPr>
      <w:rFonts w:ascii="Calibri" w:hAnsi="Calibri"/>
      <w:i/>
      <w:iCs/>
      <w:color w:val="000000" w:themeColor="text1"/>
      <w:sz w:val="18"/>
      <w:szCs w:val="18"/>
    </w:rPr>
  </w:style>
  <w:style w:type="paragraph" w:styleId="FootnoteText">
    <w:name w:val="footnote text"/>
    <w:basedOn w:val="Normal"/>
    <w:link w:val="FootnoteTextChar"/>
    <w:semiHidden/>
    <w:unhideWhenUsed/>
    <w:rsid w:val="004F57A9"/>
    <w:rPr>
      <w:sz w:val="20"/>
      <w:szCs w:val="20"/>
    </w:rPr>
  </w:style>
  <w:style w:type="character" w:customStyle="1" w:styleId="FootnoteTextChar">
    <w:name w:val="Footnote Text Char"/>
    <w:basedOn w:val="DefaultParagraphFont"/>
    <w:link w:val="FootnoteText"/>
    <w:semiHidden/>
    <w:rsid w:val="004F57A9"/>
    <w:rPr>
      <w:rFonts w:ascii="Calibri" w:hAnsi="Calibri"/>
    </w:rPr>
  </w:style>
  <w:style w:type="character" w:styleId="FootnoteReference">
    <w:name w:val="footnote reference"/>
    <w:basedOn w:val="DefaultParagraphFont"/>
    <w:semiHidden/>
    <w:unhideWhenUsed/>
    <w:rsid w:val="004F5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67726768">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53909535">
      <w:bodyDiv w:val="1"/>
      <w:marLeft w:val="0"/>
      <w:marRight w:val="0"/>
      <w:marTop w:val="0"/>
      <w:marBottom w:val="0"/>
      <w:divBdr>
        <w:top w:val="none" w:sz="0" w:space="0" w:color="auto"/>
        <w:left w:val="none" w:sz="0" w:space="0" w:color="auto"/>
        <w:bottom w:val="none" w:sz="0" w:space="0" w:color="auto"/>
        <w:right w:val="none" w:sz="0" w:space="0" w:color="auto"/>
      </w:divBdr>
    </w:div>
    <w:div w:id="63702768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2162211">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8407118">
      <w:bodyDiv w:val="1"/>
      <w:marLeft w:val="0"/>
      <w:marRight w:val="0"/>
      <w:marTop w:val="0"/>
      <w:marBottom w:val="0"/>
      <w:divBdr>
        <w:top w:val="none" w:sz="0" w:space="0" w:color="auto"/>
        <w:left w:val="none" w:sz="0" w:space="0" w:color="auto"/>
        <w:bottom w:val="none" w:sz="0" w:space="0" w:color="auto"/>
        <w:right w:val="none" w:sz="0" w:space="0" w:color="auto"/>
      </w:divBdr>
    </w:div>
    <w:div w:id="877933414">
      <w:bodyDiv w:val="1"/>
      <w:marLeft w:val="0"/>
      <w:marRight w:val="0"/>
      <w:marTop w:val="0"/>
      <w:marBottom w:val="0"/>
      <w:divBdr>
        <w:top w:val="none" w:sz="0" w:space="0" w:color="auto"/>
        <w:left w:val="none" w:sz="0" w:space="0" w:color="auto"/>
        <w:bottom w:val="none" w:sz="0" w:space="0" w:color="auto"/>
        <w:right w:val="none" w:sz="0" w:space="0" w:color="auto"/>
      </w:divBdr>
    </w:div>
    <w:div w:id="881747719">
      <w:bodyDiv w:val="1"/>
      <w:marLeft w:val="0"/>
      <w:marRight w:val="0"/>
      <w:marTop w:val="0"/>
      <w:marBottom w:val="0"/>
      <w:divBdr>
        <w:top w:val="none" w:sz="0" w:space="0" w:color="auto"/>
        <w:left w:val="none" w:sz="0" w:space="0" w:color="auto"/>
        <w:bottom w:val="none" w:sz="0" w:space="0" w:color="auto"/>
        <w:right w:val="none" w:sz="0" w:space="0" w:color="auto"/>
      </w:divBdr>
    </w:div>
    <w:div w:id="915821562">
      <w:bodyDiv w:val="1"/>
      <w:marLeft w:val="0"/>
      <w:marRight w:val="0"/>
      <w:marTop w:val="0"/>
      <w:marBottom w:val="0"/>
      <w:divBdr>
        <w:top w:val="none" w:sz="0" w:space="0" w:color="auto"/>
        <w:left w:val="none" w:sz="0" w:space="0" w:color="auto"/>
        <w:bottom w:val="none" w:sz="0" w:space="0" w:color="auto"/>
        <w:right w:val="none" w:sz="0" w:space="0" w:color="auto"/>
      </w:divBdr>
    </w:div>
    <w:div w:id="1149051700">
      <w:bodyDiv w:val="1"/>
      <w:marLeft w:val="0"/>
      <w:marRight w:val="0"/>
      <w:marTop w:val="0"/>
      <w:marBottom w:val="0"/>
      <w:divBdr>
        <w:top w:val="none" w:sz="0" w:space="0" w:color="auto"/>
        <w:left w:val="none" w:sz="0" w:space="0" w:color="auto"/>
        <w:bottom w:val="none" w:sz="0" w:space="0" w:color="auto"/>
        <w:right w:val="none" w:sz="0" w:space="0" w:color="auto"/>
      </w:divBdr>
    </w:div>
    <w:div w:id="1238246370">
      <w:bodyDiv w:val="1"/>
      <w:marLeft w:val="0"/>
      <w:marRight w:val="0"/>
      <w:marTop w:val="0"/>
      <w:marBottom w:val="0"/>
      <w:divBdr>
        <w:top w:val="none" w:sz="0" w:space="0" w:color="auto"/>
        <w:left w:val="none" w:sz="0" w:space="0" w:color="auto"/>
        <w:bottom w:val="none" w:sz="0" w:space="0" w:color="auto"/>
        <w:right w:val="none" w:sz="0" w:space="0" w:color="auto"/>
      </w:divBdr>
    </w:div>
    <w:div w:id="1310474408">
      <w:bodyDiv w:val="1"/>
      <w:marLeft w:val="0"/>
      <w:marRight w:val="0"/>
      <w:marTop w:val="0"/>
      <w:marBottom w:val="0"/>
      <w:divBdr>
        <w:top w:val="none" w:sz="0" w:space="0" w:color="auto"/>
        <w:left w:val="none" w:sz="0" w:space="0" w:color="auto"/>
        <w:bottom w:val="none" w:sz="0" w:space="0" w:color="auto"/>
        <w:right w:val="none" w:sz="0" w:space="0" w:color="auto"/>
      </w:divBdr>
    </w:div>
    <w:div w:id="148651295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05788166">
      <w:bodyDiv w:val="1"/>
      <w:marLeft w:val="0"/>
      <w:marRight w:val="0"/>
      <w:marTop w:val="0"/>
      <w:marBottom w:val="0"/>
      <w:divBdr>
        <w:top w:val="none" w:sz="0" w:space="0" w:color="auto"/>
        <w:left w:val="none" w:sz="0" w:space="0" w:color="auto"/>
        <w:bottom w:val="none" w:sz="0" w:space="0" w:color="auto"/>
        <w:right w:val="none" w:sz="0" w:space="0" w:color="auto"/>
      </w:divBdr>
    </w:div>
    <w:div w:id="1711104053">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63291233">
      <w:bodyDiv w:val="1"/>
      <w:marLeft w:val="0"/>
      <w:marRight w:val="0"/>
      <w:marTop w:val="0"/>
      <w:marBottom w:val="0"/>
      <w:divBdr>
        <w:top w:val="none" w:sz="0" w:space="0" w:color="auto"/>
        <w:left w:val="none" w:sz="0" w:space="0" w:color="auto"/>
        <w:bottom w:val="none" w:sz="0" w:space="0" w:color="auto"/>
        <w:right w:val="none" w:sz="0" w:space="0" w:color="auto"/>
      </w:divBdr>
    </w:div>
    <w:div w:id="21069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bs.gov.au/info/healthpro/explanatory-notes/general-statement-he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CDDC1-06C2-4AB7-890D-6215B8999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3383</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2021-03-03T22:12:00Z</dcterms:created>
  <dcterms:modified xsi:type="dcterms:W3CDTF">2021-04-05T08:46:00Z</dcterms:modified>
</cp:coreProperties>
</file>