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D77963" w:rsidRDefault="009A66F5" w:rsidP="004A6040">
      <w:pPr>
        <w:pStyle w:val="1-MainHeading"/>
      </w:pPr>
      <w:bookmarkStart w:id="0" w:name="_Toc51078492"/>
      <w:r w:rsidRPr="00D77963">
        <w:t>6.05</w:t>
      </w:r>
      <w:r w:rsidR="00163F66" w:rsidRPr="00D77963">
        <w:tab/>
      </w:r>
      <w:r w:rsidR="003208BB" w:rsidRPr="00D77963">
        <w:t>GALCANEZUMAB</w:t>
      </w:r>
      <w:proofErr w:type="gramStart"/>
      <w:r w:rsidR="00163F66" w:rsidRPr="00D77963">
        <w:t>,</w:t>
      </w:r>
      <w:proofErr w:type="gramEnd"/>
      <w:r w:rsidR="00163F66" w:rsidRPr="00D77963">
        <w:br/>
      </w:r>
      <w:r w:rsidR="003208BB" w:rsidRPr="00D77963">
        <w:t>Injection 120 mg in 1 mL pre-filled pen,</w:t>
      </w:r>
      <w:r w:rsidR="00163F66" w:rsidRPr="00D77963">
        <w:br/>
      </w:r>
      <w:proofErr w:type="spellStart"/>
      <w:r w:rsidR="00A75487" w:rsidRPr="00D77963">
        <w:t>Emgality</w:t>
      </w:r>
      <w:proofErr w:type="spellEnd"/>
      <w:r w:rsidR="00B60939" w:rsidRPr="00D77963">
        <w:t>®</w:t>
      </w:r>
      <w:r w:rsidR="004A6040" w:rsidRPr="00D77963">
        <w:t>,</w:t>
      </w:r>
      <w:r w:rsidR="004A6040" w:rsidRPr="00D77963">
        <w:br/>
      </w:r>
      <w:r w:rsidR="00A75487" w:rsidRPr="00D77963">
        <w:t>Eli Lilly Australia Pty Ltd</w:t>
      </w:r>
      <w:r w:rsidR="00B60939" w:rsidRPr="00D77963">
        <w:t>.</w:t>
      </w:r>
      <w:bookmarkEnd w:id="0"/>
    </w:p>
    <w:p w:rsidR="00B50DB8" w:rsidRPr="00D77963" w:rsidRDefault="00B50DB8" w:rsidP="004A6040">
      <w:pPr>
        <w:pStyle w:val="2-SectionHeading"/>
      </w:pPr>
      <w:bookmarkStart w:id="1" w:name="_Toc51078494"/>
      <w:r w:rsidRPr="00D77963">
        <w:t xml:space="preserve">Purpose of </w:t>
      </w:r>
      <w:r w:rsidR="00CD7193" w:rsidRPr="00D77963">
        <w:t>s</w:t>
      </w:r>
      <w:r w:rsidR="00BB3A45" w:rsidRPr="00D77963">
        <w:t>ubmission</w:t>
      </w:r>
      <w:bookmarkEnd w:id="1"/>
    </w:p>
    <w:p w:rsidR="002C2775" w:rsidRPr="00D77963" w:rsidRDefault="007170DA" w:rsidP="00DA4F48">
      <w:pPr>
        <w:pStyle w:val="ListParagraph"/>
        <w:numPr>
          <w:ilvl w:val="1"/>
          <w:numId w:val="4"/>
        </w:numPr>
        <w:spacing w:after="160"/>
        <w:contextualSpacing w:val="0"/>
      </w:pPr>
      <w:r w:rsidRPr="00D77963">
        <w:t xml:space="preserve">The submission requested </w:t>
      </w:r>
      <w:r w:rsidR="00FC12F6" w:rsidRPr="00D77963">
        <w:t xml:space="preserve">an Authority Required (Streamlined) listing for </w:t>
      </w:r>
      <w:proofErr w:type="spellStart"/>
      <w:r w:rsidR="00FC12F6" w:rsidRPr="00D77963">
        <w:t>galcanezumab</w:t>
      </w:r>
      <w:proofErr w:type="spellEnd"/>
      <w:r w:rsidR="00FC12F6" w:rsidRPr="00D77963">
        <w:t xml:space="preserve"> for the treatment of episodic migraine in patients who have experienced an inadequate response, intolerance, or a contraindication to at least three prophylactic migraine medications. </w:t>
      </w:r>
      <w:r w:rsidR="008B1757" w:rsidRPr="00D77963">
        <w:t xml:space="preserve"> </w:t>
      </w:r>
    </w:p>
    <w:p w:rsidR="00C2778B" w:rsidRPr="00D77963" w:rsidRDefault="00FC12F6" w:rsidP="004E18E9">
      <w:pPr>
        <w:pStyle w:val="ListParagraph"/>
        <w:numPr>
          <w:ilvl w:val="1"/>
          <w:numId w:val="4"/>
        </w:numPr>
        <w:spacing w:after="160"/>
        <w:contextualSpacing w:val="0"/>
      </w:pPr>
      <w:r w:rsidRPr="00D77963">
        <w:t xml:space="preserve">The submission requested listing on the basis of a cost-utility analysis versus placebo/best supportive care (BSC). The key components of the clinical issue addressed in the submission are presented in </w:t>
      </w:r>
      <w:r w:rsidR="00D5606A" w:rsidRPr="00D77963">
        <w:t xml:space="preserve">Table </w:t>
      </w:r>
      <w:r w:rsidR="00D5606A" w:rsidRPr="00D77963">
        <w:rPr>
          <w:noProof/>
        </w:rPr>
        <w:t>1</w:t>
      </w:r>
      <w:r w:rsidRPr="00D77963">
        <w:t>.</w:t>
      </w:r>
      <w:r w:rsidR="00BC591F" w:rsidRPr="00D77963">
        <w:rPr>
          <w:color w:val="0066FF"/>
        </w:rPr>
        <w:t xml:space="preserve">  </w:t>
      </w:r>
    </w:p>
    <w:p w:rsidR="008B1757" w:rsidRPr="00D77963" w:rsidRDefault="006F5006" w:rsidP="006F5006">
      <w:pPr>
        <w:pStyle w:val="TableFigureCaption"/>
      </w:pPr>
      <w:bookmarkStart w:id="2" w:name="_Ref53751427"/>
      <w:r w:rsidRPr="00D77963">
        <w:t xml:space="preserve">Table </w:t>
      </w:r>
      <w:r w:rsidR="00D5606A" w:rsidRPr="00D77963">
        <w:rPr>
          <w:noProof/>
        </w:rPr>
        <w:t>1</w:t>
      </w:r>
      <w:bookmarkEnd w:id="2"/>
      <w:r w:rsidRPr="00D77963">
        <w:t xml:space="preserve">: </w:t>
      </w:r>
      <w:r w:rsidR="008B1757" w:rsidRPr="00D77963">
        <w:t>Key components of the clinical issue addressed by the submission</w:t>
      </w:r>
      <w:r w:rsidR="007170DA" w:rsidRPr="00D77963">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FC12F6" w:rsidRPr="00D77963" w:rsidTr="00D77963">
        <w:tc>
          <w:tcPr>
            <w:tcW w:w="911" w:type="pct"/>
            <w:vAlign w:val="center"/>
          </w:tcPr>
          <w:p w:rsidR="00FC12F6" w:rsidRPr="00D77963" w:rsidRDefault="00FC12F6" w:rsidP="0082086C">
            <w:pPr>
              <w:pStyle w:val="Tableheadingrow"/>
              <w:rPr>
                <w:lang w:val="en-AU"/>
              </w:rPr>
            </w:pPr>
            <w:r w:rsidRPr="00D77963">
              <w:rPr>
                <w:lang w:val="en-AU"/>
              </w:rPr>
              <w:t>Component</w:t>
            </w:r>
          </w:p>
        </w:tc>
        <w:tc>
          <w:tcPr>
            <w:tcW w:w="4089" w:type="pct"/>
            <w:vAlign w:val="center"/>
          </w:tcPr>
          <w:p w:rsidR="00FC12F6" w:rsidRPr="00D77963" w:rsidRDefault="00FC12F6" w:rsidP="0082086C">
            <w:pPr>
              <w:pStyle w:val="Tableheadingrow"/>
              <w:rPr>
                <w:lang w:val="en-AU"/>
              </w:rPr>
            </w:pPr>
            <w:r w:rsidRPr="00D77963">
              <w:rPr>
                <w:lang w:val="en-AU"/>
              </w:rPr>
              <w:t>Description</w:t>
            </w:r>
          </w:p>
        </w:tc>
      </w:tr>
      <w:tr w:rsidR="00FC12F6" w:rsidRPr="00D77963" w:rsidTr="00D77963">
        <w:tc>
          <w:tcPr>
            <w:tcW w:w="911" w:type="pct"/>
            <w:vAlign w:val="center"/>
          </w:tcPr>
          <w:p w:rsidR="00FC12F6" w:rsidRPr="00D77963" w:rsidRDefault="00FC12F6" w:rsidP="0082086C">
            <w:pPr>
              <w:pStyle w:val="TableText"/>
            </w:pPr>
            <w:r w:rsidRPr="00D77963">
              <w:t>Population</w:t>
            </w:r>
          </w:p>
        </w:tc>
        <w:tc>
          <w:tcPr>
            <w:tcW w:w="4089" w:type="pct"/>
            <w:shd w:val="clear" w:color="auto" w:fill="auto"/>
            <w:vAlign w:val="center"/>
          </w:tcPr>
          <w:p w:rsidR="00FC12F6" w:rsidRPr="00D77963" w:rsidRDefault="00FC12F6" w:rsidP="0082086C">
            <w:pPr>
              <w:pStyle w:val="TableText"/>
            </w:pPr>
            <w:r w:rsidRPr="00D77963">
              <w:t>Adult patients with episodic migraine (up to 14 headaches days per month, with at least 4 migraine headache days) who have experienced an inadequate response, intolerance or a contraindication to at least three prophylactic migraine medications</w:t>
            </w:r>
          </w:p>
        </w:tc>
      </w:tr>
      <w:tr w:rsidR="00FC12F6" w:rsidRPr="00D77963" w:rsidTr="00D77963">
        <w:tc>
          <w:tcPr>
            <w:tcW w:w="911" w:type="pct"/>
            <w:vAlign w:val="center"/>
          </w:tcPr>
          <w:p w:rsidR="00FC12F6" w:rsidRPr="00D77963" w:rsidRDefault="00FC12F6" w:rsidP="0082086C">
            <w:pPr>
              <w:pStyle w:val="TableText"/>
            </w:pPr>
            <w:r w:rsidRPr="00D77963">
              <w:t>Intervention</w:t>
            </w:r>
          </w:p>
        </w:tc>
        <w:tc>
          <w:tcPr>
            <w:tcW w:w="4089" w:type="pct"/>
            <w:shd w:val="clear" w:color="auto" w:fill="auto"/>
            <w:vAlign w:val="center"/>
          </w:tcPr>
          <w:p w:rsidR="00FC12F6" w:rsidRPr="00D77963" w:rsidRDefault="00FC12F6" w:rsidP="0082086C">
            <w:pPr>
              <w:pStyle w:val="TableText"/>
            </w:pPr>
            <w:proofErr w:type="spellStart"/>
            <w:r w:rsidRPr="00D77963">
              <w:t>Galcanezumab</w:t>
            </w:r>
            <w:proofErr w:type="spellEnd"/>
            <w:r w:rsidRPr="00D77963">
              <w:t xml:space="preserve"> 120 mg injected subcutaneously once monthly, with a 240 mg loading dose as the initial dose</w:t>
            </w:r>
          </w:p>
        </w:tc>
      </w:tr>
      <w:tr w:rsidR="00FC12F6" w:rsidRPr="00D77963" w:rsidTr="00D77963">
        <w:tc>
          <w:tcPr>
            <w:tcW w:w="911" w:type="pct"/>
            <w:vAlign w:val="center"/>
          </w:tcPr>
          <w:p w:rsidR="00FC12F6" w:rsidRPr="00D77963" w:rsidRDefault="00FC12F6" w:rsidP="0082086C">
            <w:pPr>
              <w:pStyle w:val="TableText"/>
            </w:pPr>
            <w:r w:rsidRPr="00D77963">
              <w:t>Comparator</w:t>
            </w:r>
          </w:p>
        </w:tc>
        <w:tc>
          <w:tcPr>
            <w:tcW w:w="4089" w:type="pct"/>
            <w:shd w:val="clear" w:color="auto" w:fill="auto"/>
            <w:vAlign w:val="center"/>
          </w:tcPr>
          <w:p w:rsidR="00FC12F6" w:rsidRPr="00D77963" w:rsidRDefault="00FC12F6" w:rsidP="0082086C">
            <w:pPr>
              <w:pStyle w:val="TableText"/>
            </w:pPr>
            <w:r w:rsidRPr="00D77963">
              <w:t>Best supportive care</w:t>
            </w:r>
          </w:p>
        </w:tc>
      </w:tr>
      <w:tr w:rsidR="00FC12F6" w:rsidRPr="00D77963" w:rsidTr="00D77963">
        <w:tc>
          <w:tcPr>
            <w:tcW w:w="911" w:type="pct"/>
            <w:vAlign w:val="center"/>
          </w:tcPr>
          <w:p w:rsidR="00FC12F6" w:rsidRPr="00D77963" w:rsidRDefault="00FC12F6" w:rsidP="0082086C">
            <w:pPr>
              <w:pStyle w:val="TableText"/>
            </w:pPr>
            <w:r w:rsidRPr="00D77963">
              <w:t>Outcomes</w:t>
            </w:r>
          </w:p>
        </w:tc>
        <w:tc>
          <w:tcPr>
            <w:tcW w:w="4089" w:type="pct"/>
            <w:shd w:val="clear" w:color="auto" w:fill="auto"/>
            <w:vAlign w:val="center"/>
          </w:tcPr>
          <w:p w:rsidR="00FC12F6" w:rsidRPr="00D77963" w:rsidRDefault="00FC12F6" w:rsidP="0082086C">
            <w:pPr>
              <w:pStyle w:val="TableText"/>
            </w:pPr>
            <w:r w:rsidRPr="00D77963">
              <w:t xml:space="preserve">Monthly migraine headache days, use of acute headache medication, quality of life, adverse events </w:t>
            </w:r>
          </w:p>
        </w:tc>
      </w:tr>
      <w:tr w:rsidR="00FC12F6" w:rsidRPr="00D77963" w:rsidTr="00D77963">
        <w:tc>
          <w:tcPr>
            <w:tcW w:w="911" w:type="pct"/>
            <w:vAlign w:val="center"/>
          </w:tcPr>
          <w:p w:rsidR="00FC12F6" w:rsidRPr="00D77963" w:rsidRDefault="00FC12F6" w:rsidP="0082086C">
            <w:pPr>
              <w:pStyle w:val="TableText"/>
            </w:pPr>
            <w:r w:rsidRPr="00D77963">
              <w:t>Clinical claim</w:t>
            </w:r>
          </w:p>
        </w:tc>
        <w:tc>
          <w:tcPr>
            <w:tcW w:w="4089" w:type="pct"/>
            <w:shd w:val="clear" w:color="auto" w:fill="auto"/>
            <w:vAlign w:val="center"/>
          </w:tcPr>
          <w:p w:rsidR="00FC12F6" w:rsidRPr="00D77963" w:rsidRDefault="00FC12F6" w:rsidP="0082086C">
            <w:pPr>
              <w:pStyle w:val="TableText"/>
            </w:pPr>
            <w:r w:rsidRPr="00D77963">
              <w:t xml:space="preserve">In patients with treatment-resistant episodic migraine, </w:t>
            </w:r>
            <w:proofErr w:type="spellStart"/>
            <w:r w:rsidRPr="00D77963">
              <w:t>galcanezumab</w:t>
            </w:r>
            <w:proofErr w:type="spellEnd"/>
            <w:r w:rsidRPr="00D77963">
              <w:t xml:space="preserve"> is superior in terms of efficacy and similar in terms of safety compared to best supportive care</w:t>
            </w:r>
          </w:p>
        </w:tc>
      </w:tr>
    </w:tbl>
    <w:p w:rsidR="00FC12F6" w:rsidRPr="00D77963" w:rsidRDefault="00FC12F6" w:rsidP="00FC12F6">
      <w:pPr>
        <w:pStyle w:val="TableFigureFooter"/>
      </w:pPr>
      <w:r w:rsidRPr="00D77963">
        <w:t>Source: Table 1.1.1</w:t>
      </w:r>
      <w:r w:rsidR="00547849">
        <w:t xml:space="preserve"> </w:t>
      </w:r>
      <w:r w:rsidRPr="00D77963">
        <w:t>of the submission</w:t>
      </w:r>
    </w:p>
    <w:p w:rsidR="005C25FF" w:rsidRPr="00D77963" w:rsidRDefault="005C25FF" w:rsidP="004A6040">
      <w:pPr>
        <w:pStyle w:val="2-SectionHeading"/>
      </w:pPr>
      <w:bookmarkStart w:id="3" w:name="_Toc51078495"/>
      <w:r w:rsidRPr="00D77963">
        <w:t>Background</w:t>
      </w:r>
      <w:bookmarkEnd w:id="3"/>
    </w:p>
    <w:p w:rsidR="005C25FF" w:rsidRPr="00D77963" w:rsidRDefault="005C25FF" w:rsidP="004A6040">
      <w:pPr>
        <w:pStyle w:val="3-SubsectionHeading"/>
      </w:pPr>
      <w:bookmarkStart w:id="4" w:name="_Toc22897638"/>
      <w:bookmarkStart w:id="5" w:name="_Toc51078496"/>
      <w:r w:rsidRPr="00D77963">
        <w:t>Registration status</w:t>
      </w:r>
      <w:bookmarkEnd w:id="4"/>
      <w:bookmarkEnd w:id="5"/>
    </w:p>
    <w:p w:rsidR="005C25FF" w:rsidRPr="00D77963" w:rsidRDefault="00FC12F6" w:rsidP="00DA4F48">
      <w:pPr>
        <w:pStyle w:val="ListParagraph"/>
        <w:numPr>
          <w:ilvl w:val="1"/>
          <w:numId w:val="4"/>
        </w:numPr>
        <w:spacing w:after="160"/>
        <w:contextualSpacing w:val="0"/>
      </w:pPr>
      <w:proofErr w:type="spellStart"/>
      <w:r w:rsidRPr="00D77963">
        <w:t>Galcanezumab</w:t>
      </w:r>
      <w:proofErr w:type="spellEnd"/>
      <w:r w:rsidRPr="00D77963">
        <w:t xml:space="preserve"> was registered by the TGA on 29 May 2019 for the prophylaxis of migraine in adults. </w:t>
      </w:r>
    </w:p>
    <w:p w:rsidR="00372DA8" w:rsidRPr="00D77963" w:rsidRDefault="00372DA8" w:rsidP="00372DA8">
      <w:pPr>
        <w:pStyle w:val="3-SubsectionHeading"/>
      </w:pPr>
      <w:bookmarkStart w:id="6" w:name="_Toc51078497"/>
      <w:r w:rsidRPr="00D77963">
        <w:t>Previous PBAC considerations</w:t>
      </w:r>
      <w:bookmarkEnd w:id="6"/>
    </w:p>
    <w:p w:rsidR="00E855D6" w:rsidRPr="00D77963" w:rsidRDefault="00E855D6" w:rsidP="00DA4F48">
      <w:pPr>
        <w:pStyle w:val="ListParagraph"/>
        <w:numPr>
          <w:ilvl w:val="1"/>
          <w:numId w:val="4"/>
        </w:numPr>
        <w:spacing w:after="160"/>
        <w:contextualSpacing w:val="0"/>
      </w:pPr>
      <w:r w:rsidRPr="00D77963">
        <w:t xml:space="preserve">This was the first consideration of </w:t>
      </w:r>
      <w:proofErr w:type="spellStart"/>
      <w:r w:rsidRPr="00D77963">
        <w:t>galcanezumab</w:t>
      </w:r>
      <w:proofErr w:type="spellEnd"/>
      <w:r w:rsidRPr="00D77963">
        <w:t xml:space="preserve"> for episodic migraine.</w:t>
      </w:r>
    </w:p>
    <w:p w:rsidR="00372DA8" w:rsidRPr="00D77963" w:rsidRDefault="00372DA8" w:rsidP="00DA4F48">
      <w:pPr>
        <w:pStyle w:val="ListParagraph"/>
        <w:numPr>
          <w:ilvl w:val="1"/>
          <w:numId w:val="4"/>
        </w:numPr>
        <w:spacing w:after="160"/>
        <w:contextualSpacing w:val="0"/>
      </w:pPr>
      <w:proofErr w:type="spellStart"/>
      <w:r w:rsidRPr="00D77963">
        <w:t>Galcanezumab</w:t>
      </w:r>
      <w:proofErr w:type="spellEnd"/>
      <w:r w:rsidRPr="00D77963">
        <w:t xml:space="preserve"> was recommended by the PBAC </w:t>
      </w:r>
      <w:r w:rsidR="00457635" w:rsidRPr="00D77963">
        <w:t xml:space="preserve">in July 2019 </w:t>
      </w:r>
      <w:r w:rsidRPr="00D77963">
        <w:t>for the treatment of chronic migraine (≥15 headache days per month of which ≥8 are migraine headache days) who have experienced an inadequate response, intolerance or a contraindication to ≥3 prophylactic migraine medications.</w:t>
      </w:r>
      <w:r w:rsidR="00364A42" w:rsidRPr="00D77963">
        <w:t xml:space="preserve"> It was not PBS listed at the time of consideration of this submission. </w:t>
      </w:r>
      <w:r w:rsidR="008F52A5" w:rsidRPr="00D77963">
        <w:t xml:space="preserve">A minor </w:t>
      </w:r>
      <w:r w:rsidR="008B3CB7" w:rsidRPr="00D77963">
        <w:t>re</w:t>
      </w:r>
      <w:r w:rsidR="008F52A5" w:rsidRPr="00D77963">
        <w:t xml:space="preserve">submission for chronic migraine </w:t>
      </w:r>
      <w:r w:rsidR="00E855D6" w:rsidRPr="00D77963">
        <w:t xml:space="preserve">to amend the cost-minimisation basis, financial estimates and risk sharing </w:t>
      </w:r>
      <w:proofErr w:type="gramStart"/>
      <w:r w:rsidR="00E855D6" w:rsidRPr="00D77963">
        <w:lastRenderedPageBreak/>
        <w:t>arrangement</w:t>
      </w:r>
      <w:proofErr w:type="gramEnd"/>
      <w:r w:rsidR="00E855D6" w:rsidRPr="00D77963">
        <w:t xml:space="preserve"> details from the July 2019 recommendation </w:t>
      </w:r>
      <w:r w:rsidR="002B3AB7" w:rsidRPr="00D77963">
        <w:t>was</w:t>
      </w:r>
      <w:r w:rsidR="008F52A5" w:rsidRPr="00D77963">
        <w:t xml:space="preserve"> considered </w:t>
      </w:r>
      <w:r w:rsidR="00364A42" w:rsidRPr="00D77963">
        <w:t xml:space="preserve">at the November 2020 </w:t>
      </w:r>
      <w:r w:rsidR="008F52A5" w:rsidRPr="00D77963">
        <w:t>at meeting</w:t>
      </w:r>
      <w:r w:rsidR="00E855D6" w:rsidRPr="00D77963">
        <w:t xml:space="preserve"> (refer to agenda item 7.08)</w:t>
      </w:r>
      <w:r w:rsidR="008F52A5" w:rsidRPr="00D77963">
        <w:t xml:space="preserve">.  </w:t>
      </w:r>
    </w:p>
    <w:p w:rsidR="007937C3" w:rsidRPr="00D77963" w:rsidRDefault="00B50DB8" w:rsidP="007937C3">
      <w:pPr>
        <w:pStyle w:val="2-SectionHeading"/>
      </w:pPr>
      <w:bookmarkStart w:id="7" w:name="_Toc51078498"/>
      <w:r w:rsidRPr="00D77963">
        <w:t>Requested listing</w:t>
      </w:r>
      <w:bookmarkEnd w:id="7"/>
    </w:p>
    <w:p w:rsidR="006C22F0" w:rsidRPr="00D77963" w:rsidRDefault="003C6A8E" w:rsidP="003C6A8E">
      <w:pPr>
        <w:pStyle w:val="ListParagraph"/>
        <w:numPr>
          <w:ilvl w:val="1"/>
          <w:numId w:val="1"/>
        </w:numPr>
        <w:spacing w:after="120"/>
        <w:contextualSpacing w:val="0"/>
        <w:rPr>
          <w:rFonts w:cs="Calibri"/>
          <w:bCs/>
        </w:rPr>
      </w:pPr>
      <w:r w:rsidRPr="00D77963">
        <w:rPr>
          <w:rFonts w:cs="Calibri"/>
          <w:bCs/>
        </w:rPr>
        <w:t xml:space="preserve">Suggestions and additions proposed by the Secretariat are added in italics and suggested deletions are crossed out with strikethrough. </w:t>
      </w:r>
    </w:p>
    <w:tbl>
      <w:tblPr>
        <w:tblpPr w:leftFromText="195" w:rightFromText="195" w:vertAnchor="text"/>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108"/>
        <w:gridCol w:w="1322"/>
        <w:gridCol w:w="1302"/>
        <w:gridCol w:w="935"/>
        <w:gridCol w:w="1634"/>
        <w:gridCol w:w="1726"/>
      </w:tblGrid>
      <w:tr w:rsidR="007937C3" w:rsidRPr="00D77963" w:rsidTr="00D77963">
        <w:tc>
          <w:tcPr>
            <w:tcW w:w="1168" w:type="pct"/>
            <w:tcMar>
              <w:top w:w="0" w:type="dxa"/>
              <w:left w:w="108" w:type="dxa"/>
              <w:bottom w:w="0" w:type="dxa"/>
              <w:right w:w="108" w:type="dxa"/>
            </w:tcMar>
            <w:hideMark/>
          </w:tcPr>
          <w:p w:rsidR="007937C3" w:rsidRPr="00D77963" w:rsidRDefault="007937C3" w:rsidP="00372DA8">
            <w:pPr>
              <w:pStyle w:val="TableFigureCaption"/>
              <w:rPr>
                <w:szCs w:val="20"/>
              </w:rPr>
            </w:pPr>
            <w:r w:rsidRPr="00D77963">
              <w:rPr>
                <w:szCs w:val="20"/>
              </w:rPr>
              <w:t>Name, restriction, manner of administration, form</w:t>
            </w:r>
          </w:p>
        </w:tc>
        <w:tc>
          <w:tcPr>
            <w:tcW w:w="732" w:type="pct"/>
            <w:tcMar>
              <w:top w:w="0" w:type="dxa"/>
              <w:left w:w="108" w:type="dxa"/>
              <w:bottom w:w="0" w:type="dxa"/>
              <w:right w:w="108" w:type="dxa"/>
            </w:tcMar>
            <w:vAlign w:val="center"/>
            <w:hideMark/>
          </w:tcPr>
          <w:p w:rsidR="007937C3" w:rsidRPr="00D77963" w:rsidRDefault="007937C3" w:rsidP="00372DA8">
            <w:pPr>
              <w:pStyle w:val="TableFigureCaption"/>
              <w:jc w:val="center"/>
              <w:rPr>
                <w:szCs w:val="20"/>
              </w:rPr>
            </w:pPr>
            <w:r w:rsidRPr="00D77963">
              <w:rPr>
                <w:szCs w:val="20"/>
              </w:rPr>
              <w:t>Maximum quantity (packs)</w:t>
            </w:r>
          </w:p>
        </w:tc>
        <w:tc>
          <w:tcPr>
            <w:tcW w:w="721" w:type="pct"/>
            <w:tcMar>
              <w:top w:w="0" w:type="dxa"/>
              <w:left w:w="108" w:type="dxa"/>
              <w:bottom w:w="0" w:type="dxa"/>
              <w:right w:w="108" w:type="dxa"/>
            </w:tcMar>
            <w:vAlign w:val="center"/>
            <w:hideMark/>
          </w:tcPr>
          <w:p w:rsidR="007937C3" w:rsidRPr="00D77963" w:rsidRDefault="007937C3" w:rsidP="00372DA8">
            <w:pPr>
              <w:pStyle w:val="TableFigureCaption"/>
              <w:jc w:val="center"/>
              <w:rPr>
                <w:szCs w:val="20"/>
              </w:rPr>
            </w:pPr>
            <w:r w:rsidRPr="00D77963">
              <w:rPr>
                <w:szCs w:val="20"/>
              </w:rPr>
              <w:t>Maximum quantity (units)</w:t>
            </w:r>
          </w:p>
        </w:tc>
        <w:tc>
          <w:tcPr>
            <w:tcW w:w="518" w:type="pct"/>
            <w:tcMar>
              <w:top w:w="0" w:type="dxa"/>
              <w:left w:w="108" w:type="dxa"/>
              <w:bottom w:w="0" w:type="dxa"/>
              <w:right w:w="108" w:type="dxa"/>
            </w:tcMar>
            <w:vAlign w:val="center"/>
            <w:hideMark/>
          </w:tcPr>
          <w:p w:rsidR="007937C3" w:rsidRPr="00D77963" w:rsidRDefault="007937C3" w:rsidP="00372DA8">
            <w:pPr>
              <w:pStyle w:val="TableFigureCaption"/>
              <w:jc w:val="center"/>
              <w:rPr>
                <w:szCs w:val="20"/>
              </w:rPr>
            </w:pPr>
            <w:r w:rsidRPr="00D77963">
              <w:rPr>
                <w:szCs w:val="20"/>
              </w:rPr>
              <w:t>No. of repeats</w:t>
            </w:r>
          </w:p>
        </w:tc>
        <w:tc>
          <w:tcPr>
            <w:tcW w:w="905" w:type="pct"/>
            <w:tcMar>
              <w:top w:w="0" w:type="dxa"/>
              <w:left w:w="108" w:type="dxa"/>
              <w:bottom w:w="0" w:type="dxa"/>
              <w:right w:w="108" w:type="dxa"/>
            </w:tcMar>
            <w:hideMark/>
          </w:tcPr>
          <w:p w:rsidR="007937C3" w:rsidRPr="00D77963" w:rsidRDefault="007937C3" w:rsidP="00372DA8">
            <w:pPr>
              <w:pStyle w:val="TableFigureCaption"/>
              <w:jc w:val="center"/>
              <w:rPr>
                <w:szCs w:val="20"/>
              </w:rPr>
            </w:pPr>
            <w:r w:rsidRPr="00D77963">
              <w:rPr>
                <w:szCs w:val="20"/>
              </w:rPr>
              <w:t>Dispensed price for maximum quantity</w:t>
            </w:r>
          </w:p>
        </w:tc>
        <w:tc>
          <w:tcPr>
            <w:tcW w:w="957" w:type="pct"/>
            <w:tcMar>
              <w:top w:w="0" w:type="dxa"/>
              <w:left w:w="108" w:type="dxa"/>
              <w:bottom w:w="0" w:type="dxa"/>
              <w:right w:w="108" w:type="dxa"/>
            </w:tcMar>
            <w:hideMark/>
          </w:tcPr>
          <w:p w:rsidR="007937C3" w:rsidRPr="00D77963" w:rsidRDefault="007937C3" w:rsidP="00372DA8">
            <w:pPr>
              <w:pStyle w:val="TableFigureCaption"/>
              <w:jc w:val="center"/>
              <w:rPr>
                <w:szCs w:val="20"/>
              </w:rPr>
            </w:pPr>
            <w:r w:rsidRPr="00D77963">
              <w:rPr>
                <w:szCs w:val="20"/>
              </w:rPr>
              <w:t>Proprietary name and manufacturer</w:t>
            </w:r>
          </w:p>
        </w:tc>
      </w:tr>
      <w:tr w:rsidR="007937C3" w:rsidRPr="00D77963" w:rsidTr="00D77963">
        <w:tc>
          <w:tcPr>
            <w:tcW w:w="1168" w:type="pct"/>
            <w:tcMar>
              <w:top w:w="0" w:type="dxa"/>
              <w:left w:w="108" w:type="dxa"/>
              <w:bottom w:w="0" w:type="dxa"/>
              <w:right w:w="108" w:type="dxa"/>
            </w:tcMar>
            <w:vAlign w:val="center"/>
            <w:hideMark/>
          </w:tcPr>
          <w:p w:rsidR="007937C3" w:rsidRPr="00D77963" w:rsidRDefault="007937C3" w:rsidP="002B3AB7">
            <w:pPr>
              <w:pStyle w:val="TableText"/>
              <w:rPr>
                <w:b/>
                <w:szCs w:val="20"/>
              </w:rPr>
            </w:pPr>
            <w:r w:rsidRPr="00D77963">
              <w:rPr>
                <w:b/>
                <w:bCs w:val="0"/>
                <w:szCs w:val="20"/>
              </w:rPr>
              <w:t xml:space="preserve">Initial </w:t>
            </w:r>
            <w:r w:rsidRPr="00D77963">
              <w:rPr>
                <w:b/>
                <w:bCs w:val="0"/>
                <w:strike/>
                <w:szCs w:val="20"/>
              </w:rPr>
              <w:t>– loading dose</w:t>
            </w:r>
          </w:p>
        </w:tc>
        <w:tc>
          <w:tcPr>
            <w:tcW w:w="732" w:type="pct"/>
            <w:tcMar>
              <w:top w:w="0" w:type="dxa"/>
              <w:left w:w="108" w:type="dxa"/>
              <w:bottom w:w="0" w:type="dxa"/>
              <w:right w:w="108" w:type="dxa"/>
            </w:tcMar>
            <w:vAlign w:val="center"/>
          </w:tcPr>
          <w:p w:rsidR="007937C3" w:rsidRPr="00D77963" w:rsidRDefault="007937C3" w:rsidP="00372DA8">
            <w:pPr>
              <w:pStyle w:val="TableText"/>
              <w:jc w:val="center"/>
              <w:rPr>
                <w:rFonts w:cs="Times"/>
                <w:bCs w:val="0"/>
                <w:szCs w:val="20"/>
              </w:rPr>
            </w:pPr>
          </w:p>
        </w:tc>
        <w:tc>
          <w:tcPr>
            <w:tcW w:w="721" w:type="pct"/>
            <w:tcMar>
              <w:top w:w="0" w:type="dxa"/>
              <w:left w:w="108" w:type="dxa"/>
              <w:bottom w:w="0" w:type="dxa"/>
              <w:right w:w="108" w:type="dxa"/>
            </w:tcMar>
            <w:vAlign w:val="center"/>
          </w:tcPr>
          <w:p w:rsidR="007937C3" w:rsidRPr="00D77963" w:rsidRDefault="007937C3" w:rsidP="00372DA8">
            <w:pPr>
              <w:pStyle w:val="TableText"/>
              <w:jc w:val="center"/>
              <w:rPr>
                <w:rFonts w:cs="Times"/>
                <w:szCs w:val="20"/>
              </w:rPr>
            </w:pPr>
          </w:p>
        </w:tc>
        <w:tc>
          <w:tcPr>
            <w:tcW w:w="518" w:type="pct"/>
            <w:tcMar>
              <w:top w:w="0" w:type="dxa"/>
              <w:left w:w="108" w:type="dxa"/>
              <w:bottom w:w="0" w:type="dxa"/>
              <w:right w:w="108" w:type="dxa"/>
            </w:tcMar>
            <w:vAlign w:val="center"/>
          </w:tcPr>
          <w:p w:rsidR="007937C3" w:rsidRPr="00D77963" w:rsidRDefault="007937C3" w:rsidP="00372DA8">
            <w:pPr>
              <w:pStyle w:val="TableText"/>
              <w:jc w:val="center"/>
              <w:rPr>
                <w:rFonts w:cs="Times"/>
                <w:szCs w:val="20"/>
              </w:rPr>
            </w:pPr>
          </w:p>
        </w:tc>
        <w:tc>
          <w:tcPr>
            <w:tcW w:w="905" w:type="pct"/>
            <w:tcMar>
              <w:top w:w="0" w:type="dxa"/>
              <w:left w:w="108" w:type="dxa"/>
              <w:bottom w:w="0" w:type="dxa"/>
              <w:right w:w="108" w:type="dxa"/>
            </w:tcMar>
            <w:vAlign w:val="center"/>
          </w:tcPr>
          <w:p w:rsidR="007937C3" w:rsidRPr="00D77963" w:rsidRDefault="007937C3" w:rsidP="00372DA8">
            <w:pPr>
              <w:pStyle w:val="TableText"/>
              <w:rPr>
                <w:rFonts w:cs="Times"/>
                <w:szCs w:val="20"/>
              </w:rPr>
            </w:pPr>
          </w:p>
        </w:tc>
        <w:tc>
          <w:tcPr>
            <w:tcW w:w="957" w:type="pct"/>
            <w:tcMar>
              <w:top w:w="0" w:type="dxa"/>
              <w:left w:w="108" w:type="dxa"/>
              <w:bottom w:w="0" w:type="dxa"/>
              <w:right w:w="108" w:type="dxa"/>
            </w:tcMar>
            <w:vAlign w:val="center"/>
          </w:tcPr>
          <w:p w:rsidR="007937C3" w:rsidRPr="00D77963" w:rsidRDefault="007937C3" w:rsidP="00372DA8">
            <w:pPr>
              <w:pStyle w:val="TableText"/>
              <w:rPr>
                <w:rFonts w:cs="Times"/>
                <w:szCs w:val="20"/>
              </w:rPr>
            </w:pPr>
          </w:p>
        </w:tc>
      </w:tr>
      <w:tr w:rsidR="007937C3" w:rsidRPr="00D77963" w:rsidTr="00D77963">
        <w:tc>
          <w:tcPr>
            <w:tcW w:w="1168" w:type="pct"/>
            <w:tcMar>
              <w:top w:w="0" w:type="dxa"/>
              <w:left w:w="108" w:type="dxa"/>
              <w:bottom w:w="0" w:type="dxa"/>
              <w:right w:w="108" w:type="dxa"/>
            </w:tcMar>
            <w:vAlign w:val="center"/>
            <w:hideMark/>
          </w:tcPr>
          <w:p w:rsidR="007937C3" w:rsidRPr="00D77963" w:rsidRDefault="007937C3" w:rsidP="00372DA8">
            <w:pPr>
              <w:pStyle w:val="TableText"/>
              <w:rPr>
                <w:rFonts w:cs="Times New Roman"/>
                <w:szCs w:val="20"/>
              </w:rPr>
            </w:pPr>
            <w:proofErr w:type="spellStart"/>
            <w:r w:rsidRPr="00D77963">
              <w:rPr>
                <w:smallCaps/>
                <w:szCs w:val="20"/>
              </w:rPr>
              <w:t>Galcanezumab</w:t>
            </w:r>
            <w:proofErr w:type="spellEnd"/>
          </w:p>
          <w:p w:rsidR="007937C3" w:rsidRPr="00D77963" w:rsidRDefault="007937C3" w:rsidP="00372DA8">
            <w:pPr>
              <w:pStyle w:val="TableText"/>
              <w:rPr>
                <w:smallCaps/>
                <w:szCs w:val="20"/>
              </w:rPr>
            </w:pPr>
            <w:r w:rsidRPr="00D77963">
              <w:rPr>
                <w:szCs w:val="20"/>
              </w:rPr>
              <w:t>120 mg / 1 mL solution for injection, pre-filled pen</w:t>
            </w:r>
          </w:p>
        </w:tc>
        <w:tc>
          <w:tcPr>
            <w:tcW w:w="732" w:type="pct"/>
            <w:tcMar>
              <w:top w:w="0" w:type="dxa"/>
              <w:left w:w="108" w:type="dxa"/>
              <w:bottom w:w="0" w:type="dxa"/>
              <w:right w:w="108" w:type="dxa"/>
            </w:tcMar>
            <w:vAlign w:val="center"/>
            <w:hideMark/>
          </w:tcPr>
          <w:p w:rsidR="007937C3" w:rsidRPr="00D77963" w:rsidRDefault="007937C3" w:rsidP="00372DA8">
            <w:pPr>
              <w:pStyle w:val="TableText"/>
              <w:jc w:val="center"/>
              <w:rPr>
                <w:szCs w:val="20"/>
              </w:rPr>
            </w:pPr>
            <w:r w:rsidRPr="00D77963">
              <w:rPr>
                <w:szCs w:val="20"/>
              </w:rPr>
              <w:t>2</w:t>
            </w:r>
          </w:p>
        </w:tc>
        <w:tc>
          <w:tcPr>
            <w:tcW w:w="721" w:type="pct"/>
            <w:tcMar>
              <w:top w:w="0" w:type="dxa"/>
              <w:left w:w="108" w:type="dxa"/>
              <w:bottom w:w="0" w:type="dxa"/>
              <w:right w:w="108" w:type="dxa"/>
            </w:tcMar>
            <w:vAlign w:val="center"/>
            <w:hideMark/>
          </w:tcPr>
          <w:p w:rsidR="007937C3" w:rsidRPr="00D77963" w:rsidRDefault="007937C3" w:rsidP="00372DA8">
            <w:pPr>
              <w:pStyle w:val="TableText"/>
              <w:jc w:val="center"/>
              <w:rPr>
                <w:szCs w:val="20"/>
              </w:rPr>
            </w:pPr>
            <w:r w:rsidRPr="00D77963">
              <w:rPr>
                <w:szCs w:val="20"/>
              </w:rPr>
              <w:t>2</w:t>
            </w:r>
          </w:p>
        </w:tc>
        <w:tc>
          <w:tcPr>
            <w:tcW w:w="518" w:type="pct"/>
            <w:tcMar>
              <w:top w:w="0" w:type="dxa"/>
              <w:left w:w="108" w:type="dxa"/>
              <w:bottom w:w="0" w:type="dxa"/>
              <w:right w:w="108" w:type="dxa"/>
            </w:tcMar>
            <w:vAlign w:val="center"/>
            <w:hideMark/>
          </w:tcPr>
          <w:p w:rsidR="007937C3" w:rsidRPr="00D77963" w:rsidRDefault="007937C3" w:rsidP="00372DA8">
            <w:pPr>
              <w:pStyle w:val="TableText"/>
              <w:jc w:val="center"/>
              <w:rPr>
                <w:strike/>
                <w:szCs w:val="20"/>
              </w:rPr>
            </w:pPr>
            <w:r w:rsidRPr="00D77963">
              <w:rPr>
                <w:strike/>
                <w:szCs w:val="20"/>
              </w:rPr>
              <w:t>0</w:t>
            </w:r>
            <w:r w:rsidR="00BF57BF" w:rsidRPr="00D77963">
              <w:rPr>
                <w:i/>
                <w:szCs w:val="20"/>
              </w:rPr>
              <w:t>1</w:t>
            </w:r>
          </w:p>
        </w:tc>
        <w:tc>
          <w:tcPr>
            <w:tcW w:w="905" w:type="pct"/>
            <w:tcMar>
              <w:top w:w="0" w:type="dxa"/>
              <w:left w:w="108" w:type="dxa"/>
              <w:bottom w:w="0" w:type="dxa"/>
              <w:right w:w="108" w:type="dxa"/>
            </w:tcMar>
            <w:vAlign w:val="center"/>
            <w:hideMark/>
          </w:tcPr>
          <w:p w:rsidR="007937C3" w:rsidRPr="00D77963" w:rsidRDefault="007937C3" w:rsidP="00372DA8">
            <w:pPr>
              <w:pStyle w:val="TableText"/>
              <w:rPr>
                <w:szCs w:val="20"/>
              </w:rPr>
            </w:pPr>
            <w:r w:rsidRPr="00D77963">
              <w:rPr>
                <w:szCs w:val="20"/>
              </w:rPr>
              <w:t>$TBC (published)</w:t>
            </w:r>
          </w:p>
          <w:p w:rsidR="007937C3" w:rsidRPr="00D77963" w:rsidRDefault="007937C3" w:rsidP="00372DA8">
            <w:pPr>
              <w:pStyle w:val="TableText"/>
              <w:rPr>
                <w:szCs w:val="20"/>
              </w:rPr>
            </w:pPr>
            <w:r w:rsidRPr="00D77963">
              <w:rPr>
                <w:szCs w:val="20"/>
              </w:rPr>
              <w:t>$</w:t>
            </w:r>
            <w:r w:rsidR="00272C12">
              <w:rPr>
                <w:noProof/>
                <w:color w:val="000000"/>
                <w:szCs w:val="20"/>
                <w:highlight w:val="black"/>
              </w:rPr>
              <w:t xml:space="preserve">''''''''''''''''' </w:t>
            </w:r>
            <w:r w:rsidRPr="00D77963">
              <w:rPr>
                <w:szCs w:val="20"/>
              </w:rPr>
              <w:t xml:space="preserve">(effective) </w:t>
            </w:r>
          </w:p>
        </w:tc>
        <w:tc>
          <w:tcPr>
            <w:tcW w:w="957" w:type="pct"/>
            <w:tcMar>
              <w:top w:w="0" w:type="dxa"/>
              <w:left w:w="108" w:type="dxa"/>
              <w:bottom w:w="0" w:type="dxa"/>
              <w:right w:w="108" w:type="dxa"/>
            </w:tcMar>
            <w:vAlign w:val="center"/>
            <w:hideMark/>
          </w:tcPr>
          <w:p w:rsidR="007937C3" w:rsidRPr="00D77963" w:rsidRDefault="007937C3" w:rsidP="00372DA8">
            <w:pPr>
              <w:pStyle w:val="TableText"/>
              <w:rPr>
                <w:szCs w:val="20"/>
              </w:rPr>
            </w:pPr>
            <w:proofErr w:type="spellStart"/>
            <w:r w:rsidRPr="00D77963">
              <w:rPr>
                <w:szCs w:val="20"/>
              </w:rPr>
              <w:t>Emgality</w:t>
            </w:r>
            <w:proofErr w:type="spellEnd"/>
            <w:r w:rsidRPr="00D77963">
              <w:rPr>
                <w:szCs w:val="20"/>
                <w:vertAlign w:val="superscript"/>
              </w:rPr>
              <w:t>®</w:t>
            </w:r>
            <w:r w:rsidRPr="00D77963">
              <w:rPr>
                <w:szCs w:val="20"/>
              </w:rPr>
              <w:t>, Eli Lilly Australia Pty Ltd</w:t>
            </w:r>
          </w:p>
        </w:tc>
      </w:tr>
      <w:tr w:rsidR="007937C3" w:rsidRPr="00D77963" w:rsidTr="00D77963">
        <w:tc>
          <w:tcPr>
            <w:tcW w:w="1168" w:type="pct"/>
            <w:tcMar>
              <w:top w:w="0" w:type="dxa"/>
              <w:left w:w="108" w:type="dxa"/>
              <w:bottom w:w="0" w:type="dxa"/>
              <w:right w:w="108" w:type="dxa"/>
            </w:tcMar>
            <w:vAlign w:val="center"/>
            <w:hideMark/>
          </w:tcPr>
          <w:p w:rsidR="007937C3" w:rsidRPr="00D77963" w:rsidRDefault="007937C3" w:rsidP="00372DA8">
            <w:pPr>
              <w:pStyle w:val="TableText"/>
              <w:rPr>
                <w:b/>
                <w:strike/>
                <w:szCs w:val="20"/>
              </w:rPr>
            </w:pPr>
            <w:r w:rsidRPr="00D77963">
              <w:rPr>
                <w:b/>
                <w:bCs w:val="0"/>
                <w:strike/>
                <w:szCs w:val="20"/>
              </w:rPr>
              <w:t>Initial</w:t>
            </w:r>
          </w:p>
        </w:tc>
        <w:tc>
          <w:tcPr>
            <w:tcW w:w="732" w:type="pct"/>
            <w:tcMar>
              <w:top w:w="0" w:type="dxa"/>
              <w:left w:w="108" w:type="dxa"/>
              <w:bottom w:w="0" w:type="dxa"/>
              <w:right w:w="108" w:type="dxa"/>
            </w:tcMar>
            <w:vAlign w:val="center"/>
          </w:tcPr>
          <w:p w:rsidR="007937C3" w:rsidRPr="00D77963" w:rsidRDefault="007937C3" w:rsidP="00372DA8">
            <w:pPr>
              <w:pStyle w:val="TableText"/>
              <w:jc w:val="center"/>
              <w:rPr>
                <w:bCs w:val="0"/>
                <w:strike/>
                <w:szCs w:val="20"/>
              </w:rPr>
            </w:pPr>
          </w:p>
        </w:tc>
        <w:tc>
          <w:tcPr>
            <w:tcW w:w="721" w:type="pct"/>
            <w:tcMar>
              <w:top w:w="0" w:type="dxa"/>
              <w:left w:w="108" w:type="dxa"/>
              <w:bottom w:w="0" w:type="dxa"/>
              <w:right w:w="108" w:type="dxa"/>
            </w:tcMar>
            <w:vAlign w:val="center"/>
          </w:tcPr>
          <w:p w:rsidR="007937C3" w:rsidRPr="00D77963" w:rsidRDefault="007937C3" w:rsidP="00372DA8">
            <w:pPr>
              <w:pStyle w:val="TableText"/>
              <w:jc w:val="center"/>
              <w:rPr>
                <w:strike/>
                <w:szCs w:val="20"/>
              </w:rPr>
            </w:pPr>
          </w:p>
        </w:tc>
        <w:tc>
          <w:tcPr>
            <w:tcW w:w="518" w:type="pct"/>
            <w:tcMar>
              <w:top w:w="0" w:type="dxa"/>
              <w:left w:w="108" w:type="dxa"/>
              <w:bottom w:w="0" w:type="dxa"/>
              <w:right w:w="108" w:type="dxa"/>
            </w:tcMar>
            <w:vAlign w:val="center"/>
          </w:tcPr>
          <w:p w:rsidR="007937C3" w:rsidRPr="00D77963" w:rsidRDefault="007937C3" w:rsidP="00372DA8">
            <w:pPr>
              <w:pStyle w:val="TableText"/>
              <w:jc w:val="center"/>
              <w:rPr>
                <w:strike/>
                <w:szCs w:val="20"/>
              </w:rPr>
            </w:pPr>
          </w:p>
        </w:tc>
        <w:tc>
          <w:tcPr>
            <w:tcW w:w="905" w:type="pct"/>
            <w:tcMar>
              <w:top w:w="0" w:type="dxa"/>
              <w:left w:w="108" w:type="dxa"/>
              <w:bottom w:w="0" w:type="dxa"/>
              <w:right w:w="108" w:type="dxa"/>
            </w:tcMar>
            <w:vAlign w:val="center"/>
          </w:tcPr>
          <w:p w:rsidR="007937C3" w:rsidRPr="00D77963" w:rsidRDefault="007937C3" w:rsidP="00372DA8">
            <w:pPr>
              <w:pStyle w:val="TableText"/>
              <w:rPr>
                <w:strike/>
                <w:szCs w:val="20"/>
              </w:rPr>
            </w:pPr>
          </w:p>
        </w:tc>
        <w:tc>
          <w:tcPr>
            <w:tcW w:w="957" w:type="pct"/>
            <w:tcMar>
              <w:top w:w="0" w:type="dxa"/>
              <w:left w:w="108" w:type="dxa"/>
              <w:bottom w:w="0" w:type="dxa"/>
              <w:right w:w="108" w:type="dxa"/>
            </w:tcMar>
            <w:vAlign w:val="center"/>
          </w:tcPr>
          <w:p w:rsidR="007937C3" w:rsidRPr="00D77963" w:rsidRDefault="007937C3" w:rsidP="00372DA8">
            <w:pPr>
              <w:pStyle w:val="TableText"/>
              <w:rPr>
                <w:strike/>
                <w:szCs w:val="20"/>
              </w:rPr>
            </w:pPr>
          </w:p>
        </w:tc>
      </w:tr>
      <w:tr w:rsidR="007937C3" w:rsidRPr="00D77963" w:rsidTr="00D77963">
        <w:tc>
          <w:tcPr>
            <w:tcW w:w="1168" w:type="pct"/>
            <w:tcMar>
              <w:top w:w="0" w:type="dxa"/>
              <w:left w:w="108" w:type="dxa"/>
              <w:bottom w:w="0" w:type="dxa"/>
              <w:right w:w="108" w:type="dxa"/>
            </w:tcMar>
            <w:vAlign w:val="center"/>
            <w:hideMark/>
          </w:tcPr>
          <w:p w:rsidR="007937C3" w:rsidRPr="00D77963" w:rsidRDefault="007937C3" w:rsidP="00372DA8">
            <w:pPr>
              <w:pStyle w:val="TableText"/>
              <w:rPr>
                <w:strike/>
                <w:szCs w:val="20"/>
              </w:rPr>
            </w:pPr>
            <w:proofErr w:type="spellStart"/>
            <w:r w:rsidRPr="00D77963">
              <w:rPr>
                <w:smallCaps/>
                <w:strike/>
                <w:szCs w:val="20"/>
              </w:rPr>
              <w:t>Galcanezumab</w:t>
            </w:r>
            <w:proofErr w:type="spellEnd"/>
          </w:p>
          <w:p w:rsidR="007937C3" w:rsidRPr="00D77963" w:rsidRDefault="007937C3" w:rsidP="00372DA8">
            <w:pPr>
              <w:pStyle w:val="TableText"/>
              <w:rPr>
                <w:strike/>
                <w:szCs w:val="20"/>
              </w:rPr>
            </w:pPr>
            <w:r w:rsidRPr="00D77963">
              <w:rPr>
                <w:strike/>
                <w:szCs w:val="20"/>
              </w:rPr>
              <w:t>120 mg / 1 mL solution for injection, pre-filled pen</w:t>
            </w:r>
          </w:p>
        </w:tc>
        <w:tc>
          <w:tcPr>
            <w:tcW w:w="732" w:type="pct"/>
            <w:tcMar>
              <w:top w:w="0" w:type="dxa"/>
              <w:left w:w="108" w:type="dxa"/>
              <w:bottom w:w="0" w:type="dxa"/>
              <w:right w:w="108" w:type="dxa"/>
            </w:tcMar>
            <w:vAlign w:val="center"/>
            <w:hideMark/>
          </w:tcPr>
          <w:p w:rsidR="007937C3" w:rsidRPr="00D77963" w:rsidRDefault="007937C3" w:rsidP="00372DA8">
            <w:pPr>
              <w:pStyle w:val="TableText"/>
              <w:jc w:val="center"/>
              <w:rPr>
                <w:strike/>
                <w:szCs w:val="20"/>
              </w:rPr>
            </w:pPr>
            <w:r w:rsidRPr="00D77963">
              <w:rPr>
                <w:strike/>
                <w:szCs w:val="20"/>
              </w:rPr>
              <w:t>1</w:t>
            </w:r>
          </w:p>
        </w:tc>
        <w:tc>
          <w:tcPr>
            <w:tcW w:w="721" w:type="pct"/>
            <w:tcMar>
              <w:top w:w="0" w:type="dxa"/>
              <w:left w:w="108" w:type="dxa"/>
              <w:bottom w:w="0" w:type="dxa"/>
              <w:right w:w="108" w:type="dxa"/>
            </w:tcMar>
            <w:vAlign w:val="center"/>
            <w:hideMark/>
          </w:tcPr>
          <w:p w:rsidR="007937C3" w:rsidRPr="00D77963" w:rsidRDefault="007937C3" w:rsidP="00372DA8">
            <w:pPr>
              <w:pStyle w:val="TableText"/>
              <w:jc w:val="center"/>
              <w:rPr>
                <w:strike/>
                <w:szCs w:val="20"/>
              </w:rPr>
            </w:pPr>
            <w:r w:rsidRPr="00D77963">
              <w:rPr>
                <w:strike/>
                <w:szCs w:val="20"/>
              </w:rPr>
              <w:t>1</w:t>
            </w:r>
          </w:p>
        </w:tc>
        <w:tc>
          <w:tcPr>
            <w:tcW w:w="518" w:type="pct"/>
            <w:tcMar>
              <w:top w:w="0" w:type="dxa"/>
              <w:left w:w="108" w:type="dxa"/>
              <w:bottom w:w="0" w:type="dxa"/>
              <w:right w:w="108" w:type="dxa"/>
            </w:tcMar>
            <w:vAlign w:val="center"/>
            <w:hideMark/>
          </w:tcPr>
          <w:p w:rsidR="007937C3" w:rsidRPr="00D77963" w:rsidRDefault="007937C3" w:rsidP="00372DA8">
            <w:pPr>
              <w:pStyle w:val="TableText"/>
              <w:jc w:val="center"/>
              <w:rPr>
                <w:strike/>
                <w:szCs w:val="20"/>
              </w:rPr>
            </w:pPr>
            <w:r w:rsidRPr="00D77963">
              <w:rPr>
                <w:strike/>
                <w:szCs w:val="20"/>
              </w:rPr>
              <w:t>1</w:t>
            </w:r>
          </w:p>
        </w:tc>
        <w:tc>
          <w:tcPr>
            <w:tcW w:w="905" w:type="pct"/>
            <w:tcMar>
              <w:top w:w="0" w:type="dxa"/>
              <w:left w:w="108" w:type="dxa"/>
              <w:bottom w:w="0" w:type="dxa"/>
              <w:right w:w="108" w:type="dxa"/>
            </w:tcMar>
            <w:vAlign w:val="center"/>
            <w:hideMark/>
          </w:tcPr>
          <w:p w:rsidR="007937C3" w:rsidRPr="00D77963" w:rsidRDefault="007937C3" w:rsidP="00372DA8">
            <w:pPr>
              <w:pStyle w:val="TableText"/>
              <w:rPr>
                <w:strike/>
                <w:szCs w:val="20"/>
              </w:rPr>
            </w:pPr>
            <w:r w:rsidRPr="00D77963">
              <w:rPr>
                <w:strike/>
                <w:szCs w:val="20"/>
              </w:rPr>
              <w:t>$TBC (published)</w:t>
            </w:r>
          </w:p>
          <w:p w:rsidR="007937C3" w:rsidRPr="00D77963" w:rsidRDefault="007937C3" w:rsidP="00372DA8">
            <w:pPr>
              <w:pStyle w:val="TableText"/>
              <w:rPr>
                <w:strike/>
                <w:szCs w:val="20"/>
              </w:rPr>
            </w:pPr>
            <w:r w:rsidRPr="00D77963">
              <w:rPr>
                <w:strike/>
                <w:szCs w:val="20"/>
              </w:rPr>
              <w:t>$</w:t>
            </w:r>
            <w:r w:rsidR="00272C12">
              <w:rPr>
                <w:strike/>
                <w:noProof/>
                <w:color w:val="000000"/>
                <w:szCs w:val="20"/>
                <w:highlight w:val="black"/>
              </w:rPr>
              <w:t>''''''''''''''''</w:t>
            </w:r>
            <w:r w:rsidRPr="00D77963">
              <w:rPr>
                <w:strike/>
                <w:szCs w:val="20"/>
              </w:rPr>
              <w:t xml:space="preserve"> (effective) </w:t>
            </w:r>
          </w:p>
        </w:tc>
        <w:tc>
          <w:tcPr>
            <w:tcW w:w="957" w:type="pct"/>
            <w:tcMar>
              <w:top w:w="0" w:type="dxa"/>
              <w:left w:w="108" w:type="dxa"/>
              <w:bottom w:w="0" w:type="dxa"/>
              <w:right w:w="108" w:type="dxa"/>
            </w:tcMar>
            <w:vAlign w:val="center"/>
            <w:hideMark/>
          </w:tcPr>
          <w:p w:rsidR="007937C3" w:rsidRPr="00D77963" w:rsidRDefault="007937C3" w:rsidP="00372DA8">
            <w:pPr>
              <w:pStyle w:val="TableText"/>
              <w:rPr>
                <w:strike/>
                <w:szCs w:val="20"/>
              </w:rPr>
            </w:pPr>
            <w:proofErr w:type="spellStart"/>
            <w:r w:rsidRPr="00D77963">
              <w:rPr>
                <w:strike/>
                <w:szCs w:val="20"/>
              </w:rPr>
              <w:t>Emgality</w:t>
            </w:r>
            <w:proofErr w:type="spellEnd"/>
            <w:r w:rsidRPr="00D77963">
              <w:rPr>
                <w:strike/>
                <w:szCs w:val="20"/>
                <w:vertAlign w:val="superscript"/>
              </w:rPr>
              <w:t>®</w:t>
            </w:r>
            <w:r w:rsidRPr="00D77963">
              <w:rPr>
                <w:strike/>
                <w:szCs w:val="20"/>
              </w:rPr>
              <w:t>, Eli Lilly Australia Pty Ltd</w:t>
            </w:r>
          </w:p>
        </w:tc>
      </w:tr>
      <w:tr w:rsidR="007937C3" w:rsidRPr="00D77963" w:rsidTr="00D77963">
        <w:tc>
          <w:tcPr>
            <w:tcW w:w="1168" w:type="pct"/>
            <w:tcMar>
              <w:top w:w="0" w:type="dxa"/>
              <w:left w:w="108" w:type="dxa"/>
              <w:bottom w:w="0" w:type="dxa"/>
              <w:right w:w="108" w:type="dxa"/>
            </w:tcMar>
            <w:vAlign w:val="center"/>
            <w:hideMark/>
          </w:tcPr>
          <w:p w:rsidR="007937C3" w:rsidRPr="00D77963" w:rsidRDefault="007937C3" w:rsidP="00372DA8">
            <w:pPr>
              <w:pStyle w:val="TableText"/>
              <w:rPr>
                <w:b/>
                <w:szCs w:val="20"/>
              </w:rPr>
            </w:pPr>
            <w:r w:rsidRPr="00D77963">
              <w:rPr>
                <w:b/>
                <w:bCs w:val="0"/>
                <w:szCs w:val="20"/>
              </w:rPr>
              <w:t>Continuing</w:t>
            </w:r>
          </w:p>
        </w:tc>
        <w:tc>
          <w:tcPr>
            <w:tcW w:w="732" w:type="pct"/>
            <w:tcMar>
              <w:top w:w="0" w:type="dxa"/>
              <w:left w:w="108" w:type="dxa"/>
              <w:bottom w:w="0" w:type="dxa"/>
              <w:right w:w="108" w:type="dxa"/>
            </w:tcMar>
            <w:vAlign w:val="center"/>
          </w:tcPr>
          <w:p w:rsidR="007937C3" w:rsidRPr="00D77963" w:rsidRDefault="007937C3" w:rsidP="00372DA8">
            <w:pPr>
              <w:pStyle w:val="TableText"/>
              <w:jc w:val="center"/>
              <w:rPr>
                <w:bCs w:val="0"/>
                <w:szCs w:val="20"/>
              </w:rPr>
            </w:pPr>
          </w:p>
        </w:tc>
        <w:tc>
          <w:tcPr>
            <w:tcW w:w="721" w:type="pct"/>
            <w:tcMar>
              <w:top w:w="0" w:type="dxa"/>
              <w:left w:w="108" w:type="dxa"/>
              <w:bottom w:w="0" w:type="dxa"/>
              <w:right w:w="108" w:type="dxa"/>
            </w:tcMar>
            <w:vAlign w:val="center"/>
          </w:tcPr>
          <w:p w:rsidR="007937C3" w:rsidRPr="00D77963" w:rsidRDefault="007937C3" w:rsidP="00372DA8">
            <w:pPr>
              <w:pStyle w:val="TableText"/>
              <w:jc w:val="center"/>
              <w:rPr>
                <w:szCs w:val="20"/>
              </w:rPr>
            </w:pPr>
          </w:p>
        </w:tc>
        <w:tc>
          <w:tcPr>
            <w:tcW w:w="518" w:type="pct"/>
            <w:tcMar>
              <w:top w:w="0" w:type="dxa"/>
              <w:left w:w="108" w:type="dxa"/>
              <w:bottom w:w="0" w:type="dxa"/>
              <w:right w:w="108" w:type="dxa"/>
            </w:tcMar>
            <w:vAlign w:val="center"/>
          </w:tcPr>
          <w:p w:rsidR="007937C3" w:rsidRPr="00D77963" w:rsidRDefault="007937C3" w:rsidP="00372DA8">
            <w:pPr>
              <w:pStyle w:val="TableText"/>
              <w:jc w:val="center"/>
              <w:rPr>
                <w:szCs w:val="20"/>
              </w:rPr>
            </w:pPr>
          </w:p>
        </w:tc>
        <w:tc>
          <w:tcPr>
            <w:tcW w:w="905" w:type="pct"/>
            <w:tcMar>
              <w:top w:w="0" w:type="dxa"/>
              <w:left w:w="108" w:type="dxa"/>
              <w:bottom w:w="0" w:type="dxa"/>
              <w:right w:w="108" w:type="dxa"/>
            </w:tcMar>
            <w:vAlign w:val="center"/>
          </w:tcPr>
          <w:p w:rsidR="007937C3" w:rsidRPr="00D77963" w:rsidRDefault="007937C3" w:rsidP="00372DA8">
            <w:pPr>
              <w:pStyle w:val="TableText"/>
              <w:rPr>
                <w:szCs w:val="20"/>
              </w:rPr>
            </w:pPr>
          </w:p>
        </w:tc>
        <w:tc>
          <w:tcPr>
            <w:tcW w:w="957" w:type="pct"/>
            <w:tcMar>
              <w:top w:w="0" w:type="dxa"/>
              <w:left w:w="108" w:type="dxa"/>
              <w:bottom w:w="0" w:type="dxa"/>
              <w:right w:w="108" w:type="dxa"/>
            </w:tcMar>
            <w:vAlign w:val="center"/>
          </w:tcPr>
          <w:p w:rsidR="007937C3" w:rsidRPr="00D77963" w:rsidRDefault="007937C3" w:rsidP="00372DA8">
            <w:pPr>
              <w:pStyle w:val="TableText"/>
              <w:rPr>
                <w:szCs w:val="20"/>
              </w:rPr>
            </w:pPr>
          </w:p>
        </w:tc>
      </w:tr>
      <w:tr w:rsidR="007937C3" w:rsidRPr="00D77963" w:rsidTr="00D77963">
        <w:tc>
          <w:tcPr>
            <w:tcW w:w="1168" w:type="pct"/>
            <w:tcMar>
              <w:top w:w="0" w:type="dxa"/>
              <w:left w:w="108" w:type="dxa"/>
              <w:bottom w:w="0" w:type="dxa"/>
              <w:right w:w="108" w:type="dxa"/>
            </w:tcMar>
            <w:vAlign w:val="center"/>
            <w:hideMark/>
          </w:tcPr>
          <w:p w:rsidR="007937C3" w:rsidRPr="00D77963" w:rsidRDefault="007937C3" w:rsidP="00372DA8">
            <w:pPr>
              <w:pStyle w:val="TableText"/>
              <w:rPr>
                <w:szCs w:val="20"/>
              </w:rPr>
            </w:pPr>
            <w:proofErr w:type="spellStart"/>
            <w:r w:rsidRPr="00D77963">
              <w:rPr>
                <w:smallCaps/>
                <w:szCs w:val="20"/>
              </w:rPr>
              <w:t>Galcanezumab</w:t>
            </w:r>
            <w:proofErr w:type="spellEnd"/>
          </w:p>
          <w:p w:rsidR="007937C3" w:rsidRPr="00D77963" w:rsidRDefault="007937C3" w:rsidP="00372DA8">
            <w:pPr>
              <w:pStyle w:val="TableText"/>
              <w:rPr>
                <w:szCs w:val="20"/>
              </w:rPr>
            </w:pPr>
            <w:r w:rsidRPr="00D77963">
              <w:rPr>
                <w:szCs w:val="20"/>
              </w:rPr>
              <w:t>120 mg / 1 mL solution for injection, pre-filled pen</w:t>
            </w:r>
          </w:p>
        </w:tc>
        <w:tc>
          <w:tcPr>
            <w:tcW w:w="732" w:type="pct"/>
            <w:tcMar>
              <w:top w:w="0" w:type="dxa"/>
              <w:left w:w="108" w:type="dxa"/>
              <w:bottom w:w="0" w:type="dxa"/>
              <w:right w:w="108" w:type="dxa"/>
            </w:tcMar>
            <w:vAlign w:val="center"/>
            <w:hideMark/>
          </w:tcPr>
          <w:p w:rsidR="007937C3" w:rsidRPr="00D77963" w:rsidRDefault="007937C3" w:rsidP="00372DA8">
            <w:pPr>
              <w:pStyle w:val="TableText"/>
              <w:jc w:val="center"/>
              <w:rPr>
                <w:szCs w:val="20"/>
              </w:rPr>
            </w:pPr>
            <w:r w:rsidRPr="00D77963">
              <w:rPr>
                <w:szCs w:val="20"/>
              </w:rPr>
              <w:t>1</w:t>
            </w:r>
          </w:p>
        </w:tc>
        <w:tc>
          <w:tcPr>
            <w:tcW w:w="721" w:type="pct"/>
            <w:tcMar>
              <w:top w:w="0" w:type="dxa"/>
              <w:left w:w="108" w:type="dxa"/>
              <w:bottom w:w="0" w:type="dxa"/>
              <w:right w:w="108" w:type="dxa"/>
            </w:tcMar>
            <w:vAlign w:val="center"/>
            <w:hideMark/>
          </w:tcPr>
          <w:p w:rsidR="007937C3" w:rsidRPr="00D77963" w:rsidRDefault="007937C3" w:rsidP="00372DA8">
            <w:pPr>
              <w:pStyle w:val="TableText"/>
              <w:jc w:val="center"/>
              <w:rPr>
                <w:szCs w:val="20"/>
              </w:rPr>
            </w:pPr>
            <w:r w:rsidRPr="00D77963">
              <w:rPr>
                <w:szCs w:val="20"/>
              </w:rPr>
              <w:t>1</w:t>
            </w:r>
          </w:p>
        </w:tc>
        <w:tc>
          <w:tcPr>
            <w:tcW w:w="518" w:type="pct"/>
            <w:tcMar>
              <w:top w:w="0" w:type="dxa"/>
              <w:left w:w="108" w:type="dxa"/>
              <w:bottom w:w="0" w:type="dxa"/>
              <w:right w:w="108" w:type="dxa"/>
            </w:tcMar>
            <w:vAlign w:val="center"/>
            <w:hideMark/>
          </w:tcPr>
          <w:p w:rsidR="007937C3" w:rsidRPr="00D77963" w:rsidRDefault="007937C3" w:rsidP="00372DA8">
            <w:pPr>
              <w:pStyle w:val="TableText"/>
              <w:jc w:val="center"/>
              <w:rPr>
                <w:szCs w:val="20"/>
              </w:rPr>
            </w:pPr>
            <w:r w:rsidRPr="00D77963">
              <w:rPr>
                <w:szCs w:val="20"/>
              </w:rPr>
              <w:t>5</w:t>
            </w:r>
          </w:p>
        </w:tc>
        <w:tc>
          <w:tcPr>
            <w:tcW w:w="905" w:type="pct"/>
            <w:tcMar>
              <w:top w:w="0" w:type="dxa"/>
              <w:left w:w="108" w:type="dxa"/>
              <w:bottom w:w="0" w:type="dxa"/>
              <w:right w:w="108" w:type="dxa"/>
            </w:tcMar>
            <w:vAlign w:val="center"/>
            <w:hideMark/>
          </w:tcPr>
          <w:p w:rsidR="007937C3" w:rsidRPr="00D77963" w:rsidRDefault="007937C3" w:rsidP="00372DA8">
            <w:pPr>
              <w:pStyle w:val="TableText"/>
              <w:rPr>
                <w:szCs w:val="20"/>
              </w:rPr>
            </w:pPr>
            <w:r w:rsidRPr="00D77963">
              <w:rPr>
                <w:szCs w:val="20"/>
              </w:rPr>
              <w:t>$TBC (published)</w:t>
            </w:r>
          </w:p>
          <w:p w:rsidR="007937C3" w:rsidRPr="00D77963" w:rsidRDefault="007937C3" w:rsidP="00372DA8">
            <w:pPr>
              <w:pStyle w:val="TableText"/>
              <w:rPr>
                <w:szCs w:val="20"/>
              </w:rPr>
            </w:pPr>
            <w:r w:rsidRPr="00D77963">
              <w:rPr>
                <w:szCs w:val="20"/>
              </w:rPr>
              <w:t>$</w:t>
            </w:r>
            <w:r w:rsidR="00272C12">
              <w:rPr>
                <w:noProof/>
                <w:color w:val="000000"/>
                <w:szCs w:val="20"/>
                <w:highlight w:val="black"/>
              </w:rPr>
              <w:t>''''''''''''''''</w:t>
            </w:r>
            <w:r w:rsidRPr="00D77963">
              <w:rPr>
                <w:szCs w:val="20"/>
              </w:rPr>
              <w:t xml:space="preserve"> (effective) </w:t>
            </w:r>
          </w:p>
        </w:tc>
        <w:tc>
          <w:tcPr>
            <w:tcW w:w="957" w:type="pct"/>
            <w:tcMar>
              <w:top w:w="0" w:type="dxa"/>
              <w:left w:w="108" w:type="dxa"/>
              <w:bottom w:w="0" w:type="dxa"/>
              <w:right w:w="108" w:type="dxa"/>
            </w:tcMar>
            <w:vAlign w:val="center"/>
            <w:hideMark/>
          </w:tcPr>
          <w:p w:rsidR="007937C3" w:rsidRPr="00D77963" w:rsidRDefault="007937C3" w:rsidP="00372DA8">
            <w:pPr>
              <w:pStyle w:val="TableText"/>
              <w:rPr>
                <w:szCs w:val="20"/>
              </w:rPr>
            </w:pPr>
            <w:proofErr w:type="spellStart"/>
            <w:r w:rsidRPr="00D77963">
              <w:rPr>
                <w:szCs w:val="20"/>
              </w:rPr>
              <w:t>Emgality</w:t>
            </w:r>
            <w:proofErr w:type="spellEnd"/>
            <w:r w:rsidRPr="00D77963">
              <w:rPr>
                <w:szCs w:val="20"/>
                <w:vertAlign w:val="superscript"/>
              </w:rPr>
              <w:t>®</w:t>
            </w:r>
            <w:r w:rsidRPr="00D77963">
              <w:rPr>
                <w:szCs w:val="20"/>
              </w:rPr>
              <w:t>, Eli Lilly Australia Pty Ltd</w:t>
            </w:r>
          </w:p>
        </w:tc>
      </w:tr>
    </w:tbl>
    <w:p w:rsidR="00203F11" w:rsidRPr="00D77963" w:rsidRDefault="00203F11" w:rsidP="007937C3">
      <w:pPr>
        <w:pStyle w:val="TableFigureCaption"/>
        <w:rPr>
          <w:sz w:val="10"/>
        </w:rPr>
      </w:pPr>
    </w:p>
    <w:p w:rsidR="00203F11" w:rsidRPr="00D77963" w:rsidRDefault="00203F11">
      <w:pPr>
        <w:jc w:val="left"/>
        <w:rPr>
          <w:rFonts w:ascii="Arial Narrow" w:eastAsiaTheme="majorEastAsia" w:hAnsi="Arial Narrow" w:cstheme="majorBidi"/>
          <w:b/>
          <w:bCs/>
          <w:sz w:val="10"/>
        </w:rPr>
      </w:pPr>
    </w:p>
    <w:p w:rsidR="007937C3" w:rsidRPr="004A0255" w:rsidRDefault="007937C3" w:rsidP="004A0255">
      <w:pPr>
        <w:jc w:val="left"/>
        <w:rPr>
          <w:rFonts w:ascii="Arial Narrow" w:eastAsiaTheme="majorEastAsia" w:hAnsi="Arial Narrow" w:cstheme="majorBidi"/>
          <w:b/>
          <w:bCs/>
          <w:sz w:val="10"/>
        </w:rPr>
      </w:pPr>
    </w:p>
    <w:tbl>
      <w:tblPr>
        <w:tblpPr w:leftFromText="180" w:rightFromText="180" w:vertAnchor="text" w:tblpY="1"/>
        <w:tblOverlap w:val="never"/>
        <w:tblW w:w="5000" w:type="pct"/>
        <w:tblLook w:val="0000" w:firstRow="0" w:lastRow="0" w:firstColumn="0" w:lastColumn="0" w:noHBand="0" w:noVBand="0"/>
      </w:tblPr>
      <w:tblGrid>
        <w:gridCol w:w="1838"/>
        <w:gridCol w:w="7179"/>
      </w:tblGrid>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zCs w:val="20"/>
              </w:rPr>
            </w:pPr>
            <w:r w:rsidRPr="00D77963">
              <w:rPr>
                <w:b/>
                <w:szCs w:val="20"/>
              </w:rPr>
              <w:t>Category / Program:</w:t>
            </w:r>
          </w:p>
        </w:tc>
        <w:tc>
          <w:tcPr>
            <w:tcW w:w="3981"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szCs w:val="20"/>
              </w:rPr>
            </w:pPr>
            <w:r w:rsidRPr="00D77963">
              <w:rPr>
                <w:szCs w:val="20"/>
              </w:rPr>
              <w:t>GENERAL – General Schedule (Code GE)</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zCs w:val="20"/>
              </w:rPr>
            </w:pPr>
            <w:r w:rsidRPr="00D77963">
              <w:rPr>
                <w:b/>
                <w:szCs w:val="20"/>
              </w:rPr>
              <w:t>Prescriber type:</w:t>
            </w:r>
          </w:p>
        </w:tc>
        <w:tc>
          <w:tcPr>
            <w:tcW w:w="3981"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szCs w:val="20"/>
              </w:rPr>
            </w:pPr>
            <w:r w:rsidRPr="00D77963">
              <w:rPr>
                <w:szCs w:val="20"/>
              </w:rPr>
              <w:fldChar w:fldCharType="begin">
                <w:ffData>
                  <w:name w:val="Check1"/>
                  <w:enabled/>
                  <w:calcOnExit w:val="0"/>
                  <w:checkBox>
                    <w:sizeAuto/>
                    <w:default w:val="1"/>
                  </w:checkBox>
                </w:ffData>
              </w:fldChar>
            </w:r>
            <w:r w:rsidRPr="00D77963">
              <w:rPr>
                <w:szCs w:val="20"/>
              </w:rPr>
              <w:instrText xml:space="preserve"> FORMCHECKBOX </w:instrText>
            </w:r>
            <w:r w:rsidR="00145A83">
              <w:rPr>
                <w:szCs w:val="20"/>
              </w:rPr>
            </w:r>
            <w:r w:rsidR="00145A83">
              <w:rPr>
                <w:szCs w:val="20"/>
              </w:rPr>
              <w:fldChar w:fldCharType="separate"/>
            </w:r>
            <w:r w:rsidRPr="00D77963">
              <w:rPr>
                <w:szCs w:val="20"/>
              </w:rPr>
              <w:fldChar w:fldCharType="end"/>
            </w:r>
            <w:r w:rsidRPr="00D77963">
              <w:rPr>
                <w:szCs w:val="20"/>
              </w:rPr>
              <w:t>Medical Practitioners</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zCs w:val="20"/>
              </w:rPr>
            </w:pPr>
            <w:r w:rsidRPr="00D77963">
              <w:rPr>
                <w:b/>
                <w:szCs w:val="20"/>
              </w:rPr>
              <w:t>Condition:</w:t>
            </w:r>
          </w:p>
        </w:tc>
        <w:tc>
          <w:tcPr>
            <w:tcW w:w="3981" w:type="pct"/>
            <w:tcBorders>
              <w:top w:val="single" w:sz="4" w:space="0" w:color="auto"/>
              <w:left w:val="single" w:sz="4" w:space="0" w:color="auto"/>
              <w:bottom w:val="single" w:sz="4" w:space="0" w:color="auto"/>
              <w:right w:val="single" w:sz="4" w:space="0" w:color="auto"/>
            </w:tcBorders>
          </w:tcPr>
          <w:p w:rsidR="007937C3" w:rsidRPr="00D77963" w:rsidRDefault="00BF57BF" w:rsidP="00372DA8">
            <w:pPr>
              <w:pStyle w:val="TableText"/>
              <w:rPr>
                <w:szCs w:val="20"/>
              </w:rPr>
            </w:pPr>
            <w:r w:rsidRPr="00D77963">
              <w:rPr>
                <w:i/>
                <w:szCs w:val="20"/>
              </w:rPr>
              <w:t>Treatment-resistant</w:t>
            </w:r>
            <w:r w:rsidRPr="00D77963">
              <w:rPr>
                <w:szCs w:val="20"/>
              </w:rPr>
              <w:t xml:space="preserve"> e</w:t>
            </w:r>
            <w:r w:rsidR="007937C3" w:rsidRPr="00D77963">
              <w:rPr>
                <w:szCs w:val="20"/>
              </w:rPr>
              <w:t>pisodic migraine</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i/>
                <w:szCs w:val="20"/>
              </w:rPr>
            </w:pPr>
            <w:r w:rsidRPr="00D77963">
              <w:rPr>
                <w:b/>
                <w:szCs w:val="20"/>
              </w:rPr>
              <w:t>Restriction:</w:t>
            </w:r>
          </w:p>
        </w:tc>
        <w:tc>
          <w:tcPr>
            <w:tcW w:w="3981"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szCs w:val="20"/>
              </w:rPr>
            </w:pPr>
            <w:r w:rsidRPr="00D77963">
              <w:rPr>
                <w:szCs w:val="20"/>
              </w:rPr>
              <w:fldChar w:fldCharType="begin">
                <w:ffData>
                  <w:name w:val="Check5"/>
                  <w:enabled/>
                  <w:calcOnExit w:val="0"/>
                  <w:checkBox>
                    <w:sizeAuto/>
                    <w:default w:val="1"/>
                  </w:checkBox>
                </w:ffData>
              </w:fldChar>
            </w:r>
            <w:r w:rsidRPr="00D77963">
              <w:rPr>
                <w:szCs w:val="20"/>
              </w:rPr>
              <w:instrText xml:space="preserve"> FORMCHECKBOX </w:instrText>
            </w:r>
            <w:r w:rsidR="00145A83">
              <w:rPr>
                <w:szCs w:val="20"/>
              </w:rPr>
            </w:r>
            <w:r w:rsidR="00145A83">
              <w:rPr>
                <w:szCs w:val="20"/>
              </w:rPr>
              <w:fldChar w:fldCharType="separate"/>
            </w:r>
            <w:r w:rsidRPr="00D77963">
              <w:rPr>
                <w:szCs w:val="20"/>
              </w:rPr>
              <w:fldChar w:fldCharType="end"/>
            </w:r>
            <w:r w:rsidR="00E855D6" w:rsidRPr="00D77963">
              <w:rPr>
                <w:szCs w:val="20"/>
              </w:rPr>
              <w:t>Authority Required (</w:t>
            </w:r>
            <w:r w:rsidRPr="00D77963">
              <w:rPr>
                <w:szCs w:val="20"/>
              </w:rPr>
              <w:t>Streamlined</w:t>
            </w:r>
            <w:r w:rsidR="00E855D6" w:rsidRPr="00D77963">
              <w:rPr>
                <w:szCs w:val="20"/>
              </w:rPr>
              <w:t>)</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zCs w:val="20"/>
              </w:rPr>
            </w:pPr>
            <w:r w:rsidRPr="00D77963">
              <w:rPr>
                <w:b/>
                <w:szCs w:val="20"/>
              </w:rPr>
              <w:t>Treatment criteria:</w:t>
            </w:r>
          </w:p>
        </w:tc>
        <w:tc>
          <w:tcPr>
            <w:tcW w:w="3981"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rFonts w:cs="Arial"/>
                <w:szCs w:val="20"/>
              </w:rPr>
            </w:pPr>
            <w:r w:rsidRPr="00D77963">
              <w:rPr>
                <w:rFonts w:cs="Arial"/>
                <w:szCs w:val="20"/>
                <w:lang w:bidi="en-US"/>
              </w:rPr>
              <w:t>Must be treated by a neurologist.</w:t>
            </w:r>
          </w:p>
        </w:tc>
      </w:tr>
      <w:tr w:rsidR="007937C3" w:rsidRPr="00D77963" w:rsidTr="00D77963">
        <w:trPr>
          <w:cantSplit/>
        </w:trPr>
        <w:tc>
          <w:tcPr>
            <w:tcW w:w="1019" w:type="pct"/>
            <w:tcBorders>
              <w:top w:val="double" w:sz="4" w:space="0" w:color="auto"/>
              <w:left w:val="single" w:sz="4" w:space="0" w:color="auto"/>
              <w:bottom w:val="single" w:sz="4" w:space="0" w:color="auto"/>
              <w:right w:val="single" w:sz="4" w:space="0" w:color="auto"/>
            </w:tcBorders>
          </w:tcPr>
          <w:p w:rsidR="007937C3" w:rsidRPr="00D77963" w:rsidRDefault="007937C3" w:rsidP="00372DA8">
            <w:pPr>
              <w:pStyle w:val="TableText"/>
              <w:rPr>
                <w:b/>
                <w:szCs w:val="20"/>
              </w:rPr>
            </w:pPr>
            <w:r w:rsidRPr="00D77963">
              <w:rPr>
                <w:b/>
                <w:szCs w:val="20"/>
              </w:rPr>
              <w:t>Treatment phase:</w:t>
            </w:r>
          </w:p>
        </w:tc>
        <w:tc>
          <w:tcPr>
            <w:tcW w:w="3981" w:type="pct"/>
            <w:tcBorders>
              <w:top w:val="double" w:sz="4" w:space="0" w:color="auto"/>
              <w:left w:val="single" w:sz="4" w:space="0" w:color="auto"/>
              <w:bottom w:val="single" w:sz="4" w:space="0" w:color="auto"/>
              <w:right w:val="single" w:sz="4" w:space="0" w:color="auto"/>
            </w:tcBorders>
          </w:tcPr>
          <w:p w:rsidR="007937C3" w:rsidRPr="00D77963" w:rsidRDefault="007937C3" w:rsidP="00372DA8">
            <w:pPr>
              <w:pStyle w:val="TableText"/>
              <w:rPr>
                <w:szCs w:val="20"/>
              </w:rPr>
            </w:pPr>
            <w:r w:rsidRPr="00D77963">
              <w:rPr>
                <w:szCs w:val="20"/>
              </w:rPr>
              <w:t xml:space="preserve">Initial - </w:t>
            </w:r>
            <w:r w:rsidR="00BF57BF" w:rsidRPr="00D77963">
              <w:rPr>
                <w:strike/>
                <w:color w:val="333333"/>
                <w:szCs w:val="20"/>
              </w:rPr>
              <w:t xml:space="preserve">loading dose </w:t>
            </w:r>
            <w:r w:rsidR="00BF57BF" w:rsidRPr="00D77963">
              <w:rPr>
                <w:i/>
                <w:color w:val="333333"/>
                <w:szCs w:val="20"/>
              </w:rPr>
              <w:t xml:space="preserve">treatment covering the loading dose and doses at week 4 and week 8 </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zCs w:val="20"/>
              </w:rPr>
            </w:pPr>
            <w:r w:rsidRPr="00D77963">
              <w:rPr>
                <w:b/>
                <w:szCs w:val="20"/>
              </w:rPr>
              <w:t>Clinical criteria:</w:t>
            </w:r>
          </w:p>
        </w:tc>
        <w:tc>
          <w:tcPr>
            <w:tcW w:w="3981" w:type="pct"/>
            <w:tcBorders>
              <w:top w:val="single" w:sz="4" w:space="0" w:color="auto"/>
              <w:bottom w:val="single" w:sz="4" w:space="0" w:color="auto"/>
              <w:right w:val="single" w:sz="4" w:space="0" w:color="auto"/>
            </w:tcBorders>
          </w:tcPr>
          <w:p w:rsidR="007937C3" w:rsidRPr="00D77963" w:rsidRDefault="007937C3" w:rsidP="00372DA8">
            <w:pPr>
              <w:rPr>
                <w:rFonts w:ascii="Arial Narrow" w:eastAsiaTheme="majorEastAsia" w:hAnsi="Arial Narrow"/>
                <w:sz w:val="20"/>
                <w:szCs w:val="20"/>
                <w:lang w:bidi="en-US"/>
              </w:rPr>
            </w:pPr>
            <w:r w:rsidRPr="00D77963">
              <w:rPr>
                <w:rFonts w:ascii="Arial Narrow" w:eastAsiaTheme="majorEastAsia" w:hAnsi="Arial Narrow"/>
                <w:sz w:val="20"/>
                <w:szCs w:val="20"/>
                <w:lang w:bidi="en-US"/>
              </w:rPr>
              <w:t xml:space="preserve">Patient must have experienced an average of 14 or less headache days per month, with at least 4 days of migraine, over a period of at least 6 months, prior to commencement of treatment with </w:t>
            </w:r>
            <w:r w:rsidR="00BF57BF" w:rsidRPr="00D77963">
              <w:rPr>
                <w:rFonts w:ascii="Arial Narrow" w:eastAsiaTheme="majorEastAsia" w:hAnsi="Arial Narrow"/>
                <w:i/>
                <w:sz w:val="20"/>
                <w:szCs w:val="20"/>
                <w:lang w:bidi="en-US"/>
              </w:rPr>
              <w:t>this medicine for this condition</w:t>
            </w:r>
            <w:r w:rsidR="00BF57BF" w:rsidRPr="00D77963">
              <w:rPr>
                <w:rFonts w:ascii="Arial Narrow" w:eastAsiaTheme="majorEastAsia" w:hAnsi="Arial Narrow"/>
                <w:sz w:val="20"/>
                <w:szCs w:val="20"/>
                <w:lang w:bidi="en-US"/>
              </w:rPr>
              <w:t xml:space="preserve"> </w:t>
            </w:r>
            <w:proofErr w:type="spellStart"/>
            <w:r w:rsidRPr="00D77963">
              <w:rPr>
                <w:rFonts w:ascii="Arial Narrow" w:eastAsiaTheme="majorEastAsia" w:hAnsi="Arial Narrow"/>
                <w:strike/>
                <w:sz w:val="20"/>
                <w:szCs w:val="20"/>
                <w:lang w:bidi="en-US"/>
              </w:rPr>
              <w:t>galcanezumab</w:t>
            </w:r>
            <w:proofErr w:type="spellEnd"/>
            <w:r w:rsidRPr="00D77963">
              <w:rPr>
                <w:rFonts w:ascii="Arial Narrow" w:eastAsiaTheme="majorEastAsia" w:hAnsi="Arial Narrow"/>
                <w:sz w:val="20"/>
                <w:szCs w:val="20"/>
                <w:lang w:bidi="en-US"/>
              </w:rPr>
              <w:t>,</w:t>
            </w:r>
          </w:p>
          <w:p w:rsidR="007937C3" w:rsidRPr="00D77963" w:rsidRDefault="007937C3" w:rsidP="00372DA8">
            <w:pPr>
              <w:rPr>
                <w:rFonts w:ascii="Arial Narrow" w:eastAsiaTheme="majorEastAsia" w:hAnsi="Arial Narrow"/>
                <w:sz w:val="20"/>
                <w:szCs w:val="20"/>
                <w:lang w:bidi="en-US"/>
              </w:rPr>
            </w:pPr>
            <w:r w:rsidRPr="00D77963">
              <w:rPr>
                <w:rFonts w:ascii="Arial Narrow" w:eastAsiaTheme="majorEastAsia" w:hAnsi="Arial Narrow"/>
                <w:sz w:val="20"/>
                <w:szCs w:val="20"/>
                <w:lang w:bidi="en-US"/>
              </w:rPr>
              <w:t>AND</w:t>
            </w:r>
          </w:p>
          <w:p w:rsidR="007937C3" w:rsidRPr="00D77963" w:rsidRDefault="007937C3" w:rsidP="00372DA8">
            <w:pPr>
              <w:pStyle w:val="TableText"/>
              <w:rPr>
                <w:rFonts w:cs="Arial"/>
                <w:strike/>
                <w:szCs w:val="20"/>
                <w:lang w:bidi="en-US"/>
              </w:rPr>
            </w:pPr>
            <w:r w:rsidRPr="00D77963">
              <w:rPr>
                <w:rFonts w:cs="Arial"/>
                <w:szCs w:val="20"/>
                <w:lang w:bidi="en-US"/>
              </w:rPr>
              <w:t>Patient must have experienced an inadequate response, intolerance or a contraindication to at least three prophylactic migraine medications prior to commencement of treatment with</w:t>
            </w:r>
            <w:r w:rsidR="00BF57BF" w:rsidRPr="00D77963">
              <w:rPr>
                <w:i/>
                <w:szCs w:val="20"/>
                <w:lang w:bidi="en-US"/>
              </w:rPr>
              <w:t xml:space="preserve"> this medicine for this condition</w:t>
            </w:r>
            <w:r w:rsidR="00BF57BF" w:rsidRPr="00D77963">
              <w:rPr>
                <w:szCs w:val="20"/>
                <w:lang w:bidi="en-US"/>
              </w:rPr>
              <w:t xml:space="preserve"> </w:t>
            </w:r>
            <w:proofErr w:type="spellStart"/>
            <w:r w:rsidRPr="00D77963">
              <w:rPr>
                <w:rFonts w:cs="Arial"/>
                <w:strike/>
                <w:szCs w:val="20"/>
                <w:lang w:bidi="en-US"/>
              </w:rPr>
              <w:t>galcanezumab</w:t>
            </w:r>
            <w:proofErr w:type="spellEnd"/>
            <w:r w:rsidRPr="00D77963">
              <w:rPr>
                <w:rFonts w:cs="Arial"/>
                <w:strike/>
                <w:szCs w:val="20"/>
                <w:lang w:bidi="en-US"/>
              </w:rPr>
              <w:t>.</w:t>
            </w:r>
          </w:p>
          <w:p w:rsidR="00BF57BF" w:rsidRPr="00D77963" w:rsidRDefault="00BF57BF" w:rsidP="00372DA8">
            <w:pPr>
              <w:pStyle w:val="TableText"/>
              <w:rPr>
                <w:rFonts w:cs="Arial"/>
                <w:i/>
                <w:szCs w:val="20"/>
                <w:lang w:bidi="en-US"/>
              </w:rPr>
            </w:pPr>
            <w:r w:rsidRPr="00D77963">
              <w:rPr>
                <w:rFonts w:cs="Arial"/>
                <w:i/>
                <w:szCs w:val="20"/>
                <w:lang w:bidi="en-US"/>
              </w:rPr>
              <w:t>AND</w:t>
            </w:r>
          </w:p>
          <w:p w:rsidR="00BF57BF" w:rsidRPr="00D77963" w:rsidRDefault="00BF57BF" w:rsidP="00372DA8">
            <w:pPr>
              <w:pStyle w:val="TableText"/>
              <w:rPr>
                <w:i/>
                <w:color w:val="333333"/>
                <w:szCs w:val="20"/>
              </w:rPr>
            </w:pPr>
            <w:r w:rsidRPr="00D77963">
              <w:rPr>
                <w:i/>
                <w:color w:val="333333"/>
                <w:szCs w:val="20"/>
              </w:rPr>
              <w:t>Patient must be appropriately managed for medication overuse headache, prior to initiation of treatment with this medicine for this condition</w:t>
            </w:r>
          </w:p>
          <w:p w:rsidR="00BF57BF" w:rsidRPr="00D77963" w:rsidRDefault="00BF57BF" w:rsidP="00372DA8">
            <w:pPr>
              <w:pStyle w:val="TableText"/>
              <w:rPr>
                <w:i/>
                <w:color w:val="333333"/>
                <w:szCs w:val="20"/>
              </w:rPr>
            </w:pPr>
            <w:r w:rsidRPr="00D77963">
              <w:rPr>
                <w:i/>
                <w:color w:val="333333"/>
                <w:szCs w:val="20"/>
              </w:rPr>
              <w:t>AND</w:t>
            </w:r>
          </w:p>
          <w:p w:rsidR="00BF57BF" w:rsidRPr="00D77963" w:rsidRDefault="00BF57BF" w:rsidP="00372DA8">
            <w:pPr>
              <w:pStyle w:val="TableText"/>
              <w:rPr>
                <w:rFonts w:cs="Arial"/>
                <w:szCs w:val="20"/>
              </w:rPr>
            </w:pPr>
            <w:r w:rsidRPr="00D77963">
              <w:rPr>
                <w:i/>
                <w:color w:val="333333"/>
                <w:szCs w:val="20"/>
              </w:rPr>
              <w:t>Patient must not have previously received PBS-subsidised treatment with this drug for this condition</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zCs w:val="20"/>
              </w:rPr>
            </w:pPr>
            <w:r w:rsidRPr="00D77963">
              <w:rPr>
                <w:b/>
                <w:szCs w:val="20"/>
              </w:rPr>
              <w:t>Population criteria:</w:t>
            </w:r>
          </w:p>
        </w:tc>
        <w:tc>
          <w:tcPr>
            <w:tcW w:w="3981" w:type="pct"/>
            <w:tcBorders>
              <w:top w:val="single" w:sz="4" w:space="0" w:color="auto"/>
              <w:bottom w:val="single" w:sz="4" w:space="0" w:color="auto"/>
              <w:right w:val="single" w:sz="4" w:space="0" w:color="auto"/>
            </w:tcBorders>
          </w:tcPr>
          <w:p w:rsidR="007937C3" w:rsidRPr="00D77963" w:rsidRDefault="007937C3" w:rsidP="00372DA8">
            <w:pPr>
              <w:pStyle w:val="TableText"/>
              <w:rPr>
                <w:szCs w:val="20"/>
              </w:rPr>
            </w:pPr>
            <w:r w:rsidRPr="00D77963">
              <w:rPr>
                <w:rFonts w:cs="Arial"/>
                <w:szCs w:val="20"/>
                <w:lang w:bidi="en-US"/>
              </w:rPr>
              <w:t>Patient must be aged 18 years or older.</w:t>
            </w:r>
          </w:p>
        </w:tc>
      </w:tr>
      <w:tr w:rsidR="007937C3" w:rsidRPr="00D77963" w:rsidTr="00D77963">
        <w:trPr>
          <w:cantSplit/>
        </w:trPr>
        <w:tc>
          <w:tcPr>
            <w:tcW w:w="1019" w:type="pct"/>
            <w:tcBorders>
              <w:top w:val="single" w:sz="4" w:space="0" w:color="auto"/>
              <w:left w:val="single" w:sz="4" w:space="0" w:color="auto"/>
              <w:bottom w:val="double" w:sz="4" w:space="0" w:color="auto"/>
              <w:right w:val="single" w:sz="4" w:space="0" w:color="auto"/>
            </w:tcBorders>
          </w:tcPr>
          <w:p w:rsidR="007937C3" w:rsidRPr="00D77963" w:rsidRDefault="007937C3" w:rsidP="00372DA8">
            <w:pPr>
              <w:pStyle w:val="TableText"/>
              <w:rPr>
                <w:b/>
                <w:szCs w:val="20"/>
              </w:rPr>
            </w:pPr>
            <w:r w:rsidRPr="00D77963">
              <w:rPr>
                <w:b/>
                <w:szCs w:val="20"/>
              </w:rPr>
              <w:t>Prescriber Instructions:</w:t>
            </w:r>
          </w:p>
        </w:tc>
        <w:tc>
          <w:tcPr>
            <w:tcW w:w="3981" w:type="pct"/>
            <w:tcBorders>
              <w:top w:val="single" w:sz="4" w:space="0" w:color="auto"/>
              <w:left w:val="nil"/>
              <w:bottom w:val="double" w:sz="4" w:space="0" w:color="auto"/>
              <w:right w:val="single" w:sz="4" w:space="0" w:color="auto"/>
            </w:tcBorders>
          </w:tcPr>
          <w:p w:rsidR="007937C3" w:rsidRPr="00D77963" w:rsidRDefault="007937C3" w:rsidP="00372DA8">
            <w:pPr>
              <w:pStyle w:val="TableText"/>
              <w:rPr>
                <w:rFonts w:cs="Arial"/>
                <w:szCs w:val="20"/>
                <w:lang w:bidi="en-US"/>
              </w:rPr>
            </w:pPr>
            <w:r w:rsidRPr="00D77963">
              <w:rPr>
                <w:rFonts w:cs="Arial"/>
                <w:szCs w:val="20"/>
                <w:lang w:bidi="en-US"/>
              </w:rPr>
              <w:t xml:space="preserve">Prophylactic migraine medications are propranolol, amitriptyline, </w:t>
            </w:r>
            <w:proofErr w:type="spellStart"/>
            <w:r w:rsidRPr="00D77963">
              <w:rPr>
                <w:rFonts w:cs="Arial"/>
                <w:szCs w:val="20"/>
                <w:lang w:bidi="en-US"/>
              </w:rPr>
              <w:t>pizotifen</w:t>
            </w:r>
            <w:proofErr w:type="spellEnd"/>
            <w:r w:rsidRPr="00D77963">
              <w:rPr>
                <w:rFonts w:cs="Arial"/>
                <w:szCs w:val="20"/>
                <w:lang w:bidi="en-US"/>
              </w:rPr>
              <w:t xml:space="preserve">, candesartan, verapamil, nortriptyline, sodium valproate or </w:t>
            </w:r>
            <w:proofErr w:type="spellStart"/>
            <w:r w:rsidRPr="00D77963">
              <w:rPr>
                <w:rFonts w:cs="Arial"/>
                <w:szCs w:val="20"/>
                <w:lang w:bidi="en-US"/>
              </w:rPr>
              <w:t>topiramate</w:t>
            </w:r>
            <w:proofErr w:type="spellEnd"/>
            <w:r w:rsidRPr="00D77963">
              <w:rPr>
                <w:rFonts w:cs="Arial"/>
                <w:szCs w:val="20"/>
                <w:lang w:bidi="en-US"/>
              </w:rPr>
              <w:t>.</w:t>
            </w:r>
          </w:p>
          <w:p w:rsidR="00BF57BF" w:rsidRPr="00D77963" w:rsidRDefault="00BF57BF" w:rsidP="00372DA8">
            <w:pPr>
              <w:pStyle w:val="TableText"/>
              <w:rPr>
                <w:rFonts w:cs="Arial"/>
                <w:szCs w:val="20"/>
                <w:lang w:bidi="en-US"/>
              </w:rPr>
            </w:pPr>
          </w:p>
          <w:p w:rsidR="00BF57BF" w:rsidRPr="00D77963" w:rsidRDefault="00BF57BF" w:rsidP="00372DA8">
            <w:pPr>
              <w:pStyle w:val="TableText"/>
              <w:rPr>
                <w:i/>
                <w:szCs w:val="20"/>
              </w:rPr>
            </w:pPr>
            <w:r w:rsidRPr="00D77963">
              <w:rPr>
                <w:rFonts w:cs="Arial"/>
                <w:i/>
                <w:szCs w:val="20"/>
                <w:lang w:bidi="en-US"/>
              </w:rPr>
              <w:t>Patient must have a baseline measurement of the number of migraine days per month documented in their medical records.</w:t>
            </w:r>
          </w:p>
        </w:tc>
      </w:tr>
      <w:tr w:rsidR="007937C3" w:rsidRPr="00D77963" w:rsidTr="00D77963">
        <w:trPr>
          <w:cantSplit/>
        </w:trPr>
        <w:tc>
          <w:tcPr>
            <w:tcW w:w="1019" w:type="pct"/>
            <w:tcBorders>
              <w:top w:val="double" w:sz="4" w:space="0" w:color="auto"/>
              <w:left w:val="single" w:sz="4" w:space="0" w:color="auto"/>
              <w:bottom w:val="single" w:sz="4" w:space="0" w:color="auto"/>
              <w:right w:val="single" w:sz="4" w:space="0" w:color="auto"/>
            </w:tcBorders>
          </w:tcPr>
          <w:p w:rsidR="007937C3" w:rsidRPr="00D77963" w:rsidRDefault="007937C3" w:rsidP="00372DA8">
            <w:pPr>
              <w:pStyle w:val="TableText"/>
              <w:rPr>
                <w:b/>
                <w:strike/>
                <w:szCs w:val="20"/>
              </w:rPr>
            </w:pPr>
            <w:r w:rsidRPr="00D77963">
              <w:rPr>
                <w:b/>
                <w:strike/>
                <w:szCs w:val="20"/>
              </w:rPr>
              <w:t>Treatment phase:</w:t>
            </w:r>
          </w:p>
        </w:tc>
        <w:tc>
          <w:tcPr>
            <w:tcW w:w="3981" w:type="pct"/>
            <w:tcBorders>
              <w:top w:val="double" w:sz="4" w:space="0" w:color="auto"/>
              <w:left w:val="single" w:sz="4" w:space="0" w:color="auto"/>
              <w:bottom w:val="single" w:sz="4" w:space="0" w:color="auto"/>
              <w:right w:val="single" w:sz="4" w:space="0" w:color="auto"/>
            </w:tcBorders>
          </w:tcPr>
          <w:p w:rsidR="007937C3" w:rsidRPr="00D77963" w:rsidRDefault="007937C3" w:rsidP="00372DA8">
            <w:pPr>
              <w:pStyle w:val="TableText"/>
              <w:rPr>
                <w:strike/>
                <w:szCs w:val="20"/>
              </w:rPr>
            </w:pPr>
            <w:r w:rsidRPr="00D77963">
              <w:rPr>
                <w:strike/>
                <w:szCs w:val="20"/>
              </w:rPr>
              <w:t>Initial</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trike/>
                <w:szCs w:val="20"/>
              </w:rPr>
            </w:pPr>
            <w:r w:rsidRPr="00D77963">
              <w:rPr>
                <w:b/>
                <w:strike/>
                <w:szCs w:val="20"/>
              </w:rPr>
              <w:t>Clinical criteria:</w:t>
            </w:r>
          </w:p>
        </w:tc>
        <w:tc>
          <w:tcPr>
            <w:tcW w:w="3981" w:type="pct"/>
            <w:tcBorders>
              <w:top w:val="single" w:sz="4" w:space="0" w:color="auto"/>
              <w:bottom w:val="single" w:sz="4" w:space="0" w:color="auto"/>
              <w:right w:val="single" w:sz="4" w:space="0" w:color="auto"/>
            </w:tcBorders>
          </w:tcPr>
          <w:p w:rsidR="007937C3" w:rsidRPr="00D77963" w:rsidRDefault="007937C3" w:rsidP="00372DA8">
            <w:pPr>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Patient must have previously received PBS-subsidised treatment with this drug for this condition</w:t>
            </w:r>
          </w:p>
          <w:p w:rsidR="007937C3" w:rsidRPr="00D77963" w:rsidRDefault="007937C3" w:rsidP="00372DA8">
            <w:pPr>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AND</w:t>
            </w:r>
          </w:p>
          <w:p w:rsidR="007937C3" w:rsidRPr="00D77963" w:rsidRDefault="007937C3" w:rsidP="00372DA8">
            <w:pPr>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lastRenderedPageBreak/>
              <w:t>Patient must have experienced an average of 14 or less headache days per month, with at least 4 days of migraine, over a period of at least 6 months, prior to commencement of treatment with this drug for this condition</w:t>
            </w:r>
          </w:p>
          <w:p w:rsidR="007937C3" w:rsidRPr="00D77963" w:rsidRDefault="007937C3" w:rsidP="00372DA8">
            <w:pPr>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AND</w:t>
            </w:r>
          </w:p>
          <w:p w:rsidR="007937C3" w:rsidRPr="00D77963" w:rsidRDefault="007937C3" w:rsidP="00372DA8">
            <w:pPr>
              <w:pStyle w:val="TableText"/>
              <w:rPr>
                <w:rFonts w:cs="Arial"/>
                <w:strike/>
                <w:szCs w:val="20"/>
              </w:rPr>
            </w:pPr>
            <w:r w:rsidRPr="00D77963">
              <w:rPr>
                <w:rFonts w:cs="Arial"/>
                <w:strike/>
                <w:szCs w:val="20"/>
                <w:lang w:bidi="en-US"/>
              </w:rPr>
              <w:t>Patient must have experienced an inadequate response, intolerance or a contraindication to at least three prophylactic migraine medications prior to commencement of treatment with this drug for this condition</w:t>
            </w:r>
          </w:p>
        </w:tc>
      </w:tr>
      <w:tr w:rsidR="007937C3"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7937C3" w:rsidRPr="00D77963" w:rsidRDefault="007937C3" w:rsidP="00372DA8">
            <w:pPr>
              <w:pStyle w:val="TableText"/>
              <w:rPr>
                <w:b/>
                <w:strike/>
                <w:szCs w:val="20"/>
              </w:rPr>
            </w:pPr>
            <w:r w:rsidRPr="00D77963">
              <w:rPr>
                <w:b/>
                <w:strike/>
                <w:szCs w:val="20"/>
              </w:rPr>
              <w:lastRenderedPageBreak/>
              <w:t>Population criteria:</w:t>
            </w:r>
          </w:p>
        </w:tc>
        <w:tc>
          <w:tcPr>
            <w:tcW w:w="3981" w:type="pct"/>
            <w:tcBorders>
              <w:top w:val="single" w:sz="4" w:space="0" w:color="auto"/>
              <w:bottom w:val="single" w:sz="4" w:space="0" w:color="auto"/>
              <w:right w:val="single" w:sz="4" w:space="0" w:color="auto"/>
            </w:tcBorders>
          </w:tcPr>
          <w:p w:rsidR="007937C3" w:rsidRPr="00D77963" w:rsidRDefault="007937C3" w:rsidP="00372DA8">
            <w:pPr>
              <w:pStyle w:val="TableText"/>
              <w:rPr>
                <w:strike/>
                <w:szCs w:val="20"/>
              </w:rPr>
            </w:pPr>
            <w:r w:rsidRPr="00D77963">
              <w:rPr>
                <w:rFonts w:cs="Arial"/>
                <w:strike/>
                <w:szCs w:val="20"/>
                <w:lang w:bidi="en-US"/>
              </w:rPr>
              <w:t>Patient must be aged 18 years or older.</w:t>
            </w:r>
          </w:p>
        </w:tc>
      </w:tr>
      <w:tr w:rsidR="007937C3" w:rsidRPr="00D77963" w:rsidTr="00D77963">
        <w:trPr>
          <w:cantSplit/>
        </w:trPr>
        <w:tc>
          <w:tcPr>
            <w:tcW w:w="1019" w:type="pct"/>
            <w:tcBorders>
              <w:top w:val="single" w:sz="4" w:space="0" w:color="auto"/>
              <w:left w:val="single" w:sz="4" w:space="0" w:color="auto"/>
              <w:bottom w:val="double" w:sz="4" w:space="0" w:color="auto"/>
              <w:right w:val="single" w:sz="4" w:space="0" w:color="auto"/>
            </w:tcBorders>
          </w:tcPr>
          <w:p w:rsidR="007937C3" w:rsidRPr="00D77963" w:rsidRDefault="007937C3" w:rsidP="00372DA8">
            <w:pPr>
              <w:pStyle w:val="TableText"/>
              <w:rPr>
                <w:b/>
                <w:strike/>
                <w:szCs w:val="20"/>
              </w:rPr>
            </w:pPr>
            <w:r w:rsidRPr="00D77963">
              <w:rPr>
                <w:b/>
                <w:strike/>
                <w:szCs w:val="20"/>
              </w:rPr>
              <w:t>Prescriber Instructions:</w:t>
            </w:r>
          </w:p>
        </w:tc>
        <w:tc>
          <w:tcPr>
            <w:tcW w:w="3981" w:type="pct"/>
            <w:tcBorders>
              <w:top w:val="single" w:sz="4" w:space="0" w:color="auto"/>
              <w:left w:val="nil"/>
              <w:bottom w:val="double" w:sz="4" w:space="0" w:color="auto"/>
              <w:right w:val="single" w:sz="4" w:space="0" w:color="auto"/>
            </w:tcBorders>
          </w:tcPr>
          <w:p w:rsidR="007937C3" w:rsidRPr="00D77963" w:rsidRDefault="007937C3" w:rsidP="00372DA8">
            <w:pPr>
              <w:pStyle w:val="TableText"/>
              <w:rPr>
                <w:strike/>
                <w:szCs w:val="20"/>
              </w:rPr>
            </w:pPr>
            <w:r w:rsidRPr="00D77963">
              <w:rPr>
                <w:rFonts w:cs="Arial"/>
                <w:strike/>
                <w:szCs w:val="20"/>
                <w:lang w:bidi="en-US"/>
              </w:rPr>
              <w:t xml:space="preserve">Prophylactic migraine medications are propranolol, amitriptyline, </w:t>
            </w:r>
            <w:proofErr w:type="spellStart"/>
            <w:r w:rsidRPr="00D77963">
              <w:rPr>
                <w:rFonts w:cs="Arial"/>
                <w:strike/>
                <w:szCs w:val="20"/>
                <w:lang w:bidi="en-US"/>
              </w:rPr>
              <w:t>pizotifen</w:t>
            </w:r>
            <w:proofErr w:type="spellEnd"/>
            <w:r w:rsidRPr="00D77963">
              <w:rPr>
                <w:rFonts w:cs="Arial"/>
                <w:strike/>
                <w:szCs w:val="20"/>
                <w:lang w:bidi="en-US"/>
              </w:rPr>
              <w:t xml:space="preserve">, candesartan, verapamil, nortriptyline, sodium valproate or </w:t>
            </w:r>
            <w:proofErr w:type="spellStart"/>
            <w:r w:rsidRPr="00D77963">
              <w:rPr>
                <w:rFonts w:cs="Arial"/>
                <w:strike/>
                <w:szCs w:val="20"/>
                <w:lang w:bidi="en-US"/>
              </w:rPr>
              <w:t>topiramate</w:t>
            </w:r>
            <w:proofErr w:type="spellEnd"/>
            <w:r w:rsidRPr="00D77963">
              <w:rPr>
                <w:rFonts w:cs="Arial"/>
                <w:strike/>
                <w:szCs w:val="20"/>
                <w:lang w:bidi="en-US"/>
              </w:rPr>
              <w:t>.</w:t>
            </w:r>
          </w:p>
        </w:tc>
      </w:tr>
      <w:tr w:rsidR="00EB1E10" w:rsidRPr="00D77963" w:rsidTr="00D77963">
        <w:trPr>
          <w:cantSplit/>
        </w:trPr>
        <w:tc>
          <w:tcPr>
            <w:tcW w:w="1019" w:type="pct"/>
            <w:tcBorders>
              <w:top w:val="double" w:sz="4" w:space="0" w:color="auto"/>
              <w:left w:val="single" w:sz="4" w:space="0" w:color="auto"/>
              <w:bottom w:val="single" w:sz="4" w:space="0" w:color="auto"/>
              <w:right w:val="single" w:sz="4" w:space="0" w:color="auto"/>
            </w:tcBorders>
          </w:tcPr>
          <w:p w:rsidR="00EB1E10" w:rsidRPr="00D77963" w:rsidRDefault="00EB1E10" w:rsidP="00EB1E10">
            <w:pPr>
              <w:pStyle w:val="TableText"/>
              <w:rPr>
                <w:b/>
                <w:szCs w:val="20"/>
              </w:rPr>
            </w:pPr>
            <w:r w:rsidRPr="00D77963">
              <w:rPr>
                <w:b/>
                <w:szCs w:val="20"/>
              </w:rPr>
              <w:t>Treatment phase:</w:t>
            </w:r>
          </w:p>
        </w:tc>
        <w:tc>
          <w:tcPr>
            <w:tcW w:w="3981" w:type="pct"/>
            <w:tcBorders>
              <w:top w:val="double" w:sz="4" w:space="0" w:color="auto"/>
              <w:left w:val="single" w:sz="4" w:space="0" w:color="auto"/>
              <w:bottom w:val="single" w:sz="4" w:space="0" w:color="auto"/>
              <w:right w:val="single" w:sz="4" w:space="0" w:color="auto"/>
            </w:tcBorders>
          </w:tcPr>
          <w:p w:rsidR="00EB1E10" w:rsidRPr="00D77963" w:rsidRDefault="00EB1E10" w:rsidP="00EB1E10">
            <w:pPr>
              <w:pStyle w:val="TableText"/>
              <w:rPr>
                <w:rFonts w:cs="Arial"/>
                <w:szCs w:val="20"/>
                <w:lang w:bidi="en-US"/>
              </w:rPr>
            </w:pPr>
            <w:r w:rsidRPr="00D77963">
              <w:rPr>
                <w:szCs w:val="20"/>
              </w:rPr>
              <w:t>Continuing</w:t>
            </w:r>
          </w:p>
        </w:tc>
      </w:tr>
      <w:tr w:rsidR="00EB1E10" w:rsidRPr="00D77963" w:rsidTr="00D77963">
        <w:trPr>
          <w:cantSplit/>
        </w:trPr>
        <w:tc>
          <w:tcPr>
            <w:tcW w:w="1019" w:type="pct"/>
            <w:tcBorders>
              <w:top w:val="double" w:sz="4" w:space="0" w:color="auto"/>
              <w:left w:val="single" w:sz="4" w:space="0" w:color="auto"/>
              <w:bottom w:val="single" w:sz="4" w:space="0" w:color="auto"/>
              <w:right w:val="single" w:sz="4" w:space="0" w:color="auto"/>
            </w:tcBorders>
          </w:tcPr>
          <w:p w:rsidR="00EB1E10" w:rsidRPr="00D77963" w:rsidRDefault="00EB1E10" w:rsidP="00EB1E10">
            <w:pPr>
              <w:pStyle w:val="TableText"/>
              <w:rPr>
                <w:b/>
                <w:szCs w:val="20"/>
              </w:rPr>
            </w:pPr>
            <w:r w:rsidRPr="00D77963">
              <w:rPr>
                <w:b/>
                <w:szCs w:val="20"/>
              </w:rPr>
              <w:t>Treatment criteria:</w:t>
            </w:r>
          </w:p>
        </w:tc>
        <w:tc>
          <w:tcPr>
            <w:tcW w:w="3981" w:type="pct"/>
            <w:tcBorders>
              <w:top w:val="double" w:sz="4" w:space="0" w:color="auto"/>
              <w:left w:val="single" w:sz="4" w:space="0" w:color="auto"/>
              <w:bottom w:val="single" w:sz="4" w:space="0" w:color="auto"/>
              <w:right w:val="single" w:sz="4" w:space="0" w:color="auto"/>
            </w:tcBorders>
          </w:tcPr>
          <w:p w:rsidR="00EB1E10" w:rsidRPr="00D77963" w:rsidRDefault="00EB1E10" w:rsidP="00EB1E10">
            <w:pPr>
              <w:pStyle w:val="TableText"/>
              <w:rPr>
                <w:szCs w:val="20"/>
              </w:rPr>
            </w:pPr>
            <w:r w:rsidRPr="00D77963">
              <w:rPr>
                <w:rFonts w:cs="Arial"/>
                <w:szCs w:val="20"/>
                <w:lang w:bidi="en-US"/>
              </w:rPr>
              <w:t>Must be treated by a neurologist or</w:t>
            </w:r>
          </w:p>
        </w:tc>
      </w:tr>
      <w:tr w:rsidR="00EB1E10" w:rsidRPr="00D77963" w:rsidTr="00D77963">
        <w:trPr>
          <w:cantSplit/>
        </w:trPr>
        <w:tc>
          <w:tcPr>
            <w:tcW w:w="1019" w:type="pct"/>
            <w:tcBorders>
              <w:top w:val="double" w:sz="4" w:space="0" w:color="auto"/>
              <w:left w:val="single" w:sz="4" w:space="0" w:color="auto"/>
              <w:bottom w:val="single" w:sz="4" w:space="0" w:color="auto"/>
              <w:right w:val="single" w:sz="4" w:space="0" w:color="auto"/>
            </w:tcBorders>
          </w:tcPr>
          <w:p w:rsidR="00EB1E10" w:rsidRPr="00D77963" w:rsidRDefault="00EB1E10" w:rsidP="00EB1E10">
            <w:pPr>
              <w:pStyle w:val="TableText"/>
              <w:rPr>
                <w:b/>
                <w:szCs w:val="20"/>
              </w:rPr>
            </w:pPr>
          </w:p>
        </w:tc>
        <w:tc>
          <w:tcPr>
            <w:tcW w:w="3981" w:type="pct"/>
            <w:tcBorders>
              <w:top w:val="double" w:sz="4" w:space="0" w:color="auto"/>
              <w:left w:val="single" w:sz="4" w:space="0" w:color="auto"/>
              <w:bottom w:val="single" w:sz="4" w:space="0" w:color="auto"/>
              <w:right w:val="single" w:sz="4" w:space="0" w:color="auto"/>
            </w:tcBorders>
          </w:tcPr>
          <w:p w:rsidR="00EB1E10" w:rsidRPr="00D77963" w:rsidRDefault="00EB1E10" w:rsidP="00EB1E10">
            <w:pPr>
              <w:pStyle w:val="TableText"/>
              <w:rPr>
                <w:i/>
                <w:szCs w:val="20"/>
              </w:rPr>
            </w:pPr>
            <w:r w:rsidRPr="00D77963">
              <w:rPr>
                <w:i/>
                <w:szCs w:val="20"/>
              </w:rPr>
              <w:t>Must be treated by a physician who has consulted a neurologist</w:t>
            </w:r>
          </w:p>
        </w:tc>
      </w:tr>
      <w:tr w:rsidR="00EB1E10" w:rsidRPr="00D77963" w:rsidTr="00D77963">
        <w:trPr>
          <w:cantSplit/>
        </w:trPr>
        <w:tc>
          <w:tcPr>
            <w:tcW w:w="1019" w:type="pct"/>
            <w:tcBorders>
              <w:top w:val="single" w:sz="4" w:space="0" w:color="auto"/>
              <w:left w:val="single" w:sz="4" w:space="0" w:color="auto"/>
              <w:bottom w:val="double" w:sz="4" w:space="0" w:color="auto"/>
              <w:right w:val="single" w:sz="4" w:space="0" w:color="auto"/>
            </w:tcBorders>
          </w:tcPr>
          <w:p w:rsidR="00EB1E10" w:rsidRPr="00D77963" w:rsidRDefault="00EB1E10" w:rsidP="00EB1E10">
            <w:pPr>
              <w:pStyle w:val="TableText"/>
              <w:rPr>
                <w:b/>
                <w:szCs w:val="20"/>
              </w:rPr>
            </w:pPr>
            <w:r w:rsidRPr="00D77963">
              <w:rPr>
                <w:b/>
                <w:szCs w:val="20"/>
              </w:rPr>
              <w:t>Clinical criteria:</w:t>
            </w:r>
          </w:p>
        </w:tc>
        <w:tc>
          <w:tcPr>
            <w:tcW w:w="3981" w:type="pct"/>
            <w:tcBorders>
              <w:top w:val="single" w:sz="4" w:space="0" w:color="auto"/>
              <w:bottom w:val="double" w:sz="4" w:space="0" w:color="auto"/>
              <w:right w:val="single" w:sz="4" w:space="0" w:color="auto"/>
            </w:tcBorders>
          </w:tcPr>
          <w:p w:rsidR="00EB1E10" w:rsidRPr="00D77963" w:rsidRDefault="00EB1E10" w:rsidP="00EB1E10">
            <w:pPr>
              <w:keepNext/>
              <w:keepLines/>
              <w:rPr>
                <w:rFonts w:ascii="Arial Narrow" w:eastAsiaTheme="majorEastAsia" w:hAnsi="Arial Narrow"/>
                <w:sz w:val="20"/>
                <w:szCs w:val="20"/>
                <w:lang w:bidi="en-US"/>
              </w:rPr>
            </w:pPr>
            <w:r w:rsidRPr="00D77963">
              <w:rPr>
                <w:rFonts w:ascii="Arial Narrow" w:eastAsiaTheme="majorEastAsia" w:hAnsi="Arial Narrow"/>
                <w:sz w:val="20"/>
                <w:szCs w:val="20"/>
                <w:lang w:bidi="en-US"/>
              </w:rPr>
              <w:t>Patient must have previously received PBS-subsidised treatment with this drug for this condition</w:t>
            </w:r>
          </w:p>
          <w:p w:rsidR="00EB1E10" w:rsidRPr="00D77963" w:rsidRDefault="00EB1E10" w:rsidP="00EB1E10">
            <w:pPr>
              <w:keepNext/>
              <w:keepLines/>
              <w:rPr>
                <w:rFonts w:ascii="Arial Narrow" w:eastAsiaTheme="majorEastAsia" w:hAnsi="Arial Narrow"/>
                <w:sz w:val="20"/>
                <w:szCs w:val="20"/>
                <w:lang w:bidi="en-US"/>
              </w:rPr>
            </w:pPr>
            <w:r w:rsidRPr="00D77963">
              <w:rPr>
                <w:rFonts w:ascii="Arial Narrow" w:eastAsiaTheme="majorEastAsia" w:hAnsi="Arial Narrow"/>
                <w:sz w:val="20"/>
                <w:szCs w:val="20"/>
                <w:lang w:bidi="en-US"/>
              </w:rPr>
              <w:t>AND</w:t>
            </w:r>
          </w:p>
          <w:p w:rsidR="00EB1E10" w:rsidRPr="00D77963" w:rsidRDefault="00EB1E10" w:rsidP="00EB1E10">
            <w:pPr>
              <w:pStyle w:val="TableText"/>
              <w:rPr>
                <w:rFonts w:cs="Arial"/>
                <w:szCs w:val="20"/>
                <w:lang w:bidi="en-US"/>
              </w:rPr>
            </w:pPr>
            <w:r w:rsidRPr="00D77963">
              <w:rPr>
                <w:rFonts w:cs="Arial"/>
                <w:szCs w:val="20"/>
                <w:lang w:bidi="en-US"/>
              </w:rPr>
              <w:t>Patient must have achieved and maintained a 50% or greater reduction from baseline in the number of migraine headache days per month</w:t>
            </w:r>
            <w:r w:rsidRPr="00D77963">
              <w:rPr>
                <w:rFonts w:cs="Arial"/>
                <w:strike/>
                <w:szCs w:val="20"/>
                <w:lang w:bidi="en-US"/>
              </w:rPr>
              <w:t xml:space="preserve"> in order to be eligible for continuing PBS-subsidised treatment</w:t>
            </w:r>
          </w:p>
          <w:p w:rsidR="00EB1E10" w:rsidRPr="00D77963" w:rsidRDefault="00EB1E10" w:rsidP="00EB1E10">
            <w:pPr>
              <w:pStyle w:val="TableText"/>
              <w:rPr>
                <w:rFonts w:cs="Arial"/>
                <w:szCs w:val="20"/>
                <w:lang w:bidi="en-US"/>
              </w:rPr>
            </w:pPr>
            <w:r w:rsidRPr="00D77963">
              <w:rPr>
                <w:rFonts w:cs="Arial"/>
                <w:szCs w:val="20"/>
                <w:lang w:bidi="en-US"/>
              </w:rPr>
              <w:t>AND</w:t>
            </w:r>
          </w:p>
          <w:p w:rsidR="00EB1E10" w:rsidRPr="00D77963" w:rsidRDefault="00EB1E10" w:rsidP="00EB1E10">
            <w:pPr>
              <w:pStyle w:val="TableText"/>
              <w:rPr>
                <w:i/>
                <w:color w:val="333333"/>
                <w:szCs w:val="20"/>
              </w:rPr>
            </w:pPr>
            <w:r w:rsidRPr="00D77963">
              <w:rPr>
                <w:i/>
                <w:color w:val="333333"/>
                <w:szCs w:val="20"/>
              </w:rPr>
              <w:t xml:space="preserve">Patient must continue to be appropriately managed for medication overuse headache </w:t>
            </w:r>
          </w:p>
        </w:tc>
      </w:tr>
      <w:tr w:rsidR="00EB1E10"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EB1E10" w:rsidRPr="00D77963" w:rsidRDefault="00EB1E10" w:rsidP="00EB1E10">
            <w:pPr>
              <w:pStyle w:val="TableText"/>
              <w:rPr>
                <w:b/>
                <w:szCs w:val="20"/>
              </w:rPr>
            </w:pPr>
            <w:r w:rsidRPr="00D77963">
              <w:rPr>
                <w:b/>
                <w:szCs w:val="20"/>
              </w:rPr>
              <w:t>Prescriber Instructions:</w:t>
            </w:r>
          </w:p>
        </w:tc>
        <w:tc>
          <w:tcPr>
            <w:tcW w:w="3981" w:type="pct"/>
            <w:tcBorders>
              <w:top w:val="single" w:sz="4" w:space="0" w:color="auto"/>
              <w:left w:val="single" w:sz="4" w:space="0" w:color="auto"/>
              <w:bottom w:val="single" w:sz="4" w:space="0" w:color="auto"/>
              <w:right w:val="single" w:sz="4" w:space="0" w:color="auto"/>
            </w:tcBorders>
          </w:tcPr>
          <w:p w:rsidR="00EB1E10" w:rsidRPr="00D77963" w:rsidRDefault="00EB1E10" w:rsidP="00EB1E10">
            <w:pPr>
              <w:pStyle w:val="TableText"/>
              <w:rPr>
                <w:szCs w:val="20"/>
              </w:rPr>
            </w:pPr>
            <w:r w:rsidRPr="00D77963">
              <w:rPr>
                <w:rFonts w:cs="Arial"/>
                <w:i/>
                <w:szCs w:val="20"/>
                <w:lang w:bidi="en-US"/>
              </w:rPr>
              <w:t>Patient must have a baseline measurement of the number of migraine days per month documented in their medical records.</w:t>
            </w:r>
          </w:p>
        </w:tc>
      </w:tr>
      <w:tr w:rsidR="00EB1E10"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EB1E10" w:rsidRPr="00D77963" w:rsidRDefault="00EB1E10" w:rsidP="00EB1E10">
            <w:pPr>
              <w:pStyle w:val="TableText"/>
              <w:rPr>
                <w:b/>
                <w:strike/>
                <w:szCs w:val="20"/>
              </w:rPr>
            </w:pPr>
            <w:r w:rsidRPr="00D77963">
              <w:rPr>
                <w:b/>
                <w:strike/>
                <w:szCs w:val="20"/>
              </w:rPr>
              <w:t>Treatment phase:</w:t>
            </w:r>
          </w:p>
        </w:tc>
        <w:tc>
          <w:tcPr>
            <w:tcW w:w="3981" w:type="pct"/>
            <w:tcBorders>
              <w:top w:val="single" w:sz="4" w:space="0" w:color="auto"/>
              <w:left w:val="single" w:sz="4" w:space="0" w:color="auto"/>
              <w:bottom w:val="single" w:sz="4" w:space="0" w:color="auto"/>
              <w:right w:val="single" w:sz="4" w:space="0" w:color="auto"/>
            </w:tcBorders>
          </w:tcPr>
          <w:p w:rsidR="00EB1E10" w:rsidRPr="00D77963" w:rsidRDefault="00EB1E10" w:rsidP="00EB1E10">
            <w:pPr>
              <w:pStyle w:val="TableText"/>
              <w:rPr>
                <w:strike/>
                <w:szCs w:val="20"/>
              </w:rPr>
            </w:pPr>
            <w:r w:rsidRPr="00D77963">
              <w:rPr>
                <w:strike/>
                <w:szCs w:val="20"/>
              </w:rPr>
              <w:t>Grandfathering</w:t>
            </w:r>
          </w:p>
        </w:tc>
      </w:tr>
      <w:tr w:rsidR="00EB1E10" w:rsidRPr="00D77963" w:rsidTr="00D77963">
        <w:trPr>
          <w:cantSplit/>
        </w:trPr>
        <w:tc>
          <w:tcPr>
            <w:tcW w:w="1019" w:type="pct"/>
            <w:tcBorders>
              <w:top w:val="single" w:sz="4" w:space="0" w:color="auto"/>
              <w:left w:val="single" w:sz="4" w:space="0" w:color="auto"/>
              <w:bottom w:val="single" w:sz="4" w:space="0" w:color="auto"/>
              <w:right w:val="single" w:sz="4" w:space="0" w:color="auto"/>
            </w:tcBorders>
          </w:tcPr>
          <w:p w:rsidR="00EB1E10" w:rsidRPr="00D77963" w:rsidRDefault="00EB1E10" w:rsidP="00EB1E10">
            <w:pPr>
              <w:pStyle w:val="TableText"/>
              <w:rPr>
                <w:b/>
                <w:strike/>
                <w:szCs w:val="20"/>
              </w:rPr>
            </w:pPr>
            <w:r w:rsidRPr="00D77963">
              <w:rPr>
                <w:b/>
                <w:strike/>
                <w:szCs w:val="20"/>
              </w:rPr>
              <w:t>Clinical criteria:</w:t>
            </w:r>
          </w:p>
        </w:tc>
        <w:tc>
          <w:tcPr>
            <w:tcW w:w="3981" w:type="pct"/>
            <w:tcBorders>
              <w:top w:val="single" w:sz="4" w:space="0" w:color="auto"/>
              <w:bottom w:val="single" w:sz="4" w:space="0" w:color="auto"/>
              <w:right w:val="single" w:sz="4" w:space="0" w:color="auto"/>
            </w:tcBorders>
          </w:tcPr>
          <w:p w:rsidR="00EB1E10" w:rsidRPr="00D77963" w:rsidRDefault="00EB1E10" w:rsidP="00EB1E10">
            <w:pPr>
              <w:keepNext/>
              <w:keepLines/>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Patient must have previously received non-PBS-subsidised treatment with this drug for this condition prior to [listing date]</w:t>
            </w:r>
          </w:p>
          <w:p w:rsidR="00EB1E10" w:rsidRPr="00D77963" w:rsidRDefault="00EB1E10" w:rsidP="00EB1E10">
            <w:pPr>
              <w:keepNext/>
              <w:keepLines/>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AND</w:t>
            </w:r>
          </w:p>
          <w:p w:rsidR="00EB1E10" w:rsidRPr="00D77963" w:rsidRDefault="00EB1E10" w:rsidP="00EB1E10">
            <w:pPr>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Patient must have experienced an average of 14 or less headache days per month, with at least 4 days of migraine, over a period of at least 6 months, prior to commencement of treatment with this drug for this condition</w:t>
            </w:r>
          </w:p>
          <w:p w:rsidR="00EB1E10" w:rsidRPr="00D77963" w:rsidRDefault="00EB1E10" w:rsidP="00EB1E10">
            <w:pPr>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AND</w:t>
            </w:r>
          </w:p>
          <w:p w:rsidR="00EB1E10" w:rsidRPr="00D77963" w:rsidRDefault="00EB1E10" w:rsidP="00EB1E10">
            <w:pPr>
              <w:keepNext/>
              <w:keepLines/>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Patient must have experienced an inadequate response, intolerance or a contraindication to at least three prophylactic migraine medications prior to commencement of treatment with this drug for this condition</w:t>
            </w:r>
          </w:p>
          <w:p w:rsidR="00EB1E10" w:rsidRPr="00D77963" w:rsidRDefault="00EB1E10" w:rsidP="00EB1E10">
            <w:pPr>
              <w:keepNext/>
              <w:keepLines/>
              <w:rPr>
                <w:rFonts w:ascii="Arial Narrow" w:eastAsiaTheme="majorEastAsia" w:hAnsi="Arial Narrow"/>
                <w:strike/>
                <w:sz w:val="20"/>
                <w:szCs w:val="20"/>
                <w:lang w:bidi="en-US"/>
              </w:rPr>
            </w:pPr>
            <w:r w:rsidRPr="00D77963">
              <w:rPr>
                <w:rFonts w:ascii="Arial Narrow" w:eastAsiaTheme="majorEastAsia" w:hAnsi="Arial Narrow"/>
                <w:strike/>
                <w:sz w:val="20"/>
                <w:szCs w:val="20"/>
                <w:lang w:bidi="en-US"/>
              </w:rPr>
              <w:t>AND</w:t>
            </w:r>
          </w:p>
          <w:p w:rsidR="00EB1E10" w:rsidRPr="00D77963" w:rsidRDefault="00EB1E10" w:rsidP="00EB1E10">
            <w:pPr>
              <w:pStyle w:val="TableText"/>
              <w:rPr>
                <w:rFonts w:cs="Arial"/>
                <w:strike/>
                <w:szCs w:val="20"/>
              </w:rPr>
            </w:pPr>
            <w:r w:rsidRPr="00D77963">
              <w:rPr>
                <w:rFonts w:cs="Arial"/>
                <w:strike/>
                <w:szCs w:val="20"/>
                <w:lang w:bidi="en-US"/>
              </w:rPr>
              <w:t>Patient must have achieved and maintained a 50% or greater reduction from baseline in the number of migraine headache days per month in order to be eligible for continuing PBS-subsidised treatment</w:t>
            </w:r>
          </w:p>
        </w:tc>
      </w:tr>
    </w:tbl>
    <w:p w:rsidR="00FC12F6" w:rsidRPr="00D77963" w:rsidRDefault="007937C3" w:rsidP="007937C3">
      <w:pPr>
        <w:pStyle w:val="TableFigureFooter"/>
        <w:rPr>
          <w:rFonts w:eastAsiaTheme="minorHAnsi" w:cs="Times New Roman"/>
          <w:szCs w:val="18"/>
        </w:rPr>
      </w:pPr>
      <w:r w:rsidRPr="00D77963">
        <w:t>Source: Table 1.4.1</w:t>
      </w:r>
      <w:proofErr w:type="gramStart"/>
      <w:r w:rsidRPr="00D77963">
        <w:t>,;</w:t>
      </w:r>
      <w:proofErr w:type="gramEnd"/>
      <w:r w:rsidRPr="00D77963">
        <w:t xml:space="preserve"> Table 1.4.2; Table 1.4.3; Table 1.4.4; Table 1.4.5 of the submission</w:t>
      </w:r>
    </w:p>
    <w:p w:rsidR="00FC12F6" w:rsidRPr="00D77963" w:rsidRDefault="00FC12F6" w:rsidP="00FC12F6">
      <w:pPr>
        <w:pStyle w:val="TableFigureFooter"/>
        <w:rPr>
          <w:sz w:val="20"/>
          <w:szCs w:val="20"/>
        </w:rPr>
      </w:pPr>
      <w:r w:rsidRPr="00D77963">
        <w:t>Notes: Published price to be confirmed by sponsor once a special pricing agreement is determined, consistent with that requested previously for the chronic migraine indication</w:t>
      </w:r>
    </w:p>
    <w:p w:rsidR="00DA4F48" w:rsidRPr="00D77963" w:rsidRDefault="0013604E" w:rsidP="00C82C14">
      <w:pPr>
        <w:pStyle w:val="ListParagraph"/>
        <w:numPr>
          <w:ilvl w:val="1"/>
          <w:numId w:val="4"/>
        </w:numPr>
        <w:spacing w:after="160"/>
        <w:contextualSpacing w:val="0"/>
      </w:pPr>
      <w:r w:rsidRPr="00D77963">
        <w:t>A special price arrangement wa</w:t>
      </w:r>
      <w:r w:rsidR="00FC12F6" w:rsidRPr="00D77963">
        <w:t xml:space="preserve">s requested for </w:t>
      </w:r>
      <w:proofErr w:type="spellStart"/>
      <w:r w:rsidR="00FC12F6" w:rsidRPr="00D77963">
        <w:t>galcanezumab</w:t>
      </w:r>
      <w:proofErr w:type="spellEnd"/>
      <w:r w:rsidR="00672814" w:rsidRPr="00D77963">
        <w:t xml:space="preserve"> and n</w:t>
      </w:r>
      <w:r w:rsidR="00FC12F6" w:rsidRPr="00D77963">
        <w:t xml:space="preserve">o published price was provided in the submission. </w:t>
      </w:r>
      <w:r w:rsidR="008E6FEA" w:rsidRPr="00D77963">
        <w:t xml:space="preserve">The ESC noted the </w:t>
      </w:r>
      <w:r w:rsidR="00D47A3D" w:rsidRPr="00D77963">
        <w:t xml:space="preserve">proposed </w:t>
      </w:r>
      <w:r w:rsidR="00EF04D2" w:rsidRPr="00D77963">
        <w:t xml:space="preserve">effective </w:t>
      </w:r>
      <w:r w:rsidR="008E6FEA" w:rsidRPr="00D77963">
        <w:t>price</w:t>
      </w:r>
      <w:r w:rsidR="00A134F4" w:rsidRPr="00D77963">
        <w:t xml:space="preserve"> for episodic migraine</w:t>
      </w:r>
      <w:r w:rsidR="00E51411" w:rsidRPr="00D77963">
        <w:t xml:space="preserve"> (</w:t>
      </w:r>
      <w:r w:rsidR="00784F43" w:rsidRPr="00D77963">
        <w:t>approved ex-manufacturer price (</w:t>
      </w:r>
      <w:r w:rsidR="00E51411" w:rsidRPr="00D77963">
        <w:t>AEMP</w:t>
      </w:r>
      <w:r w:rsidR="00784F43" w:rsidRPr="00D77963">
        <w:t>)</w:t>
      </w:r>
      <w:r w:rsidR="00E51411" w:rsidRPr="00D77963">
        <w:t xml:space="preserve"> </w:t>
      </w:r>
      <w:r w:rsidR="00784F43" w:rsidRPr="00D77963">
        <w:t xml:space="preserve">of </w:t>
      </w:r>
      <w:r w:rsidR="00E51411" w:rsidRPr="00D77963">
        <w:t>$</w:t>
      </w:r>
      <w:r w:rsidR="00272C12">
        <w:rPr>
          <w:noProof/>
          <w:color w:val="000000"/>
          <w:highlight w:val="black"/>
        </w:rPr>
        <w:t>''''''''''''</w:t>
      </w:r>
      <w:r w:rsidR="00784F43" w:rsidRPr="00D77963">
        <w:t>)</w:t>
      </w:r>
      <w:r w:rsidR="008E6FEA" w:rsidRPr="00D77963">
        <w:t xml:space="preserve"> </w:t>
      </w:r>
      <w:r w:rsidR="00A11F94" w:rsidRPr="00D77963">
        <w:t>wa</w:t>
      </w:r>
      <w:r w:rsidR="008E6FEA" w:rsidRPr="00D77963">
        <w:t>s higher than</w:t>
      </w:r>
      <w:r w:rsidR="00D47A3D" w:rsidRPr="00D77963">
        <w:t xml:space="preserve"> </w:t>
      </w:r>
      <w:r w:rsidR="00A134F4" w:rsidRPr="00D77963">
        <w:t xml:space="preserve">the price recommended by the PBAC for </w:t>
      </w:r>
      <w:r w:rsidR="00A11F94" w:rsidRPr="00D77963">
        <w:t xml:space="preserve">the </w:t>
      </w:r>
      <w:r w:rsidR="00A134F4" w:rsidRPr="00D77963">
        <w:t>chronic migraine population</w:t>
      </w:r>
      <w:r w:rsidR="00784F43" w:rsidRPr="00D77963">
        <w:t xml:space="preserve"> (AEMP of ~$</w:t>
      </w:r>
      <w:r w:rsidR="00272C12">
        <w:rPr>
          <w:noProof/>
          <w:color w:val="000000"/>
          <w:highlight w:val="black"/>
        </w:rPr>
        <w:t>'''''''</w:t>
      </w:r>
      <w:r w:rsidR="00784F43" w:rsidRPr="00D77963">
        <w:t>)</w:t>
      </w:r>
      <w:r w:rsidR="00A134F4" w:rsidRPr="00D77963">
        <w:t xml:space="preserve"> </w:t>
      </w:r>
      <w:r w:rsidR="00A11F94" w:rsidRPr="00D77963">
        <w:t xml:space="preserve">in </w:t>
      </w:r>
      <w:r w:rsidR="00A134F4" w:rsidRPr="00D77963">
        <w:t>July 2019</w:t>
      </w:r>
      <w:r w:rsidR="00D47A3D" w:rsidRPr="00D77963">
        <w:t xml:space="preserve">. The ESC considered a higher price for a population with less severe disease </w:t>
      </w:r>
      <w:r w:rsidR="00DF54CF" w:rsidRPr="00D77963">
        <w:t xml:space="preserve">and a lower incremental benefit </w:t>
      </w:r>
      <w:r w:rsidR="00D47A3D" w:rsidRPr="00D77963">
        <w:t xml:space="preserve">had not been </w:t>
      </w:r>
      <w:r w:rsidR="00A134F4" w:rsidRPr="00D77963">
        <w:t xml:space="preserve">adequately </w:t>
      </w:r>
      <w:r w:rsidR="00D47A3D" w:rsidRPr="00D77963">
        <w:t>justified.</w:t>
      </w:r>
      <w:r w:rsidR="00D47A3D" w:rsidRPr="00D77963">
        <w:rPr>
          <w:i/>
        </w:rPr>
        <w:t xml:space="preserve"> </w:t>
      </w:r>
      <w:r w:rsidR="00D47A3D" w:rsidRPr="00D77963">
        <w:t xml:space="preserve">  </w:t>
      </w:r>
    </w:p>
    <w:p w:rsidR="00FC12F6" w:rsidRPr="00D77963" w:rsidRDefault="00FC12F6" w:rsidP="00DA4F48">
      <w:pPr>
        <w:pStyle w:val="ListParagraph"/>
        <w:numPr>
          <w:ilvl w:val="1"/>
          <w:numId w:val="4"/>
        </w:numPr>
        <w:spacing w:after="160"/>
        <w:contextualSpacing w:val="0"/>
      </w:pPr>
      <w:r w:rsidRPr="00D77963">
        <w:t xml:space="preserve">The requirement for patients to have experienced up to 14 headache days per month was </w:t>
      </w:r>
      <w:r w:rsidR="002346AE" w:rsidRPr="00D77963">
        <w:t xml:space="preserve">proposed </w:t>
      </w:r>
      <w:r w:rsidRPr="00D77963">
        <w:t xml:space="preserve">to ensure that the restriction for episodic migraine does not overlap with the PBAC-recommended restriction for chronic migraine (an average of 15 or more headache days per month, with at least 8 days of migraine, over a period of at least 6 months). </w:t>
      </w:r>
      <w:r w:rsidR="00030C01" w:rsidRPr="00D77963">
        <w:t>However</w:t>
      </w:r>
      <w:r w:rsidRPr="00D77963">
        <w:t xml:space="preserve">, there may be people who would benefit from treatment </w:t>
      </w:r>
      <w:r w:rsidRPr="00D77963">
        <w:lastRenderedPageBreak/>
        <w:t>who do not qualify under either restriction. For example, someone with at least 15</w:t>
      </w:r>
      <w:r w:rsidR="00A11F94" w:rsidRPr="00D77963">
        <w:t> </w:t>
      </w:r>
      <w:r w:rsidRPr="00D77963">
        <w:t xml:space="preserve">headache days per month but between 4 and 8 migraine days. Such a distinction between chronic and episodic migraine is not in alignment with </w:t>
      </w:r>
      <w:r w:rsidR="001372FC" w:rsidRPr="00D77963">
        <w:t xml:space="preserve">the TGA indication or </w:t>
      </w:r>
      <w:r w:rsidRPr="00D77963">
        <w:t>published guidelines</w:t>
      </w:r>
      <w:r w:rsidR="00030C01" w:rsidRPr="00D77963">
        <w:t xml:space="preserve"> </w:t>
      </w:r>
      <w:r w:rsidRPr="00D77963">
        <w:t>which</w:t>
      </w:r>
      <w:r w:rsidR="0013604E" w:rsidRPr="00D77963">
        <w:t xml:space="preserve"> generally</w:t>
      </w:r>
      <w:r w:rsidRPr="00D77963">
        <w:t xml:space="preserve"> suggest prophylactic treatment for patients who have experienced an average of at least 4 migraine headache days </w:t>
      </w:r>
      <w:r w:rsidR="00B265E0" w:rsidRPr="00D77963">
        <w:t xml:space="preserve">(MHD) </w:t>
      </w:r>
      <w:r w:rsidRPr="00D77963">
        <w:t>per month.</w:t>
      </w:r>
      <w:r w:rsidR="00FE589E" w:rsidRPr="00D77963">
        <w:rPr>
          <w:i/>
        </w:rPr>
        <w:t xml:space="preserve"> </w:t>
      </w:r>
      <w:r w:rsidR="00FE589E" w:rsidRPr="00D77963">
        <w:t>The ESC noted that</w:t>
      </w:r>
      <w:r w:rsidR="00B50D45" w:rsidRPr="00D77963">
        <w:t xml:space="preserve"> episodic and chronic migraine is</w:t>
      </w:r>
      <w:r w:rsidR="00FE589E" w:rsidRPr="00D77963">
        <w:t xml:space="preserve"> </w:t>
      </w:r>
      <w:r w:rsidR="00B50D45" w:rsidRPr="00D77963">
        <w:t xml:space="preserve">on </w:t>
      </w:r>
      <w:r w:rsidR="00FE589E" w:rsidRPr="00D77963">
        <w:t>a continuum</w:t>
      </w:r>
      <w:r w:rsidR="00B50D45" w:rsidRPr="00D77963">
        <w:t xml:space="preserve"> rather than discrete categories, and as such</w:t>
      </w:r>
      <w:r w:rsidR="00A11F94" w:rsidRPr="00D77963">
        <w:t>,</w:t>
      </w:r>
      <w:r w:rsidR="00B50D45" w:rsidRPr="00D77963">
        <w:t xml:space="preserve"> patients may frequently cycle between chronic and episodic migraine. </w:t>
      </w:r>
      <w:r w:rsidR="00FE589E" w:rsidRPr="00D77963">
        <w:t>The ESC considered</w:t>
      </w:r>
      <w:r w:rsidR="00030C01" w:rsidRPr="00D77963">
        <w:t xml:space="preserve"> </w:t>
      </w:r>
      <w:r w:rsidR="00C37689" w:rsidRPr="00D77963">
        <w:t>a</w:t>
      </w:r>
      <w:r w:rsidR="00030C01" w:rsidRPr="00D77963">
        <w:t xml:space="preserve"> single listing for </w:t>
      </w:r>
      <w:r w:rsidR="001372FC" w:rsidRPr="00D77963">
        <w:t>treatment</w:t>
      </w:r>
      <w:r w:rsidR="008B3CB7" w:rsidRPr="00D77963">
        <w:t>-</w:t>
      </w:r>
      <w:r w:rsidR="001372FC" w:rsidRPr="00D77963">
        <w:t xml:space="preserve">resistant </w:t>
      </w:r>
      <w:r w:rsidR="00030C01" w:rsidRPr="00D77963">
        <w:t>migraine may be more appropriate</w:t>
      </w:r>
      <w:r w:rsidR="001372FC" w:rsidRPr="00D77963">
        <w:t>, rather than separate listings for episodic and chronic migraine</w:t>
      </w:r>
      <w:r w:rsidR="00082256" w:rsidRPr="00D77963">
        <w:t>.</w:t>
      </w:r>
      <w:r w:rsidR="004E15B4" w:rsidRPr="00D77963">
        <w:rPr>
          <w:i/>
        </w:rPr>
        <w:t xml:space="preserve"> </w:t>
      </w:r>
    </w:p>
    <w:p w:rsidR="00FC12F6" w:rsidRPr="00D77963" w:rsidRDefault="00FC12F6" w:rsidP="00DA4F48">
      <w:pPr>
        <w:pStyle w:val="ListParagraph"/>
        <w:numPr>
          <w:ilvl w:val="1"/>
          <w:numId w:val="4"/>
        </w:numPr>
        <w:spacing w:after="160"/>
        <w:contextualSpacing w:val="0"/>
      </w:pPr>
      <w:r w:rsidRPr="00D77963">
        <w:t xml:space="preserve">The proposed continuation criteria for the PBS listing of </w:t>
      </w:r>
      <w:proofErr w:type="spellStart"/>
      <w:r w:rsidRPr="00D77963">
        <w:t>galcanezumab</w:t>
      </w:r>
      <w:proofErr w:type="spellEnd"/>
      <w:r w:rsidRPr="00D77963">
        <w:t xml:space="preserve"> in treatment-resistant episodic migraine population </w:t>
      </w:r>
      <w:r w:rsidR="00A11F94" w:rsidRPr="00D77963">
        <w:t>wa</w:t>
      </w:r>
      <w:r w:rsidRPr="00D77963">
        <w:t>s that the ‘patient must have achieved and maintained a 50% or greater reduction from baseline in the number of migraine headache days per month.’ However</w:t>
      </w:r>
      <w:r w:rsidR="00BF4C8A" w:rsidRPr="00D77963">
        <w:t xml:space="preserve"> although implied by the duration of coverage provided by the </w:t>
      </w:r>
      <w:r w:rsidR="00A11F94" w:rsidRPr="00D77963">
        <w:t xml:space="preserve">maximum quantity and repeats stated in the Initial treatment phase </w:t>
      </w:r>
      <w:r w:rsidR="00BF4C8A" w:rsidRPr="00D77963">
        <w:t xml:space="preserve">(12 weeks), </w:t>
      </w:r>
      <w:r w:rsidRPr="00D77963">
        <w:t xml:space="preserve">the </w:t>
      </w:r>
      <w:r w:rsidR="00A11F94" w:rsidRPr="00D77963">
        <w:t xml:space="preserve">minimum </w:t>
      </w:r>
      <w:r w:rsidRPr="00D77963">
        <w:t>timing of response assessment</w:t>
      </w:r>
      <w:r w:rsidR="00364A42" w:rsidRPr="00D77963">
        <w:t xml:space="preserve"> </w:t>
      </w:r>
      <w:r w:rsidR="00A11F94" w:rsidRPr="00D77963">
        <w:t>was unstated, meaning that a prescriber could apply for continuing treatment at any time point</w:t>
      </w:r>
      <w:r w:rsidRPr="00D77963">
        <w:t xml:space="preserve">. The </w:t>
      </w:r>
      <w:r w:rsidR="00C37689" w:rsidRPr="00D77963">
        <w:t xml:space="preserve">ESC considered </w:t>
      </w:r>
      <w:r w:rsidR="00BF4C8A" w:rsidRPr="00D77963">
        <w:t xml:space="preserve">a criterion </w:t>
      </w:r>
      <w:r w:rsidR="00F67808" w:rsidRPr="00D77963">
        <w:t xml:space="preserve">stating the minimum treatment duration needing to have elapsed prior to applying for continuing treatment </w:t>
      </w:r>
      <w:r w:rsidR="00BF4C8A" w:rsidRPr="00D77963">
        <w:t>would be appropriate</w:t>
      </w:r>
      <w:r w:rsidR="00364A42" w:rsidRPr="00D77963">
        <w:t>.</w:t>
      </w:r>
      <w:r w:rsidR="00F67808" w:rsidRPr="00D77963">
        <w:t xml:space="preserve"> </w:t>
      </w:r>
    </w:p>
    <w:p w:rsidR="00FC12F6" w:rsidRPr="00D77963" w:rsidRDefault="00FC12F6" w:rsidP="00DA4F48">
      <w:pPr>
        <w:pStyle w:val="ListParagraph"/>
        <w:numPr>
          <w:ilvl w:val="1"/>
          <w:numId w:val="4"/>
        </w:numPr>
        <w:spacing w:after="160"/>
        <w:contextualSpacing w:val="0"/>
      </w:pPr>
      <w:r w:rsidRPr="00D77963">
        <w:t>There is a significant risk of use outside of the proposed restriction among patients who do not meet the required response under the continuation criteria but who have experienced an improvement in mig</w:t>
      </w:r>
      <w:r w:rsidR="00C82C14" w:rsidRPr="00D77963">
        <w:t xml:space="preserve">raine symptoms on </w:t>
      </w:r>
      <w:proofErr w:type="spellStart"/>
      <w:r w:rsidR="00C82C14" w:rsidRPr="00D77963">
        <w:t>galcanezumab</w:t>
      </w:r>
      <w:proofErr w:type="spellEnd"/>
      <w:r w:rsidR="00C82C14" w:rsidRPr="00D77963">
        <w:t>.</w:t>
      </w:r>
    </w:p>
    <w:p w:rsidR="00CC35EA" w:rsidRPr="00D77963" w:rsidRDefault="00FC12F6" w:rsidP="00DA4F48">
      <w:pPr>
        <w:pStyle w:val="ListParagraph"/>
        <w:numPr>
          <w:ilvl w:val="1"/>
          <w:numId w:val="4"/>
        </w:numPr>
        <w:spacing w:after="160"/>
        <w:contextualSpacing w:val="0"/>
      </w:pPr>
      <w:r w:rsidRPr="00D77963">
        <w:t>There is a paucity of evidence on the optimal duration of treatment</w:t>
      </w:r>
      <w:r w:rsidR="00825971" w:rsidRPr="00D77963">
        <w:t>, or on patients restarting treatment after a break</w:t>
      </w:r>
      <w:r w:rsidRPr="00D77963">
        <w:t xml:space="preserve">. Although patients may discontinue treatment due to poor tolerability or lack of efficacy, patients </w:t>
      </w:r>
      <w:r w:rsidR="00825971" w:rsidRPr="00D77963">
        <w:t>who experience an improvement are also unlikely to remain on treatment indefinitely</w:t>
      </w:r>
      <w:r w:rsidRPr="00D77963">
        <w:t xml:space="preserve">. </w:t>
      </w:r>
    </w:p>
    <w:p w:rsidR="009833B9" w:rsidRPr="00D77963" w:rsidRDefault="009833B9" w:rsidP="009833B9">
      <w:pPr>
        <w:pStyle w:val="ListParagraph"/>
        <w:spacing w:after="160"/>
        <w:contextualSpacing w:val="0"/>
        <w:rPr>
          <w:i/>
        </w:rPr>
      </w:pPr>
      <w:r w:rsidRPr="00D77963">
        <w:rPr>
          <w:i/>
        </w:rPr>
        <w:t>For more detail on PBAC’s view, see section 7 PBAC outcome.</w:t>
      </w:r>
    </w:p>
    <w:p w:rsidR="00B50DB8" w:rsidRPr="00D77963" w:rsidRDefault="00203181" w:rsidP="004E18E9">
      <w:pPr>
        <w:pStyle w:val="2-SectionHeading"/>
      </w:pPr>
      <w:bookmarkStart w:id="8" w:name="_Toc51078499"/>
      <w:r w:rsidRPr="00D77963">
        <w:t xml:space="preserve">Population and </w:t>
      </w:r>
      <w:r w:rsidR="008E0D3C" w:rsidRPr="00D77963">
        <w:t>d</w:t>
      </w:r>
      <w:r w:rsidRPr="00D77963">
        <w:t>isease</w:t>
      </w:r>
      <w:bookmarkEnd w:id="8"/>
    </w:p>
    <w:p w:rsidR="00C82C14" w:rsidRPr="00D77963" w:rsidRDefault="00C82C14" w:rsidP="00DA4F48">
      <w:pPr>
        <w:pStyle w:val="ListParagraph"/>
        <w:numPr>
          <w:ilvl w:val="1"/>
          <w:numId w:val="4"/>
        </w:numPr>
        <w:spacing w:after="160"/>
        <w:contextualSpacing w:val="0"/>
      </w:pPr>
      <w:r w:rsidRPr="00D77963">
        <w:t xml:space="preserve">Migraine is a distinct neurological disease characterised by recurrent often unilateral, throbbing head pain (moderate or severe in intensity) and a number of sensory and </w:t>
      </w:r>
      <w:proofErr w:type="spellStart"/>
      <w:r w:rsidRPr="00D77963">
        <w:t>dysautonomic</w:t>
      </w:r>
      <w:proofErr w:type="spellEnd"/>
      <w:r w:rsidRPr="00D77963">
        <w:t xml:space="preserve"> symptoms including nausea, vomiting, photophobia (sensitivity to light) or </w:t>
      </w:r>
      <w:proofErr w:type="spellStart"/>
      <w:r w:rsidRPr="00D77963">
        <w:t>phonophobia</w:t>
      </w:r>
      <w:proofErr w:type="spellEnd"/>
      <w:r w:rsidRPr="00D77963">
        <w:t xml:space="preserve"> (aversion to loud sounds). Due to these symptoms, patients report substantial impairment in their ability to perform daily or physical activities, attend school/work and function socially. Migraine is considered a spectrum disorder, typically characterised by the frequency of migraine days per month. Episodic migraine is defined as fewer than 15 headache days per month, with 4- 8 consis</w:t>
      </w:r>
      <w:r w:rsidR="00372DA8" w:rsidRPr="00D77963">
        <w:t xml:space="preserve">ting of typical migraine days. </w:t>
      </w:r>
    </w:p>
    <w:p w:rsidR="00894489" w:rsidRPr="00D77963" w:rsidRDefault="00C82C14" w:rsidP="00DA4F48">
      <w:pPr>
        <w:pStyle w:val="ListParagraph"/>
        <w:numPr>
          <w:ilvl w:val="1"/>
          <w:numId w:val="4"/>
        </w:numPr>
        <w:spacing w:after="160"/>
        <w:contextualSpacing w:val="0"/>
      </w:pPr>
      <w:r w:rsidRPr="00D77963">
        <w:t xml:space="preserve">The submission specified the clinical place of </w:t>
      </w:r>
      <w:proofErr w:type="spellStart"/>
      <w:r w:rsidRPr="00D77963">
        <w:t>galcanezumab</w:t>
      </w:r>
      <w:proofErr w:type="spellEnd"/>
      <w:r w:rsidRPr="00D77963">
        <w:t xml:space="preserve"> as last line treatment, after a patient has failed to achieve an adequate response to at least three migraine </w:t>
      </w:r>
      <w:r w:rsidRPr="00D77963">
        <w:lastRenderedPageBreak/>
        <w:t>oral prophylactic medications, or is intolerant to, or contraindicated for, the available migraine prophylactic medications</w:t>
      </w:r>
      <w:r w:rsidR="004A0F1E" w:rsidRPr="00D77963">
        <w:t>.</w:t>
      </w:r>
    </w:p>
    <w:p w:rsidR="00372DA8" w:rsidRPr="00D77963" w:rsidRDefault="00372DA8" w:rsidP="00DA4F48">
      <w:pPr>
        <w:pStyle w:val="ListParagraph"/>
        <w:numPr>
          <w:ilvl w:val="1"/>
          <w:numId w:val="4"/>
        </w:numPr>
        <w:spacing w:after="160"/>
        <w:contextualSpacing w:val="0"/>
      </w:pPr>
      <w:proofErr w:type="spellStart"/>
      <w:r w:rsidRPr="00D77963">
        <w:t>Galcanezumab</w:t>
      </w:r>
      <w:proofErr w:type="spellEnd"/>
      <w:r w:rsidRPr="00D77963">
        <w:t xml:space="preserve"> is a humanised monoclonal antibody (IgG4) that binds the calcitonin gene-related peptide (CGRP).</w:t>
      </w:r>
      <w:r w:rsidR="00E84704" w:rsidRPr="00D77963">
        <w:t xml:space="preserve"> </w:t>
      </w:r>
      <w:r w:rsidRPr="00D77963">
        <w:t xml:space="preserve">The recommended dose of </w:t>
      </w:r>
      <w:proofErr w:type="spellStart"/>
      <w:r w:rsidRPr="00D77963">
        <w:t>galcanezumab</w:t>
      </w:r>
      <w:proofErr w:type="spellEnd"/>
      <w:r w:rsidRPr="00D77963">
        <w:t xml:space="preserve"> is 120 mg injected subcutaneously once monthly, with a 240 mg loading dose as the initial dose.</w:t>
      </w:r>
    </w:p>
    <w:p w:rsidR="00B50DB8" w:rsidRPr="00D77963" w:rsidRDefault="00B50DB8" w:rsidP="004E18E9">
      <w:pPr>
        <w:pStyle w:val="2-SectionHeading"/>
      </w:pPr>
      <w:bookmarkStart w:id="9" w:name="_Toc51078500"/>
      <w:r w:rsidRPr="00D77963">
        <w:t>Comparator</w:t>
      </w:r>
      <w:bookmarkEnd w:id="9"/>
    </w:p>
    <w:p w:rsidR="00C82C14" w:rsidRPr="00D77963" w:rsidRDefault="00C82C14" w:rsidP="00DA4F48">
      <w:pPr>
        <w:pStyle w:val="ListParagraph"/>
        <w:numPr>
          <w:ilvl w:val="1"/>
          <w:numId w:val="4"/>
        </w:numPr>
        <w:spacing w:after="160"/>
        <w:contextualSpacing w:val="0"/>
      </w:pPr>
      <w:r w:rsidRPr="00D77963">
        <w:t xml:space="preserve">The proposed comparator is best supportive care, consisting of no further prophylaxis but with continuation of acute headache pain medications as required. </w:t>
      </w:r>
      <w:r w:rsidR="003E437F" w:rsidRPr="00D77963">
        <w:t xml:space="preserve">The </w:t>
      </w:r>
      <w:r w:rsidR="009C63C4" w:rsidRPr="00D77963">
        <w:rPr>
          <w:i/>
        </w:rPr>
        <w:t>ESC noted the</w:t>
      </w:r>
      <w:r w:rsidR="009C63C4" w:rsidRPr="00D77963">
        <w:t xml:space="preserve"> </w:t>
      </w:r>
      <w:r w:rsidRPr="00D77963">
        <w:t xml:space="preserve">PBAC previously accepted that best supportive care was the appropriate </w:t>
      </w:r>
      <w:r w:rsidR="00372DA8" w:rsidRPr="00D77963">
        <w:t xml:space="preserve">comparator </w:t>
      </w:r>
      <w:r w:rsidRPr="00D77963">
        <w:t xml:space="preserve">for patients who have failed at least three lines of preventive therapy in chronic migraine and epilepsy (item 6, </w:t>
      </w:r>
      <w:proofErr w:type="spellStart"/>
      <w:r w:rsidRPr="00D77963">
        <w:t>topiramate</w:t>
      </w:r>
      <w:proofErr w:type="spellEnd"/>
      <w:r w:rsidRPr="00D77963">
        <w:t xml:space="preserve"> Public Summary Document</w:t>
      </w:r>
      <w:r w:rsidR="00597B0E" w:rsidRPr="00D77963">
        <w:t xml:space="preserve"> (PSD)</w:t>
      </w:r>
      <w:r w:rsidRPr="00D77963">
        <w:t>, March 2007 PBAC meeting; item 6, Botox</w:t>
      </w:r>
      <w:r w:rsidR="00597B0E" w:rsidRPr="00D77963">
        <w:t xml:space="preserve"> PSD</w:t>
      </w:r>
      <w:r w:rsidRPr="00D77963">
        <w:t>, July 2013 PBAC meeting; paragraph</w:t>
      </w:r>
      <w:r w:rsidR="00D77963">
        <w:t> </w:t>
      </w:r>
      <w:r w:rsidRPr="00D77963">
        <w:t xml:space="preserve">5.2, </w:t>
      </w:r>
      <w:proofErr w:type="spellStart"/>
      <w:r w:rsidRPr="00D77963">
        <w:t>erenumab</w:t>
      </w:r>
      <w:proofErr w:type="spellEnd"/>
      <w:r w:rsidR="00597B0E" w:rsidRPr="00D77963">
        <w:t xml:space="preserve"> PSD</w:t>
      </w:r>
      <w:r w:rsidRPr="00D77963">
        <w:t xml:space="preserve">, March 2019 PBAC meeting). Preventive therapies for migraine include beta-blockers, amitriptyline, venlafaxine, sodium valproate, and </w:t>
      </w:r>
      <w:proofErr w:type="spellStart"/>
      <w:r w:rsidRPr="00D77963">
        <w:t>topiramate</w:t>
      </w:r>
      <w:proofErr w:type="spellEnd"/>
      <w:r w:rsidRPr="00D77963">
        <w:t xml:space="preserve">. </w:t>
      </w:r>
    </w:p>
    <w:p w:rsidR="00223D5A" w:rsidRPr="00D77963" w:rsidRDefault="00223D5A" w:rsidP="00223D5A">
      <w:pPr>
        <w:pStyle w:val="2-SectionHeading"/>
      </w:pPr>
      <w:bookmarkStart w:id="10" w:name="_Toc51078501"/>
      <w:bookmarkStart w:id="11" w:name="_Toc22897640"/>
      <w:r w:rsidRPr="00D77963">
        <w:t>Consideration of the evidence</w:t>
      </w:r>
      <w:bookmarkEnd w:id="10"/>
    </w:p>
    <w:p w:rsidR="009833B9" w:rsidRPr="00D77963" w:rsidRDefault="009833B9" w:rsidP="002E4F02">
      <w:pPr>
        <w:pStyle w:val="3-SubsectionHeading"/>
      </w:pPr>
      <w:bookmarkStart w:id="12" w:name="_Toc51078502"/>
      <w:r w:rsidRPr="00D77963">
        <w:t>Sponsor hearing</w:t>
      </w:r>
    </w:p>
    <w:p w:rsidR="009833B9" w:rsidRPr="00D77963" w:rsidRDefault="009833B9" w:rsidP="009833B9">
      <w:pPr>
        <w:pStyle w:val="ListParagraph"/>
        <w:numPr>
          <w:ilvl w:val="1"/>
          <w:numId w:val="4"/>
        </w:numPr>
        <w:spacing w:after="160"/>
        <w:contextualSpacing w:val="0"/>
      </w:pPr>
      <w:r w:rsidRPr="00D77963">
        <w:t>There was no hearing for this item.</w:t>
      </w:r>
    </w:p>
    <w:p w:rsidR="009833B9" w:rsidRPr="00D77963" w:rsidRDefault="009833B9" w:rsidP="002E4F02">
      <w:pPr>
        <w:pStyle w:val="3-SubsectionHeading"/>
      </w:pPr>
      <w:r w:rsidRPr="00D77963">
        <w:t>Consumer comments</w:t>
      </w:r>
    </w:p>
    <w:p w:rsidR="009833B9" w:rsidRPr="00D77963" w:rsidRDefault="009833B9" w:rsidP="009833B9">
      <w:pPr>
        <w:pStyle w:val="ListParagraph"/>
        <w:numPr>
          <w:ilvl w:val="1"/>
          <w:numId w:val="4"/>
        </w:numPr>
        <w:spacing w:after="160"/>
        <w:contextualSpacing w:val="0"/>
      </w:pPr>
      <w:r w:rsidRPr="00D77963">
        <w:t xml:space="preserve">The PBAC noted and welcomed the input from individuals (48), health care professionals (1) and organisations (1) via the Consumer Comments facility on the PBS website. The comments described the debilitating physical, mental and social impact of </w:t>
      </w:r>
      <w:r w:rsidR="00C50A3A" w:rsidRPr="00D77963">
        <w:t xml:space="preserve">episodic and chronic </w:t>
      </w:r>
      <w:r w:rsidRPr="00D77963">
        <w:t xml:space="preserve">migraine and the range of potential benefits of treatment with </w:t>
      </w:r>
      <w:proofErr w:type="spellStart"/>
      <w:r w:rsidRPr="00D77963">
        <w:t>galcanezumab</w:t>
      </w:r>
      <w:proofErr w:type="spellEnd"/>
      <w:r w:rsidRPr="00D77963">
        <w:t xml:space="preserve"> and the other CGRP inhibitors.  Many patients expressed their concern at not being able to afford the medicine if it was not listed on the PBS, and many comments noted that their free access to the medicine on various programs had now ended. Benefits of treatment included a reduction in the number and severity of migraines, improvement in quality of life, the ability to return to work and easier administration compared to Botox. Many comments described immediate improvements after commencing treatment with a CGRP inhibitor, but if treatment was stopped, then these improvements ceased. Quality of life improvements included pain relief, more functional capacity, and capacity to interact with others socially and in the workplace. Some of the comments outlined the large number of different medications patients have used to treat their migraines with little relief provided or unacceptable side effects.</w:t>
      </w:r>
    </w:p>
    <w:p w:rsidR="009833B9" w:rsidRPr="00D77963" w:rsidRDefault="009833B9" w:rsidP="009833B9">
      <w:pPr>
        <w:pStyle w:val="ListParagraph"/>
        <w:numPr>
          <w:ilvl w:val="1"/>
          <w:numId w:val="4"/>
        </w:numPr>
      </w:pPr>
      <w:r w:rsidRPr="00D77963">
        <w:t xml:space="preserve">The PBAC noted the advice received from Migraine Australia that they believed that the terms ‘chronic’ and ‘episodic’ should be abandoned for general discussion of migraine. They noted that these terms have conflicting meanings in the patient community, and believed that the terminology that should be used in place of episodic </w:t>
      </w:r>
      <w:r w:rsidRPr="00D77963">
        <w:lastRenderedPageBreak/>
        <w:t xml:space="preserve">and chronic is ‘manageable’ and ‘difficult to manage’. Reductions in frequency of attacks by those who responded to the treatments was also noted, and affordability issues in regards to equity of access currently across Australia. </w:t>
      </w:r>
    </w:p>
    <w:p w:rsidR="00B60939" w:rsidRPr="00D77963" w:rsidRDefault="00B60939" w:rsidP="002E4F02">
      <w:pPr>
        <w:pStyle w:val="3-SubsectionHeading"/>
      </w:pPr>
      <w:r w:rsidRPr="00D77963">
        <w:t>Clinical trial</w:t>
      </w:r>
      <w:bookmarkEnd w:id="11"/>
      <w:bookmarkEnd w:id="12"/>
    </w:p>
    <w:p w:rsidR="007F1017" w:rsidRPr="00D77963" w:rsidRDefault="00A73134" w:rsidP="00DA4F48">
      <w:pPr>
        <w:pStyle w:val="ListParagraph"/>
        <w:numPr>
          <w:ilvl w:val="1"/>
          <w:numId w:val="4"/>
        </w:numPr>
        <w:spacing w:after="160"/>
        <w:contextualSpacing w:val="0"/>
      </w:pPr>
      <w:r w:rsidRPr="00D77963">
        <w:t xml:space="preserve">The submission </w:t>
      </w:r>
      <w:r w:rsidR="00D5243B" w:rsidRPr="00D77963">
        <w:t>wa</w:t>
      </w:r>
      <w:r w:rsidRPr="00D77963">
        <w:t xml:space="preserve">s based on one head-to-head trial comparing </w:t>
      </w:r>
      <w:proofErr w:type="spellStart"/>
      <w:r w:rsidR="00C82C14" w:rsidRPr="00D77963">
        <w:t>galcanezumab</w:t>
      </w:r>
      <w:proofErr w:type="spellEnd"/>
      <w:r w:rsidR="00C82C14" w:rsidRPr="00D77963">
        <w:t xml:space="preserve"> 120 mg</w:t>
      </w:r>
      <w:r w:rsidR="00BB5B23" w:rsidRPr="00D77963">
        <w:t xml:space="preserve"> (with an additional 120 mg loading dose at initiation)</w:t>
      </w:r>
      <w:r w:rsidR="00C82C14" w:rsidRPr="00D77963">
        <w:t xml:space="preserve"> to placebo (n=462; CONQUER)</w:t>
      </w:r>
      <w:r w:rsidR="005159DC" w:rsidRPr="00D77963">
        <w:t xml:space="preserve"> in patients with chronic and episodic migraine, who had previously failed between 2 and 4 preventive treatments for migraine</w:t>
      </w:r>
      <w:r w:rsidR="00C82C14" w:rsidRPr="00D77963">
        <w:t>.</w:t>
      </w:r>
    </w:p>
    <w:p w:rsidR="005159DC" w:rsidRPr="00D77963" w:rsidRDefault="005159DC" w:rsidP="00DA4F48">
      <w:pPr>
        <w:pStyle w:val="ListParagraph"/>
        <w:numPr>
          <w:ilvl w:val="1"/>
          <w:numId w:val="4"/>
        </w:numPr>
        <w:spacing w:after="160"/>
        <w:contextualSpacing w:val="0"/>
      </w:pPr>
      <w:r w:rsidRPr="00D77963">
        <w:t xml:space="preserve">The comparison between </w:t>
      </w:r>
      <w:proofErr w:type="spellStart"/>
      <w:r w:rsidRPr="00D77963">
        <w:t>galcanezumab</w:t>
      </w:r>
      <w:proofErr w:type="spellEnd"/>
      <w:r w:rsidRPr="00D77963">
        <w:t xml:space="preserve"> and placebo/BSC was based on three trial populations within CONQUER: the intention to treat (ITT) population, the episodic migraine subpopulation (n=269), and the episodic migraine subpopulation with ≥3 prior preventive treatments (n=100). The episodic migraine subpopulation with ≥3 prior preventive treatments was selected to correspond to the proposed PBS population, which includes patients who had failed, were intolerant or were contraindicated to ≥3 prophylactic medications.</w:t>
      </w:r>
    </w:p>
    <w:p w:rsidR="00597B0E" w:rsidRPr="00D77963" w:rsidRDefault="00A73134" w:rsidP="00DA4F48">
      <w:pPr>
        <w:pStyle w:val="ListParagraph"/>
        <w:numPr>
          <w:ilvl w:val="1"/>
          <w:numId w:val="4"/>
        </w:numPr>
        <w:spacing w:after="160"/>
        <w:contextualSpacing w:val="0"/>
      </w:pPr>
      <w:r w:rsidRPr="00D77963">
        <w:t xml:space="preserve">Details of the </w:t>
      </w:r>
      <w:r w:rsidR="005159DC" w:rsidRPr="00D77963">
        <w:t>trial</w:t>
      </w:r>
      <w:r w:rsidRPr="00D77963">
        <w:t xml:space="preserve"> presented in the submission are provided in the table below.</w:t>
      </w:r>
      <w:r w:rsidR="00BC591F" w:rsidRPr="00D77963">
        <w:t xml:space="preserve"> </w:t>
      </w:r>
    </w:p>
    <w:p w:rsidR="005159DC" w:rsidRPr="00D77963" w:rsidRDefault="006F5006" w:rsidP="006F5006">
      <w:pPr>
        <w:pStyle w:val="TableFigureCaption"/>
      </w:pPr>
      <w:r w:rsidRPr="00D77963">
        <w:t xml:space="preserve">Table </w:t>
      </w:r>
      <w:r w:rsidR="00D5606A" w:rsidRPr="00D77963">
        <w:rPr>
          <w:noProof/>
        </w:rPr>
        <w:t>2</w:t>
      </w:r>
      <w:r w:rsidRPr="00D77963">
        <w:t xml:space="preserve">: </w:t>
      </w:r>
      <w:r w:rsidR="005159DC" w:rsidRPr="00D77963">
        <w:t>Trial</w:t>
      </w:r>
      <w:r w:rsidR="008E0D3C" w:rsidRPr="00D77963">
        <w:t xml:space="preserve"> and associated reports presented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5159DC" w:rsidRPr="00D77963" w:rsidTr="00D77963">
        <w:trPr>
          <w:tblHeader/>
        </w:trPr>
        <w:tc>
          <w:tcPr>
            <w:tcW w:w="796" w:type="pct"/>
            <w:vAlign w:val="center"/>
          </w:tcPr>
          <w:p w:rsidR="005159DC" w:rsidRPr="00D77963" w:rsidRDefault="005159DC" w:rsidP="002D0FCC">
            <w:pPr>
              <w:pStyle w:val="Tableheadingrow"/>
              <w:keepLines/>
              <w:rPr>
                <w:lang w:val="en-AU"/>
              </w:rPr>
            </w:pPr>
            <w:r w:rsidRPr="00D77963">
              <w:rPr>
                <w:lang w:val="en-AU"/>
              </w:rPr>
              <w:t>Trial ID</w:t>
            </w:r>
          </w:p>
        </w:tc>
        <w:tc>
          <w:tcPr>
            <w:tcW w:w="3027" w:type="pct"/>
            <w:vAlign w:val="center"/>
          </w:tcPr>
          <w:p w:rsidR="005159DC" w:rsidRPr="00D77963" w:rsidRDefault="005159DC" w:rsidP="002D0FCC">
            <w:pPr>
              <w:pStyle w:val="Tableheadingrow"/>
              <w:keepLines/>
              <w:rPr>
                <w:lang w:val="en-AU"/>
              </w:rPr>
            </w:pPr>
            <w:r w:rsidRPr="00D77963">
              <w:rPr>
                <w:lang w:val="en-AU"/>
              </w:rPr>
              <w:t>Protocol title/ Publication title</w:t>
            </w:r>
          </w:p>
        </w:tc>
        <w:tc>
          <w:tcPr>
            <w:tcW w:w="1177" w:type="pct"/>
            <w:vAlign w:val="center"/>
          </w:tcPr>
          <w:p w:rsidR="005159DC" w:rsidRPr="00D77963" w:rsidRDefault="005159DC" w:rsidP="002D0FCC">
            <w:pPr>
              <w:pStyle w:val="Tableheadingrow"/>
              <w:keepLines/>
              <w:rPr>
                <w:lang w:val="en-AU"/>
              </w:rPr>
            </w:pPr>
            <w:r w:rsidRPr="00D77963">
              <w:rPr>
                <w:lang w:val="en-AU"/>
              </w:rPr>
              <w:t>Publication citation</w:t>
            </w:r>
          </w:p>
        </w:tc>
      </w:tr>
      <w:tr w:rsidR="005159DC" w:rsidRPr="00D77963" w:rsidTr="00D77963">
        <w:tc>
          <w:tcPr>
            <w:tcW w:w="796" w:type="pct"/>
            <w:tcBorders>
              <w:bottom w:val="nil"/>
            </w:tcBorders>
            <w:vAlign w:val="center"/>
          </w:tcPr>
          <w:p w:rsidR="005159DC" w:rsidRPr="00D77963" w:rsidRDefault="005159DC" w:rsidP="002D0FCC">
            <w:pPr>
              <w:pStyle w:val="TableText"/>
              <w:keepLines/>
            </w:pPr>
          </w:p>
        </w:tc>
        <w:tc>
          <w:tcPr>
            <w:tcW w:w="3027" w:type="pct"/>
            <w:tcBorders>
              <w:bottom w:val="nil"/>
            </w:tcBorders>
            <w:vAlign w:val="center"/>
          </w:tcPr>
          <w:p w:rsidR="005159DC" w:rsidRPr="00D77963" w:rsidRDefault="005159DC" w:rsidP="002D0FCC">
            <w:pPr>
              <w:pStyle w:val="TableText"/>
              <w:keepLines/>
              <w:rPr>
                <w:szCs w:val="18"/>
              </w:rPr>
            </w:pPr>
            <w:r w:rsidRPr="00D77963">
              <w:rPr>
                <w:szCs w:val="18"/>
              </w:rPr>
              <w:t xml:space="preserve">CGAW Clinical Study Report: A randomised, double-blind, placebo-controlled study of </w:t>
            </w:r>
            <w:proofErr w:type="spellStart"/>
            <w:r w:rsidRPr="00D77963">
              <w:rPr>
                <w:szCs w:val="18"/>
              </w:rPr>
              <w:t>galcanezumab</w:t>
            </w:r>
            <w:proofErr w:type="spellEnd"/>
            <w:r w:rsidRPr="00D77963">
              <w:rPr>
                <w:szCs w:val="18"/>
              </w:rPr>
              <w:t xml:space="preserve"> in adults with treatment-resistant migraine – the CONQUER study. Final results from the double-blind treatment phase and interim results from the open-label treatment phase</w:t>
            </w:r>
          </w:p>
        </w:tc>
        <w:tc>
          <w:tcPr>
            <w:tcW w:w="1177" w:type="pct"/>
            <w:tcBorders>
              <w:bottom w:val="nil"/>
            </w:tcBorders>
            <w:vAlign w:val="center"/>
          </w:tcPr>
          <w:p w:rsidR="005159DC" w:rsidRPr="00D77963" w:rsidRDefault="005159DC" w:rsidP="002D0FCC">
            <w:pPr>
              <w:pStyle w:val="TableText"/>
              <w:keepLines/>
            </w:pPr>
            <w:r w:rsidRPr="00D77963">
              <w:t>September 2019</w:t>
            </w:r>
          </w:p>
        </w:tc>
      </w:tr>
      <w:tr w:rsidR="005159DC" w:rsidRPr="00D77963" w:rsidTr="00D77963">
        <w:tc>
          <w:tcPr>
            <w:tcW w:w="796" w:type="pct"/>
            <w:tcBorders>
              <w:top w:val="nil"/>
              <w:bottom w:val="nil"/>
            </w:tcBorders>
            <w:vAlign w:val="center"/>
          </w:tcPr>
          <w:p w:rsidR="005159DC" w:rsidRPr="00D77963" w:rsidRDefault="005159DC" w:rsidP="002D0FCC">
            <w:pPr>
              <w:pStyle w:val="TableText"/>
              <w:keepLines/>
            </w:pPr>
            <w:r w:rsidRPr="00D77963">
              <w:t>CONQUER</w:t>
            </w:r>
          </w:p>
        </w:tc>
        <w:tc>
          <w:tcPr>
            <w:tcW w:w="3027" w:type="pct"/>
            <w:tcBorders>
              <w:top w:val="nil"/>
              <w:bottom w:val="nil"/>
            </w:tcBorders>
            <w:vAlign w:val="center"/>
          </w:tcPr>
          <w:p w:rsidR="005159DC" w:rsidRPr="00D77963" w:rsidRDefault="005159DC" w:rsidP="002D0FCC">
            <w:pPr>
              <w:pStyle w:val="TableText"/>
              <w:keepLines/>
              <w:rPr>
                <w:szCs w:val="18"/>
              </w:rPr>
            </w:pPr>
            <w:r w:rsidRPr="00D77963">
              <w:rPr>
                <w:szCs w:val="18"/>
              </w:rPr>
              <w:t xml:space="preserve">CGAW Clinical Study Report Addendum: A randomised, double-blind, placebo-controlled study of </w:t>
            </w:r>
            <w:proofErr w:type="spellStart"/>
            <w:r w:rsidRPr="00D77963">
              <w:rPr>
                <w:szCs w:val="18"/>
              </w:rPr>
              <w:t>galcanezumab</w:t>
            </w:r>
            <w:proofErr w:type="spellEnd"/>
            <w:r w:rsidRPr="00D77963">
              <w:rPr>
                <w:szCs w:val="18"/>
              </w:rPr>
              <w:t xml:space="preserve"> in adults with treatment-resistant migraine – the CONQUER study. Final results from the open-label treatment phase</w:t>
            </w:r>
          </w:p>
        </w:tc>
        <w:tc>
          <w:tcPr>
            <w:tcW w:w="1177" w:type="pct"/>
            <w:tcBorders>
              <w:top w:val="nil"/>
              <w:bottom w:val="nil"/>
            </w:tcBorders>
            <w:vAlign w:val="center"/>
          </w:tcPr>
          <w:p w:rsidR="005159DC" w:rsidRPr="00D77963" w:rsidRDefault="005159DC" w:rsidP="002D0FCC">
            <w:pPr>
              <w:pStyle w:val="TableText"/>
              <w:keepLines/>
              <w:rPr>
                <w:szCs w:val="18"/>
              </w:rPr>
            </w:pPr>
            <w:r w:rsidRPr="00D77963">
              <w:rPr>
                <w:szCs w:val="18"/>
              </w:rPr>
              <w:t>December 2019</w:t>
            </w:r>
          </w:p>
        </w:tc>
      </w:tr>
      <w:tr w:rsidR="005159DC" w:rsidRPr="00D77963" w:rsidTr="00D77963">
        <w:tc>
          <w:tcPr>
            <w:tcW w:w="796" w:type="pct"/>
            <w:tcBorders>
              <w:top w:val="nil"/>
              <w:bottom w:val="nil"/>
            </w:tcBorders>
            <w:vAlign w:val="center"/>
          </w:tcPr>
          <w:p w:rsidR="005159DC" w:rsidRPr="00D77963" w:rsidRDefault="005159DC" w:rsidP="002D0FCC">
            <w:pPr>
              <w:pStyle w:val="TableText"/>
              <w:keepLines/>
            </w:pPr>
          </w:p>
        </w:tc>
        <w:tc>
          <w:tcPr>
            <w:tcW w:w="3027" w:type="pct"/>
            <w:tcBorders>
              <w:top w:val="nil"/>
              <w:bottom w:val="nil"/>
            </w:tcBorders>
            <w:vAlign w:val="center"/>
          </w:tcPr>
          <w:p w:rsidR="005159DC" w:rsidRPr="00D77963" w:rsidRDefault="005159DC" w:rsidP="002D0FCC">
            <w:pPr>
              <w:pStyle w:val="TableText"/>
              <w:keepLines/>
              <w:rPr>
                <w:szCs w:val="18"/>
              </w:rPr>
            </w:pPr>
            <w:proofErr w:type="spellStart"/>
            <w:r w:rsidRPr="00D77963">
              <w:rPr>
                <w:szCs w:val="18"/>
              </w:rPr>
              <w:t>Mulleners</w:t>
            </w:r>
            <w:proofErr w:type="spellEnd"/>
            <w:r w:rsidRPr="00D77963">
              <w:rPr>
                <w:szCs w:val="18"/>
              </w:rPr>
              <w:t xml:space="preserve">, W., et al., A phase 3 placebo-controlled study of </w:t>
            </w:r>
            <w:proofErr w:type="spellStart"/>
            <w:r w:rsidRPr="00D77963">
              <w:rPr>
                <w:szCs w:val="18"/>
              </w:rPr>
              <w:t>galcanezumab</w:t>
            </w:r>
            <w:proofErr w:type="spellEnd"/>
            <w:r w:rsidRPr="00D77963">
              <w:rPr>
                <w:szCs w:val="18"/>
              </w:rPr>
              <w:t xml:space="preserve"> in patients with treatment-resistant migraine: Results from the 3-month double-blind treatment phase of the conquer study</w:t>
            </w:r>
          </w:p>
        </w:tc>
        <w:tc>
          <w:tcPr>
            <w:tcW w:w="1177" w:type="pct"/>
            <w:tcBorders>
              <w:top w:val="nil"/>
              <w:bottom w:val="nil"/>
            </w:tcBorders>
            <w:vAlign w:val="center"/>
          </w:tcPr>
          <w:p w:rsidR="005159DC" w:rsidRPr="00D77963" w:rsidRDefault="005159DC" w:rsidP="002D0FCC">
            <w:pPr>
              <w:pStyle w:val="TableText"/>
              <w:keepLines/>
              <w:rPr>
                <w:i/>
                <w:szCs w:val="18"/>
              </w:rPr>
            </w:pPr>
            <w:r w:rsidRPr="00D77963">
              <w:rPr>
                <w:i/>
                <w:szCs w:val="18"/>
              </w:rPr>
              <w:t>Journal of the Neurological Sciences</w:t>
            </w:r>
            <w:r w:rsidRPr="00D77963">
              <w:rPr>
                <w:szCs w:val="18"/>
              </w:rPr>
              <w:t>, 2019. 405 (Supplement): p. 128.</w:t>
            </w:r>
          </w:p>
        </w:tc>
      </w:tr>
      <w:tr w:rsidR="005159DC" w:rsidRPr="00D77963" w:rsidTr="00D77963">
        <w:tc>
          <w:tcPr>
            <w:tcW w:w="796" w:type="pct"/>
            <w:tcBorders>
              <w:top w:val="nil"/>
              <w:bottom w:val="single" w:sz="4" w:space="0" w:color="auto"/>
            </w:tcBorders>
            <w:vAlign w:val="center"/>
          </w:tcPr>
          <w:p w:rsidR="005159DC" w:rsidRPr="00D77963" w:rsidRDefault="005159DC" w:rsidP="002D0FCC">
            <w:pPr>
              <w:pStyle w:val="TableText"/>
              <w:keepLines/>
            </w:pPr>
          </w:p>
        </w:tc>
        <w:tc>
          <w:tcPr>
            <w:tcW w:w="3027" w:type="pct"/>
            <w:tcBorders>
              <w:top w:val="nil"/>
              <w:bottom w:val="single" w:sz="4" w:space="0" w:color="auto"/>
            </w:tcBorders>
            <w:vAlign w:val="center"/>
          </w:tcPr>
          <w:p w:rsidR="005159DC" w:rsidRPr="00D77963" w:rsidRDefault="005159DC" w:rsidP="002D0FCC">
            <w:pPr>
              <w:pStyle w:val="TableText"/>
              <w:keepLines/>
              <w:rPr>
                <w:szCs w:val="18"/>
              </w:rPr>
            </w:pPr>
            <w:proofErr w:type="spellStart"/>
            <w:r w:rsidRPr="00D77963">
              <w:rPr>
                <w:szCs w:val="18"/>
              </w:rPr>
              <w:t>Maizels</w:t>
            </w:r>
            <w:proofErr w:type="spellEnd"/>
            <w:r w:rsidRPr="00D77963">
              <w:rPr>
                <w:szCs w:val="18"/>
              </w:rPr>
              <w:t xml:space="preserve">, M., et al., Assessment of anxiety and depression in a randomised, double-blind, placebo-controlled study of </w:t>
            </w:r>
            <w:proofErr w:type="spellStart"/>
            <w:r w:rsidRPr="00D77963">
              <w:rPr>
                <w:szCs w:val="18"/>
              </w:rPr>
              <w:t>galcanezumab</w:t>
            </w:r>
            <w:proofErr w:type="spellEnd"/>
            <w:r w:rsidRPr="00D77963">
              <w:rPr>
                <w:szCs w:val="18"/>
              </w:rPr>
              <w:t xml:space="preserve"> in adults with treatment-resistant migraine: Results from the conquer study</w:t>
            </w:r>
          </w:p>
        </w:tc>
        <w:tc>
          <w:tcPr>
            <w:tcW w:w="1177" w:type="pct"/>
            <w:tcBorders>
              <w:top w:val="nil"/>
              <w:bottom w:val="single" w:sz="4" w:space="0" w:color="auto"/>
            </w:tcBorders>
            <w:vAlign w:val="center"/>
          </w:tcPr>
          <w:p w:rsidR="005159DC" w:rsidRPr="00D77963" w:rsidRDefault="005159DC" w:rsidP="002D0FCC">
            <w:pPr>
              <w:pStyle w:val="TableText"/>
              <w:keepLines/>
              <w:rPr>
                <w:szCs w:val="18"/>
              </w:rPr>
            </w:pPr>
            <w:r w:rsidRPr="00D77963">
              <w:rPr>
                <w:i/>
                <w:szCs w:val="18"/>
              </w:rPr>
              <w:t>Journal of the Neurological Sciences,</w:t>
            </w:r>
            <w:r w:rsidRPr="00D77963">
              <w:rPr>
                <w:szCs w:val="18"/>
              </w:rPr>
              <w:t xml:space="preserve"> 2019. 405 (Supplement): p. 129-130.</w:t>
            </w:r>
          </w:p>
        </w:tc>
      </w:tr>
    </w:tbl>
    <w:p w:rsidR="00B81787" w:rsidRPr="00D77963" w:rsidRDefault="00B81787" w:rsidP="002D0FCC">
      <w:pPr>
        <w:pStyle w:val="TableFigureFooter"/>
        <w:keepNext/>
        <w:keepLines/>
        <w:rPr>
          <w:sz w:val="20"/>
        </w:rPr>
      </w:pPr>
      <w:r w:rsidRPr="00D77963">
        <w:t>Source: Table 2.2.1, p.55 of the submission</w:t>
      </w:r>
    </w:p>
    <w:p w:rsidR="007F1017" w:rsidRPr="00D77963" w:rsidRDefault="008F120A" w:rsidP="00597B0E">
      <w:pPr>
        <w:pStyle w:val="ListParagraph"/>
        <w:numPr>
          <w:ilvl w:val="1"/>
          <w:numId w:val="4"/>
        </w:numPr>
        <w:spacing w:after="160"/>
        <w:contextualSpacing w:val="0"/>
      </w:pPr>
      <w:r w:rsidRPr="00D77963">
        <w:t xml:space="preserve">The key features of the </w:t>
      </w:r>
      <w:r w:rsidR="00B81787" w:rsidRPr="00D77963">
        <w:t>CONQUER randomised trial a</w:t>
      </w:r>
      <w:r w:rsidRPr="00D77963">
        <w:t>re summarised in the table below.</w:t>
      </w:r>
      <w:r w:rsidR="00BC591F" w:rsidRPr="00D77963">
        <w:t xml:space="preserve"> </w:t>
      </w:r>
      <w:r w:rsidR="00B81787" w:rsidRPr="00D77963">
        <w:t>As the subgroup analysis presented in the submission formed the basis of the clinical claim in the PBS population, and treatment effects in this subpopulation informed the economic evaluation, information relative to the subgroup is included in the table.</w:t>
      </w:r>
    </w:p>
    <w:p w:rsidR="007F1017" w:rsidRPr="00D77963" w:rsidRDefault="006F5006" w:rsidP="006F5006">
      <w:pPr>
        <w:pStyle w:val="TableFigureCaption"/>
      </w:pPr>
      <w:r w:rsidRPr="00D77963">
        <w:lastRenderedPageBreak/>
        <w:t xml:space="preserve">Table </w:t>
      </w:r>
      <w:r w:rsidR="00D5606A" w:rsidRPr="00D77963">
        <w:rPr>
          <w:noProof/>
        </w:rPr>
        <w:t>3</w:t>
      </w:r>
      <w:r w:rsidRPr="00D77963">
        <w:t xml:space="preserve">: </w:t>
      </w:r>
      <w:r w:rsidR="007F1017" w:rsidRPr="00D77963">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B41614" w:rsidRPr="00D77963" w:rsidTr="00D77963">
        <w:trPr>
          <w:cantSplit/>
          <w:tblHeader/>
        </w:trPr>
        <w:tc>
          <w:tcPr>
            <w:tcW w:w="713" w:type="pct"/>
            <w:shd w:val="clear" w:color="auto" w:fill="auto"/>
            <w:vAlign w:val="center"/>
          </w:tcPr>
          <w:p w:rsidR="007F1017" w:rsidRPr="00D77963" w:rsidRDefault="007F1017" w:rsidP="001E34DF">
            <w:pPr>
              <w:pStyle w:val="Tableheadingrow"/>
              <w:rPr>
                <w:szCs w:val="20"/>
                <w:lang w:val="en-AU"/>
              </w:rPr>
            </w:pPr>
            <w:r w:rsidRPr="00D77963">
              <w:rPr>
                <w:szCs w:val="20"/>
                <w:lang w:val="en-AU"/>
              </w:rPr>
              <w:t>Trial</w:t>
            </w:r>
          </w:p>
        </w:tc>
        <w:tc>
          <w:tcPr>
            <w:tcW w:w="466" w:type="pct"/>
            <w:shd w:val="clear" w:color="auto" w:fill="auto"/>
            <w:vAlign w:val="center"/>
          </w:tcPr>
          <w:p w:rsidR="007F1017" w:rsidRPr="00D77963" w:rsidRDefault="007F1017" w:rsidP="00EC5836">
            <w:pPr>
              <w:pStyle w:val="Tableheadingrow"/>
              <w:jc w:val="center"/>
              <w:rPr>
                <w:szCs w:val="20"/>
                <w:lang w:val="en-AU"/>
              </w:rPr>
            </w:pPr>
            <w:r w:rsidRPr="00D77963">
              <w:rPr>
                <w:szCs w:val="20"/>
                <w:lang w:val="en-AU"/>
              </w:rPr>
              <w:t>N</w:t>
            </w:r>
          </w:p>
        </w:tc>
        <w:tc>
          <w:tcPr>
            <w:tcW w:w="782" w:type="pct"/>
            <w:shd w:val="clear" w:color="auto" w:fill="auto"/>
            <w:vAlign w:val="center"/>
          </w:tcPr>
          <w:p w:rsidR="007F1017" w:rsidRPr="00D77963" w:rsidRDefault="007F1017" w:rsidP="00EC5836">
            <w:pPr>
              <w:pStyle w:val="Tableheadingrow"/>
              <w:jc w:val="center"/>
              <w:rPr>
                <w:szCs w:val="20"/>
                <w:lang w:val="en-AU"/>
              </w:rPr>
            </w:pPr>
            <w:r w:rsidRPr="00D77963">
              <w:rPr>
                <w:szCs w:val="20"/>
                <w:lang w:val="en-AU"/>
              </w:rPr>
              <w:t>Design/ duration</w:t>
            </w:r>
          </w:p>
        </w:tc>
        <w:tc>
          <w:tcPr>
            <w:tcW w:w="621" w:type="pct"/>
            <w:shd w:val="clear" w:color="auto" w:fill="auto"/>
            <w:vAlign w:val="center"/>
          </w:tcPr>
          <w:p w:rsidR="007F1017" w:rsidRPr="00D77963" w:rsidRDefault="007F1017" w:rsidP="00EC5836">
            <w:pPr>
              <w:pStyle w:val="Tableheadingrow"/>
              <w:jc w:val="center"/>
              <w:rPr>
                <w:szCs w:val="20"/>
                <w:lang w:val="en-AU"/>
              </w:rPr>
            </w:pPr>
            <w:r w:rsidRPr="00D77963">
              <w:rPr>
                <w:szCs w:val="20"/>
                <w:lang w:val="en-AU"/>
              </w:rPr>
              <w:t>Risk of bias</w:t>
            </w:r>
          </w:p>
        </w:tc>
        <w:tc>
          <w:tcPr>
            <w:tcW w:w="857" w:type="pct"/>
            <w:shd w:val="clear" w:color="auto" w:fill="auto"/>
            <w:vAlign w:val="center"/>
          </w:tcPr>
          <w:p w:rsidR="007F1017" w:rsidRPr="00D77963" w:rsidRDefault="007F1017" w:rsidP="00EC5836">
            <w:pPr>
              <w:pStyle w:val="Tableheadingrow"/>
              <w:jc w:val="center"/>
              <w:rPr>
                <w:szCs w:val="20"/>
                <w:lang w:val="en-AU"/>
              </w:rPr>
            </w:pPr>
            <w:r w:rsidRPr="00D77963">
              <w:rPr>
                <w:szCs w:val="20"/>
                <w:lang w:val="en-AU"/>
              </w:rPr>
              <w:t>Patient population</w:t>
            </w:r>
          </w:p>
        </w:tc>
        <w:tc>
          <w:tcPr>
            <w:tcW w:w="622" w:type="pct"/>
            <w:shd w:val="clear" w:color="auto" w:fill="auto"/>
            <w:vAlign w:val="center"/>
          </w:tcPr>
          <w:p w:rsidR="007F1017" w:rsidRPr="00D77963" w:rsidRDefault="007F1017" w:rsidP="00B81787">
            <w:pPr>
              <w:pStyle w:val="Tableheadingrow"/>
              <w:jc w:val="center"/>
              <w:rPr>
                <w:szCs w:val="20"/>
                <w:lang w:val="en-AU"/>
              </w:rPr>
            </w:pPr>
            <w:r w:rsidRPr="00D77963">
              <w:rPr>
                <w:szCs w:val="20"/>
                <w:lang w:val="en-AU"/>
              </w:rPr>
              <w:t>Outcome</w:t>
            </w:r>
          </w:p>
        </w:tc>
        <w:tc>
          <w:tcPr>
            <w:tcW w:w="939" w:type="pct"/>
            <w:shd w:val="clear" w:color="auto" w:fill="auto"/>
            <w:vAlign w:val="center"/>
          </w:tcPr>
          <w:p w:rsidR="007F1017" w:rsidRPr="00D77963" w:rsidRDefault="007F1017" w:rsidP="00EC5836">
            <w:pPr>
              <w:pStyle w:val="Tableheadingrow"/>
              <w:jc w:val="center"/>
              <w:rPr>
                <w:szCs w:val="20"/>
                <w:lang w:val="en-AU"/>
              </w:rPr>
            </w:pPr>
            <w:r w:rsidRPr="00D77963">
              <w:rPr>
                <w:szCs w:val="20"/>
                <w:lang w:val="en-AU"/>
              </w:rPr>
              <w:t>Use in modelled evaluation</w:t>
            </w:r>
          </w:p>
        </w:tc>
      </w:tr>
      <w:tr w:rsidR="007F1017" w:rsidRPr="00D77963" w:rsidTr="00D77963">
        <w:trPr>
          <w:cantSplit/>
        </w:trPr>
        <w:tc>
          <w:tcPr>
            <w:tcW w:w="5000" w:type="pct"/>
            <w:gridSpan w:val="7"/>
            <w:shd w:val="clear" w:color="auto" w:fill="auto"/>
            <w:vAlign w:val="center"/>
          </w:tcPr>
          <w:p w:rsidR="007F1017" w:rsidRPr="00D77963" w:rsidRDefault="00B81787" w:rsidP="00EC5836">
            <w:pPr>
              <w:pStyle w:val="Tableheadingrow"/>
              <w:rPr>
                <w:szCs w:val="20"/>
                <w:lang w:val="en-AU"/>
              </w:rPr>
            </w:pPr>
            <w:proofErr w:type="spellStart"/>
            <w:r w:rsidRPr="00D77963">
              <w:rPr>
                <w:szCs w:val="20"/>
                <w:lang w:val="en-AU"/>
              </w:rPr>
              <w:t>Galcanezumab</w:t>
            </w:r>
            <w:proofErr w:type="spellEnd"/>
            <w:r w:rsidRPr="00D77963">
              <w:rPr>
                <w:szCs w:val="20"/>
                <w:lang w:val="en-AU"/>
              </w:rPr>
              <w:t xml:space="preserve"> versus placebo</w:t>
            </w:r>
          </w:p>
        </w:tc>
      </w:tr>
      <w:tr w:rsidR="00B41614" w:rsidRPr="00D77963" w:rsidTr="00D77963">
        <w:trPr>
          <w:cantSplit/>
        </w:trPr>
        <w:tc>
          <w:tcPr>
            <w:tcW w:w="713" w:type="pct"/>
            <w:shd w:val="clear" w:color="auto" w:fill="auto"/>
            <w:vAlign w:val="center"/>
          </w:tcPr>
          <w:p w:rsidR="007F1017" w:rsidRPr="00D77963" w:rsidRDefault="00B81787" w:rsidP="00EC5836">
            <w:pPr>
              <w:pStyle w:val="TableText"/>
              <w:rPr>
                <w:szCs w:val="20"/>
              </w:rPr>
            </w:pPr>
            <w:r w:rsidRPr="00D77963">
              <w:rPr>
                <w:szCs w:val="20"/>
              </w:rPr>
              <w:t>CONQUER</w:t>
            </w:r>
          </w:p>
        </w:tc>
        <w:tc>
          <w:tcPr>
            <w:tcW w:w="466" w:type="pct"/>
            <w:shd w:val="clear" w:color="auto" w:fill="auto"/>
            <w:vAlign w:val="center"/>
          </w:tcPr>
          <w:p w:rsidR="007F1017" w:rsidRPr="00D77963" w:rsidRDefault="00B81787" w:rsidP="00EC5836">
            <w:pPr>
              <w:pStyle w:val="TableText"/>
              <w:jc w:val="center"/>
              <w:rPr>
                <w:szCs w:val="20"/>
              </w:rPr>
            </w:pPr>
            <w:r w:rsidRPr="00D77963">
              <w:rPr>
                <w:szCs w:val="20"/>
              </w:rPr>
              <w:t>462 (subgroup = 100)</w:t>
            </w:r>
          </w:p>
        </w:tc>
        <w:tc>
          <w:tcPr>
            <w:tcW w:w="782" w:type="pct"/>
            <w:shd w:val="clear" w:color="auto" w:fill="auto"/>
            <w:vAlign w:val="center"/>
          </w:tcPr>
          <w:p w:rsidR="007F1017" w:rsidRPr="00D77963" w:rsidRDefault="00B81787" w:rsidP="00EC5836">
            <w:pPr>
              <w:pStyle w:val="TableText"/>
              <w:jc w:val="center"/>
              <w:rPr>
                <w:szCs w:val="20"/>
              </w:rPr>
            </w:pPr>
            <w:r w:rsidRPr="00D77963">
              <w:rPr>
                <w:szCs w:val="20"/>
              </w:rPr>
              <w:t>R</w:t>
            </w:r>
            <w:r w:rsidR="00372DA8" w:rsidRPr="00D77963">
              <w:rPr>
                <w:szCs w:val="20"/>
              </w:rPr>
              <w:t>andomised</w:t>
            </w:r>
            <w:r w:rsidRPr="00D77963">
              <w:rPr>
                <w:szCs w:val="20"/>
              </w:rPr>
              <w:t xml:space="preserve">, </w:t>
            </w:r>
            <w:r w:rsidR="00372DA8" w:rsidRPr="00D77963">
              <w:rPr>
                <w:szCs w:val="20"/>
              </w:rPr>
              <w:t>double blinded</w:t>
            </w:r>
            <w:r w:rsidRPr="00D77963">
              <w:rPr>
                <w:szCs w:val="20"/>
              </w:rPr>
              <w:t xml:space="preserve">, </w:t>
            </w:r>
            <w:r w:rsidR="00372DA8" w:rsidRPr="00D77963">
              <w:rPr>
                <w:szCs w:val="20"/>
              </w:rPr>
              <w:t>multi centre</w:t>
            </w:r>
            <w:r w:rsidRPr="00D77963">
              <w:rPr>
                <w:szCs w:val="20"/>
              </w:rPr>
              <w:t xml:space="preserve">, </w:t>
            </w:r>
          </w:p>
          <w:p w:rsidR="00B81787" w:rsidRPr="00D77963" w:rsidRDefault="00B81787" w:rsidP="00372DA8">
            <w:pPr>
              <w:pStyle w:val="TableText"/>
              <w:jc w:val="center"/>
              <w:rPr>
                <w:szCs w:val="20"/>
              </w:rPr>
            </w:pPr>
            <w:r w:rsidRPr="00D77963">
              <w:rPr>
                <w:szCs w:val="20"/>
              </w:rPr>
              <w:t>12 week</w:t>
            </w:r>
            <w:r w:rsidR="00372DA8" w:rsidRPr="00D77963">
              <w:rPr>
                <w:szCs w:val="20"/>
              </w:rPr>
              <w:t xml:space="preserve"> duration</w:t>
            </w:r>
          </w:p>
        </w:tc>
        <w:tc>
          <w:tcPr>
            <w:tcW w:w="621" w:type="pct"/>
            <w:shd w:val="clear" w:color="auto" w:fill="auto"/>
            <w:vAlign w:val="center"/>
          </w:tcPr>
          <w:p w:rsidR="007F1017" w:rsidRPr="00D77963" w:rsidRDefault="00B81787" w:rsidP="00EC5836">
            <w:pPr>
              <w:pStyle w:val="TableText"/>
              <w:jc w:val="center"/>
              <w:rPr>
                <w:szCs w:val="20"/>
              </w:rPr>
            </w:pPr>
            <w:r w:rsidRPr="00D77963">
              <w:rPr>
                <w:szCs w:val="20"/>
              </w:rPr>
              <w:t>Low</w:t>
            </w:r>
          </w:p>
        </w:tc>
        <w:tc>
          <w:tcPr>
            <w:tcW w:w="857" w:type="pct"/>
            <w:shd w:val="clear" w:color="auto" w:fill="auto"/>
            <w:vAlign w:val="center"/>
          </w:tcPr>
          <w:p w:rsidR="007F1017" w:rsidRPr="00D77963" w:rsidRDefault="00B81787" w:rsidP="00EC5836">
            <w:pPr>
              <w:pStyle w:val="TableText"/>
              <w:jc w:val="center"/>
              <w:rPr>
                <w:szCs w:val="20"/>
              </w:rPr>
            </w:pPr>
            <w:r w:rsidRPr="00D77963">
              <w:rPr>
                <w:szCs w:val="20"/>
              </w:rPr>
              <w:t xml:space="preserve">Failed </w:t>
            </w:r>
            <w:r w:rsidRPr="00D77963">
              <w:rPr>
                <w:rFonts w:cs="Calibri"/>
                <w:szCs w:val="20"/>
              </w:rPr>
              <w:t>≥</w:t>
            </w:r>
            <w:r w:rsidRPr="00D77963">
              <w:rPr>
                <w:szCs w:val="20"/>
              </w:rPr>
              <w:t>3 prophylactic medication classes</w:t>
            </w:r>
          </w:p>
        </w:tc>
        <w:tc>
          <w:tcPr>
            <w:tcW w:w="622" w:type="pct"/>
            <w:shd w:val="clear" w:color="auto" w:fill="auto"/>
            <w:vAlign w:val="center"/>
          </w:tcPr>
          <w:p w:rsidR="007F1017" w:rsidRPr="00D77963" w:rsidRDefault="00B81787" w:rsidP="00EC5836">
            <w:pPr>
              <w:pStyle w:val="TableText"/>
              <w:jc w:val="center"/>
              <w:rPr>
                <w:szCs w:val="20"/>
              </w:rPr>
            </w:pPr>
            <w:r w:rsidRPr="00D77963">
              <w:rPr>
                <w:szCs w:val="20"/>
              </w:rPr>
              <w:t>Change from baseline in monthly migraine headache days</w:t>
            </w:r>
          </w:p>
        </w:tc>
        <w:tc>
          <w:tcPr>
            <w:tcW w:w="939" w:type="pct"/>
            <w:shd w:val="clear" w:color="auto" w:fill="auto"/>
            <w:vAlign w:val="center"/>
          </w:tcPr>
          <w:p w:rsidR="007F1017" w:rsidRPr="00D77963" w:rsidRDefault="00B81787" w:rsidP="00B81787">
            <w:pPr>
              <w:pStyle w:val="TableText"/>
              <w:jc w:val="center"/>
              <w:rPr>
                <w:szCs w:val="20"/>
              </w:rPr>
            </w:pPr>
            <w:r w:rsidRPr="00D77963">
              <w:rPr>
                <w:szCs w:val="20"/>
              </w:rPr>
              <w:t>≥50% responder for change in migraine days; change from baseline in migraine headache days</w:t>
            </w:r>
          </w:p>
        </w:tc>
      </w:tr>
    </w:tbl>
    <w:p w:rsidR="00620C25" w:rsidRPr="00D77963" w:rsidRDefault="00045017" w:rsidP="00EC5836">
      <w:pPr>
        <w:pStyle w:val="TableFigureFooter"/>
      </w:pPr>
      <w:r w:rsidRPr="00D77963">
        <w:t xml:space="preserve">Source: </w:t>
      </w:r>
      <w:r w:rsidR="00B81787" w:rsidRPr="00D77963">
        <w:t>Table 2.4.3, p.66; Table 2.3.1, p.57</w:t>
      </w:r>
      <w:r w:rsidRPr="00D77963">
        <w:t xml:space="preserve"> </w:t>
      </w:r>
      <w:r w:rsidR="00B81787" w:rsidRPr="00D77963">
        <w:t xml:space="preserve">of </w:t>
      </w:r>
      <w:r w:rsidRPr="00D77963">
        <w:t xml:space="preserve">the </w:t>
      </w:r>
      <w:r w:rsidR="00372DA8" w:rsidRPr="00D77963">
        <w:t>submission</w:t>
      </w:r>
    </w:p>
    <w:p w:rsidR="0081530A" w:rsidRPr="00D77963" w:rsidRDefault="0081530A" w:rsidP="00DA4F48">
      <w:pPr>
        <w:pStyle w:val="ListParagraph"/>
        <w:numPr>
          <w:ilvl w:val="1"/>
          <w:numId w:val="4"/>
        </w:numPr>
        <w:spacing w:after="160"/>
        <w:contextualSpacing w:val="0"/>
      </w:pPr>
      <w:r w:rsidRPr="00D77963">
        <w:t>The</w:t>
      </w:r>
      <w:r w:rsidR="00372DA8" w:rsidRPr="00D77963">
        <w:t xml:space="preserve"> episodic migraine ≥3 </w:t>
      </w:r>
      <w:r w:rsidR="00597B0E" w:rsidRPr="00D77963">
        <w:t xml:space="preserve">prior </w:t>
      </w:r>
      <w:r w:rsidR="00372DA8" w:rsidRPr="00D77963">
        <w:t>treatment failures subgroup</w:t>
      </w:r>
      <w:r w:rsidRPr="00D77963">
        <w:t xml:space="preserve"> presented was small</w:t>
      </w:r>
      <w:r w:rsidR="00EF04D2" w:rsidRPr="00D77963">
        <w:t xml:space="preserve"> (n=100)</w:t>
      </w:r>
      <w:r w:rsidRPr="00D77963">
        <w:t xml:space="preserve">, and therefore results </w:t>
      </w:r>
      <w:r w:rsidR="00372DA8" w:rsidRPr="00D77963">
        <w:t xml:space="preserve">based on </w:t>
      </w:r>
      <w:r w:rsidR="00EF04D2" w:rsidRPr="00D77963">
        <w:t xml:space="preserve">this </w:t>
      </w:r>
      <w:r w:rsidR="00372DA8" w:rsidRPr="00D77963">
        <w:t xml:space="preserve">subgroup </w:t>
      </w:r>
      <w:r w:rsidRPr="00D77963">
        <w:t xml:space="preserve">should be interpreted with caution. </w:t>
      </w:r>
    </w:p>
    <w:p w:rsidR="0081530A" w:rsidRPr="00D77963" w:rsidRDefault="0081530A" w:rsidP="00DA4F48">
      <w:pPr>
        <w:pStyle w:val="ListParagraph"/>
        <w:numPr>
          <w:ilvl w:val="1"/>
          <w:numId w:val="4"/>
        </w:numPr>
        <w:spacing w:after="160"/>
        <w:contextualSpacing w:val="0"/>
      </w:pPr>
      <w:r w:rsidRPr="00D77963">
        <w:t xml:space="preserve">The episodic migraine subpopulation with ≥3 prior treatment failures in the CONQUER trial had relatively severe disease, with high monthly </w:t>
      </w:r>
      <w:r w:rsidR="00B46BCA" w:rsidRPr="00D77963">
        <w:t xml:space="preserve">MHD </w:t>
      </w:r>
      <w:r w:rsidRPr="00D77963">
        <w:t xml:space="preserve">at baseline (approximately 10 per month on average) and with a majority of patients (80%) diagnosed with high frequency episodic migraine, defined as 8 to &lt;15 </w:t>
      </w:r>
      <w:r w:rsidR="00B53428" w:rsidRPr="00D77963">
        <w:t xml:space="preserve">MHD </w:t>
      </w:r>
      <w:r w:rsidRPr="00D77963">
        <w:t xml:space="preserve">per 30-day period. </w:t>
      </w:r>
      <w:r w:rsidR="003E06A1" w:rsidRPr="00D77963">
        <w:t xml:space="preserve">The ESC noted a higher proportion of patients in the </w:t>
      </w:r>
      <w:proofErr w:type="spellStart"/>
      <w:r w:rsidR="003E06A1" w:rsidRPr="00D77963">
        <w:t>galcanezumab</w:t>
      </w:r>
      <w:proofErr w:type="spellEnd"/>
      <w:r w:rsidR="003E06A1" w:rsidRPr="00D77963">
        <w:t xml:space="preserve"> treatment arm in the subpopulation had high frequency episodic migraine compared to the placebo arm (85% vs 72%, respectively). The ESC considered it was </w:t>
      </w:r>
      <w:r w:rsidRPr="00D77963">
        <w:t xml:space="preserve">unclear whether disease severity in the trial </w:t>
      </w:r>
      <w:r w:rsidR="00E5006F" w:rsidRPr="00D77963">
        <w:t>would be</w:t>
      </w:r>
      <w:r w:rsidRPr="00D77963">
        <w:t xml:space="preserve"> similar in the proposed PBS population</w:t>
      </w:r>
      <w:r w:rsidR="003E06A1" w:rsidRPr="00D77963">
        <w:t xml:space="preserve"> who are required to have 4 or more MHDs</w:t>
      </w:r>
      <w:r w:rsidRPr="00D77963">
        <w:t>.</w:t>
      </w:r>
      <w:r w:rsidR="003E06A1" w:rsidRPr="00D77963">
        <w:t xml:space="preserve"> </w:t>
      </w:r>
    </w:p>
    <w:p w:rsidR="00E5006F" w:rsidRPr="00D77963" w:rsidRDefault="00E5006F" w:rsidP="00DA4F48">
      <w:pPr>
        <w:pStyle w:val="ListParagraph"/>
        <w:numPr>
          <w:ilvl w:val="1"/>
          <w:numId w:val="4"/>
        </w:numPr>
        <w:spacing w:after="160"/>
        <w:contextualSpacing w:val="0"/>
      </w:pPr>
      <w:r w:rsidRPr="00D77963">
        <w:t>The episodic migraine with ≥3</w:t>
      </w:r>
      <w:r w:rsidR="00597B0E" w:rsidRPr="00D77963">
        <w:t xml:space="preserve"> prior</w:t>
      </w:r>
      <w:r w:rsidRPr="00D77963">
        <w:t xml:space="preserve"> treatment failure subpopulation included patients with 3 or 4 prior preventive medication category failures due to inadequate efficacy or safety/tolerability (as based on a subjective assessment by investigators at trial sites); the proposed restriction specifies patients who have experienced an inadequate response, intolerance or a contraindication to at least three prior preventive migraine medications (within or between categories). Therefore, the PBS population may be more treatment naïve (or treatment experienced, in the case of those with more than 4 prior medications) than the trial subpopulation. </w:t>
      </w:r>
      <w:r w:rsidR="003E06A1" w:rsidRPr="00D77963">
        <w:t xml:space="preserve">The ESC noted patients with </w:t>
      </w:r>
      <w:r w:rsidR="00C06EFF" w:rsidRPr="00D77963">
        <w:t xml:space="preserve">episodic and chronic </w:t>
      </w:r>
      <w:r w:rsidR="003E06A1" w:rsidRPr="00D77963">
        <w:t>migraine often cycle through prophylactic medications, depending on the</w:t>
      </w:r>
      <w:r w:rsidR="008148E2" w:rsidRPr="00D77963">
        <w:t xml:space="preserve"> severity of disease</w:t>
      </w:r>
      <w:r w:rsidR="003E06A1" w:rsidRPr="00D77963">
        <w:t xml:space="preserve"> at a given time.</w:t>
      </w:r>
      <w:r w:rsidR="003E06A1" w:rsidRPr="00D77963">
        <w:rPr>
          <w:i/>
        </w:rPr>
        <w:t xml:space="preserve"> </w:t>
      </w:r>
    </w:p>
    <w:p w:rsidR="00E5006F" w:rsidRPr="00D77963" w:rsidRDefault="0081530A" w:rsidP="00DA4F48">
      <w:pPr>
        <w:pStyle w:val="ListParagraph"/>
        <w:numPr>
          <w:ilvl w:val="1"/>
          <w:numId w:val="4"/>
        </w:numPr>
        <w:spacing w:after="160"/>
        <w:contextualSpacing w:val="0"/>
      </w:pPr>
      <w:r w:rsidRPr="00D77963">
        <w:t xml:space="preserve">The CONQUER trial included a four-week baseline period, which required patients to comply with a headache diary. It is unclear how the efficacy results from these trials would apply to those who did not comply with a headache diary. For example, if the non-compliers were different from the compliers who initiated the randomised phase and these differences affect the treatment effect estimates, then the trial results cannot be generalised. </w:t>
      </w:r>
    </w:p>
    <w:p w:rsidR="00372DA8" w:rsidRPr="00D77963" w:rsidRDefault="00372DA8" w:rsidP="00DA4F48">
      <w:pPr>
        <w:pStyle w:val="ListParagraph"/>
        <w:numPr>
          <w:ilvl w:val="1"/>
          <w:numId w:val="4"/>
        </w:numPr>
        <w:spacing w:after="160"/>
        <w:contextualSpacing w:val="0"/>
      </w:pPr>
      <w:r w:rsidRPr="00D77963">
        <w:t xml:space="preserve">The placebo arm of the CONQUER trial may not be a suitable proxy for best supportive care. While patients in the trial were allowed to use acute medicines for the treatment of migraines, they were not permitted to use any other prophylactic medications during the trial. </w:t>
      </w:r>
      <w:r w:rsidR="008148E2" w:rsidRPr="00D77963">
        <w:t xml:space="preserve">The evaluation considered this </w:t>
      </w:r>
      <w:r w:rsidRPr="00D77963">
        <w:t>may not reflect the management of patients in the PBS population.</w:t>
      </w:r>
      <w:r w:rsidR="008148E2" w:rsidRPr="00D77963">
        <w:t xml:space="preserve"> The ESC considered that, as </w:t>
      </w:r>
      <w:proofErr w:type="spellStart"/>
      <w:r w:rsidR="008148E2" w:rsidRPr="00D77963">
        <w:t>galcanezumab</w:t>
      </w:r>
      <w:proofErr w:type="spellEnd"/>
      <w:r w:rsidR="008148E2" w:rsidRPr="00D77963">
        <w:t xml:space="preserve"> was </w:t>
      </w:r>
      <w:r w:rsidR="008148E2" w:rsidRPr="00D77963">
        <w:lastRenderedPageBreak/>
        <w:t xml:space="preserve">positioned as a last line treatment for migraine, the placebo arm of the CONQUER trial was a reasonable proxy for best support care. </w:t>
      </w:r>
    </w:p>
    <w:p w:rsidR="00BB5B23" w:rsidRPr="00D77963" w:rsidRDefault="00BB5B23" w:rsidP="00F235C3">
      <w:pPr>
        <w:pStyle w:val="ListParagraph"/>
        <w:numPr>
          <w:ilvl w:val="1"/>
          <w:numId w:val="4"/>
        </w:numPr>
        <w:spacing w:after="160"/>
        <w:contextualSpacing w:val="0"/>
      </w:pPr>
      <w:r w:rsidRPr="00D77963">
        <w:t xml:space="preserve">EVOLVE-1 and EVOLVE-2 were both Phase III, multicentre, randomised, double-blind, placebo-controlled studies of </w:t>
      </w:r>
      <w:proofErr w:type="spellStart"/>
      <w:r w:rsidRPr="00D77963">
        <w:t>galcanezumab</w:t>
      </w:r>
      <w:proofErr w:type="spellEnd"/>
      <w:r w:rsidRPr="00D77963">
        <w:t xml:space="preserve"> in patients with episodic migraine, including naïve as well as treatment-resistant migraine patients. Both trials excluded patients who had failed to have an efficacy response to ≥3 classes of migraine preventive treatments, and therefore the</w:t>
      </w:r>
      <w:r w:rsidR="004A12C3" w:rsidRPr="00D77963">
        <w:t xml:space="preserve"> submission excluded these trials </w:t>
      </w:r>
      <w:r w:rsidRPr="00D77963">
        <w:t xml:space="preserve">from the clinical evaluation of </w:t>
      </w:r>
      <w:proofErr w:type="spellStart"/>
      <w:r w:rsidRPr="00D77963">
        <w:t>galcanezumab</w:t>
      </w:r>
      <w:proofErr w:type="spellEnd"/>
      <w:r w:rsidRPr="00D77963">
        <w:t xml:space="preserve">. A pooled analysis of the EVOLVE trials was used </w:t>
      </w:r>
      <w:r w:rsidR="006724C8" w:rsidRPr="00D77963">
        <w:t xml:space="preserve">in the economic model </w:t>
      </w:r>
      <w:r w:rsidRPr="00D77963">
        <w:t xml:space="preserve">to inform the distributions of monthly </w:t>
      </w:r>
      <w:r w:rsidR="00B53428" w:rsidRPr="00D77963">
        <w:t>MHD</w:t>
      </w:r>
      <w:r w:rsidR="006F785D" w:rsidRPr="00D77963">
        <w:t xml:space="preserve"> </w:t>
      </w:r>
      <w:r w:rsidR="00F235C3" w:rsidRPr="00D77963">
        <w:t>and the time taken to return to</w:t>
      </w:r>
      <w:r w:rsidR="006724C8" w:rsidRPr="00D77963">
        <w:t xml:space="preserve"> a</w:t>
      </w:r>
      <w:r w:rsidR="00F235C3" w:rsidRPr="00D77963">
        <w:t xml:space="preserve"> treatment effect equivalent to </w:t>
      </w:r>
      <w:r w:rsidR="00AC4C96" w:rsidRPr="00D77963">
        <w:t>baseline</w:t>
      </w:r>
      <w:r w:rsidR="00F235C3" w:rsidRPr="00D77963">
        <w:t xml:space="preserve"> following discontinuation of </w:t>
      </w:r>
      <w:proofErr w:type="spellStart"/>
      <w:r w:rsidR="00F235C3" w:rsidRPr="00D77963">
        <w:t>galcanezumab</w:t>
      </w:r>
      <w:proofErr w:type="spellEnd"/>
      <w:r w:rsidRPr="00D77963">
        <w:t>.</w:t>
      </w:r>
    </w:p>
    <w:p w:rsidR="00082256" w:rsidRPr="00D77963" w:rsidRDefault="00082256" w:rsidP="00082256">
      <w:pPr>
        <w:pStyle w:val="ListParagraph"/>
        <w:numPr>
          <w:ilvl w:val="1"/>
          <w:numId w:val="4"/>
        </w:numPr>
        <w:spacing w:after="160"/>
      </w:pPr>
      <w:r w:rsidRPr="00D77963">
        <w:t xml:space="preserve">Study CGAJ was a long-term, open-label safety study of </w:t>
      </w:r>
      <w:proofErr w:type="spellStart"/>
      <w:r w:rsidRPr="00D77963">
        <w:t>galcanezumab</w:t>
      </w:r>
      <w:proofErr w:type="spellEnd"/>
      <w:r w:rsidRPr="00D77963">
        <w:t xml:space="preserve"> in patients with migraine, including episodic and chronic migraine. A total of 270 patients were randomised to either </w:t>
      </w:r>
      <w:proofErr w:type="spellStart"/>
      <w:r w:rsidRPr="00D77963">
        <w:t>galcanezumab</w:t>
      </w:r>
      <w:proofErr w:type="spellEnd"/>
      <w:r w:rsidRPr="00D77963">
        <w:t xml:space="preserve"> 120 mg or </w:t>
      </w:r>
      <w:proofErr w:type="spellStart"/>
      <w:r w:rsidRPr="00D77963">
        <w:t>galcanezumab</w:t>
      </w:r>
      <w:proofErr w:type="spellEnd"/>
      <w:r w:rsidRPr="00D77963">
        <w:t xml:space="preserve"> 240 mg. Results were not disaggregated by migraine type, and therefore the submission excluded this study. However, CGAJ presents the longest available clinical data of </w:t>
      </w:r>
      <w:proofErr w:type="spellStart"/>
      <w:r w:rsidRPr="00D77963">
        <w:t>galcanezumab</w:t>
      </w:r>
      <w:proofErr w:type="spellEnd"/>
      <w:r w:rsidRPr="00D77963">
        <w:t xml:space="preserve"> for the treatment of migraine (12 months). The submission stated that results from the CGAJ study demonstrate longer term efficacy and safety/tolerability of </w:t>
      </w:r>
      <w:proofErr w:type="spellStart"/>
      <w:r w:rsidRPr="00D77963">
        <w:t>galcanezumab</w:t>
      </w:r>
      <w:proofErr w:type="spellEnd"/>
      <w:r w:rsidRPr="00D77963">
        <w:t xml:space="preserve">. </w:t>
      </w:r>
      <w:r w:rsidR="00825971" w:rsidRPr="00D77963">
        <w:t>Results from the CGAJ publication (</w:t>
      </w:r>
      <w:proofErr w:type="spellStart"/>
      <w:r w:rsidR="00825971" w:rsidRPr="00D77963">
        <w:t>Camporeale</w:t>
      </w:r>
      <w:proofErr w:type="spellEnd"/>
      <w:r w:rsidR="00825971" w:rsidRPr="00D77963">
        <w:t xml:space="preserve"> et al., 2018) were used in the economic model to inform the probability of discontinuing treatment with </w:t>
      </w:r>
      <w:proofErr w:type="spellStart"/>
      <w:r w:rsidR="00825971" w:rsidRPr="00D77963">
        <w:t>galcanezumab</w:t>
      </w:r>
      <w:proofErr w:type="spellEnd"/>
      <w:r w:rsidR="00825971" w:rsidRPr="00D77963">
        <w:t xml:space="preserve"> due to adverse events.</w:t>
      </w:r>
    </w:p>
    <w:p w:rsidR="00B60939" w:rsidRPr="00D77963" w:rsidRDefault="00B60939" w:rsidP="00EC5836">
      <w:pPr>
        <w:pStyle w:val="3-SubsectionHeading"/>
      </w:pPr>
      <w:bookmarkStart w:id="13" w:name="_Toc22897641"/>
      <w:bookmarkStart w:id="14" w:name="_Toc51078503"/>
      <w:r w:rsidRPr="00D77963">
        <w:t>Comparative effectiveness</w:t>
      </w:r>
      <w:bookmarkEnd w:id="13"/>
      <w:bookmarkEnd w:id="14"/>
    </w:p>
    <w:p w:rsidR="00E5006F" w:rsidRPr="00D77963" w:rsidRDefault="00E5006F" w:rsidP="00DA4F48">
      <w:pPr>
        <w:pStyle w:val="ListParagraph"/>
        <w:numPr>
          <w:ilvl w:val="1"/>
          <w:numId w:val="1"/>
        </w:numPr>
        <w:spacing w:after="160"/>
        <w:contextualSpacing w:val="0"/>
      </w:pPr>
      <w:r w:rsidRPr="00D77963">
        <w:t xml:space="preserve">Results of the comparison between </w:t>
      </w:r>
      <w:proofErr w:type="spellStart"/>
      <w:r w:rsidRPr="00D77963">
        <w:t>galcanezumab</w:t>
      </w:r>
      <w:proofErr w:type="spellEnd"/>
      <w:r w:rsidRPr="00D77963">
        <w:t xml:space="preserve"> and placebo from the CONQUER trial </w:t>
      </w:r>
      <w:r w:rsidR="00C44F44" w:rsidRPr="00D77963">
        <w:t>in the ITT population and the episodic migraine subpopulation</w:t>
      </w:r>
      <w:r w:rsidR="002D2F32" w:rsidRPr="00D77963">
        <w:t xml:space="preserve">, for the primary outcome (reduction in </w:t>
      </w:r>
      <w:r w:rsidR="006F785D" w:rsidRPr="00D77963">
        <w:t>MHD</w:t>
      </w:r>
      <w:r w:rsidR="002D2F32" w:rsidRPr="00D77963">
        <w:t>) and proportion of the population achieving ≥50%, ≥75%, ≥100%, and ≥30% reduction in migraine days,</w:t>
      </w:r>
      <w:r w:rsidR="00C44F44" w:rsidRPr="00D77963">
        <w:t xml:space="preserve"> </w:t>
      </w:r>
      <w:r w:rsidRPr="00D77963">
        <w:t xml:space="preserve">are summarised in </w:t>
      </w:r>
      <w:r w:rsidR="00D5606A" w:rsidRPr="00D77963">
        <w:t xml:space="preserve">Table </w:t>
      </w:r>
      <w:r w:rsidR="00D5606A" w:rsidRPr="00D77963">
        <w:rPr>
          <w:noProof/>
        </w:rPr>
        <w:t>4</w:t>
      </w:r>
      <w:r w:rsidRPr="00D77963">
        <w:t>.</w:t>
      </w:r>
    </w:p>
    <w:p w:rsidR="004A0255" w:rsidRDefault="004A0255">
      <w:pPr>
        <w:jc w:val="left"/>
        <w:rPr>
          <w:rFonts w:ascii="Arial Narrow" w:eastAsiaTheme="majorEastAsia" w:hAnsi="Arial Narrow" w:cstheme="majorBidi"/>
          <w:b/>
          <w:bCs/>
          <w:sz w:val="20"/>
        </w:rPr>
      </w:pPr>
      <w:bookmarkStart w:id="15" w:name="_Ref53751601"/>
      <w:r>
        <w:br w:type="page"/>
      </w:r>
    </w:p>
    <w:p w:rsidR="002D2F32" w:rsidRPr="00D77963" w:rsidRDefault="006F5006" w:rsidP="006F5006">
      <w:pPr>
        <w:pStyle w:val="TableFigureCaption"/>
      </w:pPr>
      <w:r w:rsidRPr="00D77963">
        <w:lastRenderedPageBreak/>
        <w:t xml:space="preserve">Table </w:t>
      </w:r>
      <w:r w:rsidR="00D5606A" w:rsidRPr="00D77963">
        <w:rPr>
          <w:noProof/>
        </w:rPr>
        <w:t>4</w:t>
      </w:r>
      <w:bookmarkEnd w:id="15"/>
      <w:r w:rsidRPr="00D77963">
        <w:t xml:space="preserve">: </w:t>
      </w:r>
      <w:r w:rsidR="002D2F32" w:rsidRPr="00D77963">
        <w:t>ITT population and episodic migraine subpopulation results for CONQUER trial</w:t>
      </w:r>
    </w:p>
    <w:tbl>
      <w:tblPr>
        <w:tblStyle w:val="TableGrid"/>
        <w:tblpPr w:leftFromText="180" w:rightFromText="180" w:vertAnchor="text" w:tblpY="1"/>
        <w:tblOverlap w:val="never"/>
        <w:tblW w:w="5000" w:type="pct"/>
        <w:tblCellMar>
          <w:left w:w="57" w:type="dxa"/>
          <w:right w:w="57" w:type="dxa"/>
        </w:tblCellMar>
        <w:tblLook w:val="04A0" w:firstRow="1" w:lastRow="0" w:firstColumn="1" w:lastColumn="0" w:noHBand="0" w:noVBand="1"/>
        <w:tblCaption w:val="Table 4: ITT population and episodic migraine subpopulation results for CONQUER trial"/>
      </w:tblPr>
      <w:tblGrid>
        <w:gridCol w:w="2567"/>
        <w:gridCol w:w="577"/>
        <w:gridCol w:w="1641"/>
        <w:gridCol w:w="577"/>
        <w:gridCol w:w="1641"/>
        <w:gridCol w:w="2014"/>
      </w:tblGrid>
      <w:tr w:rsidR="002D2F32" w:rsidRPr="00D77963" w:rsidTr="00A157AD">
        <w:trPr>
          <w:tblHeader/>
        </w:trPr>
        <w:tc>
          <w:tcPr>
            <w:tcW w:w="1423" w:type="pct"/>
            <w:vMerge w:val="restart"/>
          </w:tcPr>
          <w:p w:rsidR="002D2F32" w:rsidRPr="00D77963" w:rsidRDefault="002D2F32" w:rsidP="008B3CB7">
            <w:pPr>
              <w:pStyle w:val="TableText"/>
              <w:rPr>
                <w:b/>
                <w:szCs w:val="20"/>
              </w:rPr>
            </w:pPr>
          </w:p>
        </w:tc>
        <w:tc>
          <w:tcPr>
            <w:tcW w:w="1230" w:type="pct"/>
            <w:gridSpan w:val="2"/>
            <w:vAlign w:val="center"/>
          </w:tcPr>
          <w:p w:rsidR="002D2F32" w:rsidRPr="00D77963" w:rsidRDefault="002D2F32" w:rsidP="008B3CB7">
            <w:pPr>
              <w:pStyle w:val="TableText"/>
              <w:jc w:val="center"/>
              <w:rPr>
                <w:b/>
                <w:szCs w:val="20"/>
              </w:rPr>
            </w:pPr>
            <w:proofErr w:type="spellStart"/>
            <w:r w:rsidRPr="00D77963">
              <w:rPr>
                <w:b/>
                <w:szCs w:val="20"/>
              </w:rPr>
              <w:t>Galcanezumab</w:t>
            </w:r>
            <w:proofErr w:type="spellEnd"/>
          </w:p>
        </w:tc>
        <w:tc>
          <w:tcPr>
            <w:tcW w:w="1230" w:type="pct"/>
            <w:gridSpan w:val="2"/>
            <w:vAlign w:val="center"/>
          </w:tcPr>
          <w:p w:rsidR="002D2F32" w:rsidRPr="00D77963" w:rsidRDefault="002D2F32" w:rsidP="008B3CB7">
            <w:pPr>
              <w:pStyle w:val="TableText"/>
              <w:jc w:val="center"/>
              <w:rPr>
                <w:b/>
                <w:szCs w:val="20"/>
              </w:rPr>
            </w:pPr>
            <w:r w:rsidRPr="00D77963">
              <w:rPr>
                <w:b/>
                <w:szCs w:val="20"/>
              </w:rPr>
              <w:t>Placebo</w:t>
            </w:r>
          </w:p>
        </w:tc>
        <w:tc>
          <w:tcPr>
            <w:tcW w:w="1117" w:type="pct"/>
            <w:vMerge w:val="restart"/>
          </w:tcPr>
          <w:p w:rsidR="002D2F32" w:rsidRPr="00D77963" w:rsidRDefault="002D2F32" w:rsidP="008B3CB7">
            <w:pPr>
              <w:pStyle w:val="TableText"/>
              <w:jc w:val="center"/>
              <w:rPr>
                <w:b/>
                <w:szCs w:val="20"/>
              </w:rPr>
            </w:pPr>
            <w:r w:rsidRPr="00D77963">
              <w:rPr>
                <w:b/>
                <w:szCs w:val="20"/>
              </w:rPr>
              <w:t>LS mean change difference (95% CI)</w:t>
            </w:r>
          </w:p>
        </w:tc>
      </w:tr>
      <w:tr w:rsidR="002D2F32" w:rsidRPr="00D77963" w:rsidTr="00A157AD">
        <w:trPr>
          <w:tblHeader/>
        </w:trPr>
        <w:tc>
          <w:tcPr>
            <w:tcW w:w="1423" w:type="pct"/>
            <w:vMerge/>
          </w:tcPr>
          <w:p w:rsidR="002D2F32" w:rsidRPr="00D77963" w:rsidRDefault="002D2F32" w:rsidP="008B3CB7">
            <w:pPr>
              <w:pStyle w:val="TableText"/>
              <w:rPr>
                <w:szCs w:val="20"/>
              </w:rPr>
            </w:pPr>
          </w:p>
        </w:tc>
        <w:tc>
          <w:tcPr>
            <w:tcW w:w="320" w:type="pct"/>
          </w:tcPr>
          <w:p w:rsidR="002D2F32" w:rsidRPr="00D77963" w:rsidRDefault="002D2F32" w:rsidP="008B3CB7">
            <w:pPr>
              <w:pStyle w:val="TableText"/>
              <w:jc w:val="center"/>
              <w:rPr>
                <w:b/>
                <w:szCs w:val="20"/>
              </w:rPr>
            </w:pPr>
            <w:r w:rsidRPr="00D77963">
              <w:rPr>
                <w:b/>
                <w:szCs w:val="20"/>
              </w:rPr>
              <w:t>N</w:t>
            </w:r>
          </w:p>
        </w:tc>
        <w:tc>
          <w:tcPr>
            <w:tcW w:w="910" w:type="pct"/>
          </w:tcPr>
          <w:p w:rsidR="002D2F32" w:rsidRPr="00D77963" w:rsidRDefault="002D2F32" w:rsidP="008B3CB7">
            <w:pPr>
              <w:pStyle w:val="TableText"/>
              <w:jc w:val="center"/>
              <w:rPr>
                <w:b/>
                <w:szCs w:val="20"/>
              </w:rPr>
            </w:pPr>
            <w:r w:rsidRPr="00D77963">
              <w:rPr>
                <w:b/>
                <w:szCs w:val="20"/>
              </w:rPr>
              <w:t>Mean days (SE)</w:t>
            </w:r>
          </w:p>
        </w:tc>
        <w:tc>
          <w:tcPr>
            <w:tcW w:w="320" w:type="pct"/>
          </w:tcPr>
          <w:p w:rsidR="002D2F32" w:rsidRPr="00D77963" w:rsidRDefault="002D2F32" w:rsidP="008B3CB7">
            <w:pPr>
              <w:pStyle w:val="TableText"/>
              <w:jc w:val="center"/>
              <w:rPr>
                <w:b/>
                <w:szCs w:val="20"/>
              </w:rPr>
            </w:pPr>
            <w:r w:rsidRPr="00D77963">
              <w:rPr>
                <w:b/>
                <w:szCs w:val="20"/>
              </w:rPr>
              <w:t>N</w:t>
            </w:r>
          </w:p>
        </w:tc>
        <w:tc>
          <w:tcPr>
            <w:tcW w:w="910" w:type="pct"/>
          </w:tcPr>
          <w:p w:rsidR="002D2F32" w:rsidRPr="00D77963" w:rsidRDefault="002D2F32" w:rsidP="008B3CB7">
            <w:pPr>
              <w:pStyle w:val="TableText"/>
              <w:jc w:val="center"/>
              <w:rPr>
                <w:b/>
                <w:szCs w:val="20"/>
              </w:rPr>
            </w:pPr>
            <w:r w:rsidRPr="00D77963">
              <w:rPr>
                <w:b/>
                <w:szCs w:val="20"/>
              </w:rPr>
              <w:t>Mean days (SE)</w:t>
            </w:r>
          </w:p>
        </w:tc>
        <w:tc>
          <w:tcPr>
            <w:tcW w:w="1117" w:type="pct"/>
            <w:vMerge/>
          </w:tcPr>
          <w:p w:rsidR="002D2F32" w:rsidRPr="00D77963" w:rsidRDefault="002D2F32" w:rsidP="008B3CB7">
            <w:pPr>
              <w:pStyle w:val="TableText"/>
              <w:jc w:val="center"/>
              <w:rPr>
                <w:b/>
                <w:szCs w:val="20"/>
              </w:rPr>
            </w:pPr>
          </w:p>
        </w:tc>
      </w:tr>
      <w:tr w:rsidR="002D2F32" w:rsidRPr="00D77963" w:rsidTr="00D77963">
        <w:tc>
          <w:tcPr>
            <w:tcW w:w="5000" w:type="pct"/>
            <w:gridSpan w:val="6"/>
          </w:tcPr>
          <w:p w:rsidR="002D2F32" w:rsidRPr="00D77963" w:rsidRDefault="002D2F32" w:rsidP="008B3CB7">
            <w:pPr>
              <w:pStyle w:val="TableText"/>
              <w:rPr>
                <w:b/>
                <w:szCs w:val="20"/>
              </w:rPr>
            </w:pPr>
            <w:r w:rsidRPr="00D77963">
              <w:rPr>
                <w:b/>
                <w:szCs w:val="20"/>
              </w:rPr>
              <w:t>Change from baseline in number of monthly migraine headache days</w:t>
            </w:r>
          </w:p>
        </w:tc>
      </w:tr>
      <w:tr w:rsidR="002D2F32" w:rsidRPr="00D77963" w:rsidTr="00D77963">
        <w:tc>
          <w:tcPr>
            <w:tcW w:w="5000" w:type="pct"/>
            <w:gridSpan w:val="6"/>
          </w:tcPr>
          <w:p w:rsidR="002D2F32" w:rsidRPr="00D77963" w:rsidRDefault="002D2F32" w:rsidP="008B3CB7">
            <w:pPr>
              <w:pStyle w:val="TableText"/>
              <w:rPr>
                <w:b/>
                <w:szCs w:val="20"/>
              </w:rPr>
            </w:pPr>
            <w:r w:rsidRPr="00D77963">
              <w:rPr>
                <w:b/>
                <w:szCs w:val="20"/>
              </w:rPr>
              <w:t xml:space="preserve">Double blind treatment phase (12 weeks; </w:t>
            </w:r>
            <w:proofErr w:type="spellStart"/>
            <w:r w:rsidRPr="00D77963">
              <w:rPr>
                <w:b/>
                <w:szCs w:val="20"/>
              </w:rPr>
              <w:t>galcanezumab</w:t>
            </w:r>
            <w:proofErr w:type="spellEnd"/>
            <w:r w:rsidRPr="00D77963">
              <w:rPr>
                <w:b/>
                <w:szCs w:val="20"/>
              </w:rPr>
              <w:t xml:space="preserve"> versus placebo)</w:t>
            </w:r>
          </w:p>
        </w:tc>
      </w:tr>
      <w:tr w:rsidR="002D2F32" w:rsidRPr="00D77963" w:rsidTr="00D77963">
        <w:tc>
          <w:tcPr>
            <w:tcW w:w="1423" w:type="pct"/>
          </w:tcPr>
          <w:p w:rsidR="002D2F32" w:rsidRPr="00D77963" w:rsidRDefault="002D2F32" w:rsidP="008B3CB7">
            <w:pPr>
              <w:pStyle w:val="TableText"/>
              <w:rPr>
                <w:szCs w:val="20"/>
              </w:rPr>
            </w:pPr>
            <w:r w:rsidRPr="00D77963">
              <w:rPr>
                <w:szCs w:val="20"/>
              </w:rPr>
              <w:t>ITT population</w:t>
            </w:r>
          </w:p>
        </w:tc>
        <w:tc>
          <w:tcPr>
            <w:tcW w:w="320" w:type="pct"/>
            <w:vAlign w:val="center"/>
          </w:tcPr>
          <w:p w:rsidR="002D2F32" w:rsidRPr="00D77963" w:rsidRDefault="002D2F32" w:rsidP="008B3CB7">
            <w:pPr>
              <w:pStyle w:val="TableText"/>
              <w:jc w:val="center"/>
              <w:rPr>
                <w:szCs w:val="20"/>
              </w:rPr>
            </w:pPr>
            <w:r w:rsidRPr="00D77963">
              <w:rPr>
                <w:szCs w:val="20"/>
              </w:rPr>
              <w:t>230</w:t>
            </w:r>
          </w:p>
        </w:tc>
        <w:tc>
          <w:tcPr>
            <w:tcW w:w="910" w:type="pct"/>
            <w:vAlign w:val="center"/>
          </w:tcPr>
          <w:p w:rsidR="002D2F32" w:rsidRPr="00D77963" w:rsidRDefault="002D2F32" w:rsidP="008B3CB7">
            <w:pPr>
              <w:pStyle w:val="TableText"/>
              <w:jc w:val="center"/>
              <w:rPr>
                <w:szCs w:val="20"/>
              </w:rPr>
            </w:pPr>
            <w:r w:rsidRPr="00D77963">
              <w:rPr>
                <w:szCs w:val="20"/>
              </w:rPr>
              <w:t>-4.14 (0.32)</w:t>
            </w:r>
          </w:p>
        </w:tc>
        <w:tc>
          <w:tcPr>
            <w:tcW w:w="320" w:type="pct"/>
            <w:vAlign w:val="center"/>
          </w:tcPr>
          <w:p w:rsidR="002D2F32" w:rsidRPr="00D77963" w:rsidRDefault="002D2F32" w:rsidP="008B3CB7">
            <w:pPr>
              <w:pStyle w:val="TableText"/>
              <w:jc w:val="center"/>
              <w:rPr>
                <w:szCs w:val="20"/>
              </w:rPr>
            </w:pPr>
            <w:r w:rsidRPr="00D77963">
              <w:rPr>
                <w:szCs w:val="20"/>
              </w:rPr>
              <w:t>228</w:t>
            </w:r>
          </w:p>
        </w:tc>
        <w:tc>
          <w:tcPr>
            <w:tcW w:w="910" w:type="pct"/>
            <w:vAlign w:val="center"/>
          </w:tcPr>
          <w:p w:rsidR="002D2F32" w:rsidRPr="00D77963" w:rsidRDefault="002D2F32" w:rsidP="008B3CB7">
            <w:pPr>
              <w:pStyle w:val="TableText"/>
              <w:jc w:val="center"/>
              <w:rPr>
                <w:szCs w:val="20"/>
              </w:rPr>
            </w:pPr>
            <w:r w:rsidRPr="00D77963">
              <w:rPr>
                <w:szCs w:val="20"/>
              </w:rPr>
              <w:t>-1.02 (0.32)</w:t>
            </w:r>
          </w:p>
        </w:tc>
        <w:tc>
          <w:tcPr>
            <w:tcW w:w="1117" w:type="pct"/>
            <w:vAlign w:val="center"/>
          </w:tcPr>
          <w:p w:rsidR="002D2F32" w:rsidRPr="00D77963" w:rsidRDefault="002D2F32" w:rsidP="008B3CB7">
            <w:pPr>
              <w:pStyle w:val="TableText"/>
              <w:jc w:val="center"/>
              <w:rPr>
                <w:szCs w:val="20"/>
              </w:rPr>
            </w:pPr>
            <w:r w:rsidRPr="00D77963">
              <w:rPr>
                <w:szCs w:val="20"/>
              </w:rPr>
              <w:t>-3.12 (-3.92, -2.32)</w:t>
            </w:r>
          </w:p>
        </w:tc>
      </w:tr>
      <w:tr w:rsidR="002D2F32" w:rsidRPr="00D77963" w:rsidTr="00D77963">
        <w:tc>
          <w:tcPr>
            <w:tcW w:w="1423" w:type="pct"/>
          </w:tcPr>
          <w:p w:rsidR="002D2F32" w:rsidRPr="00D77963" w:rsidRDefault="002D2F32" w:rsidP="008B3CB7">
            <w:pPr>
              <w:pStyle w:val="TableText"/>
              <w:rPr>
                <w:szCs w:val="20"/>
              </w:rPr>
            </w:pPr>
            <w:r w:rsidRPr="00D77963">
              <w:rPr>
                <w:szCs w:val="20"/>
              </w:rPr>
              <w:t>ITT episodic subpopulation</w:t>
            </w:r>
          </w:p>
        </w:tc>
        <w:tc>
          <w:tcPr>
            <w:tcW w:w="320" w:type="pct"/>
            <w:vAlign w:val="center"/>
          </w:tcPr>
          <w:p w:rsidR="002D2F32" w:rsidRPr="00D77963" w:rsidRDefault="002D2F32" w:rsidP="008B3CB7">
            <w:pPr>
              <w:pStyle w:val="TableText"/>
              <w:jc w:val="center"/>
              <w:rPr>
                <w:szCs w:val="20"/>
              </w:rPr>
            </w:pPr>
            <w:r w:rsidRPr="00D77963">
              <w:rPr>
                <w:szCs w:val="20"/>
              </w:rPr>
              <w:t>137</w:t>
            </w:r>
          </w:p>
        </w:tc>
        <w:tc>
          <w:tcPr>
            <w:tcW w:w="910" w:type="pct"/>
            <w:vAlign w:val="center"/>
          </w:tcPr>
          <w:p w:rsidR="002D2F32" w:rsidRPr="00D77963" w:rsidRDefault="002D2F32" w:rsidP="008B3CB7">
            <w:pPr>
              <w:pStyle w:val="TableText"/>
              <w:jc w:val="center"/>
              <w:rPr>
                <w:szCs w:val="20"/>
              </w:rPr>
            </w:pPr>
            <w:r w:rsidRPr="00D77963">
              <w:rPr>
                <w:szCs w:val="20"/>
              </w:rPr>
              <w:t>-2.88 (0.34)</w:t>
            </w:r>
          </w:p>
        </w:tc>
        <w:tc>
          <w:tcPr>
            <w:tcW w:w="320" w:type="pct"/>
            <w:vAlign w:val="center"/>
          </w:tcPr>
          <w:p w:rsidR="002D2F32" w:rsidRPr="00D77963" w:rsidRDefault="002D2F32" w:rsidP="008B3CB7">
            <w:pPr>
              <w:pStyle w:val="TableText"/>
              <w:jc w:val="center"/>
              <w:rPr>
                <w:szCs w:val="20"/>
              </w:rPr>
            </w:pPr>
            <w:r w:rsidRPr="00D77963">
              <w:rPr>
                <w:szCs w:val="20"/>
              </w:rPr>
              <w:t>132</w:t>
            </w:r>
          </w:p>
        </w:tc>
        <w:tc>
          <w:tcPr>
            <w:tcW w:w="910" w:type="pct"/>
            <w:vAlign w:val="center"/>
          </w:tcPr>
          <w:p w:rsidR="002D2F32" w:rsidRPr="00D77963" w:rsidRDefault="002D2F32" w:rsidP="008B3CB7">
            <w:pPr>
              <w:pStyle w:val="TableText"/>
              <w:jc w:val="center"/>
              <w:rPr>
                <w:szCs w:val="20"/>
              </w:rPr>
            </w:pPr>
            <w:r w:rsidRPr="00D77963">
              <w:rPr>
                <w:szCs w:val="20"/>
              </w:rPr>
              <w:t>-0.31 (0.34)</w:t>
            </w:r>
          </w:p>
        </w:tc>
        <w:tc>
          <w:tcPr>
            <w:tcW w:w="1117" w:type="pct"/>
            <w:vAlign w:val="center"/>
          </w:tcPr>
          <w:p w:rsidR="002D2F32" w:rsidRPr="00D77963" w:rsidRDefault="002D2F32" w:rsidP="008B3CB7">
            <w:pPr>
              <w:pStyle w:val="TableText"/>
              <w:jc w:val="center"/>
              <w:rPr>
                <w:szCs w:val="20"/>
              </w:rPr>
            </w:pPr>
            <w:r w:rsidRPr="00D77963">
              <w:rPr>
                <w:szCs w:val="20"/>
              </w:rPr>
              <w:t>-2.57 (-3.41, -1.72)</w:t>
            </w:r>
          </w:p>
        </w:tc>
      </w:tr>
      <w:tr w:rsidR="002D2F32" w:rsidRPr="00D77963" w:rsidTr="00D77963">
        <w:tc>
          <w:tcPr>
            <w:tcW w:w="1423" w:type="pct"/>
            <w:tcBorders>
              <w:top w:val="double" w:sz="4" w:space="0" w:color="auto"/>
            </w:tcBorders>
          </w:tcPr>
          <w:p w:rsidR="002D2F32" w:rsidRPr="00D77963" w:rsidRDefault="002D2F32" w:rsidP="008B3CB7">
            <w:pPr>
              <w:pStyle w:val="TableText"/>
              <w:rPr>
                <w:b/>
                <w:szCs w:val="20"/>
              </w:rPr>
            </w:pPr>
          </w:p>
        </w:tc>
        <w:tc>
          <w:tcPr>
            <w:tcW w:w="1230" w:type="pct"/>
            <w:gridSpan w:val="2"/>
            <w:vAlign w:val="center"/>
          </w:tcPr>
          <w:p w:rsidR="002D2F32" w:rsidRPr="00D77963" w:rsidRDefault="002D2F32" w:rsidP="008B3CB7">
            <w:pPr>
              <w:keepNext/>
              <w:jc w:val="center"/>
              <w:rPr>
                <w:rFonts w:ascii="Arial Narrow" w:eastAsiaTheme="minorHAnsi" w:hAnsi="Arial Narrow"/>
                <w:b/>
                <w:sz w:val="20"/>
                <w:szCs w:val="20"/>
                <w:lang w:eastAsia="en-US"/>
              </w:rPr>
            </w:pPr>
            <w:proofErr w:type="spellStart"/>
            <w:r w:rsidRPr="00D77963">
              <w:rPr>
                <w:rFonts w:ascii="Arial Narrow" w:eastAsiaTheme="minorHAnsi" w:hAnsi="Arial Narrow"/>
                <w:b/>
                <w:sz w:val="20"/>
                <w:szCs w:val="20"/>
                <w:lang w:eastAsia="en-US"/>
              </w:rPr>
              <w:t>Galcanezumab</w:t>
            </w:r>
            <w:proofErr w:type="spellEnd"/>
          </w:p>
          <w:p w:rsidR="002D2F32" w:rsidRPr="00D77963" w:rsidRDefault="002D2F32" w:rsidP="008B3CB7">
            <w:pPr>
              <w:pStyle w:val="TableText"/>
              <w:jc w:val="center"/>
              <w:rPr>
                <w:szCs w:val="20"/>
              </w:rPr>
            </w:pPr>
            <w:r w:rsidRPr="00D77963">
              <w:rPr>
                <w:rFonts w:eastAsiaTheme="minorHAnsi"/>
                <w:b/>
                <w:szCs w:val="20"/>
                <w:lang w:eastAsia="en-US"/>
              </w:rPr>
              <w:t>Model estimated rate (SE)</w:t>
            </w:r>
          </w:p>
        </w:tc>
        <w:tc>
          <w:tcPr>
            <w:tcW w:w="1230" w:type="pct"/>
            <w:gridSpan w:val="2"/>
            <w:vAlign w:val="center"/>
          </w:tcPr>
          <w:p w:rsidR="002D2F32" w:rsidRPr="00D77963" w:rsidRDefault="002D2F32" w:rsidP="008B3CB7">
            <w:pPr>
              <w:keepNext/>
              <w:jc w:val="center"/>
              <w:rPr>
                <w:rFonts w:ascii="Arial Narrow" w:eastAsiaTheme="minorHAnsi" w:hAnsi="Arial Narrow"/>
                <w:b/>
                <w:sz w:val="20"/>
                <w:szCs w:val="20"/>
                <w:lang w:eastAsia="en-US"/>
              </w:rPr>
            </w:pPr>
            <w:r w:rsidRPr="00D77963">
              <w:rPr>
                <w:rFonts w:ascii="Arial Narrow" w:eastAsiaTheme="minorHAnsi" w:hAnsi="Arial Narrow"/>
                <w:b/>
                <w:sz w:val="20"/>
                <w:szCs w:val="20"/>
                <w:lang w:eastAsia="en-US"/>
              </w:rPr>
              <w:t xml:space="preserve">Placebo </w:t>
            </w:r>
          </w:p>
          <w:p w:rsidR="002D2F32" w:rsidRPr="00D77963" w:rsidRDefault="002D2F32" w:rsidP="008B3CB7">
            <w:pPr>
              <w:pStyle w:val="TableText"/>
              <w:jc w:val="center"/>
              <w:rPr>
                <w:szCs w:val="20"/>
              </w:rPr>
            </w:pPr>
            <w:r w:rsidRPr="00D77963">
              <w:rPr>
                <w:rFonts w:eastAsiaTheme="minorHAnsi"/>
                <w:b/>
                <w:szCs w:val="20"/>
                <w:lang w:eastAsia="en-US"/>
              </w:rPr>
              <w:t>Model estimated rate (SE)</w:t>
            </w:r>
          </w:p>
        </w:tc>
        <w:tc>
          <w:tcPr>
            <w:tcW w:w="1117" w:type="pct"/>
            <w:tcBorders>
              <w:top w:val="double" w:sz="4" w:space="0" w:color="auto"/>
            </w:tcBorders>
            <w:vAlign w:val="center"/>
          </w:tcPr>
          <w:p w:rsidR="002D2F32" w:rsidRPr="00D77963" w:rsidRDefault="002D2F32" w:rsidP="008B3CB7">
            <w:pPr>
              <w:pStyle w:val="TableText"/>
              <w:jc w:val="center"/>
              <w:rPr>
                <w:szCs w:val="20"/>
              </w:rPr>
            </w:pPr>
            <w:r w:rsidRPr="00D77963">
              <w:rPr>
                <w:rFonts w:eastAsiaTheme="minorHAnsi"/>
                <w:b/>
                <w:szCs w:val="20"/>
                <w:lang w:eastAsia="en-US"/>
              </w:rPr>
              <w:t>OR (95%CI)</w:t>
            </w:r>
          </w:p>
        </w:tc>
      </w:tr>
      <w:tr w:rsidR="002D2F32" w:rsidRPr="00D77963" w:rsidTr="00D77963">
        <w:tc>
          <w:tcPr>
            <w:tcW w:w="5000" w:type="pct"/>
            <w:gridSpan w:val="6"/>
          </w:tcPr>
          <w:p w:rsidR="002D2F32" w:rsidRPr="00D77963" w:rsidRDefault="002D2F32" w:rsidP="008B3CB7">
            <w:pPr>
              <w:pStyle w:val="TableText"/>
              <w:rPr>
                <w:rFonts w:cs="Times New Roman"/>
                <w:b/>
                <w:szCs w:val="20"/>
                <w:lang w:eastAsia="en-US"/>
              </w:rPr>
            </w:pPr>
            <w:r w:rsidRPr="00D77963">
              <w:rPr>
                <w:b/>
                <w:szCs w:val="20"/>
              </w:rPr>
              <w:t>Estimated proportion of ≥50%, ≥75% and 100% responders for migraine headache days</w:t>
            </w:r>
          </w:p>
        </w:tc>
      </w:tr>
      <w:tr w:rsidR="002D2F32" w:rsidRPr="00D77963" w:rsidTr="00D77963">
        <w:tc>
          <w:tcPr>
            <w:tcW w:w="5000" w:type="pct"/>
            <w:gridSpan w:val="6"/>
            <w:vAlign w:val="center"/>
          </w:tcPr>
          <w:p w:rsidR="002D2F32" w:rsidRPr="00D77963" w:rsidRDefault="002D2F32" w:rsidP="008B3CB7">
            <w:pPr>
              <w:pStyle w:val="TableText"/>
              <w:rPr>
                <w:szCs w:val="20"/>
              </w:rPr>
            </w:pPr>
            <w:r w:rsidRPr="00D77963">
              <w:rPr>
                <w:rFonts w:cs="Times New Roman"/>
                <w:b/>
                <w:szCs w:val="20"/>
                <w:lang w:eastAsia="en-US"/>
              </w:rPr>
              <w:t>ITT population</w:t>
            </w:r>
          </w:p>
        </w:tc>
      </w:tr>
      <w:tr w:rsidR="002D2F32" w:rsidRPr="00D77963" w:rsidTr="00D77963">
        <w:tc>
          <w:tcPr>
            <w:tcW w:w="1423" w:type="pct"/>
            <w:vAlign w:val="center"/>
          </w:tcPr>
          <w:p w:rsidR="002D2F32" w:rsidRPr="00D77963" w:rsidRDefault="002D2F32" w:rsidP="008B3CB7">
            <w:pPr>
              <w:pStyle w:val="TableText"/>
              <w:rPr>
                <w:szCs w:val="20"/>
              </w:rPr>
            </w:pPr>
            <w:r w:rsidRPr="00D77963">
              <w:rPr>
                <w:rFonts w:cs="Calibri"/>
                <w:szCs w:val="20"/>
                <w:lang w:eastAsia="en-US"/>
              </w:rPr>
              <w:t>≥</w:t>
            </w:r>
            <w:r w:rsidRPr="00D77963">
              <w:rPr>
                <w:szCs w:val="20"/>
                <w:lang w:eastAsia="en-US"/>
              </w:rPr>
              <w:t>50% responders</w:t>
            </w:r>
          </w:p>
        </w:tc>
        <w:tc>
          <w:tcPr>
            <w:tcW w:w="1230" w:type="pct"/>
            <w:gridSpan w:val="2"/>
            <w:vAlign w:val="center"/>
          </w:tcPr>
          <w:p w:rsidR="002D2F32" w:rsidRPr="00D77963" w:rsidRDefault="002D2F32" w:rsidP="008B3CB7">
            <w:pPr>
              <w:pStyle w:val="TableText"/>
              <w:jc w:val="center"/>
              <w:rPr>
                <w:szCs w:val="20"/>
              </w:rPr>
            </w:pPr>
            <w:r w:rsidRPr="00D77963">
              <w:rPr>
                <w:szCs w:val="20"/>
              </w:rPr>
              <w:t>37.7 (2.5)</w:t>
            </w:r>
          </w:p>
        </w:tc>
        <w:tc>
          <w:tcPr>
            <w:tcW w:w="1230" w:type="pct"/>
            <w:gridSpan w:val="2"/>
            <w:vAlign w:val="center"/>
          </w:tcPr>
          <w:p w:rsidR="002D2F32" w:rsidRPr="00D77963" w:rsidRDefault="002D2F32" w:rsidP="008B3CB7">
            <w:pPr>
              <w:pStyle w:val="TableText"/>
              <w:jc w:val="center"/>
              <w:rPr>
                <w:szCs w:val="20"/>
              </w:rPr>
            </w:pPr>
            <w:r w:rsidRPr="00D77963">
              <w:rPr>
                <w:szCs w:val="20"/>
              </w:rPr>
              <w:t>13.3 (1.8)</w:t>
            </w:r>
          </w:p>
        </w:tc>
        <w:tc>
          <w:tcPr>
            <w:tcW w:w="1117" w:type="pct"/>
            <w:vAlign w:val="center"/>
          </w:tcPr>
          <w:p w:rsidR="002D2F32" w:rsidRPr="00D77963" w:rsidRDefault="002D2F32" w:rsidP="008B3CB7">
            <w:pPr>
              <w:pStyle w:val="TableText"/>
              <w:jc w:val="center"/>
              <w:rPr>
                <w:szCs w:val="20"/>
              </w:rPr>
            </w:pPr>
            <w:r w:rsidRPr="00D77963">
              <w:rPr>
                <w:rFonts w:cs="Times New Roman"/>
                <w:b/>
                <w:szCs w:val="20"/>
                <w:lang w:eastAsia="en-US"/>
              </w:rPr>
              <w:t>3.94 (2.72, 5.69)</w:t>
            </w:r>
          </w:p>
        </w:tc>
      </w:tr>
      <w:tr w:rsidR="002D2F32" w:rsidRPr="00D77963" w:rsidTr="00D77963">
        <w:tc>
          <w:tcPr>
            <w:tcW w:w="1423" w:type="pct"/>
            <w:vAlign w:val="center"/>
          </w:tcPr>
          <w:p w:rsidR="002D2F32" w:rsidRPr="00D77963" w:rsidRDefault="002D2F32" w:rsidP="008B3CB7">
            <w:pPr>
              <w:pStyle w:val="TableText"/>
              <w:rPr>
                <w:szCs w:val="20"/>
              </w:rPr>
            </w:pPr>
            <w:r w:rsidRPr="00D77963">
              <w:rPr>
                <w:szCs w:val="20"/>
                <w:lang w:eastAsia="en-US"/>
              </w:rPr>
              <w:t>≥75% responders</w:t>
            </w:r>
          </w:p>
        </w:tc>
        <w:tc>
          <w:tcPr>
            <w:tcW w:w="1230" w:type="pct"/>
            <w:gridSpan w:val="2"/>
            <w:vAlign w:val="center"/>
          </w:tcPr>
          <w:p w:rsidR="002D2F32" w:rsidRPr="00D77963" w:rsidRDefault="002D2F32" w:rsidP="008B3CB7">
            <w:pPr>
              <w:pStyle w:val="TableText"/>
              <w:jc w:val="center"/>
              <w:rPr>
                <w:szCs w:val="20"/>
              </w:rPr>
            </w:pPr>
            <w:r w:rsidRPr="00D77963">
              <w:rPr>
                <w:szCs w:val="20"/>
              </w:rPr>
              <w:t>14.5 (2.0)</w:t>
            </w:r>
          </w:p>
        </w:tc>
        <w:tc>
          <w:tcPr>
            <w:tcW w:w="1230" w:type="pct"/>
            <w:gridSpan w:val="2"/>
            <w:vAlign w:val="center"/>
          </w:tcPr>
          <w:p w:rsidR="002D2F32" w:rsidRPr="00D77963" w:rsidRDefault="002D2F32" w:rsidP="008B3CB7">
            <w:pPr>
              <w:pStyle w:val="TableText"/>
              <w:jc w:val="center"/>
              <w:rPr>
                <w:szCs w:val="20"/>
              </w:rPr>
            </w:pPr>
            <w:r w:rsidRPr="00D77963">
              <w:rPr>
                <w:szCs w:val="20"/>
              </w:rPr>
              <w:t>3.3 (1.1)</w:t>
            </w:r>
          </w:p>
        </w:tc>
        <w:tc>
          <w:tcPr>
            <w:tcW w:w="1117" w:type="pct"/>
            <w:vAlign w:val="center"/>
          </w:tcPr>
          <w:p w:rsidR="002D2F32" w:rsidRPr="00D77963" w:rsidRDefault="002D2F32" w:rsidP="008B3CB7">
            <w:pPr>
              <w:pStyle w:val="TableText"/>
              <w:jc w:val="center"/>
              <w:rPr>
                <w:szCs w:val="20"/>
              </w:rPr>
            </w:pPr>
            <w:r w:rsidRPr="00D77963">
              <w:rPr>
                <w:rFonts w:cs="Times New Roman"/>
                <w:b/>
                <w:szCs w:val="20"/>
                <w:lang w:eastAsia="en-US"/>
              </w:rPr>
              <w:t>5.01 (2.35, 10.68)</w:t>
            </w:r>
          </w:p>
        </w:tc>
      </w:tr>
      <w:tr w:rsidR="002D2F32" w:rsidRPr="00D77963" w:rsidTr="00D77963">
        <w:tc>
          <w:tcPr>
            <w:tcW w:w="1423" w:type="pct"/>
            <w:vAlign w:val="center"/>
          </w:tcPr>
          <w:p w:rsidR="002D2F32" w:rsidRPr="00D77963" w:rsidRDefault="002D2F32" w:rsidP="008B3CB7">
            <w:pPr>
              <w:pStyle w:val="TableText"/>
              <w:rPr>
                <w:szCs w:val="20"/>
              </w:rPr>
            </w:pPr>
            <w:r w:rsidRPr="00D77963">
              <w:rPr>
                <w:szCs w:val="20"/>
                <w:lang w:eastAsia="en-US"/>
              </w:rPr>
              <w:t>100% responders</w:t>
            </w:r>
          </w:p>
        </w:tc>
        <w:tc>
          <w:tcPr>
            <w:tcW w:w="1230" w:type="pct"/>
            <w:gridSpan w:val="2"/>
            <w:vAlign w:val="center"/>
          </w:tcPr>
          <w:p w:rsidR="002D2F32" w:rsidRPr="00D77963" w:rsidRDefault="002D2F32" w:rsidP="008B3CB7">
            <w:pPr>
              <w:pStyle w:val="TableText"/>
              <w:jc w:val="center"/>
              <w:rPr>
                <w:szCs w:val="20"/>
              </w:rPr>
            </w:pPr>
            <w:r w:rsidRPr="00D77963">
              <w:rPr>
                <w:szCs w:val="20"/>
              </w:rPr>
              <w:t>4.9 (1.4)</w:t>
            </w:r>
          </w:p>
        </w:tc>
        <w:tc>
          <w:tcPr>
            <w:tcW w:w="1230" w:type="pct"/>
            <w:gridSpan w:val="2"/>
            <w:vAlign w:val="center"/>
          </w:tcPr>
          <w:p w:rsidR="002D2F32" w:rsidRPr="00D77963" w:rsidRDefault="002D2F32" w:rsidP="008B3CB7">
            <w:pPr>
              <w:pStyle w:val="TableText"/>
              <w:jc w:val="center"/>
              <w:rPr>
                <w:szCs w:val="20"/>
              </w:rPr>
            </w:pPr>
            <w:r w:rsidRPr="00D77963">
              <w:rPr>
                <w:szCs w:val="20"/>
              </w:rPr>
              <w:t>0</w:t>
            </w:r>
          </w:p>
        </w:tc>
        <w:tc>
          <w:tcPr>
            <w:tcW w:w="1117" w:type="pct"/>
            <w:vAlign w:val="center"/>
          </w:tcPr>
          <w:p w:rsidR="002D2F32" w:rsidRPr="00D77963" w:rsidRDefault="002D2F32" w:rsidP="008B3CB7">
            <w:pPr>
              <w:pStyle w:val="TableText"/>
              <w:jc w:val="center"/>
              <w:rPr>
                <w:szCs w:val="20"/>
              </w:rPr>
            </w:pPr>
            <w:r w:rsidRPr="00D77963">
              <w:rPr>
                <w:rFonts w:cs="Times New Roman"/>
                <w:szCs w:val="20"/>
                <w:lang w:eastAsia="en-US"/>
              </w:rPr>
              <w:t>NE</w:t>
            </w:r>
          </w:p>
        </w:tc>
      </w:tr>
      <w:tr w:rsidR="002D2F32" w:rsidRPr="00D77963" w:rsidTr="00D77963">
        <w:tc>
          <w:tcPr>
            <w:tcW w:w="5000" w:type="pct"/>
            <w:gridSpan w:val="6"/>
            <w:vAlign w:val="center"/>
          </w:tcPr>
          <w:p w:rsidR="002D2F32" w:rsidRPr="00D77963" w:rsidRDefault="002D2F32" w:rsidP="008B3CB7">
            <w:pPr>
              <w:pStyle w:val="TableText"/>
              <w:rPr>
                <w:szCs w:val="20"/>
              </w:rPr>
            </w:pPr>
            <w:r w:rsidRPr="00D77963">
              <w:rPr>
                <w:rFonts w:cs="Times New Roman"/>
                <w:b/>
                <w:szCs w:val="20"/>
                <w:lang w:eastAsia="en-US"/>
              </w:rPr>
              <w:t>Episodic migraine subpopulation</w:t>
            </w:r>
          </w:p>
        </w:tc>
      </w:tr>
      <w:tr w:rsidR="002D2F32" w:rsidRPr="00D77963" w:rsidTr="00D77963">
        <w:tc>
          <w:tcPr>
            <w:tcW w:w="1423" w:type="pct"/>
            <w:vAlign w:val="center"/>
          </w:tcPr>
          <w:p w:rsidR="002D2F32" w:rsidRPr="00D77963" w:rsidRDefault="002D2F32" w:rsidP="008B3CB7">
            <w:pPr>
              <w:pStyle w:val="TableText"/>
              <w:rPr>
                <w:szCs w:val="20"/>
              </w:rPr>
            </w:pPr>
            <w:r w:rsidRPr="00D77963">
              <w:rPr>
                <w:rFonts w:cs="Calibri"/>
                <w:szCs w:val="20"/>
                <w:lang w:eastAsia="en-US"/>
              </w:rPr>
              <w:t>≥</w:t>
            </w:r>
            <w:r w:rsidRPr="00D77963">
              <w:rPr>
                <w:szCs w:val="20"/>
                <w:lang w:eastAsia="en-US"/>
              </w:rPr>
              <w:t>50% responders</w:t>
            </w:r>
          </w:p>
        </w:tc>
        <w:tc>
          <w:tcPr>
            <w:tcW w:w="1230" w:type="pct"/>
            <w:gridSpan w:val="2"/>
            <w:vAlign w:val="center"/>
          </w:tcPr>
          <w:p w:rsidR="002D2F32" w:rsidRPr="00D77963" w:rsidRDefault="002D2F32" w:rsidP="008B3CB7">
            <w:pPr>
              <w:pStyle w:val="TableText"/>
              <w:jc w:val="center"/>
              <w:rPr>
                <w:szCs w:val="20"/>
              </w:rPr>
            </w:pPr>
            <w:r w:rsidRPr="00D77963">
              <w:rPr>
                <w:szCs w:val="20"/>
              </w:rPr>
              <w:t>41.8 (3.2)</w:t>
            </w:r>
          </w:p>
        </w:tc>
        <w:tc>
          <w:tcPr>
            <w:tcW w:w="1230" w:type="pct"/>
            <w:gridSpan w:val="2"/>
            <w:vAlign w:val="center"/>
          </w:tcPr>
          <w:p w:rsidR="002D2F32" w:rsidRPr="00D77963" w:rsidRDefault="002D2F32" w:rsidP="008B3CB7">
            <w:pPr>
              <w:pStyle w:val="TableText"/>
              <w:jc w:val="center"/>
              <w:rPr>
                <w:szCs w:val="20"/>
              </w:rPr>
            </w:pPr>
            <w:r w:rsidRPr="00D77963">
              <w:rPr>
                <w:szCs w:val="20"/>
              </w:rPr>
              <w:t>17.1 (2.5)</w:t>
            </w:r>
          </w:p>
        </w:tc>
        <w:tc>
          <w:tcPr>
            <w:tcW w:w="1117" w:type="pct"/>
            <w:vAlign w:val="center"/>
          </w:tcPr>
          <w:p w:rsidR="002D2F32" w:rsidRPr="00D77963" w:rsidRDefault="002D2F32" w:rsidP="008B3CB7">
            <w:pPr>
              <w:pStyle w:val="TableText"/>
              <w:jc w:val="center"/>
              <w:rPr>
                <w:szCs w:val="20"/>
              </w:rPr>
            </w:pPr>
            <w:r w:rsidRPr="00D77963">
              <w:rPr>
                <w:rFonts w:cs="Times New Roman"/>
                <w:b/>
                <w:szCs w:val="20"/>
                <w:lang w:eastAsia="en-US"/>
              </w:rPr>
              <w:t>3.48 (2.25, 5.38)</w:t>
            </w:r>
          </w:p>
        </w:tc>
      </w:tr>
      <w:tr w:rsidR="002D2F32" w:rsidRPr="00D77963" w:rsidTr="00D77963">
        <w:tc>
          <w:tcPr>
            <w:tcW w:w="1423" w:type="pct"/>
            <w:vAlign w:val="center"/>
          </w:tcPr>
          <w:p w:rsidR="002D2F32" w:rsidRPr="00D77963" w:rsidRDefault="002D2F32" w:rsidP="008B3CB7">
            <w:pPr>
              <w:pStyle w:val="TableText"/>
              <w:rPr>
                <w:szCs w:val="20"/>
              </w:rPr>
            </w:pPr>
            <w:r w:rsidRPr="00D77963">
              <w:rPr>
                <w:szCs w:val="20"/>
                <w:lang w:eastAsia="en-US"/>
              </w:rPr>
              <w:t>≥75% responders</w:t>
            </w:r>
          </w:p>
        </w:tc>
        <w:tc>
          <w:tcPr>
            <w:tcW w:w="1230" w:type="pct"/>
            <w:gridSpan w:val="2"/>
            <w:vAlign w:val="center"/>
          </w:tcPr>
          <w:p w:rsidR="002D2F32" w:rsidRPr="00D77963" w:rsidRDefault="002D2F32" w:rsidP="008B3CB7">
            <w:pPr>
              <w:pStyle w:val="TableText"/>
              <w:jc w:val="center"/>
              <w:rPr>
                <w:szCs w:val="20"/>
              </w:rPr>
            </w:pPr>
            <w:r w:rsidRPr="00D77963">
              <w:rPr>
                <w:szCs w:val="20"/>
              </w:rPr>
              <w:t>18.4 (2.5)</w:t>
            </w:r>
          </w:p>
        </w:tc>
        <w:tc>
          <w:tcPr>
            <w:tcW w:w="1230" w:type="pct"/>
            <w:gridSpan w:val="2"/>
            <w:vAlign w:val="center"/>
          </w:tcPr>
          <w:p w:rsidR="002D2F32" w:rsidRPr="00D77963" w:rsidRDefault="002D2F32" w:rsidP="008B3CB7">
            <w:pPr>
              <w:pStyle w:val="TableText"/>
              <w:jc w:val="center"/>
              <w:rPr>
                <w:szCs w:val="20"/>
              </w:rPr>
            </w:pPr>
            <w:r w:rsidRPr="00D77963">
              <w:rPr>
                <w:szCs w:val="20"/>
              </w:rPr>
              <w:t>3.7 (1.5)</w:t>
            </w:r>
          </w:p>
        </w:tc>
        <w:tc>
          <w:tcPr>
            <w:tcW w:w="1117" w:type="pct"/>
            <w:vAlign w:val="center"/>
          </w:tcPr>
          <w:p w:rsidR="002D2F32" w:rsidRPr="00D77963" w:rsidRDefault="002D2F32" w:rsidP="008B3CB7">
            <w:pPr>
              <w:pStyle w:val="TableText"/>
              <w:jc w:val="center"/>
              <w:rPr>
                <w:szCs w:val="20"/>
              </w:rPr>
            </w:pPr>
            <w:r w:rsidRPr="00D77963">
              <w:rPr>
                <w:rFonts w:cs="Times New Roman"/>
                <w:b/>
                <w:szCs w:val="20"/>
                <w:lang w:eastAsia="en-US"/>
              </w:rPr>
              <w:t>5.88 (2.37, 14.55)</w:t>
            </w:r>
          </w:p>
        </w:tc>
      </w:tr>
      <w:tr w:rsidR="002D2F32" w:rsidRPr="00D77963" w:rsidTr="00D77963">
        <w:tc>
          <w:tcPr>
            <w:tcW w:w="1423" w:type="pct"/>
            <w:vAlign w:val="center"/>
          </w:tcPr>
          <w:p w:rsidR="002D2F32" w:rsidRPr="00D77963" w:rsidRDefault="002D2F32" w:rsidP="008B3CB7">
            <w:pPr>
              <w:pStyle w:val="TableText"/>
              <w:rPr>
                <w:szCs w:val="20"/>
              </w:rPr>
            </w:pPr>
            <w:r w:rsidRPr="00D77963">
              <w:rPr>
                <w:szCs w:val="20"/>
                <w:lang w:eastAsia="en-US"/>
              </w:rPr>
              <w:t>100% responders</w:t>
            </w:r>
          </w:p>
        </w:tc>
        <w:tc>
          <w:tcPr>
            <w:tcW w:w="1230" w:type="pct"/>
            <w:gridSpan w:val="2"/>
            <w:vAlign w:val="center"/>
          </w:tcPr>
          <w:p w:rsidR="002D2F32" w:rsidRPr="00D77963" w:rsidRDefault="002D2F32" w:rsidP="008B3CB7">
            <w:pPr>
              <w:pStyle w:val="TableText"/>
              <w:jc w:val="center"/>
              <w:rPr>
                <w:szCs w:val="20"/>
              </w:rPr>
            </w:pPr>
            <w:r w:rsidRPr="00D77963">
              <w:rPr>
                <w:szCs w:val="20"/>
              </w:rPr>
              <w:t>7.7 (1.9)</w:t>
            </w:r>
          </w:p>
        </w:tc>
        <w:tc>
          <w:tcPr>
            <w:tcW w:w="1230" w:type="pct"/>
            <w:gridSpan w:val="2"/>
            <w:vAlign w:val="center"/>
          </w:tcPr>
          <w:p w:rsidR="002D2F32" w:rsidRPr="00D77963" w:rsidRDefault="002D2F32" w:rsidP="008B3CB7">
            <w:pPr>
              <w:pStyle w:val="TableText"/>
              <w:jc w:val="center"/>
              <w:rPr>
                <w:szCs w:val="20"/>
              </w:rPr>
            </w:pPr>
            <w:r w:rsidRPr="00D77963">
              <w:rPr>
                <w:szCs w:val="20"/>
              </w:rPr>
              <w:t>0</w:t>
            </w:r>
          </w:p>
        </w:tc>
        <w:tc>
          <w:tcPr>
            <w:tcW w:w="1117" w:type="pct"/>
            <w:vAlign w:val="center"/>
          </w:tcPr>
          <w:p w:rsidR="002D2F32" w:rsidRPr="00D77963" w:rsidRDefault="002D2F32" w:rsidP="008B3CB7">
            <w:pPr>
              <w:pStyle w:val="TableText"/>
              <w:jc w:val="center"/>
              <w:rPr>
                <w:szCs w:val="20"/>
              </w:rPr>
            </w:pPr>
            <w:r w:rsidRPr="00D77963">
              <w:rPr>
                <w:rFonts w:cs="Times New Roman"/>
                <w:szCs w:val="20"/>
                <w:lang w:eastAsia="en-US"/>
              </w:rPr>
              <w:t>NE</w:t>
            </w:r>
          </w:p>
        </w:tc>
      </w:tr>
      <w:tr w:rsidR="002D2F32" w:rsidRPr="00D77963" w:rsidTr="00D77963">
        <w:tc>
          <w:tcPr>
            <w:tcW w:w="1423" w:type="pct"/>
            <w:vAlign w:val="center"/>
          </w:tcPr>
          <w:p w:rsidR="002D2F32" w:rsidRPr="00D77963" w:rsidRDefault="002D2F32" w:rsidP="008B3CB7">
            <w:pPr>
              <w:pStyle w:val="TableText"/>
              <w:rPr>
                <w:szCs w:val="20"/>
              </w:rPr>
            </w:pPr>
            <w:r w:rsidRPr="00D77963">
              <w:rPr>
                <w:szCs w:val="20"/>
                <w:lang w:eastAsia="en-US"/>
              </w:rPr>
              <w:t>≥30% responders</w:t>
            </w:r>
          </w:p>
        </w:tc>
        <w:tc>
          <w:tcPr>
            <w:tcW w:w="1230" w:type="pct"/>
            <w:gridSpan w:val="2"/>
            <w:vAlign w:val="center"/>
          </w:tcPr>
          <w:p w:rsidR="002D2F32" w:rsidRPr="00D77963" w:rsidRDefault="002D2F32" w:rsidP="008B3CB7">
            <w:pPr>
              <w:pStyle w:val="TableText"/>
              <w:jc w:val="center"/>
              <w:rPr>
                <w:szCs w:val="20"/>
              </w:rPr>
            </w:pPr>
            <w:r w:rsidRPr="00D77963">
              <w:rPr>
                <w:szCs w:val="20"/>
              </w:rPr>
              <w:t>60.7 (NR)</w:t>
            </w:r>
          </w:p>
        </w:tc>
        <w:tc>
          <w:tcPr>
            <w:tcW w:w="1230" w:type="pct"/>
            <w:gridSpan w:val="2"/>
            <w:vAlign w:val="center"/>
          </w:tcPr>
          <w:p w:rsidR="002D2F32" w:rsidRPr="00D77963" w:rsidRDefault="002D2F32" w:rsidP="008B3CB7">
            <w:pPr>
              <w:pStyle w:val="TableText"/>
              <w:jc w:val="center"/>
              <w:rPr>
                <w:szCs w:val="20"/>
              </w:rPr>
            </w:pPr>
            <w:r w:rsidRPr="00D77963">
              <w:rPr>
                <w:szCs w:val="20"/>
              </w:rPr>
              <w:t>32.5 (NR)</w:t>
            </w:r>
          </w:p>
        </w:tc>
        <w:tc>
          <w:tcPr>
            <w:tcW w:w="1117" w:type="pct"/>
            <w:vAlign w:val="center"/>
          </w:tcPr>
          <w:p w:rsidR="002D2F32" w:rsidRPr="00D77963" w:rsidRDefault="002D2F32" w:rsidP="008B3CB7">
            <w:pPr>
              <w:pStyle w:val="TableText"/>
              <w:jc w:val="center"/>
              <w:rPr>
                <w:szCs w:val="20"/>
              </w:rPr>
            </w:pPr>
            <w:r w:rsidRPr="00D77963">
              <w:rPr>
                <w:rFonts w:cs="Times New Roman"/>
                <w:szCs w:val="20"/>
                <w:lang w:eastAsia="en-US"/>
              </w:rPr>
              <w:t>NR</w:t>
            </w:r>
          </w:p>
        </w:tc>
      </w:tr>
    </w:tbl>
    <w:p w:rsidR="00FB57A9" w:rsidRPr="00D77963" w:rsidRDefault="00FB57A9" w:rsidP="00D77963">
      <w:pPr>
        <w:pStyle w:val="TableFigureFooter"/>
      </w:pPr>
      <w:r w:rsidRPr="00D77963">
        <w:t>Source:  Table 2.5.1, p.73 of the submission</w:t>
      </w:r>
      <w:r w:rsidR="002E2279" w:rsidRPr="00D77963">
        <w:t xml:space="preserve"> Table CGAW.14.37, p.364; Table CGAW.14.43, p.375 Attachment 3.1_CONQUER CSR; Table CGAW.14.7, p.141; Table CGAW.14.8, p.143 Attachment 3.2 CONQUER CSR OLE</w:t>
      </w:r>
      <w:r w:rsidRPr="00D77963">
        <w:t xml:space="preserve">; Attachment 4.1 </w:t>
      </w:r>
      <w:proofErr w:type="spellStart"/>
      <w:r w:rsidRPr="00D77963">
        <w:t>Galcanezumab</w:t>
      </w:r>
      <w:proofErr w:type="spellEnd"/>
      <w:r w:rsidRPr="00D77963">
        <w:t xml:space="preserve"> Section 3 model (response tab)</w:t>
      </w:r>
    </w:p>
    <w:p w:rsidR="00E5006F" w:rsidRPr="00D77963" w:rsidRDefault="00FB57A9" w:rsidP="00D77963">
      <w:pPr>
        <w:pStyle w:val="TableFigureFooter"/>
      </w:pPr>
      <w:r w:rsidRPr="00D77963">
        <w:t>Abbrev</w:t>
      </w:r>
      <w:r w:rsidR="002E2279" w:rsidRPr="00D77963">
        <w:t>i</w:t>
      </w:r>
      <w:r w:rsidRPr="00D77963">
        <w:t xml:space="preserve">ations: </w:t>
      </w:r>
      <w:r w:rsidR="002E2279" w:rsidRPr="00D77963">
        <w:t xml:space="preserve">CI, confidence interval; ITT, intention to treat; LS, least squares; NE, not estimable; NR, not reported; </w:t>
      </w:r>
      <w:r w:rsidR="00597B0E" w:rsidRPr="00D77963">
        <w:t xml:space="preserve">OR, odds ratio; </w:t>
      </w:r>
      <w:r w:rsidR="002E2279" w:rsidRPr="00D77963">
        <w:t xml:space="preserve">SE, standard error </w:t>
      </w:r>
    </w:p>
    <w:p w:rsidR="00E5006F" w:rsidRPr="00D77963" w:rsidRDefault="00E5006F" w:rsidP="00E5006F">
      <w:pPr>
        <w:pStyle w:val="ListParagraph"/>
        <w:numPr>
          <w:ilvl w:val="1"/>
          <w:numId w:val="1"/>
        </w:numPr>
        <w:spacing w:after="160"/>
        <w:contextualSpacing w:val="0"/>
      </w:pPr>
      <w:r w:rsidRPr="00D77963">
        <w:t xml:space="preserve">The analyses showed statistically significant advantages for treatment with </w:t>
      </w:r>
      <w:proofErr w:type="spellStart"/>
      <w:r w:rsidR="002E2279" w:rsidRPr="00D77963">
        <w:t>galcanezumab</w:t>
      </w:r>
      <w:proofErr w:type="spellEnd"/>
      <w:r w:rsidR="002E2279" w:rsidRPr="00D77963">
        <w:t xml:space="preserve"> </w:t>
      </w:r>
      <w:r w:rsidRPr="00D77963">
        <w:t>compared to placebo across all outcomes presented.</w:t>
      </w:r>
    </w:p>
    <w:p w:rsidR="00763BC9" w:rsidRPr="00D77963" w:rsidRDefault="00AC4C96" w:rsidP="00763BC9">
      <w:pPr>
        <w:pStyle w:val="ListParagraph"/>
        <w:numPr>
          <w:ilvl w:val="1"/>
          <w:numId w:val="1"/>
        </w:numPr>
        <w:spacing w:after="160"/>
        <w:contextualSpacing w:val="0"/>
      </w:pPr>
      <w:r w:rsidRPr="00D77963">
        <w:t>In the episodic migraine treatment group, the upper confidence interval for the change in monthly migraine days (-1.72 days) was less than the proposed minimum clinically important difference (MCID) of at least 2 days.</w:t>
      </w:r>
      <w:r w:rsidR="00113223" w:rsidRPr="00D77963">
        <w:t xml:space="preserve"> The </w:t>
      </w:r>
      <w:r w:rsidR="00167D07">
        <w:t>Pre-Sub-Committee Response (</w:t>
      </w:r>
      <w:r w:rsidR="00113223" w:rsidRPr="00D77963">
        <w:t>PSCR</w:t>
      </w:r>
      <w:r w:rsidR="00167D07">
        <w:t>)</w:t>
      </w:r>
      <w:r w:rsidR="00E83C93" w:rsidRPr="00D77963">
        <w:t xml:space="preserve"> </w:t>
      </w:r>
      <w:r w:rsidR="00350BAF" w:rsidRPr="00D77963">
        <w:t xml:space="preserve">noted </w:t>
      </w:r>
      <w:r w:rsidR="00E83C93" w:rsidRPr="00D77963">
        <w:t xml:space="preserve">that the point estimates for the change in MHD were broadly similar across the ITT population and the EM subgroups with a clinically important reduction of 2 to 3 MHD. The PSCR stated </w:t>
      </w:r>
      <w:r w:rsidR="00350BAF" w:rsidRPr="00D77963">
        <w:t xml:space="preserve">that an upper confidence interval of 1.72 days is close to the MCID and the </w:t>
      </w:r>
      <w:r w:rsidR="00E83C93" w:rsidRPr="00D77963">
        <w:t>confidence inte</w:t>
      </w:r>
      <w:r w:rsidR="00350BAF" w:rsidRPr="00D77963">
        <w:t>rvals are wider for this analysis due to the smaller sample size</w:t>
      </w:r>
      <w:r w:rsidR="00E83C93" w:rsidRPr="00D77963">
        <w:t xml:space="preserve">.   </w:t>
      </w:r>
    </w:p>
    <w:p w:rsidR="00825971" w:rsidRPr="00D77963" w:rsidRDefault="00825971" w:rsidP="007D688A">
      <w:pPr>
        <w:pStyle w:val="ListParagraph"/>
        <w:numPr>
          <w:ilvl w:val="1"/>
          <w:numId w:val="1"/>
        </w:numPr>
        <w:spacing w:after="160"/>
        <w:contextualSpacing w:val="0"/>
      </w:pPr>
      <w:r w:rsidRPr="00D77963">
        <w:t>The submission also presented results for the open-label extension (12 weeks) of the CONQUER trial. This showed that</w:t>
      </w:r>
      <w:r w:rsidR="007D688A" w:rsidRPr="00D77963">
        <w:t xml:space="preserve"> for both the ITT and the episodic migraine population, the prior </w:t>
      </w:r>
      <w:proofErr w:type="spellStart"/>
      <w:r w:rsidR="007D688A" w:rsidRPr="00D77963">
        <w:t>galcanezumab</w:t>
      </w:r>
      <w:proofErr w:type="spellEnd"/>
      <w:r w:rsidR="007D688A" w:rsidRPr="00D77963">
        <w:t xml:space="preserve"> (in the double-blind phase) treatment group maintained the improvement from the double-blind treatment phase in terms of mean reduction in migraine days, and the prior placebo treatment group achiev</w:t>
      </w:r>
      <w:r w:rsidR="00597B0E" w:rsidRPr="00D77963">
        <w:t>ed</w:t>
      </w:r>
      <w:r w:rsidR="007D688A" w:rsidRPr="00D77963">
        <w:t xml:space="preserve"> a reduction of approximately 4 </w:t>
      </w:r>
      <w:r w:rsidR="006F785D" w:rsidRPr="00D77963">
        <w:t>MHD</w:t>
      </w:r>
      <w:r w:rsidR="007D688A" w:rsidRPr="00D77963">
        <w:t xml:space="preserve"> in the first month after initiation of </w:t>
      </w:r>
      <w:proofErr w:type="spellStart"/>
      <w:r w:rsidR="007D688A" w:rsidRPr="00D77963">
        <w:t>galcanezumab</w:t>
      </w:r>
      <w:proofErr w:type="spellEnd"/>
      <w:r w:rsidR="007D688A" w:rsidRPr="00D77963">
        <w:t>.</w:t>
      </w:r>
    </w:p>
    <w:p w:rsidR="00AC4C96" w:rsidRPr="00D77963" w:rsidRDefault="00AF3196" w:rsidP="00AC4C96">
      <w:pPr>
        <w:pStyle w:val="ListParagraph"/>
        <w:numPr>
          <w:ilvl w:val="1"/>
          <w:numId w:val="1"/>
        </w:numPr>
        <w:spacing w:after="160"/>
        <w:contextualSpacing w:val="0"/>
      </w:pPr>
      <w:r w:rsidRPr="00D77963">
        <w:t>In the</w:t>
      </w:r>
      <w:r w:rsidR="00AC4C96" w:rsidRPr="00D77963">
        <w:t xml:space="preserve"> EVOLVE </w:t>
      </w:r>
      <w:r w:rsidRPr="00D77963">
        <w:t>trial</w:t>
      </w:r>
      <w:r w:rsidR="007E2671" w:rsidRPr="00D77963">
        <w:t>s</w:t>
      </w:r>
      <w:r w:rsidRPr="00D77963">
        <w:t xml:space="preserve"> </w:t>
      </w:r>
      <w:r w:rsidR="00AC4C96" w:rsidRPr="00D77963">
        <w:t xml:space="preserve">treatment with </w:t>
      </w:r>
      <w:proofErr w:type="spellStart"/>
      <w:r w:rsidR="00AC4C96" w:rsidRPr="00D77963">
        <w:t>galcanezumab</w:t>
      </w:r>
      <w:proofErr w:type="spellEnd"/>
      <w:r w:rsidR="00AC4C96" w:rsidRPr="00D77963">
        <w:t xml:space="preserve"> 120 mg and 240 mg was associated with a greater overall mean reduction in monthly MHDs (</w:t>
      </w:r>
      <w:r w:rsidR="007E2671" w:rsidRPr="00D77963">
        <w:t xml:space="preserve">4.2 to </w:t>
      </w:r>
      <w:r w:rsidR="00AC4C96" w:rsidRPr="00D77963">
        <w:t>4.7 days) compared with placebo (</w:t>
      </w:r>
      <w:r w:rsidR="007E2671" w:rsidRPr="00D77963">
        <w:t xml:space="preserve">2.3 to </w:t>
      </w:r>
      <w:r w:rsidR="00AC4C96" w:rsidRPr="00D77963">
        <w:t xml:space="preserve">2.8 days) during the 6-month double-blind treatment phase.  </w:t>
      </w:r>
      <w:proofErr w:type="spellStart"/>
      <w:r w:rsidR="00AC4C96" w:rsidRPr="00D77963">
        <w:t>Galcanezumab</w:t>
      </w:r>
      <w:proofErr w:type="spellEnd"/>
      <w:r w:rsidR="00AC4C96" w:rsidRPr="00D77963">
        <w:t xml:space="preserve"> 120 mg and 240 mg were both statistically significantly superior to placebo in the mean percentage of patients with ≥50%, ≥75%, and 100% reduction from baseline in monthly MHDs during the 6-month treatment phase.</w:t>
      </w:r>
    </w:p>
    <w:p w:rsidR="00AC4C96" w:rsidRPr="00D77963" w:rsidRDefault="00AC4C96" w:rsidP="00AC4C96">
      <w:pPr>
        <w:pStyle w:val="ListParagraph"/>
        <w:numPr>
          <w:ilvl w:val="1"/>
          <w:numId w:val="1"/>
        </w:numPr>
        <w:spacing w:after="160"/>
        <w:contextualSpacing w:val="0"/>
      </w:pPr>
      <w:r w:rsidRPr="00D77963">
        <w:lastRenderedPageBreak/>
        <w:t xml:space="preserve">In the 12 month open-label study CGAJ, for the treatment group who received </w:t>
      </w:r>
      <w:proofErr w:type="spellStart"/>
      <w:r w:rsidRPr="00D77963">
        <w:t>galcanezumab</w:t>
      </w:r>
      <w:proofErr w:type="spellEnd"/>
      <w:r w:rsidRPr="00D77963">
        <w:t xml:space="preserve"> 120 mg, the overall mean reduction from baseline in the number of monthly </w:t>
      </w:r>
      <w:r w:rsidR="00477465" w:rsidRPr="00D77963">
        <w:t>MHD</w:t>
      </w:r>
      <w:r w:rsidRPr="00D77963">
        <w:t xml:space="preserve"> averaged over the 12-month treatment phase was 5.6 days. The mean percentage of patients with a ≥50% reduction in the number of monthly </w:t>
      </w:r>
      <w:r w:rsidR="00477465" w:rsidRPr="00D77963">
        <w:t>MHD</w:t>
      </w:r>
      <w:r w:rsidRPr="00D77963">
        <w:t xml:space="preserve"> was 65.6%. 48.5% of patients maintained 50% response for at least 6 months while 24.2% maintained their 50% response for at least 12 months. Of the 135 patients who received </w:t>
      </w:r>
      <w:proofErr w:type="spellStart"/>
      <w:r w:rsidRPr="00D77963">
        <w:t>galcanezumab</w:t>
      </w:r>
      <w:proofErr w:type="spellEnd"/>
      <w:r w:rsidRPr="00D77963">
        <w:t xml:space="preserve"> 120</w:t>
      </w:r>
      <w:r w:rsidR="005029E1" w:rsidRPr="00D77963">
        <w:t xml:space="preserve"> </w:t>
      </w:r>
      <w:r w:rsidRPr="00D77963">
        <w:t>mg, 7 patients discontinued the open-label phase due to an adverse event. Given that results for the episodic migraine subpopulation were not available for this study, and patients who had previously failed to have an efficacy response to ≥3 classes of migraine preventive treatments were excluded, results from study CGAJ are unlikely to be representative of the proposed Australian PBS population.</w:t>
      </w:r>
    </w:p>
    <w:p w:rsidR="002E2279" w:rsidRPr="00D77963" w:rsidRDefault="002E2279" w:rsidP="002E2279">
      <w:pPr>
        <w:pStyle w:val="ListParagraph"/>
        <w:numPr>
          <w:ilvl w:val="1"/>
          <w:numId w:val="1"/>
        </w:numPr>
        <w:spacing w:after="160"/>
        <w:contextualSpacing w:val="0"/>
      </w:pPr>
      <w:r w:rsidRPr="00D77963">
        <w:t>The economic model presented in Section 3 of the submission included a sensitivity analysis at a response rate of ≥30%. The data source for the ≥30% responder analysis was not provided with the submission, and could not be verified during the evaluation.</w:t>
      </w:r>
    </w:p>
    <w:p w:rsidR="00DE0D53" w:rsidRPr="00D77963" w:rsidRDefault="0013604E" w:rsidP="00DE0D53">
      <w:pPr>
        <w:pStyle w:val="ListParagraph"/>
        <w:keepLines/>
        <w:numPr>
          <w:ilvl w:val="1"/>
          <w:numId w:val="1"/>
        </w:numPr>
        <w:spacing w:after="160"/>
        <w:contextualSpacing w:val="0"/>
      </w:pPr>
      <w:r w:rsidRPr="00D77963">
        <w:t xml:space="preserve">Health outcomes measured using the Migraine-Specific Quality of Life Questionnaire (MSQ), the Migraine Disability Assessment score (MIDAS), and the EQ-5D-5L </w:t>
      </w:r>
      <w:r w:rsidR="00C44F44" w:rsidRPr="00D77963">
        <w:t xml:space="preserve">in the ITT population and the episodic migraine subpopulation </w:t>
      </w:r>
      <w:r w:rsidRPr="00D77963">
        <w:t xml:space="preserve">are summarised in </w:t>
      </w:r>
      <w:r w:rsidR="00D5606A" w:rsidRPr="00D77963">
        <w:t xml:space="preserve">Table </w:t>
      </w:r>
      <w:r w:rsidR="00D5606A" w:rsidRPr="00D77963">
        <w:rPr>
          <w:noProof/>
        </w:rPr>
        <w:t>5</w:t>
      </w:r>
      <w:r w:rsidRPr="00D77963">
        <w:t>.</w:t>
      </w:r>
    </w:p>
    <w:p w:rsidR="00DE0D53" w:rsidRPr="00D77963" w:rsidRDefault="00DE0D53">
      <w:pPr>
        <w:jc w:val="left"/>
      </w:pPr>
      <w:r w:rsidRPr="00D77963">
        <w:br w:type="page"/>
      </w:r>
    </w:p>
    <w:p w:rsidR="0013604E" w:rsidRPr="00D77963" w:rsidRDefault="006F5006" w:rsidP="00D77963">
      <w:pPr>
        <w:pStyle w:val="TableFigureCaption"/>
        <w:keepLines/>
      </w:pPr>
      <w:bookmarkStart w:id="16" w:name="_Ref53751640"/>
      <w:r w:rsidRPr="00D77963">
        <w:lastRenderedPageBreak/>
        <w:t xml:space="preserve">Table </w:t>
      </w:r>
      <w:r w:rsidR="00D5606A" w:rsidRPr="00D77963">
        <w:rPr>
          <w:noProof/>
        </w:rPr>
        <w:t>5</w:t>
      </w:r>
      <w:bookmarkEnd w:id="16"/>
      <w:r w:rsidRPr="00D77963">
        <w:t xml:space="preserve">: </w:t>
      </w:r>
      <w:r w:rsidR="0013604E" w:rsidRPr="00D77963">
        <w:rPr>
          <w:snapToGrid w:val="0"/>
        </w:rPr>
        <w:t>Migraine-specific quality of life questionnaire (MSQ) and the migraine disability assessment score (MIDAS) at month 3 in CONQUER, ITT and EM population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491"/>
        <w:gridCol w:w="1374"/>
        <w:gridCol w:w="491"/>
        <w:gridCol w:w="1324"/>
        <w:gridCol w:w="1791"/>
      </w:tblGrid>
      <w:tr w:rsidR="0013604E" w:rsidRPr="00D77963" w:rsidTr="00D77963">
        <w:trPr>
          <w:cantSplit/>
        </w:trPr>
        <w:tc>
          <w:tcPr>
            <w:tcW w:w="1967" w:type="pct"/>
            <w:vAlign w:val="center"/>
          </w:tcPr>
          <w:p w:rsidR="0013604E" w:rsidRPr="00D77963" w:rsidRDefault="0013604E" w:rsidP="00D77963">
            <w:pPr>
              <w:keepNext/>
              <w:keepLines/>
              <w:rPr>
                <w:rFonts w:ascii="Arial Narrow" w:eastAsiaTheme="minorHAnsi" w:hAnsi="Arial Narrow"/>
                <w:b/>
                <w:sz w:val="20"/>
                <w:szCs w:val="20"/>
                <w:lang w:eastAsia="en-US"/>
              </w:rPr>
            </w:pPr>
          </w:p>
        </w:tc>
        <w:tc>
          <w:tcPr>
            <w:tcW w:w="272" w:type="pct"/>
            <w:vAlign w:val="center"/>
          </w:tcPr>
          <w:p w:rsidR="0013604E" w:rsidRPr="00D77963" w:rsidRDefault="0013604E" w:rsidP="00D77963">
            <w:pPr>
              <w:keepNext/>
              <w:keepLines/>
              <w:jc w:val="center"/>
              <w:rPr>
                <w:rFonts w:ascii="Arial Narrow" w:eastAsiaTheme="minorHAnsi" w:hAnsi="Arial Narrow"/>
                <w:b/>
                <w:sz w:val="20"/>
                <w:szCs w:val="20"/>
                <w:lang w:eastAsia="en-US"/>
              </w:rPr>
            </w:pPr>
            <w:r w:rsidRPr="00D77963">
              <w:rPr>
                <w:rFonts w:ascii="Arial Narrow" w:eastAsiaTheme="minorHAnsi" w:hAnsi="Arial Narrow"/>
                <w:b/>
                <w:sz w:val="20"/>
                <w:szCs w:val="20"/>
                <w:lang w:eastAsia="en-US"/>
              </w:rPr>
              <w:t>N</w:t>
            </w:r>
          </w:p>
        </w:tc>
        <w:tc>
          <w:tcPr>
            <w:tcW w:w="762" w:type="pct"/>
            <w:vAlign w:val="center"/>
          </w:tcPr>
          <w:p w:rsidR="0013604E" w:rsidRPr="00D77963" w:rsidRDefault="0013604E" w:rsidP="00D77963">
            <w:pPr>
              <w:keepNext/>
              <w:keepLines/>
              <w:jc w:val="center"/>
              <w:rPr>
                <w:rFonts w:ascii="Arial Narrow" w:eastAsiaTheme="minorHAnsi" w:hAnsi="Arial Narrow"/>
                <w:b/>
                <w:sz w:val="20"/>
                <w:szCs w:val="20"/>
                <w:lang w:eastAsia="en-US"/>
              </w:rPr>
            </w:pPr>
            <w:proofErr w:type="spellStart"/>
            <w:r w:rsidRPr="00D77963">
              <w:rPr>
                <w:rFonts w:ascii="Arial Narrow" w:eastAsiaTheme="minorHAnsi" w:hAnsi="Arial Narrow"/>
                <w:b/>
                <w:sz w:val="20"/>
                <w:szCs w:val="20"/>
                <w:lang w:eastAsia="en-US"/>
              </w:rPr>
              <w:t>Galcanezumab</w:t>
            </w:r>
            <w:proofErr w:type="spellEnd"/>
          </w:p>
          <w:p w:rsidR="0013604E" w:rsidRPr="00D77963" w:rsidRDefault="0013604E" w:rsidP="00D77963">
            <w:pPr>
              <w:keepNext/>
              <w:keepLines/>
              <w:jc w:val="center"/>
              <w:rPr>
                <w:rFonts w:ascii="Arial Narrow" w:eastAsiaTheme="minorHAnsi" w:hAnsi="Arial Narrow"/>
                <w:b/>
                <w:sz w:val="20"/>
                <w:szCs w:val="20"/>
                <w:lang w:eastAsia="en-US"/>
              </w:rPr>
            </w:pPr>
            <w:r w:rsidRPr="00D77963">
              <w:rPr>
                <w:rFonts w:ascii="Arial Narrow" w:eastAsiaTheme="minorHAnsi" w:hAnsi="Arial Narrow"/>
                <w:b/>
                <w:sz w:val="20"/>
                <w:szCs w:val="20"/>
                <w:lang w:eastAsia="en-US"/>
              </w:rPr>
              <w:t>LS Mean (SE)</w:t>
            </w:r>
          </w:p>
        </w:tc>
        <w:tc>
          <w:tcPr>
            <w:tcW w:w="272" w:type="pct"/>
            <w:vAlign w:val="center"/>
          </w:tcPr>
          <w:p w:rsidR="0013604E" w:rsidRPr="00D77963" w:rsidRDefault="0013604E" w:rsidP="00D77963">
            <w:pPr>
              <w:keepNext/>
              <w:keepLines/>
              <w:jc w:val="center"/>
              <w:rPr>
                <w:rFonts w:ascii="Arial Narrow" w:eastAsiaTheme="minorHAnsi" w:hAnsi="Arial Narrow"/>
                <w:b/>
                <w:sz w:val="20"/>
                <w:szCs w:val="20"/>
                <w:lang w:eastAsia="en-US"/>
              </w:rPr>
            </w:pPr>
            <w:r w:rsidRPr="00D77963">
              <w:rPr>
                <w:rFonts w:ascii="Arial Narrow" w:eastAsiaTheme="minorHAnsi" w:hAnsi="Arial Narrow"/>
                <w:b/>
                <w:sz w:val="20"/>
                <w:szCs w:val="20"/>
                <w:lang w:eastAsia="en-US"/>
              </w:rPr>
              <w:t>N</w:t>
            </w:r>
          </w:p>
        </w:tc>
        <w:tc>
          <w:tcPr>
            <w:tcW w:w="734" w:type="pct"/>
            <w:vAlign w:val="center"/>
          </w:tcPr>
          <w:p w:rsidR="0013604E" w:rsidRPr="00D77963" w:rsidRDefault="0013604E" w:rsidP="00D77963">
            <w:pPr>
              <w:keepNext/>
              <w:keepLines/>
              <w:jc w:val="center"/>
              <w:rPr>
                <w:rFonts w:ascii="Arial Narrow" w:eastAsiaTheme="minorHAnsi" w:hAnsi="Arial Narrow"/>
                <w:b/>
                <w:sz w:val="20"/>
                <w:szCs w:val="20"/>
                <w:lang w:eastAsia="en-US"/>
              </w:rPr>
            </w:pPr>
            <w:r w:rsidRPr="00D77963">
              <w:rPr>
                <w:rFonts w:ascii="Arial Narrow" w:eastAsiaTheme="minorHAnsi" w:hAnsi="Arial Narrow"/>
                <w:b/>
                <w:sz w:val="20"/>
                <w:szCs w:val="20"/>
                <w:lang w:eastAsia="en-US"/>
              </w:rPr>
              <w:t xml:space="preserve">Placebo </w:t>
            </w:r>
          </w:p>
          <w:p w:rsidR="0013604E" w:rsidRPr="00D77963" w:rsidRDefault="0013604E" w:rsidP="00D77963">
            <w:pPr>
              <w:keepNext/>
              <w:keepLines/>
              <w:jc w:val="center"/>
              <w:rPr>
                <w:rFonts w:ascii="Arial Narrow" w:eastAsiaTheme="minorHAnsi" w:hAnsi="Arial Narrow"/>
                <w:b/>
                <w:sz w:val="20"/>
                <w:szCs w:val="20"/>
                <w:lang w:eastAsia="en-US"/>
              </w:rPr>
            </w:pPr>
            <w:r w:rsidRPr="00D77963">
              <w:rPr>
                <w:rFonts w:ascii="Arial Narrow" w:eastAsiaTheme="minorHAnsi" w:hAnsi="Arial Narrow"/>
                <w:b/>
                <w:sz w:val="20"/>
                <w:szCs w:val="20"/>
                <w:lang w:eastAsia="en-US"/>
              </w:rPr>
              <w:t>LS Mean (SE)</w:t>
            </w:r>
          </w:p>
        </w:tc>
        <w:tc>
          <w:tcPr>
            <w:tcW w:w="994" w:type="pct"/>
            <w:vAlign w:val="center"/>
          </w:tcPr>
          <w:p w:rsidR="0013604E" w:rsidRPr="00D77963" w:rsidRDefault="0013604E" w:rsidP="00D77963">
            <w:pPr>
              <w:keepNext/>
              <w:keepLines/>
              <w:jc w:val="center"/>
              <w:rPr>
                <w:rFonts w:ascii="Arial Narrow" w:eastAsiaTheme="minorHAnsi" w:hAnsi="Arial Narrow"/>
                <w:b/>
                <w:sz w:val="20"/>
                <w:szCs w:val="20"/>
                <w:lang w:eastAsia="en-US"/>
              </w:rPr>
            </w:pPr>
            <w:r w:rsidRPr="00D77963">
              <w:rPr>
                <w:rFonts w:ascii="Arial Narrow" w:eastAsiaTheme="minorHAnsi" w:hAnsi="Arial Narrow"/>
                <w:b/>
                <w:sz w:val="20"/>
                <w:szCs w:val="20"/>
                <w:lang w:eastAsia="en-US"/>
              </w:rPr>
              <w:t>Difference vs placebo (95%CI)</w:t>
            </w:r>
          </w:p>
        </w:tc>
      </w:tr>
      <w:tr w:rsidR="0013604E" w:rsidRPr="00D77963" w:rsidTr="00D77963">
        <w:trPr>
          <w:cantSplit/>
        </w:trPr>
        <w:tc>
          <w:tcPr>
            <w:tcW w:w="5000" w:type="pct"/>
            <w:gridSpan w:val="6"/>
          </w:tcPr>
          <w:p w:rsidR="0013604E" w:rsidRPr="00D77963" w:rsidRDefault="0013604E" w:rsidP="00D77963">
            <w:pPr>
              <w:keepNext/>
              <w:keepLines/>
              <w:jc w:val="left"/>
              <w:rPr>
                <w:rFonts w:ascii="Arial Narrow" w:hAnsi="Arial Narrow" w:cs="Times New Roman"/>
                <w:b/>
                <w:sz w:val="20"/>
                <w:szCs w:val="20"/>
                <w:lang w:eastAsia="en-US"/>
              </w:rPr>
            </w:pPr>
            <w:r w:rsidRPr="00D77963">
              <w:rPr>
                <w:rFonts w:ascii="Arial Narrow" w:hAnsi="Arial Narrow" w:cs="Times New Roman"/>
                <w:b/>
                <w:sz w:val="20"/>
                <w:szCs w:val="20"/>
                <w:lang w:eastAsia="en-US"/>
              </w:rPr>
              <w:t>ITT</w:t>
            </w:r>
            <w:r w:rsidR="00C44F44" w:rsidRPr="00D77963">
              <w:rPr>
                <w:rFonts w:ascii="Arial Narrow" w:hAnsi="Arial Narrow" w:cs="Times New Roman"/>
                <w:b/>
                <w:sz w:val="20"/>
                <w:szCs w:val="20"/>
                <w:lang w:eastAsia="en-US"/>
              </w:rPr>
              <w:t xml:space="preserve"> population</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 xml:space="preserve">Change from baseline in MSQ Total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PBACTableText"/>
              <w:keepNext/>
              <w:keepLines/>
              <w:spacing w:before="0" w:after="0"/>
              <w:jc w:val="center"/>
            </w:pPr>
            <w:r w:rsidRPr="00D77963">
              <w:t>223</w:t>
            </w:r>
          </w:p>
        </w:tc>
        <w:tc>
          <w:tcPr>
            <w:tcW w:w="762" w:type="pct"/>
            <w:vAlign w:val="center"/>
          </w:tcPr>
          <w:p w:rsidR="0013604E" w:rsidRPr="00D77963" w:rsidRDefault="0013604E" w:rsidP="00D77963">
            <w:pPr>
              <w:pStyle w:val="PBACTableText"/>
              <w:keepNext/>
              <w:keepLines/>
              <w:spacing w:before="0" w:after="0"/>
              <w:jc w:val="center"/>
            </w:pPr>
            <w:r w:rsidRPr="00D77963">
              <w:t>21.67 (1.26)</w:t>
            </w:r>
          </w:p>
        </w:tc>
        <w:tc>
          <w:tcPr>
            <w:tcW w:w="272" w:type="pct"/>
            <w:vAlign w:val="center"/>
          </w:tcPr>
          <w:p w:rsidR="0013604E" w:rsidRPr="00D77963" w:rsidRDefault="0013604E" w:rsidP="00D77963">
            <w:pPr>
              <w:pStyle w:val="PBACTableText"/>
              <w:keepNext/>
              <w:keepLines/>
              <w:spacing w:before="0" w:after="0"/>
              <w:jc w:val="center"/>
            </w:pPr>
            <w:r w:rsidRPr="00D77963">
              <w:t>222</w:t>
            </w:r>
          </w:p>
        </w:tc>
        <w:tc>
          <w:tcPr>
            <w:tcW w:w="734" w:type="pct"/>
            <w:vAlign w:val="center"/>
          </w:tcPr>
          <w:p w:rsidR="0013604E" w:rsidRPr="00D77963" w:rsidRDefault="0013604E" w:rsidP="00D77963">
            <w:pPr>
              <w:pStyle w:val="PBACTableText"/>
              <w:keepNext/>
              <w:keepLines/>
              <w:spacing w:before="0" w:after="0"/>
              <w:jc w:val="center"/>
            </w:pPr>
            <w:r w:rsidRPr="00D77963">
              <w:t>10.08 (1.25)</w:t>
            </w:r>
          </w:p>
        </w:tc>
        <w:tc>
          <w:tcPr>
            <w:tcW w:w="994" w:type="pct"/>
            <w:tcBorders>
              <w:top w:val="nil"/>
              <w:bottom w:val="single" w:sz="4" w:space="0" w:color="auto"/>
            </w:tcBorders>
            <w:vAlign w:val="center"/>
          </w:tcPr>
          <w:p w:rsidR="0013604E" w:rsidRPr="00D77963" w:rsidRDefault="0013604E" w:rsidP="00D77963">
            <w:pPr>
              <w:keepNext/>
              <w:keepLines/>
              <w:jc w:val="center"/>
              <w:rPr>
                <w:rFonts w:ascii="Arial Narrow" w:hAnsi="Arial Narrow" w:cs="Times New Roman"/>
                <w:sz w:val="20"/>
                <w:szCs w:val="20"/>
                <w:lang w:eastAsia="en-US"/>
              </w:rPr>
            </w:pPr>
            <w:r w:rsidRPr="00D77963">
              <w:rPr>
                <w:rFonts w:ascii="Arial Narrow" w:hAnsi="Arial Narrow" w:cs="Times New Roman"/>
                <w:sz w:val="20"/>
                <w:szCs w:val="20"/>
                <w:lang w:eastAsia="en-US"/>
              </w:rPr>
              <w:t>11.59 (8.50, 14.68)</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 xml:space="preserve">Change from baseline in MSQ Role Function-Restrictive Domain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223</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23.21 (1.35)</w:t>
            </w:r>
          </w:p>
        </w:tc>
        <w:tc>
          <w:tcPr>
            <w:tcW w:w="272" w:type="pct"/>
            <w:vAlign w:val="center"/>
          </w:tcPr>
          <w:p w:rsidR="0013604E" w:rsidRPr="00D77963" w:rsidRDefault="0013604E" w:rsidP="00D77963">
            <w:pPr>
              <w:pStyle w:val="TableText"/>
              <w:keepLines/>
              <w:jc w:val="center"/>
              <w:rPr>
                <w:szCs w:val="20"/>
              </w:rPr>
            </w:pPr>
            <w:r w:rsidRPr="00D77963">
              <w:rPr>
                <w:szCs w:val="20"/>
              </w:rPr>
              <w:t>222</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10.68 (1.34)</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12.53 (9.19, 15.87)</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 xml:space="preserve">Change from baseline in MSQ Role Function-Preventive Domain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223</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17.53 (1.20)</w:t>
            </w:r>
          </w:p>
        </w:tc>
        <w:tc>
          <w:tcPr>
            <w:tcW w:w="272" w:type="pct"/>
            <w:vAlign w:val="center"/>
          </w:tcPr>
          <w:p w:rsidR="0013604E" w:rsidRPr="00D77963" w:rsidRDefault="0013604E" w:rsidP="00D77963">
            <w:pPr>
              <w:pStyle w:val="TableText"/>
              <w:keepLines/>
              <w:jc w:val="center"/>
              <w:rPr>
                <w:szCs w:val="20"/>
              </w:rPr>
            </w:pPr>
            <w:r w:rsidRPr="00D77963">
              <w:rPr>
                <w:szCs w:val="20"/>
              </w:rPr>
              <w:t>222</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7.68 (1.19)</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9.85 (6.91, 12.79)</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 xml:space="preserve">Change from baseline in MSQ Emotional Function Domain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223</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24.02 (1.61)</w:t>
            </w:r>
          </w:p>
        </w:tc>
        <w:tc>
          <w:tcPr>
            <w:tcW w:w="272" w:type="pct"/>
            <w:vAlign w:val="center"/>
          </w:tcPr>
          <w:p w:rsidR="0013604E" w:rsidRPr="00D77963" w:rsidRDefault="0013604E" w:rsidP="00D77963">
            <w:pPr>
              <w:pStyle w:val="TableText"/>
              <w:keepLines/>
              <w:jc w:val="center"/>
              <w:rPr>
                <w:szCs w:val="20"/>
              </w:rPr>
            </w:pPr>
            <w:r w:rsidRPr="00D77963">
              <w:rPr>
                <w:szCs w:val="20"/>
              </w:rPr>
              <w:t>222</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12.02 (1.60)</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12.00 (8.01, 16.00)</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 xml:space="preserve">Change from baseline in MIDAS Total </w:t>
            </w:r>
            <w:proofErr w:type="spellStart"/>
            <w:r w:rsidRPr="00D77963">
              <w:rPr>
                <w:szCs w:val="20"/>
                <w:lang w:eastAsia="en-US"/>
              </w:rPr>
              <w:t>Score</w:t>
            </w:r>
            <w:r w:rsidRPr="00D77963">
              <w:rPr>
                <w:szCs w:val="20"/>
                <w:vertAlign w:val="superscript"/>
                <w:lang w:eastAsia="en-US"/>
              </w:rPr>
              <w:t>b</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228</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-21.10 (3.32)</w:t>
            </w:r>
          </w:p>
        </w:tc>
        <w:tc>
          <w:tcPr>
            <w:tcW w:w="272" w:type="pct"/>
            <w:vAlign w:val="center"/>
          </w:tcPr>
          <w:p w:rsidR="0013604E" w:rsidRPr="00D77963" w:rsidRDefault="0013604E" w:rsidP="00D77963">
            <w:pPr>
              <w:pStyle w:val="TableText"/>
              <w:keepLines/>
              <w:jc w:val="center"/>
              <w:rPr>
                <w:szCs w:val="20"/>
              </w:rPr>
            </w:pPr>
            <w:r w:rsidRPr="00D77963">
              <w:rPr>
                <w:szCs w:val="20"/>
              </w:rPr>
              <w:t>225</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-3.30 (3.28)</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NR</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Change from baseline in EQ-5D-5L Health State Index (UK weights)</w:t>
            </w:r>
            <w:r w:rsidRPr="00D77963">
              <w:rPr>
                <w:szCs w:val="20"/>
                <w:vertAlign w:val="superscript"/>
                <w:lang w:eastAsia="en-US"/>
              </w:rPr>
              <w:t>c</w:t>
            </w:r>
          </w:p>
        </w:tc>
        <w:tc>
          <w:tcPr>
            <w:tcW w:w="272" w:type="pct"/>
            <w:vAlign w:val="center"/>
          </w:tcPr>
          <w:p w:rsidR="0013604E" w:rsidRPr="00D77963" w:rsidRDefault="0013604E" w:rsidP="00D77963">
            <w:pPr>
              <w:pStyle w:val="TableText"/>
              <w:keepLines/>
              <w:jc w:val="center"/>
              <w:rPr>
                <w:szCs w:val="20"/>
              </w:rPr>
            </w:pPr>
            <w:r w:rsidRPr="00D77963">
              <w:rPr>
                <w:szCs w:val="20"/>
              </w:rPr>
              <w:t>227</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0.017 (0.01)</w:t>
            </w:r>
          </w:p>
        </w:tc>
        <w:tc>
          <w:tcPr>
            <w:tcW w:w="272" w:type="pct"/>
            <w:vAlign w:val="center"/>
          </w:tcPr>
          <w:p w:rsidR="0013604E" w:rsidRPr="00D77963" w:rsidRDefault="0013604E" w:rsidP="00D77963">
            <w:pPr>
              <w:pStyle w:val="TableText"/>
              <w:keepLines/>
              <w:jc w:val="center"/>
              <w:rPr>
                <w:szCs w:val="20"/>
              </w:rPr>
            </w:pPr>
            <w:r w:rsidRPr="00D77963">
              <w:rPr>
                <w:szCs w:val="20"/>
              </w:rPr>
              <w:t>225</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-0.001 (0.01)</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NR</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Change from baseline in EQ-5D-5L VAS score</w:t>
            </w:r>
            <w:r w:rsidRPr="00D77963">
              <w:rPr>
                <w:szCs w:val="20"/>
                <w:vertAlign w:val="superscript"/>
                <w:lang w:eastAsia="en-US"/>
              </w:rPr>
              <w:t>d</w:t>
            </w:r>
          </w:p>
        </w:tc>
        <w:tc>
          <w:tcPr>
            <w:tcW w:w="272" w:type="pct"/>
            <w:vAlign w:val="center"/>
          </w:tcPr>
          <w:p w:rsidR="0013604E" w:rsidRPr="00D77963" w:rsidRDefault="0013604E" w:rsidP="00D77963">
            <w:pPr>
              <w:pStyle w:val="TableText"/>
              <w:keepLines/>
              <w:jc w:val="center"/>
              <w:rPr>
                <w:szCs w:val="20"/>
              </w:rPr>
            </w:pPr>
            <w:r w:rsidRPr="00D77963">
              <w:rPr>
                <w:szCs w:val="20"/>
              </w:rPr>
              <w:t>227</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3.376 (1.31)</w:t>
            </w:r>
          </w:p>
        </w:tc>
        <w:tc>
          <w:tcPr>
            <w:tcW w:w="272" w:type="pct"/>
            <w:vAlign w:val="center"/>
          </w:tcPr>
          <w:p w:rsidR="0013604E" w:rsidRPr="00D77963" w:rsidRDefault="0013604E" w:rsidP="00D77963">
            <w:pPr>
              <w:pStyle w:val="TableText"/>
              <w:keepLines/>
              <w:jc w:val="center"/>
              <w:rPr>
                <w:szCs w:val="20"/>
              </w:rPr>
            </w:pPr>
            <w:r w:rsidRPr="00D77963">
              <w:rPr>
                <w:szCs w:val="20"/>
              </w:rPr>
              <w:t>225</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-0.086 (1.29)</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NR</w:t>
            </w:r>
          </w:p>
        </w:tc>
      </w:tr>
      <w:tr w:rsidR="0013604E" w:rsidRPr="00D77963" w:rsidTr="00D77963">
        <w:trPr>
          <w:cantSplit/>
        </w:trPr>
        <w:tc>
          <w:tcPr>
            <w:tcW w:w="5000" w:type="pct"/>
            <w:gridSpan w:val="6"/>
          </w:tcPr>
          <w:p w:rsidR="0013604E" w:rsidRPr="00D77963" w:rsidRDefault="0013604E" w:rsidP="00D77963">
            <w:pPr>
              <w:pStyle w:val="TableText"/>
              <w:keepLines/>
              <w:rPr>
                <w:rFonts w:cs="Times New Roman"/>
                <w:b/>
                <w:szCs w:val="20"/>
                <w:lang w:eastAsia="en-US"/>
              </w:rPr>
            </w:pPr>
            <w:r w:rsidRPr="00D77963">
              <w:rPr>
                <w:rFonts w:cs="Times New Roman"/>
                <w:b/>
                <w:szCs w:val="20"/>
                <w:lang w:eastAsia="en-US"/>
              </w:rPr>
              <w:t>Episodic migraine subpopulation</w:t>
            </w:r>
          </w:p>
        </w:tc>
      </w:tr>
      <w:tr w:rsidR="0013604E" w:rsidRPr="00D77963" w:rsidTr="00D77963">
        <w:trPr>
          <w:cantSplit/>
        </w:trPr>
        <w:tc>
          <w:tcPr>
            <w:tcW w:w="1967" w:type="pct"/>
            <w:vAlign w:val="center"/>
          </w:tcPr>
          <w:p w:rsidR="0013604E" w:rsidRPr="00D77963" w:rsidRDefault="0013604E" w:rsidP="00D77963">
            <w:pPr>
              <w:pStyle w:val="TableText"/>
              <w:keepLines/>
              <w:rPr>
                <w:rFonts w:cs="Times New Roman"/>
                <w:szCs w:val="20"/>
                <w:lang w:eastAsia="en-US"/>
              </w:rPr>
            </w:pPr>
            <w:r w:rsidRPr="00D77963">
              <w:rPr>
                <w:szCs w:val="20"/>
                <w:lang w:eastAsia="en-US"/>
              </w:rPr>
              <w:t xml:space="preserve">Change from baseline in MSQ Total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137</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21.70 (1.66)</w:t>
            </w:r>
          </w:p>
        </w:tc>
        <w:tc>
          <w:tcPr>
            <w:tcW w:w="272" w:type="pct"/>
            <w:vAlign w:val="center"/>
          </w:tcPr>
          <w:p w:rsidR="0013604E" w:rsidRPr="00D77963" w:rsidRDefault="0013604E" w:rsidP="00D77963">
            <w:pPr>
              <w:pStyle w:val="TableText"/>
              <w:keepLines/>
              <w:jc w:val="center"/>
              <w:rPr>
                <w:szCs w:val="20"/>
              </w:rPr>
            </w:pPr>
            <w:r w:rsidRPr="00D77963">
              <w:rPr>
                <w:szCs w:val="20"/>
              </w:rPr>
              <w:t>132</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10.91 (1.67)</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10.79 (6.75, 14.83)</w:t>
            </w:r>
          </w:p>
        </w:tc>
      </w:tr>
      <w:tr w:rsidR="0013604E" w:rsidRPr="00D77963" w:rsidTr="00D77963">
        <w:trPr>
          <w:cantSplit/>
        </w:trPr>
        <w:tc>
          <w:tcPr>
            <w:tcW w:w="1967" w:type="pct"/>
            <w:vAlign w:val="center"/>
          </w:tcPr>
          <w:p w:rsidR="0013604E" w:rsidRPr="00D77963" w:rsidRDefault="0013604E" w:rsidP="00D77963">
            <w:pPr>
              <w:pStyle w:val="TableText"/>
              <w:keepLines/>
              <w:rPr>
                <w:rFonts w:cs="Times New Roman"/>
                <w:szCs w:val="20"/>
                <w:lang w:eastAsia="en-US"/>
              </w:rPr>
            </w:pPr>
            <w:r w:rsidRPr="00D77963">
              <w:rPr>
                <w:szCs w:val="20"/>
                <w:lang w:eastAsia="en-US"/>
              </w:rPr>
              <w:t xml:space="preserve">Change from baseline in MSQ Role Function-Restrictive Domain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137</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23.39 (1.79)</w:t>
            </w:r>
          </w:p>
        </w:tc>
        <w:tc>
          <w:tcPr>
            <w:tcW w:w="272" w:type="pct"/>
            <w:vAlign w:val="center"/>
          </w:tcPr>
          <w:p w:rsidR="0013604E" w:rsidRPr="00D77963" w:rsidRDefault="0013604E" w:rsidP="00D77963">
            <w:pPr>
              <w:pStyle w:val="TableText"/>
              <w:keepLines/>
              <w:jc w:val="center"/>
              <w:rPr>
                <w:szCs w:val="20"/>
              </w:rPr>
            </w:pPr>
            <w:r w:rsidRPr="00D77963">
              <w:rPr>
                <w:szCs w:val="20"/>
              </w:rPr>
              <w:t>132</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11.88 (1.80)</w:t>
            </w:r>
          </w:p>
        </w:tc>
        <w:tc>
          <w:tcPr>
            <w:tcW w:w="994" w:type="pct"/>
            <w:tcBorders>
              <w:top w:val="nil"/>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11.51 (7.14, 15.89)</w:t>
            </w:r>
          </w:p>
        </w:tc>
      </w:tr>
      <w:tr w:rsidR="0013604E" w:rsidRPr="00D77963" w:rsidTr="00D77963">
        <w:trPr>
          <w:cantSplit/>
        </w:trPr>
        <w:tc>
          <w:tcPr>
            <w:tcW w:w="1967" w:type="pct"/>
            <w:vAlign w:val="center"/>
          </w:tcPr>
          <w:p w:rsidR="0013604E" w:rsidRPr="00D77963" w:rsidRDefault="0013604E" w:rsidP="00D77963">
            <w:pPr>
              <w:pStyle w:val="TableText"/>
              <w:keepLines/>
              <w:rPr>
                <w:rFonts w:cs="Times New Roman"/>
                <w:szCs w:val="20"/>
                <w:lang w:eastAsia="en-US"/>
              </w:rPr>
            </w:pPr>
            <w:r w:rsidRPr="00D77963">
              <w:rPr>
                <w:szCs w:val="20"/>
                <w:lang w:eastAsia="en-US"/>
              </w:rPr>
              <w:t xml:space="preserve">Change from baseline in MSQ Role Function-Preventive Domain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137</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18.44 (1.55)</w:t>
            </w:r>
          </w:p>
        </w:tc>
        <w:tc>
          <w:tcPr>
            <w:tcW w:w="272" w:type="pct"/>
            <w:vAlign w:val="center"/>
          </w:tcPr>
          <w:p w:rsidR="0013604E" w:rsidRPr="00D77963" w:rsidRDefault="0013604E" w:rsidP="00D77963">
            <w:pPr>
              <w:pStyle w:val="TableText"/>
              <w:keepLines/>
              <w:jc w:val="center"/>
              <w:rPr>
                <w:szCs w:val="20"/>
              </w:rPr>
            </w:pPr>
            <w:r w:rsidRPr="00D77963">
              <w:rPr>
                <w:szCs w:val="20"/>
              </w:rPr>
              <w:t>132</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8.94 (1.56)</w:t>
            </w:r>
          </w:p>
        </w:tc>
        <w:tc>
          <w:tcPr>
            <w:tcW w:w="994" w:type="pct"/>
            <w:tcBorders>
              <w:top w:val="single" w:sz="4" w:space="0" w:color="auto"/>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9.49 (5.73, 13.26)</w:t>
            </w:r>
          </w:p>
        </w:tc>
      </w:tr>
      <w:tr w:rsidR="0013604E" w:rsidRPr="00D77963" w:rsidTr="00D77963">
        <w:trPr>
          <w:cantSplit/>
        </w:trPr>
        <w:tc>
          <w:tcPr>
            <w:tcW w:w="1967" w:type="pct"/>
            <w:vAlign w:val="center"/>
          </w:tcPr>
          <w:p w:rsidR="0013604E" w:rsidRPr="00D77963" w:rsidRDefault="0013604E" w:rsidP="00D77963">
            <w:pPr>
              <w:pStyle w:val="TableText"/>
              <w:keepLines/>
              <w:rPr>
                <w:rFonts w:cs="Times New Roman"/>
                <w:szCs w:val="20"/>
                <w:lang w:eastAsia="en-US"/>
              </w:rPr>
            </w:pPr>
            <w:r w:rsidRPr="00D77963">
              <w:rPr>
                <w:szCs w:val="20"/>
                <w:lang w:eastAsia="en-US"/>
              </w:rPr>
              <w:t xml:space="preserve">Change from baseline in MSQ Emotional Function Domain </w:t>
            </w:r>
            <w:proofErr w:type="spellStart"/>
            <w:r w:rsidRPr="00D77963">
              <w:rPr>
                <w:szCs w:val="20"/>
                <w:lang w:eastAsia="en-US"/>
              </w:rPr>
              <w:t>Score</w:t>
            </w:r>
            <w:r w:rsidRPr="00D77963">
              <w:rPr>
                <w:szCs w:val="20"/>
                <w:vertAlign w:val="superscript"/>
                <w:lang w:eastAsia="en-US"/>
              </w:rPr>
              <w:t>a</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137</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22.52 (2.06)</w:t>
            </w:r>
          </w:p>
        </w:tc>
        <w:tc>
          <w:tcPr>
            <w:tcW w:w="272" w:type="pct"/>
            <w:vAlign w:val="center"/>
          </w:tcPr>
          <w:p w:rsidR="0013604E" w:rsidRPr="00D77963" w:rsidRDefault="0013604E" w:rsidP="00D77963">
            <w:pPr>
              <w:pStyle w:val="TableText"/>
              <w:keepLines/>
              <w:jc w:val="center"/>
              <w:rPr>
                <w:szCs w:val="20"/>
              </w:rPr>
            </w:pPr>
            <w:r w:rsidRPr="00D77963">
              <w:rPr>
                <w:szCs w:val="20"/>
              </w:rPr>
              <w:t>132</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11.58 (2.08)</w:t>
            </w:r>
          </w:p>
        </w:tc>
        <w:tc>
          <w:tcPr>
            <w:tcW w:w="994" w:type="pct"/>
            <w:tcBorders>
              <w:top w:val="single" w:sz="4" w:space="0" w:color="auto"/>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10.94 (5.82, 16.06)</w:t>
            </w:r>
          </w:p>
        </w:tc>
      </w:tr>
      <w:tr w:rsidR="0013604E" w:rsidRPr="00D77963" w:rsidTr="00D77963">
        <w:trPr>
          <w:cantSplit/>
        </w:trPr>
        <w:tc>
          <w:tcPr>
            <w:tcW w:w="1967" w:type="pct"/>
            <w:vAlign w:val="center"/>
          </w:tcPr>
          <w:p w:rsidR="0013604E" w:rsidRPr="00D77963" w:rsidRDefault="0013604E" w:rsidP="00D77963">
            <w:pPr>
              <w:pStyle w:val="TableText"/>
              <w:keepLines/>
              <w:rPr>
                <w:szCs w:val="20"/>
                <w:lang w:eastAsia="en-US"/>
              </w:rPr>
            </w:pPr>
            <w:r w:rsidRPr="00D77963">
              <w:rPr>
                <w:szCs w:val="20"/>
                <w:lang w:eastAsia="en-US"/>
              </w:rPr>
              <w:t xml:space="preserve">Change from baseline in MIDAS Total </w:t>
            </w:r>
            <w:proofErr w:type="spellStart"/>
            <w:r w:rsidRPr="00D77963">
              <w:rPr>
                <w:szCs w:val="20"/>
                <w:lang w:eastAsia="en-US"/>
              </w:rPr>
              <w:t>Score</w:t>
            </w:r>
            <w:r w:rsidRPr="00D77963">
              <w:rPr>
                <w:szCs w:val="20"/>
                <w:vertAlign w:val="superscript"/>
                <w:lang w:eastAsia="en-US"/>
              </w:rPr>
              <w:t>b</w:t>
            </w:r>
            <w:proofErr w:type="spellEnd"/>
          </w:p>
        </w:tc>
        <w:tc>
          <w:tcPr>
            <w:tcW w:w="272" w:type="pct"/>
            <w:vAlign w:val="center"/>
          </w:tcPr>
          <w:p w:rsidR="0013604E" w:rsidRPr="00D77963" w:rsidRDefault="0013604E" w:rsidP="00D77963">
            <w:pPr>
              <w:pStyle w:val="TableText"/>
              <w:keepLines/>
              <w:jc w:val="center"/>
              <w:rPr>
                <w:szCs w:val="20"/>
              </w:rPr>
            </w:pPr>
            <w:r w:rsidRPr="00D77963">
              <w:rPr>
                <w:szCs w:val="20"/>
              </w:rPr>
              <w:t>136</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-18.96 (3.63)</w:t>
            </w:r>
          </w:p>
        </w:tc>
        <w:tc>
          <w:tcPr>
            <w:tcW w:w="272" w:type="pct"/>
            <w:vAlign w:val="center"/>
          </w:tcPr>
          <w:p w:rsidR="0013604E" w:rsidRPr="00D77963" w:rsidRDefault="0013604E" w:rsidP="00D77963">
            <w:pPr>
              <w:pStyle w:val="TableText"/>
              <w:keepLines/>
              <w:jc w:val="center"/>
              <w:rPr>
                <w:szCs w:val="20"/>
              </w:rPr>
            </w:pPr>
            <w:r w:rsidRPr="00D77963">
              <w:rPr>
                <w:szCs w:val="20"/>
              </w:rPr>
              <w:t>128</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-2.58 (3.68)</w:t>
            </w:r>
          </w:p>
        </w:tc>
        <w:tc>
          <w:tcPr>
            <w:tcW w:w="994" w:type="pct"/>
            <w:tcBorders>
              <w:top w:val="single" w:sz="4" w:space="0" w:color="auto"/>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NR</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Change from baseline in EQ-5D-5L Health State Index (UK weights)</w:t>
            </w:r>
            <w:r w:rsidRPr="00D77963">
              <w:rPr>
                <w:szCs w:val="20"/>
                <w:vertAlign w:val="superscript"/>
                <w:lang w:eastAsia="en-US"/>
              </w:rPr>
              <w:t>c</w:t>
            </w:r>
          </w:p>
        </w:tc>
        <w:tc>
          <w:tcPr>
            <w:tcW w:w="272" w:type="pct"/>
            <w:vAlign w:val="center"/>
          </w:tcPr>
          <w:p w:rsidR="0013604E" w:rsidRPr="00D77963" w:rsidRDefault="0013604E" w:rsidP="00D77963">
            <w:pPr>
              <w:pStyle w:val="TableText"/>
              <w:keepLines/>
              <w:jc w:val="center"/>
              <w:rPr>
                <w:szCs w:val="20"/>
              </w:rPr>
            </w:pPr>
            <w:r w:rsidRPr="00D77963">
              <w:rPr>
                <w:szCs w:val="20"/>
              </w:rPr>
              <w:t>135</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0.01 (0.01)</w:t>
            </w:r>
          </w:p>
        </w:tc>
        <w:tc>
          <w:tcPr>
            <w:tcW w:w="272" w:type="pct"/>
            <w:vAlign w:val="center"/>
          </w:tcPr>
          <w:p w:rsidR="0013604E" w:rsidRPr="00D77963" w:rsidRDefault="0013604E" w:rsidP="00D77963">
            <w:pPr>
              <w:pStyle w:val="TableText"/>
              <w:keepLines/>
              <w:jc w:val="center"/>
              <w:rPr>
                <w:szCs w:val="20"/>
              </w:rPr>
            </w:pPr>
            <w:r w:rsidRPr="00D77963">
              <w:rPr>
                <w:szCs w:val="20"/>
              </w:rPr>
              <w:t>128</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-0.01 (0.01)</w:t>
            </w:r>
          </w:p>
        </w:tc>
        <w:tc>
          <w:tcPr>
            <w:tcW w:w="994" w:type="pct"/>
            <w:tcBorders>
              <w:top w:val="single" w:sz="4" w:space="0" w:color="auto"/>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NR</w:t>
            </w:r>
          </w:p>
        </w:tc>
      </w:tr>
      <w:tr w:rsidR="0013604E" w:rsidRPr="00D77963" w:rsidTr="00D77963">
        <w:trPr>
          <w:cantSplit/>
        </w:trPr>
        <w:tc>
          <w:tcPr>
            <w:tcW w:w="1967" w:type="pct"/>
            <w:vAlign w:val="center"/>
          </w:tcPr>
          <w:p w:rsidR="0013604E" w:rsidRPr="00D77963" w:rsidRDefault="0013604E" w:rsidP="00D77963">
            <w:pPr>
              <w:pStyle w:val="TableText"/>
              <w:keepLines/>
              <w:rPr>
                <w:szCs w:val="20"/>
                <w:vertAlign w:val="superscript"/>
                <w:lang w:eastAsia="en-US"/>
              </w:rPr>
            </w:pPr>
            <w:r w:rsidRPr="00D77963">
              <w:rPr>
                <w:szCs w:val="20"/>
                <w:lang w:eastAsia="en-US"/>
              </w:rPr>
              <w:t>Change from baseline in EQ-5D-5L VAS score</w:t>
            </w:r>
            <w:r w:rsidRPr="00D77963">
              <w:rPr>
                <w:szCs w:val="20"/>
                <w:vertAlign w:val="superscript"/>
                <w:lang w:eastAsia="en-US"/>
              </w:rPr>
              <w:t>d</w:t>
            </w:r>
          </w:p>
        </w:tc>
        <w:tc>
          <w:tcPr>
            <w:tcW w:w="272" w:type="pct"/>
            <w:vAlign w:val="center"/>
          </w:tcPr>
          <w:p w:rsidR="0013604E" w:rsidRPr="00D77963" w:rsidRDefault="0013604E" w:rsidP="00D77963">
            <w:pPr>
              <w:pStyle w:val="TableText"/>
              <w:keepLines/>
              <w:jc w:val="center"/>
              <w:rPr>
                <w:szCs w:val="20"/>
              </w:rPr>
            </w:pPr>
            <w:r w:rsidRPr="00D77963">
              <w:rPr>
                <w:szCs w:val="20"/>
              </w:rPr>
              <w:t>135</w:t>
            </w:r>
          </w:p>
        </w:tc>
        <w:tc>
          <w:tcPr>
            <w:tcW w:w="762"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2.90 (1.63)</w:t>
            </w:r>
          </w:p>
        </w:tc>
        <w:tc>
          <w:tcPr>
            <w:tcW w:w="272" w:type="pct"/>
            <w:vAlign w:val="center"/>
          </w:tcPr>
          <w:p w:rsidR="0013604E" w:rsidRPr="00D77963" w:rsidRDefault="0013604E" w:rsidP="00D77963">
            <w:pPr>
              <w:pStyle w:val="TableText"/>
              <w:keepLines/>
              <w:jc w:val="center"/>
              <w:rPr>
                <w:szCs w:val="20"/>
              </w:rPr>
            </w:pPr>
            <w:r w:rsidRPr="00D77963">
              <w:rPr>
                <w:szCs w:val="20"/>
              </w:rPr>
              <w:t>128</w:t>
            </w:r>
          </w:p>
        </w:tc>
        <w:tc>
          <w:tcPr>
            <w:tcW w:w="734" w:type="pct"/>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-0.829 (1.63)</w:t>
            </w:r>
          </w:p>
        </w:tc>
        <w:tc>
          <w:tcPr>
            <w:tcW w:w="994" w:type="pct"/>
            <w:tcBorders>
              <w:top w:val="single" w:sz="4" w:space="0" w:color="auto"/>
              <w:bottom w:val="single" w:sz="4" w:space="0" w:color="auto"/>
            </w:tcBorders>
            <w:vAlign w:val="center"/>
          </w:tcPr>
          <w:p w:rsidR="0013604E" w:rsidRPr="00D77963" w:rsidRDefault="0013604E" w:rsidP="00D77963">
            <w:pPr>
              <w:pStyle w:val="TableText"/>
              <w:keepLines/>
              <w:jc w:val="center"/>
              <w:rPr>
                <w:rFonts w:cs="Times New Roman"/>
                <w:szCs w:val="20"/>
                <w:lang w:eastAsia="en-US"/>
              </w:rPr>
            </w:pPr>
            <w:r w:rsidRPr="00D77963">
              <w:rPr>
                <w:rFonts w:cs="Times New Roman"/>
                <w:szCs w:val="20"/>
                <w:lang w:eastAsia="en-US"/>
              </w:rPr>
              <w:t>NR</w:t>
            </w:r>
          </w:p>
        </w:tc>
      </w:tr>
    </w:tbl>
    <w:p w:rsidR="0013604E" w:rsidRPr="00D77963" w:rsidRDefault="0013604E" w:rsidP="00D77963">
      <w:pPr>
        <w:pStyle w:val="TableFigureFooter"/>
        <w:keepNext/>
        <w:keepLines/>
        <w:rPr>
          <w:lang w:eastAsia="en-US"/>
        </w:rPr>
      </w:pPr>
      <w:r w:rsidRPr="00D77963">
        <w:rPr>
          <w:lang w:eastAsia="en-US"/>
        </w:rPr>
        <w:t>Source:  Table 2.5.3, pp.76-77 of the submission; Table CGAW.14.85, p.475-477; Table CGAW.14.87, p.480-482 of Attachment 3.1 CONQUER clinical study report</w:t>
      </w:r>
    </w:p>
    <w:p w:rsidR="0013604E" w:rsidRPr="00D77963" w:rsidRDefault="0013604E" w:rsidP="00D77963">
      <w:pPr>
        <w:pStyle w:val="TableFigureFooter"/>
        <w:keepNext/>
        <w:keepLines/>
        <w:rPr>
          <w:lang w:eastAsia="en-US"/>
        </w:rPr>
      </w:pPr>
      <w:r w:rsidRPr="00D77963">
        <w:rPr>
          <w:lang w:eastAsia="en-US"/>
        </w:rPr>
        <w:t xml:space="preserve">Abbreviations: CI, confidence interval; EQ-5D-5L, European Quality of Life 5-Dimensions 5-Levels; ITT, intent-to-treat; </w:t>
      </w:r>
      <w:proofErr w:type="spellStart"/>
      <w:r w:rsidRPr="00D77963">
        <w:rPr>
          <w:lang w:eastAsia="en-US"/>
        </w:rPr>
        <w:t>LSMean</w:t>
      </w:r>
      <w:proofErr w:type="spellEnd"/>
      <w:r w:rsidRPr="00D77963">
        <w:rPr>
          <w:lang w:eastAsia="en-US"/>
        </w:rPr>
        <w:t>, least square mean; MSQ, migraine-specific quality of life questionnaire; MIDAS, migraine disability assessment score; NR, not reported; SE, standard error; VAS, visual analogue scale</w:t>
      </w:r>
    </w:p>
    <w:p w:rsidR="0013604E" w:rsidRPr="00D77963" w:rsidRDefault="0013604E" w:rsidP="00D77963">
      <w:pPr>
        <w:pStyle w:val="TableFigureFooter"/>
        <w:keepNext/>
        <w:keepLines/>
        <w:rPr>
          <w:lang w:eastAsia="en-US"/>
        </w:rPr>
      </w:pPr>
      <w:proofErr w:type="gramStart"/>
      <w:r w:rsidRPr="00D77963">
        <w:rPr>
          <w:vertAlign w:val="superscript"/>
          <w:lang w:eastAsia="en-US"/>
        </w:rPr>
        <w:t>a</w:t>
      </w:r>
      <w:proofErr w:type="gramEnd"/>
      <w:r w:rsidRPr="00D77963">
        <w:rPr>
          <w:lang w:eastAsia="en-US"/>
        </w:rPr>
        <w:t xml:space="preserve"> Baseline values are for the entire ITT or EM population. Each of the domains and the total score are measured on a scale of 0 to 100, with a higher score indicating better health status</w:t>
      </w:r>
    </w:p>
    <w:p w:rsidR="0013604E" w:rsidRPr="00D77963" w:rsidRDefault="0013604E" w:rsidP="00D77963">
      <w:pPr>
        <w:pStyle w:val="TableFigureFooter"/>
        <w:keepNext/>
        <w:keepLines/>
        <w:rPr>
          <w:lang w:eastAsia="en-US"/>
        </w:rPr>
      </w:pPr>
      <w:proofErr w:type="gramStart"/>
      <w:r w:rsidRPr="00D77963">
        <w:rPr>
          <w:vertAlign w:val="superscript"/>
          <w:lang w:eastAsia="en-US"/>
        </w:rPr>
        <w:t>b</w:t>
      </w:r>
      <w:proofErr w:type="gramEnd"/>
      <w:r w:rsidRPr="00D77963">
        <w:rPr>
          <w:lang w:eastAsia="en-US"/>
        </w:rPr>
        <w:t xml:space="preserve"> Baseline is defined as the last measure before the first dose date. Scores range from 0 to 270, with a higher score indicating more disability</w:t>
      </w:r>
    </w:p>
    <w:p w:rsidR="0013604E" w:rsidRPr="00D77963" w:rsidRDefault="0013604E" w:rsidP="00D77963">
      <w:pPr>
        <w:pStyle w:val="TableFigureFooter"/>
        <w:keepNext/>
        <w:keepLines/>
        <w:rPr>
          <w:lang w:eastAsia="en-US"/>
        </w:rPr>
      </w:pPr>
      <w:proofErr w:type="gramStart"/>
      <w:r w:rsidRPr="00D77963">
        <w:rPr>
          <w:vertAlign w:val="superscript"/>
          <w:lang w:eastAsia="en-US"/>
        </w:rPr>
        <w:t>c</w:t>
      </w:r>
      <w:proofErr w:type="gramEnd"/>
      <w:r w:rsidRPr="00D77963">
        <w:rPr>
          <w:lang w:eastAsia="en-US"/>
        </w:rPr>
        <w:t xml:space="preserve"> Baseline is defined as the last measure before the first dose date. Health utility provides a single value on a scale from less than 0 to 1. Negative values are valued as worse than dead, 0 is a health state equivalent to death, </w:t>
      </w:r>
      <w:proofErr w:type="gramStart"/>
      <w:r w:rsidRPr="00D77963">
        <w:rPr>
          <w:lang w:eastAsia="en-US"/>
        </w:rPr>
        <w:t>1</w:t>
      </w:r>
      <w:proofErr w:type="gramEnd"/>
      <w:r w:rsidRPr="00D77963">
        <w:rPr>
          <w:lang w:eastAsia="en-US"/>
        </w:rPr>
        <w:t xml:space="preserve"> is a health state equivalent to perfect health</w:t>
      </w:r>
    </w:p>
    <w:p w:rsidR="00C44F44" w:rsidRPr="00D77963" w:rsidRDefault="0013604E" w:rsidP="00D77963">
      <w:pPr>
        <w:pStyle w:val="TableFigureFooter"/>
        <w:keepNext/>
        <w:keepLines/>
        <w:rPr>
          <w:lang w:eastAsia="en-US"/>
        </w:rPr>
      </w:pPr>
      <w:proofErr w:type="gramStart"/>
      <w:r w:rsidRPr="00D77963">
        <w:rPr>
          <w:vertAlign w:val="superscript"/>
          <w:lang w:eastAsia="en-US"/>
        </w:rPr>
        <w:t>d</w:t>
      </w:r>
      <w:proofErr w:type="gramEnd"/>
      <w:r w:rsidRPr="00D77963">
        <w:rPr>
          <w:lang w:eastAsia="en-US"/>
        </w:rPr>
        <w:t xml:space="preserve"> Baseline is defined as the last measure before the first dose date.</w:t>
      </w:r>
      <w:r w:rsidRPr="00D77963">
        <w:t xml:space="preserve"> </w:t>
      </w:r>
      <w:r w:rsidRPr="00D77963">
        <w:rPr>
          <w:lang w:eastAsia="en-US"/>
        </w:rPr>
        <w:t>Patient rates their perceived health state from 0 (the worst health you can imagine) to 100 (the best health you can imagine)</w:t>
      </w:r>
    </w:p>
    <w:p w:rsidR="0013604E" w:rsidRPr="00D77963" w:rsidRDefault="0013604E" w:rsidP="00DE0D53">
      <w:pPr>
        <w:pStyle w:val="ListParagraph"/>
        <w:numPr>
          <w:ilvl w:val="1"/>
          <w:numId w:val="1"/>
        </w:numPr>
        <w:spacing w:after="160"/>
        <w:contextualSpacing w:val="0"/>
      </w:pPr>
      <w:r w:rsidRPr="00D77963">
        <w:t>There was a statistically significant greater mean improvement from baseline on the MSQ total score and all domain scores in</w:t>
      </w:r>
      <w:r w:rsidR="002D2F32" w:rsidRPr="00D77963">
        <w:t xml:space="preserve"> the</w:t>
      </w:r>
      <w:r w:rsidRPr="00D77963">
        <w:t xml:space="preserve"> </w:t>
      </w:r>
      <w:proofErr w:type="spellStart"/>
      <w:r w:rsidRPr="00D77963">
        <w:t>galcanezumab</w:t>
      </w:r>
      <w:proofErr w:type="spellEnd"/>
      <w:r w:rsidRPr="00D77963">
        <w:t xml:space="preserve"> treatment group compared with placebo. Similarly, there was a statistically significantly greater mean reduction in perceived migraine-related disability (MIDAS total score) at month 3 for patients in the </w:t>
      </w:r>
      <w:proofErr w:type="spellStart"/>
      <w:r w:rsidRPr="00D77963">
        <w:t>galcanezumab</w:t>
      </w:r>
      <w:proofErr w:type="spellEnd"/>
      <w:r w:rsidRPr="00D77963">
        <w:t xml:space="preserve"> treatment group compared with the placebo group. There was no statistically significant change from baseline in the EQ-5D in either treatment group.</w:t>
      </w:r>
    </w:p>
    <w:p w:rsidR="00E5006F" w:rsidRPr="00D77963" w:rsidRDefault="00D5606A" w:rsidP="00E5006F">
      <w:pPr>
        <w:pStyle w:val="ListParagraph"/>
        <w:numPr>
          <w:ilvl w:val="1"/>
          <w:numId w:val="1"/>
        </w:numPr>
        <w:spacing w:after="160"/>
        <w:contextualSpacing w:val="0"/>
      </w:pPr>
      <w:r w:rsidRPr="00D77963">
        <w:t xml:space="preserve">Table </w:t>
      </w:r>
      <w:r w:rsidRPr="00D77963">
        <w:rPr>
          <w:noProof/>
        </w:rPr>
        <w:t>6</w:t>
      </w:r>
      <w:r w:rsidR="007E652A" w:rsidRPr="00D77963">
        <w:t xml:space="preserve"> </w:t>
      </w:r>
      <w:r w:rsidR="00E5006F" w:rsidRPr="00D77963">
        <w:t xml:space="preserve">summarises the efficacy results for the subgroup of patients </w:t>
      </w:r>
      <w:r w:rsidR="00077F7E" w:rsidRPr="00D77963">
        <w:t xml:space="preserve">with episodic migraine </w:t>
      </w:r>
      <w:r w:rsidR="00E5006F" w:rsidRPr="00D77963">
        <w:t xml:space="preserve">who had failed ≥3 </w:t>
      </w:r>
      <w:r w:rsidR="002E2279" w:rsidRPr="00D77963">
        <w:t>preventive migraine medications in the CONQUER trial</w:t>
      </w:r>
      <w:r w:rsidR="00E5006F" w:rsidRPr="00D77963">
        <w:t>.</w:t>
      </w:r>
    </w:p>
    <w:p w:rsidR="00E5006F" w:rsidRPr="00D77963" w:rsidRDefault="006F5006" w:rsidP="006F5006">
      <w:pPr>
        <w:pStyle w:val="TableFigureCaption"/>
        <w:rPr>
          <w:rFonts w:ascii="Calibri" w:hAnsi="Calibri"/>
          <w:sz w:val="22"/>
          <w:szCs w:val="18"/>
        </w:rPr>
      </w:pPr>
      <w:bookmarkStart w:id="17" w:name="_Ref53751667"/>
      <w:r w:rsidRPr="00D77963">
        <w:lastRenderedPageBreak/>
        <w:t xml:space="preserve">Table </w:t>
      </w:r>
      <w:r w:rsidR="00D5606A" w:rsidRPr="00D77963">
        <w:rPr>
          <w:noProof/>
        </w:rPr>
        <w:t>6</w:t>
      </w:r>
      <w:bookmarkEnd w:id="17"/>
      <w:r w:rsidRPr="00D77963">
        <w:t xml:space="preserve">: </w:t>
      </w:r>
      <w:r w:rsidR="00E5006F" w:rsidRPr="00D77963">
        <w:t xml:space="preserve">Efficacy results for </w:t>
      </w:r>
      <w:r w:rsidR="006C6819" w:rsidRPr="00D77963">
        <w:t xml:space="preserve">episodic migraine </w:t>
      </w:r>
      <w:r w:rsidR="00E5006F" w:rsidRPr="00D77963">
        <w:t>≥3 treatment failures</w:t>
      </w:r>
      <w:r w:rsidR="006C6819" w:rsidRPr="00D77963">
        <w:t xml:space="preserve"> subpopulation in the CONQUER trial</w:t>
      </w:r>
      <w:r w:rsidR="00E5006F" w:rsidRPr="00D77963">
        <w:t xml:space="preserve"> </w:t>
      </w:r>
    </w:p>
    <w:tbl>
      <w:tblPr>
        <w:tblStyle w:val="TableGrid"/>
        <w:tblW w:w="5000" w:type="pct"/>
        <w:tblCellMar>
          <w:left w:w="28" w:type="dxa"/>
          <w:right w:w="28" w:type="dxa"/>
        </w:tblCellMar>
        <w:tblLook w:val="04A0" w:firstRow="1" w:lastRow="0" w:firstColumn="1" w:lastColumn="0" w:noHBand="0" w:noVBand="1"/>
        <w:tblCaption w:val="Table 6: Efficacy results for episodic migraine ≥3 treatment failures subpopulation in the CONQUER trial "/>
      </w:tblPr>
      <w:tblGrid>
        <w:gridCol w:w="3963"/>
        <w:gridCol w:w="1591"/>
        <w:gridCol w:w="1591"/>
        <w:gridCol w:w="1872"/>
      </w:tblGrid>
      <w:tr w:rsidR="002D2F32" w:rsidRPr="00D77963" w:rsidTr="00A157AD">
        <w:trPr>
          <w:tblHeader/>
        </w:trPr>
        <w:tc>
          <w:tcPr>
            <w:tcW w:w="2198" w:type="pct"/>
          </w:tcPr>
          <w:p w:rsidR="002D2F32" w:rsidRPr="00D77963" w:rsidRDefault="002D2F32" w:rsidP="00E84704">
            <w:pPr>
              <w:pStyle w:val="PBACTableText"/>
              <w:keepNext/>
              <w:spacing w:before="0" w:after="0"/>
            </w:pPr>
          </w:p>
        </w:tc>
        <w:tc>
          <w:tcPr>
            <w:tcW w:w="882" w:type="pct"/>
            <w:vAlign w:val="center"/>
          </w:tcPr>
          <w:p w:rsidR="002D2F32" w:rsidRPr="00D77963" w:rsidRDefault="002D2F32" w:rsidP="00E84704">
            <w:pPr>
              <w:pStyle w:val="PBACTableText"/>
              <w:keepNext/>
              <w:spacing w:before="0" w:after="0"/>
              <w:jc w:val="center"/>
              <w:rPr>
                <w:b/>
              </w:rPr>
            </w:pPr>
            <w:proofErr w:type="spellStart"/>
            <w:r w:rsidRPr="00D77963">
              <w:rPr>
                <w:b/>
              </w:rPr>
              <w:t>Galcanezumab</w:t>
            </w:r>
            <w:proofErr w:type="spellEnd"/>
          </w:p>
          <w:p w:rsidR="002D2F32" w:rsidRPr="00D77963" w:rsidRDefault="002D2F32" w:rsidP="00E84704">
            <w:pPr>
              <w:pStyle w:val="PBACTableText"/>
              <w:keepNext/>
              <w:spacing w:before="0" w:after="0"/>
              <w:jc w:val="center"/>
              <w:rPr>
                <w:b/>
              </w:rPr>
            </w:pPr>
            <w:r w:rsidRPr="00D77963">
              <w:rPr>
                <w:b/>
              </w:rPr>
              <w:t>N=56</w:t>
            </w:r>
          </w:p>
        </w:tc>
        <w:tc>
          <w:tcPr>
            <w:tcW w:w="882" w:type="pct"/>
            <w:vAlign w:val="center"/>
          </w:tcPr>
          <w:p w:rsidR="002D2F32" w:rsidRPr="00D77963" w:rsidRDefault="002D2F32" w:rsidP="00E84704">
            <w:pPr>
              <w:pStyle w:val="PBACTableText"/>
              <w:keepNext/>
              <w:spacing w:before="0" w:after="0"/>
              <w:jc w:val="center"/>
              <w:rPr>
                <w:b/>
              </w:rPr>
            </w:pPr>
            <w:r w:rsidRPr="00D77963">
              <w:rPr>
                <w:b/>
              </w:rPr>
              <w:t>Placebo</w:t>
            </w:r>
          </w:p>
          <w:p w:rsidR="002D2F32" w:rsidRPr="00D77963" w:rsidRDefault="002D2F32" w:rsidP="00E84704">
            <w:pPr>
              <w:pStyle w:val="PBACTableText"/>
              <w:keepNext/>
              <w:spacing w:before="0" w:after="0"/>
              <w:jc w:val="center"/>
              <w:rPr>
                <w:b/>
              </w:rPr>
            </w:pPr>
            <w:r w:rsidRPr="00D77963">
              <w:rPr>
                <w:b/>
              </w:rPr>
              <w:t>N=44</w:t>
            </w:r>
          </w:p>
        </w:tc>
        <w:tc>
          <w:tcPr>
            <w:tcW w:w="1038" w:type="pct"/>
            <w:vAlign w:val="center"/>
          </w:tcPr>
          <w:p w:rsidR="002D2F32" w:rsidRPr="00D77963" w:rsidRDefault="002D2F32" w:rsidP="00E84704">
            <w:pPr>
              <w:pStyle w:val="PBACTableText"/>
              <w:keepNext/>
              <w:spacing w:before="0" w:after="0"/>
              <w:jc w:val="center"/>
              <w:rPr>
                <w:b/>
              </w:rPr>
            </w:pPr>
            <w:r w:rsidRPr="00D77963">
              <w:rPr>
                <w:b/>
              </w:rPr>
              <w:t xml:space="preserve">Difference </w:t>
            </w:r>
          </w:p>
          <w:p w:rsidR="002D2F32" w:rsidRPr="00D77963" w:rsidRDefault="002D2F32" w:rsidP="00E84704">
            <w:pPr>
              <w:pStyle w:val="PBACTableText"/>
              <w:keepNext/>
              <w:spacing w:before="0" w:after="0"/>
              <w:jc w:val="center"/>
              <w:rPr>
                <w:b/>
              </w:rPr>
            </w:pPr>
            <w:r w:rsidRPr="00D77963">
              <w:rPr>
                <w:b/>
              </w:rPr>
              <w:t>(95% CI)</w:t>
            </w:r>
          </w:p>
        </w:tc>
      </w:tr>
      <w:tr w:rsidR="002D2F32" w:rsidRPr="00D77963" w:rsidTr="00D77963">
        <w:tc>
          <w:tcPr>
            <w:tcW w:w="2198" w:type="pct"/>
          </w:tcPr>
          <w:p w:rsidR="002D2F32" w:rsidRPr="00D77963" w:rsidRDefault="002D2F32" w:rsidP="00E84704">
            <w:pPr>
              <w:pStyle w:val="PBACTableText"/>
              <w:spacing w:before="0" w:after="0"/>
              <w:jc w:val="left"/>
            </w:pPr>
            <w:r w:rsidRPr="00D77963">
              <w:t>Change from baseline in number of monthly migraine headache days, LS mean (SE)</w:t>
            </w:r>
          </w:p>
        </w:tc>
        <w:tc>
          <w:tcPr>
            <w:tcW w:w="882" w:type="pct"/>
            <w:vAlign w:val="center"/>
          </w:tcPr>
          <w:p w:rsidR="002D2F32" w:rsidRPr="00D77963" w:rsidRDefault="002D2F32" w:rsidP="00E84704">
            <w:pPr>
              <w:pStyle w:val="PBACTableText"/>
              <w:spacing w:before="0" w:after="0"/>
              <w:jc w:val="center"/>
            </w:pPr>
            <w:r w:rsidRPr="00D77963">
              <w:t>-3.64 (0.59)</w:t>
            </w:r>
          </w:p>
        </w:tc>
        <w:tc>
          <w:tcPr>
            <w:tcW w:w="882" w:type="pct"/>
            <w:vAlign w:val="center"/>
          </w:tcPr>
          <w:p w:rsidR="002D2F32" w:rsidRPr="00D77963" w:rsidRDefault="002D2F32" w:rsidP="00E84704">
            <w:pPr>
              <w:pStyle w:val="PBACTableText"/>
              <w:spacing w:before="0" w:after="0"/>
              <w:jc w:val="center"/>
            </w:pPr>
            <w:r w:rsidRPr="00D77963">
              <w:t>-0.65 (0.68)</w:t>
            </w:r>
          </w:p>
        </w:tc>
        <w:tc>
          <w:tcPr>
            <w:tcW w:w="1038" w:type="pct"/>
            <w:vAlign w:val="center"/>
          </w:tcPr>
          <w:p w:rsidR="002D2F32" w:rsidRPr="00D77963" w:rsidRDefault="002D2F32" w:rsidP="00E84704">
            <w:pPr>
              <w:pStyle w:val="PBACTableText"/>
              <w:spacing w:before="0" w:after="0"/>
              <w:jc w:val="center"/>
            </w:pPr>
            <w:r w:rsidRPr="00D77963">
              <w:t>-2.99 (-4.53, -1.45)</w:t>
            </w:r>
          </w:p>
        </w:tc>
      </w:tr>
      <w:tr w:rsidR="002D2F32" w:rsidRPr="00D77963" w:rsidTr="00D77963">
        <w:tc>
          <w:tcPr>
            <w:tcW w:w="2198" w:type="pct"/>
          </w:tcPr>
          <w:p w:rsidR="002D2F32" w:rsidRPr="00D77963" w:rsidRDefault="002D2F32" w:rsidP="002D2F32">
            <w:pPr>
              <w:pStyle w:val="PBACTableText"/>
              <w:spacing w:before="0" w:after="0"/>
              <w:jc w:val="left"/>
            </w:pPr>
            <w:r w:rsidRPr="00D77963">
              <w:rPr>
                <w:rFonts w:cs="Calibri"/>
              </w:rPr>
              <w:t>≥</w:t>
            </w:r>
            <w:r w:rsidRPr="00D77963">
              <w:t>50% responders, model estimated proportion (SE)</w:t>
            </w:r>
          </w:p>
        </w:tc>
        <w:tc>
          <w:tcPr>
            <w:tcW w:w="882" w:type="pct"/>
            <w:vAlign w:val="center"/>
          </w:tcPr>
          <w:p w:rsidR="002D2F32" w:rsidRPr="00D77963" w:rsidRDefault="002D2F32" w:rsidP="00E84704">
            <w:pPr>
              <w:pStyle w:val="PBACTableText"/>
              <w:spacing w:before="0" w:after="0"/>
              <w:jc w:val="center"/>
            </w:pPr>
            <w:r w:rsidRPr="00D77963">
              <w:t>41.1 (4.9)</w:t>
            </w:r>
          </w:p>
        </w:tc>
        <w:tc>
          <w:tcPr>
            <w:tcW w:w="882" w:type="pct"/>
            <w:vAlign w:val="center"/>
          </w:tcPr>
          <w:p w:rsidR="002D2F32" w:rsidRPr="00D77963" w:rsidRDefault="002D2F32" w:rsidP="00E84704">
            <w:pPr>
              <w:pStyle w:val="PBACTableText"/>
              <w:spacing w:before="0" w:after="0"/>
              <w:jc w:val="center"/>
            </w:pPr>
            <w:r w:rsidRPr="00D77963">
              <w:t>16.5 (4.1)</w:t>
            </w:r>
          </w:p>
        </w:tc>
        <w:tc>
          <w:tcPr>
            <w:tcW w:w="1038" w:type="pct"/>
            <w:vAlign w:val="center"/>
          </w:tcPr>
          <w:p w:rsidR="002D2F32" w:rsidRPr="00D77963" w:rsidRDefault="002D2F32" w:rsidP="00E84704">
            <w:pPr>
              <w:pStyle w:val="PBACTableText"/>
              <w:spacing w:before="0" w:after="0"/>
              <w:jc w:val="center"/>
            </w:pPr>
            <w:r w:rsidRPr="00D77963">
              <w:t>OR: 3.53 (1.71, 7.25)</w:t>
            </w:r>
          </w:p>
        </w:tc>
      </w:tr>
      <w:tr w:rsidR="002D2F32" w:rsidRPr="00D77963" w:rsidTr="00D77963">
        <w:tc>
          <w:tcPr>
            <w:tcW w:w="2198" w:type="pct"/>
          </w:tcPr>
          <w:p w:rsidR="002D2F32" w:rsidRPr="00D77963" w:rsidRDefault="002D2F32" w:rsidP="00E84704">
            <w:pPr>
              <w:pStyle w:val="PBACTableText"/>
              <w:spacing w:before="0" w:after="0"/>
              <w:jc w:val="left"/>
              <w:rPr>
                <w:rFonts w:cs="Calibri"/>
              </w:rPr>
            </w:pPr>
            <w:r w:rsidRPr="00D77963">
              <w:rPr>
                <w:rFonts w:cs="Calibri"/>
              </w:rPr>
              <w:t>≥30% responders (proportion from model)</w:t>
            </w:r>
          </w:p>
        </w:tc>
        <w:tc>
          <w:tcPr>
            <w:tcW w:w="882" w:type="pct"/>
            <w:vAlign w:val="center"/>
          </w:tcPr>
          <w:p w:rsidR="002D2F32" w:rsidRPr="00D77963" w:rsidRDefault="002D2F32" w:rsidP="00E84704">
            <w:pPr>
              <w:pStyle w:val="PBACTableText"/>
              <w:spacing w:before="0" w:after="0"/>
              <w:jc w:val="center"/>
            </w:pPr>
            <w:r w:rsidRPr="00D77963">
              <w:t>61.1</w:t>
            </w:r>
          </w:p>
        </w:tc>
        <w:tc>
          <w:tcPr>
            <w:tcW w:w="882" w:type="pct"/>
            <w:vAlign w:val="center"/>
          </w:tcPr>
          <w:p w:rsidR="002D2F32" w:rsidRPr="00D77963" w:rsidRDefault="002D2F32" w:rsidP="00E84704">
            <w:pPr>
              <w:pStyle w:val="PBACTableText"/>
              <w:spacing w:before="0" w:after="0"/>
              <w:jc w:val="center"/>
            </w:pPr>
            <w:r w:rsidRPr="00D77963">
              <w:t>29.0</w:t>
            </w:r>
          </w:p>
        </w:tc>
        <w:tc>
          <w:tcPr>
            <w:tcW w:w="1038" w:type="pct"/>
            <w:vAlign w:val="center"/>
          </w:tcPr>
          <w:p w:rsidR="002D2F32" w:rsidRPr="00D77963" w:rsidRDefault="002D2F32" w:rsidP="00E84704">
            <w:pPr>
              <w:pStyle w:val="PBACTableText"/>
              <w:spacing w:before="0" w:after="0"/>
              <w:jc w:val="center"/>
            </w:pPr>
            <w:r w:rsidRPr="00D77963">
              <w:t>NR</w:t>
            </w:r>
          </w:p>
        </w:tc>
      </w:tr>
      <w:tr w:rsidR="002D2F32" w:rsidRPr="00D77963" w:rsidTr="00D77963">
        <w:tc>
          <w:tcPr>
            <w:tcW w:w="2198" w:type="pct"/>
          </w:tcPr>
          <w:p w:rsidR="002D2F32" w:rsidRPr="00D77963" w:rsidRDefault="002D2F32" w:rsidP="00E84704">
            <w:pPr>
              <w:pStyle w:val="PBACTableText"/>
              <w:spacing w:before="0" w:after="0"/>
              <w:jc w:val="left"/>
            </w:pPr>
            <w:r w:rsidRPr="00D77963">
              <w:t>Change from baseline in MSQ Role Function-Restrictive Domain Score at Month 3, LS mean (SE)</w:t>
            </w:r>
          </w:p>
        </w:tc>
        <w:tc>
          <w:tcPr>
            <w:tcW w:w="882" w:type="pct"/>
            <w:vAlign w:val="center"/>
          </w:tcPr>
          <w:p w:rsidR="002D2F32" w:rsidRPr="00D77963" w:rsidRDefault="002D2F32" w:rsidP="00E84704">
            <w:pPr>
              <w:pStyle w:val="PBACTableText"/>
              <w:spacing w:before="0" w:after="0"/>
              <w:jc w:val="center"/>
            </w:pPr>
            <w:r w:rsidRPr="00D77963">
              <w:t>22.73 (3.41)</w:t>
            </w:r>
          </w:p>
        </w:tc>
        <w:tc>
          <w:tcPr>
            <w:tcW w:w="882" w:type="pct"/>
            <w:vAlign w:val="center"/>
          </w:tcPr>
          <w:p w:rsidR="002D2F32" w:rsidRPr="00D77963" w:rsidRDefault="002D2F32" w:rsidP="00E84704">
            <w:pPr>
              <w:pStyle w:val="PBACTableText"/>
              <w:spacing w:before="0" w:after="0"/>
              <w:jc w:val="center"/>
            </w:pPr>
            <w:r w:rsidRPr="00D77963">
              <w:t>14.50 (3.55)</w:t>
            </w:r>
          </w:p>
        </w:tc>
        <w:tc>
          <w:tcPr>
            <w:tcW w:w="1038" w:type="pct"/>
            <w:vAlign w:val="center"/>
          </w:tcPr>
          <w:p w:rsidR="002D2F32" w:rsidRPr="00D77963" w:rsidRDefault="002D2F32" w:rsidP="00E84704">
            <w:pPr>
              <w:pStyle w:val="PBACTableText"/>
              <w:spacing w:before="0" w:after="0"/>
              <w:jc w:val="center"/>
            </w:pPr>
            <w:r w:rsidRPr="00D77963">
              <w:t>8.23 (0.28, 16.17)</w:t>
            </w:r>
          </w:p>
        </w:tc>
      </w:tr>
    </w:tbl>
    <w:p w:rsidR="006C6819" w:rsidRPr="00D77963" w:rsidRDefault="006C6819" w:rsidP="00D77963">
      <w:pPr>
        <w:pStyle w:val="TableFigureFooter"/>
        <w:rPr>
          <w:lang w:eastAsia="en-US"/>
        </w:rPr>
      </w:pPr>
      <w:r w:rsidRPr="00D77963">
        <w:rPr>
          <w:rStyle w:val="TableFooterChar"/>
        </w:rPr>
        <w:t xml:space="preserve">Source: </w:t>
      </w:r>
      <w:r w:rsidR="00C44F44" w:rsidRPr="00D77963">
        <w:rPr>
          <w:rStyle w:val="TableFooterChar"/>
        </w:rPr>
        <w:t xml:space="preserve">Table 2.6.3 of the submission; </w:t>
      </w:r>
      <w:r w:rsidRPr="00D77963">
        <w:rPr>
          <w:rStyle w:val="TableFooterChar"/>
        </w:rPr>
        <w:t>Attachment</w:t>
      </w:r>
      <w:r w:rsidRPr="00D77963">
        <w:rPr>
          <w:lang w:eastAsia="en-US"/>
        </w:rPr>
        <w:t xml:space="preserve"> 4.1 </w:t>
      </w:r>
      <w:proofErr w:type="spellStart"/>
      <w:r w:rsidRPr="00D77963">
        <w:rPr>
          <w:lang w:eastAsia="en-US"/>
        </w:rPr>
        <w:t>Galcanezumab</w:t>
      </w:r>
      <w:proofErr w:type="spellEnd"/>
      <w:r w:rsidRPr="00D77963">
        <w:rPr>
          <w:lang w:eastAsia="en-US"/>
        </w:rPr>
        <w:t xml:space="preserve"> Section 3 model (parameter tab</w:t>
      </w:r>
      <w:r w:rsidR="00C44F44" w:rsidRPr="00D77963">
        <w:rPr>
          <w:lang w:eastAsia="en-US"/>
        </w:rPr>
        <w:t>; response tab</w:t>
      </w:r>
      <w:r w:rsidR="00E31FE7" w:rsidRPr="00D77963">
        <w:rPr>
          <w:lang w:eastAsia="en-US"/>
        </w:rPr>
        <w:t>)</w:t>
      </w:r>
    </w:p>
    <w:p w:rsidR="006C6819" w:rsidRPr="00D77963" w:rsidRDefault="006C6819" w:rsidP="00D77963">
      <w:pPr>
        <w:pStyle w:val="TableFigureFooter"/>
      </w:pPr>
      <w:r w:rsidRPr="00D77963">
        <w:t>Abbreviations: CI, confidence interval; ITT, intention to treat; LS, least squares;</w:t>
      </w:r>
      <w:r w:rsidR="00C44F44" w:rsidRPr="00D77963">
        <w:t xml:space="preserve"> NR, not reported; OR, odds ratio;</w:t>
      </w:r>
      <w:r w:rsidRPr="00D77963">
        <w:t xml:space="preserve"> SE, standard error</w:t>
      </w:r>
    </w:p>
    <w:p w:rsidR="006C6819" w:rsidRPr="00D77963" w:rsidRDefault="006C6819" w:rsidP="006C6819">
      <w:pPr>
        <w:widowControl w:val="0"/>
        <w:numPr>
          <w:ilvl w:val="1"/>
          <w:numId w:val="1"/>
        </w:numPr>
        <w:spacing w:after="160"/>
        <w:rPr>
          <w:rFonts w:cs="Calibri"/>
        </w:rPr>
      </w:pPr>
      <w:r w:rsidRPr="00D77963">
        <w:rPr>
          <w:rFonts w:cs="Calibri"/>
        </w:rPr>
        <w:t xml:space="preserve">Consistent with the results of the overall trial population, the subgroup analyses showed statistically significant advantages for </w:t>
      </w:r>
      <w:proofErr w:type="spellStart"/>
      <w:r w:rsidRPr="00D77963">
        <w:rPr>
          <w:rFonts w:cs="Calibri"/>
        </w:rPr>
        <w:t>galcanezumab</w:t>
      </w:r>
      <w:proofErr w:type="spellEnd"/>
      <w:r w:rsidRPr="00D77963">
        <w:rPr>
          <w:rFonts w:cs="Calibri"/>
        </w:rPr>
        <w:t xml:space="preserve"> compared to placebo across all outcomes presented.</w:t>
      </w:r>
    </w:p>
    <w:p w:rsidR="006C6819" w:rsidRPr="00D77963" w:rsidRDefault="006C6819" w:rsidP="006C6819">
      <w:pPr>
        <w:widowControl w:val="0"/>
        <w:numPr>
          <w:ilvl w:val="1"/>
          <w:numId w:val="1"/>
        </w:numPr>
        <w:spacing w:after="160"/>
        <w:rPr>
          <w:rFonts w:cs="Calibri"/>
        </w:rPr>
      </w:pPr>
      <w:r w:rsidRPr="00D77963">
        <w:rPr>
          <w:rFonts w:cs="Calibri"/>
        </w:rPr>
        <w:t>The point estimates</w:t>
      </w:r>
      <w:r w:rsidR="00E31FE7" w:rsidRPr="00D77963">
        <w:rPr>
          <w:rFonts w:cs="Calibri"/>
        </w:rPr>
        <w:t xml:space="preserve"> for change from baseline in </w:t>
      </w:r>
      <w:r w:rsidR="00477465" w:rsidRPr="00D77963">
        <w:rPr>
          <w:rFonts w:cs="Calibri"/>
        </w:rPr>
        <w:t>MHD</w:t>
      </w:r>
      <w:r w:rsidRPr="00D77963">
        <w:rPr>
          <w:rFonts w:cs="Calibri"/>
        </w:rPr>
        <w:t xml:space="preserve"> for the subgroup were numerically lower than for the full trial population, however this is likely to reflect the inclusion of patients with chronic migraine in the ITT population, who may achieve larger absolute reductions in monthly migraine days. The upper confidence interval for the change in monthly migraine days (-1.45 days) was less than the proposed MCID of at least 2 days.</w:t>
      </w:r>
    </w:p>
    <w:p w:rsidR="00B60939" w:rsidRPr="00D77963" w:rsidRDefault="00B60939" w:rsidP="00D86231">
      <w:pPr>
        <w:pStyle w:val="3-SubsectionHeading"/>
      </w:pPr>
      <w:bookmarkStart w:id="18" w:name="_Toc22897642"/>
      <w:bookmarkStart w:id="19" w:name="_Toc51078504"/>
      <w:r w:rsidRPr="00D77963">
        <w:t>Comparative harms</w:t>
      </w:r>
      <w:bookmarkEnd w:id="18"/>
      <w:bookmarkEnd w:id="19"/>
    </w:p>
    <w:p w:rsidR="00B60939" w:rsidRPr="00D77963" w:rsidRDefault="00E31FE7" w:rsidP="00DA4F48">
      <w:pPr>
        <w:widowControl w:val="0"/>
        <w:numPr>
          <w:ilvl w:val="1"/>
          <w:numId w:val="1"/>
        </w:numPr>
        <w:spacing w:after="160"/>
        <w:rPr>
          <w:rFonts w:cs="Calibri"/>
        </w:rPr>
      </w:pPr>
      <w:r w:rsidRPr="00D77963">
        <w:rPr>
          <w:rFonts w:cs="Calibri"/>
        </w:rPr>
        <w:t xml:space="preserve">Adverse events reported in the overall trial population of the CONQUER trial are summarised in </w:t>
      </w:r>
      <w:r w:rsidR="00D5606A" w:rsidRPr="00D77963">
        <w:t xml:space="preserve">Table </w:t>
      </w:r>
      <w:r w:rsidR="00D5606A" w:rsidRPr="00D77963">
        <w:rPr>
          <w:noProof/>
        </w:rPr>
        <w:t>7</w:t>
      </w:r>
      <w:r w:rsidR="00C44F44" w:rsidRPr="00D77963">
        <w:rPr>
          <w:rFonts w:cs="Calibri"/>
        </w:rPr>
        <w:t>.</w:t>
      </w:r>
    </w:p>
    <w:p w:rsidR="00B60939" w:rsidRPr="00D77963" w:rsidRDefault="006F5006" w:rsidP="006F5006">
      <w:pPr>
        <w:pStyle w:val="TableFigureCaption"/>
      </w:pPr>
      <w:bookmarkStart w:id="20" w:name="_Ref53751701"/>
      <w:r w:rsidRPr="00D77963">
        <w:t xml:space="preserve">Table </w:t>
      </w:r>
      <w:r w:rsidR="00D5606A" w:rsidRPr="00D77963">
        <w:rPr>
          <w:noProof/>
        </w:rPr>
        <w:t>7</w:t>
      </w:r>
      <w:bookmarkEnd w:id="20"/>
      <w:r w:rsidRPr="00D77963">
        <w:t xml:space="preserve">: </w:t>
      </w:r>
      <w:r w:rsidR="005D26B4" w:rsidRPr="00D77963">
        <w:t>Summary of key adverse events in the trials</w:t>
      </w:r>
      <w:r w:rsidR="00532D4E" w:rsidRPr="00D77963">
        <w:t xml:space="preserve">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2388"/>
        <w:gridCol w:w="2386"/>
      </w:tblGrid>
      <w:tr w:rsidR="0047487E" w:rsidRPr="00D77963" w:rsidTr="00D77963">
        <w:trPr>
          <w:tblHeader/>
        </w:trPr>
        <w:tc>
          <w:tcPr>
            <w:tcW w:w="2353" w:type="pct"/>
            <w:vAlign w:val="center"/>
          </w:tcPr>
          <w:p w:rsidR="0047487E" w:rsidRPr="00D77963" w:rsidRDefault="0047487E" w:rsidP="0082086C">
            <w:pPr>
              <w:pStyle w:val="Tableheadingrow"/>
              <w:rPr>
                <w:szCs w:val="20"/>
                <w:lang w:val="en-AU"/>
              </w:rPr>
            </w:pPr>
          </w:p>
        </w:tc>
        <w:tc>
          <w:tcPr>
            <w:tcW w:w="1324" w:type="pct"/>
            <w:vAlign w:val="center"/>
          </w:tcPr>
          <w:p w:rsidR="0047487E" w:rsidRPr="00D77963" w:rsidRDefault="0047487E" w:rsidP="0082086C">
            <w:pPr>
              <w:pStyle w:val="Tableheadingrow"/>
              <w:jc w:val="center"/>
              <w:rPr>
                <w:szCs w:val="20"/>
                <w:lang w:val="en-AU"/>
              </w:rPr>
            </w:pPr>
            <w:proofErr w:type="spellStart"/>
            <w:r w:rsidRPr="00D77963">
              <w:rPr>
                <w:szCs w:val="20"/>
                <w:lang w:val="en-AU"/>
              </w:rPr>
              <w:t>Galcanezumab</w:t>
            </w:r>
            <w:proofErr w:type="spellEnd"/>
          </w:p>
          <w:p w:rsidR="0047487E" w:rsidRPr="00D77963" w:rsidRDefault="0047487E" w:rsidP="0082086C">
            <w:pPr>
              <w:pStyle w:val="Tableheadingrow"/>
              <w:jc w:val="center"/>
              <w:rPr>
                <w:szCs w:val="20"/>
                <w:lang w:val="en-AU"/>
              </w:rPr>
            </w:pPr>
            <w:proofErr w:type="gramStart"/>
            <w:r w:rsidRPr="00D77963">
              <w:rPr>
                <w:szCs w:val="20"/>
                <w:lang w:val="en-AU"/>
              </w:rPr>
              <w:t>n</w:t>
            </w:r>
            <w:proofErr w:type="gramEnd"/>
            <w:r w:rsidRPr="00D77963">
              <w:rPr>
                <w:szCs w:val="20"/>
                <w:lang w:val="en-AU"/>
              </w:rPr>
              <w:t xml:space="preserve"> with event/N (%)</w:t>
            </w:r>
          </w:p>
        </w:tc>
        <w:tc>
          <w:tcPr>
            <w:tcW w:w="1323" w:type="pct"/>
            <w:vAlign w:val="center"/>
          </w:tcPr>
          <w:p w:rsidR="0047487E" w:rsidRPr="00D77963" w:rsidRDefault="0047487E" w:rsidP="0082086C">
            <w:pPr>
              <w:pStyle w:val="Tableheadingrow"/>
              <w:jc w:val="center"/>
              <w:rPr>
                <w:szCs w:val="20"/>
                <w:lang w:val="en-AU"/>
              </w:rPr>
            </w:pPr>
            <w:r w:rsidRPr="00D77963">
              <w:rPr>
                <w:szCs w:val="20"/>
                <w:lang w:val="en-AU"/>
              </w:rPr>
              <w:t>Placebo</w:t>
            </w:r>
          </w:p>
          <w:p w:rsidR="0047487E" w:rsidRPr="00D77963" w:rsidRDefault="0047487E" w:rsidP="0082086C">
            <w:pPr>
              <w:pStyle w:val="Tableheadingrow"/>
              <w:jc w:val="center"/>
              <w:rPr>
                <w:szCs w:val="20"/>
                <w:lang w:val="en-AU"/>
              </w:rPr>
            </w:pPr>
            <w:proofErr w:type="gramStart"/>
            <w:r w:rsidRPr="00D77963">
              <w:rPr>
                <w:szCs w:val="20"/>
                <w:lang w:val="en-AU"/>
              </w:rPr>
              <w:t>n</w:t>
            </w:r>
            <w:proofErr w:type="gramEnd"/>
            <w:r w:rsidRPr="00D77963">
              <w:rPr>
                <w:szCs w:val="20"/>
                <w:lang w:val="en-AU"/>
              </w:rPr>
              <w:t xml:space="preserve"> with event/N (%)</w:t>
            </w:r>
          </w:p>
        </w:tc>
      </w:tr>
      <w:tr w:rsidR="0047487E" w:rsidRPr="00D77963" w:rsidTr="00D77963">
        <w:tc>
          <w:tcPr>
            <w:tcW w:w="5000" w:type="pct"/>
            <w:gridSpan w:val="3"/>
          </w:tcPr>
          <w:p w:rsidR="0047487E" w:rsidRPr="00D77963" w:rsidRDefault="0047487E" w:rsidP="0047487E">
            <w:pPr>
              <w:pStyle w:val="TableText"/>
              <w:rPr>
                <w:b/>
                <w:szCs w:val="20"/>
              </w:rPr>
            </w:pPr>
            <w:r w:rsidRPr="00D77963">
              <w:rPr>
                <w:b/>
                <w:szCs w:val="20"/>
              </w:rPr>
              <w:t>Overall summary of adverse events</w:t>
            </w:r>
          </w:p>
        </w:tc>
      </w:tr>
      <w:tr w:rsidR="0047487E" w:rsidRPr="00D77963" w:rsidTr="00D77963">
        <w:tc>
          <w:tcPr>
            <w:tcW w:w="2353" w:type="pct"/>
          </w:tcPr>
          <w:p w:rsidR="0047487E" w:rsidRPr="00D77963" w:rsidRDefault="0047487E" w:rsidP="0082086C">
            <w:pPr>
              <w:pStyle w:val="TableText"/>
              <w:rPr>
                <w:szCs w:val="20"/>
              </w:rPr>
            </w:pPr>
            <w:r w:rsidRPr="00D77963">
              <w:rPr>
                <w:szCs w:val="20"/>
              </w:rPr>
              <w:t>Treatment emergent adverse events, n (%)</w:t>
            </w:r>
          </w:p>
        </w:tc>
        <w:tc>
          <w:tcPr>
            <w:tcW w:w="1324" w:type="pct"/>
          </w:tcPr>
          <w:p w:rsidR="0047487E" w:rsidRPr="00D77963" w:rsidRDefault="0047487E" w:rsidP="0082086C">
            <w:pPr>
              <w:pStyle w:val="TableText"/>
              <w:jc w:val="center"/>
              <w:rPr>
                <w:szCs w:val="20"/>
              </w:rPr>
            </w:pPr>
            <w:r w:rsidRPr="00D77963">
              <w:rPr>
                <w:szCs w:val="20"/>
              </w:rPr>
              <w:t>119/232 (51.29)</w:t>
            </w:r>
          </w:p>
        </w:tc>
        <w:tc>
          <w:tcPr>
            <w:tcW w:w="1323" w:type="pct"/>
          </w:tcPr>
          <w:p w:rsidR="0047487E" w:rsidRPr="00D77963" w:rsidRDefault="0047487E" w:rsidP="0082086C">
            <w:pPr>
              <w:pStyle w:val="TableText"/>
              <w:jc w:val="center"/>
              <w:rPr>
                <w:szCs w:val="20"/>
              </w:rPr>
            </w:pPr>
            <w:r w:rsidRPr="00D77963">
              <w:rPr>
                <w:szCs w:val="20"/>
              </w:rPr>
              <w:t>122/230 (53.04)</w:t>
            </w:r>
          </w:p>
        </w:tc>
      </w:tr>
      <w:tr w:rsidR="0047487E" w:rsidRPr="00D77963" w:rsidTr="00D77963">
        <w:tc>
          <w:tcPr>
            <w:tcW w:w="2353" w:type="pct"/>
          </w:tcPr>
          <w:p w:rsidR="0047487E" w:rsidRPr="00D77963" w:rsidRDefault="0047487E" w:rsidP="0082086C">
            <w:pPr>
              <w:pStyle w:val="TableText"/>
              <w:rPr>
                <w:szCs w:val="20"/>
              </w:rPr>
            </w:pPr>
            <w:r w:rsidRPr="00D77963">
              <w:rPr>
                <w:szCs w:val="20"/>
              </w:rPr>
              <w:t>Treatment-related adverse events, n (%)</w:t>
            </w:r>
          </w:p>
        </w:tc>
        <w:tc>
          <w:tcPr>
            <w:tcW w:w="1324" w:type="pct"/>
          </w:tcPr>
          <w:p w:rsidR="0047487E" w:rsidRPr="00D77963" w:rsidRDefault="0047487E" w:rsidP="0082086C">
            <w:pPr>
              <w:pStyle w:val="TableText"/>
              <w:jc w:val="center"/>
              <w:rPr>
                <w:szCs w:val="20"/>
              </w:rPr>
            </w:pPr>
            <w:r w:rsidRPr="00D77963">
              <w:rPr>
                <w:szCs w:val="20"/>
              </w:rPr>
              <w:t>37/232 (15.95)</w:t>
            </w:r>
          </w:p>
        </w:tc>
        <w:tc>
          <w:tcPr>
            <w:tcW w:w="1323" w:type="pct"/>
          </w:tcPr>
          <w:p w:rsidR="0047487E" w:rsidRPr="00D77963" w:rsidRDefault="0047487E" w:rsidP="0082086C">
            <w:pPr>
              <w:pStyle w:val="TableText"/>
              <w:jc w:val="center"/>
              <w:rPr>
                <w:szCs w:val="20"/>
              </w:rPr>
            </w:pPr>
            <w:r w:rsidRPr="00D77963">
              <w:rPr>
                <w:szCs w:val="20"/>
              </w:rPr>
              <w:t>34/230 (14.78)</w:t>
            </w:r>
          </w:p>
        </w:tc>
      </w:tr>
      <w:tr w:rsidR="0047487E" w:rsidRPr="00D77963" w:rsidTr="00D77963">
        <w:tc>
          <w:tcPr>
            <w:tcW w:w="2353" w:type="pct"/>
          </w:tcPr>
          <w:p w:rsidR="0047487E" w:rsidRPr="00D77963" w:rsidRDefault="0047487E" w:rsidP="0082086C">
            <w:pPr>
              <w:pStyle w:val="TableText"/>
              <w:rPr>
                <w:szCs w:val="20"/>
              </w:rPr>
            </w:pPr>
            <w:r w:rsidRPr="00D77963">
              <w:rPr>
                <w:szCs w:val="20"/>
              </w:rPr>
              <w:t>Serious adverse events, n (%)</w:t>
            </w:r>
          </w:p>
        </w:tc>
        <w:tc>
          <w:tcPr>
            <w:tcW w:w="1324" w:type="pct"/>
          </w:tcPr>
          <w:p w:rsidR="0047487E" w:rsidRPr="00D77963" w:rsidRDefault="0047487E" w:rsidP="0082086C">
            <w:pPr>
              <w:pStyle w:val="TableText"/>
              <w:jc w:val="center"/>
              <w:rPr>
                <w:szCs w:val="20"/>
              </w:rPr>
            </w:pPr>
            <w:r w:rsidRPr="00D77963">
              <w:rPr>
                <w:szCs w:val="20"/>
              </w:rPr>
              <w:t>2/232 (0.86)</w:t>
            </w:r>
          </w:p>
        </w:tc>
        <w:tc>
          <w:tcPr>
            <w:tcW w:w="1323" w:type="pct"/>
          </w:tcPr>
          <w:p w:rsidR="0047487E" w:rsidRPr="00D77963" w:rsidRDefault="0047487E" w:rsidP="0082086C">
            <w:pPr>
              <w:pStyle w:val="TableText"/>
              <w:jc w:val="center"/>
              <w:rPr>
                <w:szCs w:val="20"/>
              </w:rPr>
            </w:pPr>
            <w:r w:rsidRPr="00D77963">
              <w:rPr>
                <w:szCs w:val="20"/>
              </w:rPr>
              <w:t>2/230 (0.87)</w:t>
            </w:r>
          </w:p>
        </w:tc>
      </w:tr>
      <w:tr w:rsidR="0047487E" w:rsidRPr="00D77963" w:rsidTr="00D77963">
        <w:tc>
          <w:tcPr>
            <w:tcW w:w="2353" w:type="pct"/>
          </w:tcPr>
          <w:p w:rsidR="0047487E" w:rsidRPr="00D77963" w:rsidRDefault="0047487E" w:rsidP="0082086C">
            <w:pPr>
              <w:pStyle w:val="TableText"/>
              <w:rPr>
                <w:szCs w:val="20"/>
              </w:rPr>
            </w:pPr>
            <w:r w:rsidRPr="00D77963">
              <w:rPr>
                <w:szCs w:val="20"/>
              </w:rPr>
              <w:t>Treatment-related serious adverse events, n (%)</w:t>
            </w:r>
          </w:p>
        </w:tc>
        <w:tc>
          <w:tcPr>
            <w:tcW w:w="1324" w:type="pct"/>
          </w:tcPr>
          <w:p w:rsidR="0047487E" w:rsidRPr="00D77963" w:rsidRDefault="0047487E" w:rsidP="0082086C">
            <w:pPr>
              <w:pStyle w:val="TableText"/>
              <w:jc w:val="center"/>
              <w:rPr>
                <w:szCs w:val="20"/>
              </w:rPr>
            </w:pPr>
            <w:r w:rsidRPr="00D77963">
              <w:rPr>
                <w:szCs w:val="20"/>
              </w:rPr>
              <w:t>0</w:t>
            </w:r>
          </w:p>
        </w:tc>
        <w:tc>
          <w:tcPr>
            <w:tcW w:w="1323" w:type="pct"/>
          </w:tcPr>
          <w:p w:rsidR="0047487E" w:rsidRPr="00D77963" w:rsidRDefault="0047487E" w:rsidP="0082086C">
            <w:pPr>
              <w:pStyle w:val="TableText"/>
              <w:jc w:val="center"/>
              <w:rPr>
                <w:szCs w:val="20"/>
              </w:rPr>
            </w:pPr>
            <w:r w:rsidRPr="00D77963">
              <w:rPr>
                <w:szCs w:val="20"/>
              </w:rPr>
              <w:t>0</w:t>
            </w:r>
          </w:p>
        </w:tc>
      </w:tr>
      <w:tr w:rsidR="0047487E" w:rsidRPr="00D77963" w:rsidTr="00D77963">
        <w:tc>
          <w:tcPr>
            <w:tcW w:w="2353" w:type="pct"/>
          </w:tcPr>
          <w:p w:rsidR="0047487E" w:rsidRPr="00D77963" w:rsidRDefault="0047487E" w:rsidP="0082086C">
            <w:pPr>
              <w:pStyle w:val="TableText"/>
              <w:rPr>
                <w:szCs w:val="20"/>
              </w:rPr>
            </w:pPr>
            <w:r w:rsidRPr="00D77963">
              <w:rPr>
                <w:szCs w:val="20"/>
              </w:rPr>
              <w:t>Discontinuation related to adverse events, n (%)</w:t>
            </w:r>
          </w:p>
        </w:tc>
        <w:tc>
          <w:tcPr>
            <w:tcW w:w="1324" w:type="pct"/>
          </w:tcPr>
          <w:p w:rsidR="0047487E" w:rsidRPr="00D77963" w:rsidRDefault="0047487E" w:rsidP="0082086C">
            <w:pPr>
              <w:pStyle w:val="TableText"/>
              <w:jc w:val="center"/>
              <w:rPr>
                <w:szCs w:val="20"/>
              </w:rPr>
            </w:pPr>
            <w:r w:rsidRPr="00D77963">
              <w:rPr>
                <w:szCs w:val="20"/>
              </w:rPr>
              <w:t>1/232 (0.43)</w:t>
            </w:r>
          </w:p>
        </w:tc>
        <w:tc>
          <w:tcPr>
            <w:tcW w:w="1323" w:type="pct"/>
          </w:tcPr>
          <w:p w:rsidR="0047487E" w:rsidRPr="00D77963" w:rsidRDefault="0047487E" w:rsidP="0082086C">
            <w:pPr>
              <w:pStyle w:val="TableText"/>
              <w:jc w:val="center"/>
              <w:rPr>
                <w:szCs w:val="20"/>
              </w:rPr>
            </w:pPr>
            <w:r w:rsidRPr="00D77963">
              <w:rPr>
                <w:szCs w:val="20"/>
              </w:rPr>
              <w:t>0</w:t>
            </w:r>
          </w:p>
        </w:tc>
      </w:tr>
      <w:tr w:rsidR="0047487E" w:rsidRPr="00D77963" w:rsidTr="00D77963">
        <w:tc>
          <w:tcPr>
            <w:tcW w:w="2353" w:type="pct"/>
          </w:tcPr>
          <w:p w:rsidR="0047487E" w:rsidRPr="00D77963" w:rsidRDefault="0047487E" w:rsidP="0082086C">
            <w:pPr>
              <w:pStyle w:val="TableText"/>
              <w:rPr>
                <w:szCs w:val="20"/>
              </w:rPr>
            </w:pPr>
            <w:r w:rsidRPr="00D77963">
              <w:rPr>
                <w:szCs w:val="20"/>
              </w:rPr>
              <w:t>Deaths, n (%)</w:t>
            </w:r>
          </w:p>
        </w:tc>
        <w:tc>
          <w:tcPr>
            <w:tcW w:w="1324" w:type="pct"/>
          </w:tcPr>
          <w:p w:rsidR="0047487E" w:rsidRPr="00D77963" w:rsidRDefault="0047487E" w:rsidP="0082086C">
            <w:pPr>
              <w:pStyle w:val="TableText"/>
              <w:jc w:val="center"/>
              <w:rPr>
                <w:szCs w:val="20"/>
              </w:rPr>
            </w:pPr>
            <w:r w:rsidRPr="00D77963">
              <w:rPr>
                <w:szCs w:val="20"/>
              </w:rPr>
              <w:t>0</w:t>
            </w:r>
          </w:p>
        </w:tc>
        <w:tc>
          <w:tcPr>
            <w:tcW w:w="1323" w:type="pct"/>
          </w:tcPr>
          <w:p w:rsidR="0047487E" w:rsidRPr="00D77963" w:rsidRDefault="0047487E" w:rsidP="0082086C">
            <w:pPr>
              <w:pStyle w:val="TableText"/>
              <w:jc w:val="center"/>
              <w:rPr>
                <w:szCs w:val="20"/>
              </w:rPr>
            </w:pPr>
            <w:r w:rsidRPr="00D77963">
              <w:rPr>
                <w:szCs w:val="20"/>
              </w:rPr>
              <w:t>0</w:t>
            </w:r>
          </w:p>
        </w:tc>
      </w:tr>
      <w:tr w:rsidR="0047487E" w:rsidRPr="00D77963" w:rsidTr="00D77963">
        <w:tc>
          <w:tcPr>
            <w:tcW w:w="5000" w:type="pct"/>
            <w:gridSpan w:val="3"/>
          </w:tcPr>
          <w:p w:rsidR="0047487E" w:rsidRPr="00D77963" w:rsidRDefault="0047487E" w:rsidP="0047487E">
            <w:pPr>
              <w:pStyle w:val="TableText"/>
              <w:rPr>
                <w:b/>
                <w:szCs w:val="20"/>
              </w:rPr>
            </w:pPr>
            <w:r w:rsidRPr="00D77963">
              <w:rPr>
                <w:b/>
                <w:szCs w:val="20"/>
              </w:rPr>
              <w:t>Summary of most frequently reported treatment emergent adverse events</w:t>
            </w:r>
          </w:p>
        </w:tc>
      </w:tr>
      <w:tr w:rsidR="0047487E" w:rsidRPr="00D77963" w:rsidTr="00D77963">
        <w:tc>
          <w:tcPr>
            <w:tcW w:w="2353" w:type="pct"/>
            <w:tcBorders>
              <w:top w:val="single" w:sz="4" w:space="0" w:color="auto"/>
            </w:tcBorders>
          </w:tcPr>
          <w:p w:rsidR="0047487E" w:rsidRPr="00D77963" w:rsidRDefault="0047487E" w:rsidP="0047487E">
            <w:pPr>
              <w:pStyle w:val="TableText"/>
              <w:rPr>
                <w:szCs w:val="20"/>
              </w:rPr>
            </w:pPr>
            <w:r w:rsidRPr="00D77963">
              <w:rPr>
                <w:szCs w:val="20"/>
              </w:rPr>
              <w:t>Patients with ≥1 TEAE, n (%)</w:t>
            </w:r>
          </w:p>
        </w:tc>
        <w:tc>
          <w:tcPr>
            <w:tcW w:w="1324" w:type="pct"/>
            <w:tcBorders>
              <w:top w:val="single" w:sz="4" w:space="0" w:color="auto"/>
            </w:tcBorders>
          </w:tcPr>
          <w:p w:rsidR="0047487E" w:rsidRPr="00D77963" w:rsidRDefault="0047487E" w:rsidP="0047487E">
            <w:pPr>
              <w:pStyle w:val="TableText"/>
              <w:jc w:val="center"/>
              <w:rPr>
                <w:szCs w:val="20"/>
              </w:rPr>
            </w:pPr>
            <w:r w:rsidRPr="00D77963">
              <w:rPr>
                <w:szCs w:val="20"/>
              </w:rPr>
              <w:t>119 (51.29)</w:t>
            </w:r>
          </w:p>
        </w:tc>
        <w:tc>
          <w:tcPr>
            <w:tcW w:w="1323" w:type="pct"/>
            <w:tcBorders>
              <w:top w:val="single" w:sz="4" w:space="0" w:color="auto"/>
            </w:tcBorders>
          </w:tcPr>
          <w:p w:rsidR="0047487E" w:rsidRPr="00D77963" w:rsidRDefault="0047487E" w:rsidP="0047487E">
            <w:pPr>
              <w:pStyle w:val="TableText"/>
              <w:jc w:val="center"/>
              <w:rPr>
                <w:szCs w:val="20"/>
              </w:rPr>
            </w:pPr>
            <w:r w:rsidRPr="00D77963">
              <w:rPr>
                <w:szCs w:val="20"/>
              </w:rPr>
              <w:t>122 (53.04)</w:t>
            </w:r>
          </w:p>
        </w:tc>
      </w:tr>
      <w:tr w:rsidR="0047487E" w:rsidRPr="00D77963" w:rsidTr="00D77963">
        <w:tc>
          <w:tcPr>
            <w:tcW w:w="2353" w:type="pct"/>
          </w:tcPr>
          <w:p w:rsidR="0047487E" w:rsidRPr="00D77963" w:rsidRDefault="0047487E" w:rsidP="0047487E">
            <w:pPr>
              <w:pStyle w:val="TableText"/>
              <w:rPr>
                <w:szCs w:val="20"/>
              </w:rPr>
            </w:pPr>
            <w:proofErr w:type="spellStart"/>
            <w:r w:rsidRPr="00D77963">
              <w:rPr>
                <w:szCs w:val="20"/>
              </w:rPr>
              <w:t>Nasopharyngitis</w:t>
            </w:r>
            <w:proofErr w:type="spellEnd"/>
          </w:p>
        </w:tc>
        <w:tc>
          <w:tcPr>
            <w:tcW w:w="1324" w:type="pct"/>
          </w:tcPr>
          <w:p w:rsidR="0047487E" w:rsidRPr="00D77963" w:rsidRDefault="0047487E" w:rsidP="0047487E">
            <w:pPr>
              <w:pStyle w:val="TableText"/>
              <w:jc w:val="center"/>
              <w:rPr>
                <w:szCs w:val="20"/>
              </w:rPr>
            </w:pPr>
            <w:r w:rsidRPr="00D77963">
              <w:rPr>
                <w:szCs w:val="20"/>
              </w:rPr>
              <w:t>16 (6.90)</w:t>
            </w:r>
          </w:p>
        </w:tc>
        <w:tc>
          <w:tcPr>
            <w:tcW w:w="1323" w:type="pct"/>
          </w:tcPr>
          <w:p w:rsidR="0047487E" w:rsidRPr="00D77963" w:rsidRDefault="0047487E" w:rsidP="0047487E">
            <w:pPr>
              <w:pStyle w:val="TableText"/>
              <w:jc w:val="center"/>
              <w:rPr>
                <w:szCs w:val="20"/>
              </w:rPr>
            </w:pPr>
            <w:r w:rsidRPr="00D77963">
              <w:rPr>
                <w:szCs w:val="20"/>
              </w:rPr>
              <w:t>21 (9.13)</w:t>
            </w:r>
          </w:p>
        </w:tc>
      </w:tr>
      <w:tr w:rsidR="0047487E" w:rsidRPr="00D77963" w:rsidTr="00D77963">
        <w:tc>
          <w:tcPr>
            <w:tcW w:w="2353" w:type="pct"/>
          </w:tcPr>
          <w:p w:rsidR="0047487E" w:rsidRPr="00D77963" w:rsidRDefault="0047487E" w:rsidP="0047487E">
            <w:pPr>
              <w:pStyle w:val="TableText"/>
              <w:rPr>
                <w:szCs w:val="20"/>
              </w:rPr>
            </w:pPr>
            <w:r w:rsidRPr="00D77963">
              <w:rPr>
                <w:szCs w:val="20"/>
              </w:rPr>
              <w:t>Influenza</w:t>
            </w:r>
          </w:p>
        </w:tc>
        <w:tc>
          <w:tcPr>
            <w:tcW w:w="1324" w:type="pct"/>
          </w:tcPr>
          <w:p w:rsidR="0047487E" w:rsidRPr="00D77963" w:rsidRDefault="0047487E" w:rsidP="0047487E">
            <w:pPr>
              <w:pStyle w:val="TableText"/>
              <w:jc w:val="center"/>
              <w:rPr>
                <w:szCs w:val="20"/>
              </w:rPr>
            </w:pPr>
            <w:r w:rsidRPr="00D77963">
              <w:rPr>
                <w:szCs w:val="20"/>
              </w:rPr>
              <w:t>11 (4.74)</w:t>
            </w:r>
          </w:p>
        </w:tc>
        <w:tc>
          <w:tcPr>
            <w:tcW w:w="1323" w:type="pct"/>
          </w:tcPr>
          <w:p w:rsidR="0047487E" w:rsidRPr="00D77963" w:rsidRDefault="0047487E" w:rsidP="0047487E">
            <w:pPr>
              <w:pStyle w:val="TableText"/>
              <w:jc w:val="center"/>
              <w:rPr>
                <w:szCs w:val="20"/>
              </w:rPr>
            </w:pPr>
            <w:r w:rsidRPr="00D77963">
              <w:rPr>
                <w:szCs w:val="20"/>
              </w:rPr>
              <w:t>7 (3.04)</w:t>
            </w:r>
          </w:p>
        </w:tc>
      </w:tr>
      <w:tr w:rsidR="0047487E" w:rsidRPr="00D77963" w:rsidTr="00D77963">
        <w:tc>
          <w:tcPr>
            <w:tcW w:w="2353" w:type="pct"/>
          </w:tcPr>
          <w:p w:rsidR="0047487E" w:rsidRPr="00D77963" w:rsidRDefault="0047487E" w:rsidP="0047487E">
            <w:pPr>
              <w:pStyle w:val="TableText"/>
              <w:rPr>
                <w:szCs w:val="20"/>
              </w:rPr>
            </w:pPr>
            <w:r w:rsidRPr="00D77963">
              <w:rPr>
                <w:szCs w:val="20"/>
              </w:rPr>
              <w:t>Injection site erythema</w:t>
            </w:r>
          </w:p>
        </w:tc>
        <w:tc>
          <w:tcPr>
            <w:tcW w:w="1324" w:type="pct"/>
          </w:tcPr>
          <w:p w:rsidR="0047487E" w:rsidRPr="00D77963" w:rsidRDefault="0047487E" w:rsidP="0047487E">
            <w:pPr>
              <w:pStyle w:val="TableText"/>
              <w:jc w:val="center"/>
              <w:rPr>
                <w:szCs w:val="20"/>
              </w:rPr>
            </w:pPr>
            <w:r w:rsidRPr="00D77963">
              <w:rPr>
                <w:szCs w:val="20"/>
              </w:rPr>
              <w:t>8 (3.45)</w:t>
            </w:r>
          </w:p>
        </w:tc>
        <w:tc>
          <w:tcPr>
            <w:tcW w:w="1323" w:type="pct"/>
          </w:tcPr>
          <w:p w:rsidR="0047487E" w:rsidRPr="00D77963" w:rsidRDefault="0047487E" w:rsidP="0047487E">
            <w:pPr>
              <w:pStyle w:val="TableText"/>
              <w:jc w:val="center"/>
              <w:rPr>
                <w:szCs w:val="20"/>
              </w:rPr>
            </w:pPr>
            <w:r w:rsidRPr="00D77963">
              <w:rPr>
                <w:szCs w:val="20"/>
              </w:rPr>
              <w:t>6 (2.61)</w:t>
            </w:r>
          </w:p>
        </w:tc>
      </w:tr>
      <w:tr w:rsidR="0047487E" w:rsidRPr="00D77963" w:rsidTr="00D77963">
        <w:tc>
          <w:tcPr>
            <w:tcW w:w="2353" w:type="pct"/>
          </w:tcPr>
          <w:p w:rsidR="0047487E" w:rsidRPr="00D77963" w:rsidRDefault="0047487E" w:rsidP="0047487E">
            <w:pPr>
              <w:pStyle w:val="TableText"/>
              <w:rPr>
                <w:szCs w:val="20"/>
              </w:rPr>
            </w:pPr>
            <w:r w:rsidRPr="00D77963">
              <w:rPr>
                <w:szCs w:val="20"/>
              </w:rPr>
              <w:t>Constipation</w:t>
            </w:r>
          </w:p>
        </w:tc>
        <w:tc>
          <w:tcPr>
            <w:tcW w:w="1324" w:type="pct"/>
          </w:tcPr>
          <w:p w:rsidR="0047487E" w:rsidRPr="00D77963" w:rsidRDefault="0047487E" w:rsidP="0047487E">
            <w:pPr>
              <w:pStyle w:val="TableText"/>
              <w:jc w:val="center"/>
              <w:rPr>
                <w:szCs w:val="20"/>
              </w:rPr>
            </w:pPr>
            <w:r w:rsidRPr="00D77963">
              <w:rPr>
                <w:szCs w:val="20"/>
              </w:rPr>
              <w:t>5 (2.16)</w:t>
            </w:r>
          </w:p>
        </w:tc>
        <w:tc>
          <w:tcPr>
            <w:tcW w:w="1323" w:type="pct"/>
          </w:tcPr>
          <w:p w:rsidR="0047487E" w:rsidRPr="00D77963" w:rsidRDefault="0047487E" w:rsidP="0047487E">
            <w:pPr>
              <w:pStyle w:val="TableText"/>
              <w:jc w:val="center"/>
              <w:rPr>
                <w:szCs w:val="20"/>
              </w:rPr>
            </w:pPr>
            <w:r w:rsidRPr="00D77963">
              <w:rPr>
                <w:szCs w:val="20"/>
              </w:rPr>
              <w:t>5 (2.17)</w:t>
            </w:r>
          </w:p>
        </w:tc>
      </w:tr>
      <w:tr w:rsidR="0047487E" w:rsidRPr="00D77963" w:rsidTr="00D77963">
        <w:tc>
          <w:tcPr>
            <w:tcW w:w="2353" w:type="pct"/>
          </w:tcPr>
          <w:p w:rsidR="0047487E" w:rsidRPr="00D77963" w:rsidRDefault="0047487E" w:rsidP="0047487E">
            <w:pPr>
              <w:pStyle w:val="TableText"/>
              <w:rPr>
                <w:szCs w:val="20"/>
              </w:rPr>
            </w:pPr>
            <w:r w:rsidRPr="00D77963">
              <w:rPr>
                <w:szCs w:val="20"/>
              </w:rPr>
              <w:t>Injection site pain</w:t>
            </w:r>
          </w:p>
        </w:tc>
        <w:tc>
          <w:tcPr>
            <w:tcW w:w="1324" w:type="pct"/>
          </w:tcPr>
          <w:p w:rsidR="0047487E" w:rsidRPr="00D77963" w:rsidRDefault="0047487E" w:rsidP="0047487E">
            <w:pPr>
              <w:pStyle w:val="TableText"/>
              <w:jc w:val="center"/>
              <w:rPr>
                <w:szCs w:val="20"/>
              </w:rPr>
            </w:pPr>
            <w:r w:rsidRPr="00D77963">
              <w:rPr>
                <w:szCs w:val="20"/>
              </w:rPr>
              <w:t>5 (2.16)</w:t>
            </w:r>
          </w:p>
        </w:tc>
        <w:tc>
          <w:tcPr>
            <w:tcW w:w="1323" w:type="pct"/>
          </w:tcPr>
          <w:p w:rsidR="0047487E" w:rsidRPr="00D77963" w:rsidRDefault="0047487E" w:rsidP="0047487E">
            <w:pPr>
              <w:pStyle w:val="TableText"/>
              <w:jc w:val="center"/>
              <w:rPr>
                <w:szCs w:val="20"/>
              </w:rPr>
            </w:pPr>
            <w:r w:rsidRPr="00D77963">
              <w:rPr>
                <w:szCs w:val="20"/>
              </w:rPr>
              <w:t>13 (5.65)</w:t>
            </w:r>
          </w:p>
        </w:tc>
      </w:tr>
      <w:tr w:rsidR="0047487E" w:rsidRPr="00D77963" w:rsidTr="00D77963">
        <w:tc>
          <w:tcPr>
            <w:tcW w:w="2353" w:type="pct"/>
          </w:tcPr>
          <w:p w:rsidR="0047487E" w:rsidRPr="00D77963" w:rsidRDefault="0047487E" w:rsidP="0047487E">
            <w:pPr>
              <w:pStyle w:val="TableText"/>
              <w:rPr>
                <w:szCs w:val="20"/>
              </w:rPr>
            </w:pPr>
            <w:r w:rsidRPr="00D77963">
              <w:rPr>
                <w:szCs w:val="20"/>
              </w:rPr>
              <w:t>Upper respiratory tract infection</w:t>
            </w:r>
          </w:p>
        </w:tc>
        <w:tc>
          <w:tcPr>
            <w:tcW w:w="1324" w:type="pct"/>
          </w:tcPr>
          <w:p w:rsidR="0047487E" w:rsidRPr="00D77963" w:rsidRDefault="0047487E" w:rsidP="0047487E">
            <w:pPr>
              <w:pStyle w:val="TableText"/>
              <w:jc w:val="center"/>
              <w:rPr>
                <w:szCs w:val="20"/>
              </w:rPr>
            </w:pPr>
            <w:r w:rsidRPr="00D77963">
              <w:rPr>
                <w:szCs w:val="20"/>
              </w:rPr>
              <w:t>5 (2.16)</w:t>
            </w:r>
          </w:p>
        </w:tc>
        <w:tc>
          <w:tcPr>
            <w:tcW w:w="1323" w:type="pct"/>
          </w:tcPr>
          <w:p w:rsidR="0047487E" w:rsidRPr="00D77963" w:rsidRDefault="0047487E" w:rsidP="0047487E">
            <w:pPr>
              <w:pStyle w:val="TableText"/>
              <w:jc w:val="center"/>
              <w:rPr>
                <w:szCs w:val="20"/>
              </w:rPr>
            </w:pPr>
            <w:r w:rsidRPr="00D77963">
              <w:rPr>
                <w:szCs w:val="20"/>
              </w:rPr>
              <w:t>5 (2.17)</w:t>
            </w:r>
          </w:p>
        </w:tc>
      </w:tr>
      <w:tr w:rsidR="0047487E" w:rsidRPr="00D77963" w:rsidTr="00D77963">
        <w:tc>
          <w:tcPr>
            <w:tcW w:w="2353" w:type="pct"/>
          </w:tcPr>
          <w:p w:rsidR="0047487E" w:rsidRPr="00D77963" w:rsidRDefault="0047487E" w:rsidP="0047487E">
            <w:pPr>
              <w:pStyle w:val="TableText"/>
              <w:rPr>
                <w:szCs w:val="20"/>
              </w:rPr>
            </w:pPr>
            <w:r w:rsidRPr="00D77963">
              <w:rPr>
                <w:szCs w:val="20"/>
              </w:rPr>
              <w:t>Back pain</w:t>
            </w:r>
          </w:p>
        </w:tc>
        <w:tc>
          <w:tcPr>
            <w:tcW w:w="1324" w:type="pct"/>
          </w:tcPr>
          <w:p w:rsidR="0047487E" w:rsidRPr="00D77963" w:rsidRDefault="0047487E" w:rsidP="0047487E">
            <w:pPr>
              <w:pStyle w:val="TableText"/>
              <w:jc w:val="center"/>
              <w:rPr>
                <w:szCs w:val="20"/>
              </w:rPr>
            </w:pPr>
            <w:r w:rsidRPr="00D77963">
              <w:rPr>
                <w:szCs w:val="20"/>
              </w:rPr>
              <w:t>4 (1.72)</w:t>
            </w:r>
          </w:p>
        </w:tc>
        <w:tc>
          <w:tcPr>
            <w:tcW w:w="1323" w:type="pct"/>
          </w:tcPr>
          <w:p w:rsidR="0047487E" w:rsidRPr="00D77963" w:rsidRDefault="0047487E" w:rsidP="0047487E">
            <w:pPr>
              <w:pStyle w:val="TableText"/>
              <w:jc w:val="center"/>
              <w:rPr>
                <w:szCs w:val="20"/>
              </w:rPr>
            </w:pPr>
            <w:r w:rsidRPr="00D77963">
              <w:rPr>
                <w:szCs w:val="20"/>
              </w:rPr>
              <w:t>6 (2.61)</w:t>
            </w:r>
          </w:p>
        </w:tc>
      </w:tr>
      <w:tr w:rsidR="0047487E" w:rsidRPr="00D77963" w:rsidTr="00D77963">
        <w:tc>
          <w:tcPr>
            <w:tcW w:w="2353" w:type="pct"/>
          </w:tcPr>
          <w:p w:rsidR="0047487E" w:rsidRPr="00D77963" w:rsidRDefault="0047487E" w:rsidP="0047487E">
            <w:pPr>
              <w:pStyle w:val="TableText"/>
              <w:rPr>
                <w:szCs w:val="20"/>
              </w:rPr>
            </w:pPr>
            <w:r w:rsidRPr="00D77963">
              <w:rPr>
                <w:szCs w:val="20"/>
              </w:rPr>
              <w:t>Nausea</w:t>
            </w:r>
          </w:p>
        </w:tc>
        <w:tc>
          <w:tcPr>
            <w:tcW w:w="1324" w:type="pct"/>
          </w:tcPr>
          <w:p w:rsidR="0047487E" w:rsidRPr="00D77963" w:rsidRDefault="0047487E" w:rsidP="0047487E">
            <w:pPr>
              <w:pStyle w:val="TableText"/>
              <w:jc w:val="center"/>
              <w:rPr>
                <w:szCs w:val="20"/>
              </w:rPr>
            </w:pPr>
            <w:r w:rsidRPr="00D77963">
              <w:rPr>
                <w:szCs w:val="20"/>
              </w:rPr>
              <w:t>4 (1.72)</w:t>
            </w:r>
          </w:p>
        </w:tc>
        <w:tc>
          <w:tcPr>
            <w:tcW w:w="1323" w:type="pct"/>
          </w:tcPr>
          <w:p w:rsidR="0047487E" w:rsidRPr="00D77963" w:rsidRDefault="0047487E" w:rsidP="0047487E">
            <w:pPr>
              <w:pStyle w:val="TableText"/>
              <w:jc w:val="center"/>
              <w:rPr>
                <w:szCs w:val="20"/>
              </w:rPr>
            </w:pPr>
            <w:r w:rsidRPr="00D77963">
              <w:rPr>
                <w:szCs w:val="20"/>
              </w:rPr>
              <w:t>5 (2.17)</w:t>
            </w:r>
          </w:p>
        </w:tc>
      </w:tr>
      <w:tr w:rsidR="0047487E" w:rsidRPr="00D77963" w:rsidTr="00D77963">
        <w:tc>
          <w:tcPr>
            <w:tcW w:w="2353" w:type="pct"/>
          </w:tcPr>
          <w:p w:rsidR="0047487E" w:rsidRPr="00D77963" w:rsidRDefault="0047487E" w:rsidP="0047487E">
            <w:pPr>
              <w:pStyle w:val="TableText"/>
              <w:rPr>
                <w:szCs w:val="20"/>
              </w:rPr>
            </w:pPr>
            <w:r w:rsidRPr="00D77963">
              <w:rPr>
                <w:szCs w:val="20"/>
              </w:rPr>
              <w:t>Sinusitis</w:t>
            </w:r>
          </w:p>
        </w:tc>
        <w:tc>
          <w:tcPr>
            <w:tcW w:w="1324" w:type="pct"/>
          </w:tcPr>
          <w:p w:rsidR="0047487E" w:rsidRPr="00D77963" w:rsidRDefault="0047487E" w:rsidP="0047487E">
            <w:pPr>
              <w:pStyle w:val="TableText"/>
              <w:jc w:val="center"/>
              <w:rPr>
                <w:szCs w:val="20"/>
              </w:rPr>
            </w:pPr>
            <w:r w:rsidRPr="00D77963">
              <w:rPr>
                <w:szCs w:val="20"/>
              </w:rPr>
              <w:t>4 (1.72)</w:t>
            </w:r>
          </w:p>
        </w:tc>
        <w:tc>
          <w:tcPr>
            <w:tcW w:w="1323" w:type="pct"/>
          </w:tcPr>
          <w:p w:rsidR="0047487E" w:rsidRPr="00D77963" w:rsidRDefault="0047487E" w:rsidP="0047487E">
            <w:pPr>
              <w:pStyle w:val="TableText"/>
              <w:jc w:val="center"/>
              <w:rPr>
                <w:szCs w:val="20"/>
              </w:rPr>
            </w:pPr>
            <w:r w:rsidRPr="00D77963">
              <w:rPr>
                <w:szCs w:val="20"/>
              </w:rPr>
              <w:t>5 (2.17)</w:t>
            </w:r>
          </w:p>
        </w:tc>
      </w:tr>
      <w:tr w:rsidR="0047487E" w:rsidRPr="00D77963" w:rsidTr="00D77963">
        <w:tc>
          <w:tcPr>
            <w:tcW w:w="2353" w:type="pct"/>
          </w:tcPr>
          <w:p w:rsidR="0047487E" w:rsidRPr="00D77963" w:rsidRDefault="0047487E" w:rsidP="0047487E">
            <w:pPr>
              <w:pStyle w:val="TableText"/>
              <w:rPr>
                <w:szCs w:val="20"/>
              </w:rPr>
            </w:pPr>
            <w:r w:rsidRPr="00D77963">
              <w:rPr>
                <w:szCs w:val="20"/>
              </w:rPr>
              <w:t>Migraine</w:t>
            </w:r>
          </w:p>
        </w:tc>
        <w:tc>
          <w:tcPr>
            <w:tcW w:w="1324" w:type="pct"/>
          </w:tcPr>
          <w:p w:rsidR="0047487E" w:rsidRPr="00D77963" w:rsidRDefault="0047487E" w:rsidP="0047487E">
            <w:pPr>
              <w:pStyle w:val="TableText"/>
              <w:jc w:val="center"/>
              <w:rPr>
                <w:szCs w:val="20"/>
              </w:rPr>
            </w:pPr>
            <w:r w:rsidRPr="00D77963">
              <w:rPr>
                <w:szCs w:val="20"/>
              </w:rPr>
              <w:t>1 (0.43)</w:t>
            </w:r>
          </w:p>
        </w:tc>
        <w:tc>
          <w:tcPr>
            <w:tcW w:w="1323" w:type="pct"/>
          </w:tcPr>
          <w:p w:rsidR="0047487E" w:rsidRPr="00D77963" w:rsidRDefault="0047487E" w:rsidP="0047487E">
            <w:pPr>
              <w:pStyle w:val="TableText"/>
              <w:jc w:val="center"/>
              <w:rPr>
                <w:szCs w:val="20"/>
              </w:rPr>
            </w:pPr>
            <w:r w:rsidRPr="00D77963">
              <w:rPr>
                <w:szCs w:val="20"/>
              </w:rPr>
              <w:t>5 (2.17)</w:t>
            </w:r>
          </w:p>
        </w:tc>
      </w:tr>
      <w:tr w:rsidR="0047487E" w:rsidRPr="00D77963" w:rsidTr="00D77963">
        <w:tc>
          <w:tcPr>
            <w:tcW w:w="2353" w:type="pct"/>
          </w:tcPr>
          <w:p w:rsidR="0047487E" w:rsidRPr="00D77963" w:rsidRDefault="0047487E" w:rsidP="0047487E">
            <w:pPr>
              <w:pStyle w:val="TableText"/>
              <w:rPr>
                <w:szCs w:val="20"/>
              </w:rPr>
            </w:pPr>
            <w:r w:rsidRPr="00D77963">
              <w:rPr>
                <w:szCs w:val="20"/>
              </w:rPr>
              <w:t>Injection site reaction</w:t>
            </w:r>
          </w:p>
        </w:tc>
        <w:tc>
          <w:tcPr>
            <w:tcW w:w="1324" w:type="pct"/>
          </w:tcPr>
          <w:p w:rsidR="0047487E" w:rsidRPr="00D77963" w:rsidRDefault="0047487E" w:rsidP="0047487E">
            <w:pPr>
              <w:pStyle w:val="TableText"/>
              <w:jc w:val="center"/>
              <w:rPr>
                <w:szCs w:val="20"/>
              </w:rPr>
            </w:pPr>
            <w:r w:rsidRPr="00D77963">
              <w:rPr>
                <w:szCs w:val="20"/>
              </w:rPr>
              <w:t>0</w:t>
            </w:r>
          </w:p>
        </w:tc>
        <w:tc>
          <w:tcPr>
            <w:tcW w:w="1323" w:type="pct"/>
          </w:tcPr>
          <w:p w:rsidR="0047487E" w:rsidRPr="00D77963" w:rsidRDefault="0047487E" w:rsidP="0047487E">
            <w:pPr>
              <w:pStyle w:val="TableText"/>
              <w:jc w:val="center"/>
              <w:rPr>
                <w:szCs w:val="20"/>
              </w:rPr>
            </w:pPr>
            <w:r w:rsidRPr="00D77963">
              <w:rPr>
                <w:szCs w:val="20"/>
              </w:rPr>
              <w:t>6 (2.61)</w:t>
            </w:r>
          </w:p>
        </w:tc>
      </w:tr>
      <w:tr w:rsidR="0047487E" w:rsidRPr="00D77963" w:rsidTr="00D77963">
        <w:tc>
          <w:tcPr>
            <w:tcW w:w="2353" w:type="pct"/>
            <w:tcBorders>
              <w:bottom w:val="single" w:sz="4" w:space="0" w:color="auto"/>
            </w:tcBorders>
          </w:tcPr>
          <w:p w:rsidR="0047487E" w:rsidRPr="00D77963" w:rsidRDefault="0047487E" w:rsidP="0047487E">
            <w:pPr>
              <w:pStyle w:val="TableText"/>
              <w:rPr>
                <w:szCs w:val="20"/>
              </w:rPr>
            </w:pPr>
            <w:r w:rsidRPr="00D77963">
              <w:rPr>
                <w:szCs w:val="20"/>
              </w:rPr>
              <w:t>Insomnia</w:t>
            </w:r>
          </w:p>
        </w:tc>
        <w:tc>
          <w:tcPr>
            <w:tcW w:w="1324" w:type="pct"/>
            <w:tcBorders>
              <w:bottom w:val="single" w:sz="4" w:space="0" w:color="auto"/>
            </w:tcBorders>
          </w:tcPr>
          <w:p w:rsidR="0047487E" w:rsidRPr="00D77963" w:rsidRDefault="0047487E" w:rsidP="0047487E">
            <w:pPr>
              <w:pStyle w:val="TableText"/>
              <w:jc w:val="center"/>
              <w:rPr>
                <w:szCs w:val="20"/>
              </w:rPr>
            </w:pPr>
            <w:r w:rsidRPr="00D77963">
              <w:rPr>
                <w:szCs w:val="20"/>
              </w:rPr>
              <w:t>0</w:t>
            </w:r>
          </w:p>
        </w:tc>
        <w:tc>
          <w:tcPr>
            <w:tcW w:w="1323" w:type="pct"/>
            <w:tcBorders>
              <w:bottom w:val="single" w:sz="4" w:space="0" w:color="auto"/>
            </w:tcBorders>
          </w:tcPr>
          <w:p w:rsidR="0047487E" w:rsidRPr="00D77963" w:rsidRDefault="0047487E" w:rsidP="0047487E">
            <w:pPr>
              <w:pStyle w:val="TableText"/>
              <w:jc w:val="center"/>
              <w:rPr>
                <w:szCs w:val="20"/>
              </w:rPr>
            </w:pPr>
            <w:r w:rsidRPr="00D77963">
              <w:rPr>
                <w:szCs w:val="20"/>
              </w:rPr>
              <w:t>5 (2.17)</w:t>
            </w:r>
          </w:p>
        </w:tc>
      </w:tr>
    </w:tbl>
    <w:p w:rsidR="0047487E" w:rsidRPr="00D77963" w:rsidRDefault="0047487E" w:rsidP="0047487E">
      <w:pPr>
        <w:pStyle w:val="TableFigureFooter"/>
        <w:rPr>
          <w:sz w:val="20"/>
        </w:rPr>
      </w:pPr>
      <w:r w:rsidRPr="00D77963">
        <w:t>Source: Table 2.5.6, p.80; Table 2.5.7, p.81 of the submission</w:t>
      </w:r>
    </w:p>
    <w:p w:rsidR="00230810" w:rsidRPr="00D77963" w:rsidRDefault="00230810" w:rsidP="00DA4F48">
      <w:pPr>
        <w:widowControl w:val="0"/>
        <w:numPr>
          <w:ilvl w:val="1"/>
          <w:numId w:val="1"/>
        </w:numPr>
        <w:spacing w:after="160"/>
        <w:rPr>
          <w:rFonts w:cs="Calibri"/>
        </w:rPr>
      </w:pPr>
      <w:r w:rsidRPr="00D77963">
        <w:rPr>
          <w:rFonts w:cs="Calibri"/>
        </w:rPr>
        <w:lastRenderedPageBreak/>
        <w:t xml:space="preserve">The overall incidence of adverse events was similar between treatment arms. There was a slightly greater incidence of treatment-related adverse events, and one discontinuation due to adverse events, in the </w:t>
      </w:r>
      <w:proofErr w:type="spellStart"/>
      <w:r w:rsidRPr="00D77963">
        <w:rPr>
          <w:rFonts w:cs="Calibri"/>
        </w:rPr>
        <w:t>galcanezumab</w:t>
      </w:r>
      <w:proofErr w:type="spellEnd"/>
      <w:r w:rsidRPr="00D77963">
        <w:rPr>
          <w:rFonts w:cs="Calibri"/>
        </w:rPr>
        <w:t xml:space="preserve"> treatment group. </w:t>
      </w:r>
    </w:p>
    <w:p w:rsidR="0047487E" w:rsidRPr="00D77963" w:rsidRDefault="00230810" w:rsidP="00230810">
      <w:pPr>
        <w:widowControl w:val="0"/>
        <w:numPr>
          <w:ilvl w:val="1"/>
          <w:numId w:val="1"/>
        </w:numPr>
        <w:spacing w:after="160"/>
        <w:rPr>
          <w:rFonts w:cs="Calibri"/>
        </w:rPr>
      </w:pPr>
      <w:r w:rsidRPr="00D77963">
        <w:t xml:space="preserve">The most common treatment-emergent adverse events (&gt; 2% of any group) were </w:t>
      </w:r>
      <w:proofErr w:type="spellStart"/>
      <w:r w:rsidRPr="00D77963">
        <w:t>nasopharyngitis</w:t>
      </w:r>
      <w:proofErr w:type="spellEnd"/>
      <w:r w:rsidRPr="00D77963">
        <w:t xml:space="preserve">, influenza, injection site erythema, constipation, and injection site pain. Of the most common events, influenza and injection site erythema were reported more frequently in the </w:t>
      </w:r>
      <w:proofErr w:type="spellStart"/>
      <w:r w:rsidRPr="00D77963">
        <w:t>galcanezumab</w:t>
      </w:r>
      <w:proofErr w:type="spellEnd"/>
      <w:r w:rsidRPr="00D77963">
        <w:t xml:space="preserve"> group than the placebo group. </w:t>
      </w:r>
    </w:p>
    <w:p w:rsidR="0047487E" w:rsidRPr="00D77963" w:rsidRDefault="00230810" w:rsidP="00230810">
      <w:pPr>
        <w:widowControl w:val="0"/>
        <w:numPr>
          <w:ilvl w:val="1"/>
          <w:numId w:val="1"/>
        </w:numPr>
        <w:spacing w:after="160"/>
        <w:rPr>
          <w:rFonts w:cs="Calibri"/>
        </w:rPr>
      </w:pPr>
      <w:r w:rsidRPr="00D77963">
        <w:t>The submission did not address</w:t>
      </w:r>
      <w:r w:rsidR="00C44F44" w:rsidRPr="00D77963">
        <w:t xml:space="preserve"> potential concerns around the use of CGRP inhibitors and risk of cardiovascular events. The </w:t>
      </w:r>
      <w:r w:rsidR="00C50A3A" w:rsidRPr="00D77963">
        <w:t>evaluation</w:t>
      </w:r>
      <w:r w:rsidR="00C44F44" w:rsidRPr="00D77963">
        <w:t xml:space="preserve"> noted that there are theoretical concerns suggesting that interfering with CGRP could modify processes relevant to protection against </w:t>
      </w:r>
      <w:proofErr w:type="spellStart"/>
      <w:r w:rsidR="00C44F44" w:rsidRPr="00D77963">
        <w:t>ischaemia</w:t>
      </w:r>
      <w:proofErr w:type="spellEnd"/>
      <w:r w:rsidR="00C44F44" w:rsidRPr="00D77963">
        <w:t>, increasing the risk of cardiovascular events.</w:t>
      </w:r>
      <w:r w:rsidRPr="00D77963">
        <w:t xml:space="preserve"> CONQUER excluded patients with abnormal electrocardiogram, patients at serious cardiovascular risk, or those with a history of clinically significant cardiovascular disease. </w:t>
      </w:r>
    </w:p>
    <w:p w:rsidR="00C44F44" w:rsidRPr="00D77963" w:rsidRDefault="00E31FE7" w:rsidP="00C44F44">
      <w:pPr>
        <w:widowControl w:val="0"/>
        <w:numPr>
          <w:ilvl w:val="1"/>
          <w:numId w:val="1"/>
        </w:numPr>
        <w:spacing w:after="160"/>
        <w:rPr>
          <w:rFonts w:cs="Calibri"/>
        </w:rPr>
      </w:pPr>
      <w:r w:rsidRPr="00D77963">
        <w:t>Safety r</w:t>
      </w:r>
      <w:r w:rsidR="00C44F44" w:rsidRPr="00D77963">
        <w:t xml:space="preserve">esults comparing </w:t>
      </w:r>
      <w:proofErr w:type="spellStart"/>
      <w:r w:rsidR="00C44F44" w:rsidRPr="00D77963">
        <w:t>galcanezumab</w:t>
      </w:r>
      <w:proofErr w:type="spellEnd"/>
      <w:r w:rsidR="00C44F44" w:rsidRPr="00D77963">
        <w:t xml:space="preserve"> and placebo based on the episodic migraine </w:t>
      </w:r>
      <w:r w:rsidR="00C44F44" w:rsidRPr="00D77963">
        <w:rPr>
          <w:rFonts w:cstheme="minorHAnsi"/>
        </w:rPr>
        <w:t>≥</w:t>
      </w:r>
      <w:r w:rsidR="00C44F44" w:rsidRPr="00D77963">
        <w:t xml:space="preserve">3 prior treatment failures subpopulation are summarised in </w:t>
      </w:r>
      <w:r w:rsidR="00D5606A" w:rsidRPr="00D77963">
        <w:t xml:space="preserve">Table </w:t>
      </w:r>
      <w:r w:rsidR="00D5606A" w:rsidRPr="00D77963">
        <w:rPr>
          <w:noProof/>
        </w:rPr>
        <w:t>8</w:t>
      </w:r>
      <w:r w:rsidR="00C44F44" w:rsidRPr="00D77963">
        <w:t>.</w:t>
      </w:r>
    </w:p>
    <w:p w:rsidR="0047487E" w:rsidRPr="00D77963" w:rsidRDefault="006F5006" w:rsidP="006F5006">
      <w:pPr>
        <w:pStyle w:val="TableFigureCaption"/>
      </w:pPr>
      <w:bookmarkStart w:id="21" w:name="_Ref53751731"/>
      <w:r w:rsidRPr="00D77963">
        <w:t xml:space="preserve">Table </w:t>
      </w:r>
      <w:r w:rsidR="00D5606A" w:rsidRPr="00D77963">
        <w:rPr>
          <w:noProof/>
        </w:rPr>
        <w:t>8</w:t>
      </w:r>
      <w:bookmarkEnd w:id="21"/>
      <w:r w:rsidRPr="00D77963">
        <w:t xml:space="preserve">: </w:t>
      </w:r>
      <w:r w:rsidR="0047487E" w:rsidRPr="00D77963">
        <w:t>Summary of adverse events in the double-blind treatment phase of CONQUER, episodic migraine ≥3 treatment failure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2388"/>
        <w:gridCol w:w="2386"/>
      </w:tblGrid>
      <w:tr w:rsidR="0047487E" w:rsidRPr="00D77963" w:rsidTr="00D77963">
        <w:trPr>
          <w:tblHeader/>
        </w:trPr>
        <w:tc>
          <w:tcPr>
            <w:tcW w:w="2353" w:type="pct"/>
            <w:vAlign w:val="center"/>
          </w:tcPr>
          <w:p w:rsidR="0047487E" w:rsidRPr="00D77963" w:rsidRDefault="0047487E" w:rsidP="0082086C">
            <w:pPr>
              <w:pStyle w:val="Tableheadingrow"/>
              <w:rPr>
                <w:lang w:val="en-AU"/>
              </w:rPr>
            </w:pPr>
          </w:p>
        </w:tc>
        <w:tc>
          <w:tcPr>
            <w:tcW w:w="1324" w:type="pct"/>
            <w:vAlign w:val="center"/>
          </w:tcPr>
          <w:p w:rsidR="0047487E" w:rsidRPr="00D77963" w:rsidRDefault="0047487E" w:rsidP="0082086C">
            <w:pPr>
              <w:pStyle w:val="Tableheadingrow"/>
              <w:jc w:val="center"/>
              <w:rPr>
                <w:lang w:val="en-AU"/>
              </w:rPr>
            </w:pPr>
            <w:proofErr w:type="spellStart"/>
            <w:r w:rsidRPr="00D77963">
              <w:rPr>
                <w:lang w:val="en-AU"/>
              </w:rPr>
              <w:t>Galcanezumab</w:t>
            </w:r>
            <w:proofErr w:type="spellEnd"/>
          </w:p>
          <w:p w:rsidR="0047487E" w:rsidRPr="00D77963" w:rsidRDefault="0047487E" w:rsidP="0082086C">
            <w:pPr>
              <w:pStyle w:val="Tableheadingrow"/>
              <w:jc w:val="center"/>
              <w:rPr>
                <w:lang w:val="en-AU"/>
              </w:rPr>
            </w:pPr>
            <w:proofErr w:type="gramStart"/>
            <w:r w:rsidRPr="00D77963">
              <w:rPr>
                <w:lang w:val="en-AU"/>
              </w:rPr>
              <w:t>n</w:t>
            </w:r>
            <w:proofErr w:type="gramEnd"/>
            <w:r w:rsidRPr="00D77963">
              <w:rPr>
                <w:lang w:val="en-AU"/>
              </w:rPr>
              <w:t xml:space="preserve"> with event/N (%)</w:t>
            </w:r>
          </w:p>
        </w:tc>
        <w:tc>
          <w:tcPr>
            <w:tcW w:w="1323" w:type="pct"/>
            <w:vAlign w:val="center"/>
          </w:tcPr>
          <w:p w:rsidR="0047487E" w:rsidRPr="00D77963" w:rsidRDefault="0047487E" w:rsidP="0082086C">
            <w:pPr>
              <w:pStyle w:val="Tableheadingrow"/>
              <w:jc w:val="center"/>
              <w:rPr>
                <w:lang w:val="en-AU"/>
              </w:rPr>
            </w:pPr>
            <w:r w:rsidRPr="00D77963">
              <w:rPr>
                <w:lang w:val="en-AU"/>
              </w:rPr>
              <w:t>Placebo</w:t>
            </w:r>
          </w:p>
          <w:p w:rsidR="0047487E" w:rsidRPr="00D77963" w:rsidRDefault="0047487E" w:rsidP="0082086C">
            <w:pPr>
              <w:pStyle w:val="Tableheadingrow"/>
              <w:jc w:val="center"/>
              <w:rPr>
                <w:lang w:val="en-AU"/>
              </w:rPr>
            </w:pPr>
            <w:proofErr w:type="gramStart"/>
            <w:r w:rsidRPr="00D77963">
              <w:rPr>
                <w:lang w:val="en-AU"/>
              </w:rPr>
              <w:t>n</w:t>
            </w:r>
            <w:proofErr w:type="gramEnd"/>
            <w:r w:rsidRPr="00D77963">
              <w:rPr>
                <w:lang w:val="en-AU"/>
              </w:rPr>
              <w:t xml:space="preserve"> with event/N (%)</w:t>
            </w:r>
          </w:p>
        </w:tc>
      </w:tr>
      <w:tr w:rsidR="0047487E" w:rsidRPr="00D77963" w:rsidTr="00D77963">
        <w:tc>
          <w:tcPr>
            <w:tcW w:w="2353" w:type="pct"/>
          </w:tcPr>
          <w:p w:rsidR="0047487E" w:rsidRPr="00D77963" w:rsidRDefault="0047487E" w:rsidP="0082086C">
            <w:pPr>
              <w:pStyle w:val="TableText"/>
            </w:pPr>
            <w:r w:rsidRPr="00D77963">
              <w:t>Treatment emergent adverse events, n (%)</w:t>
            </w:r>
          </w:p>
        </w:tc>
        <w:tc>
          <w:tcPr>
            <w:tcW w:w="1324" w:type="pct"/>
          </w:tcPr>
          <w:p w:rsidR="0047487E" w:rsidRPr="00D77963" w:rsidRDefault="0047487E" w:rsidP="0082086C">
            <w:pPr>
              <w:pStyle w:val="TableText"/>
              <w:jc w:val="center"/>
            </w:pPr>
            <w:r w:rsidRPr="00D77963">
              <w:t>30/56 (53.57)</w:t>
            </w:r>
          </w:p>
        </w:tc>
        <w:tc>
          <w:tcPr>
            <w:tcW w:w="1323" w:type="pct"/>
          </w:tcPr>
          <w:p w:rsidR="0047487E" w:rsidRPr="00D77963" w:rsidRDefault="0047487E" w:rsidP="0082086C">
            <w:pPr>
              <w:pStyle w:val="TableText"/>
              <w:jc w:val="center"/>
            </w:pPr>
            <w:r w:rsidRPr="00D77963">
              <w:t>22/44 (50.00)</w:t>
            </w:r>
          </w:p>
        </w:tc>
      </w:tr>
      <w:tr w:rsidR="0047487E" w:rsidRPr="00D77963" w:rsidTr="00D77963">
        <w:tc>
          <w:tcPr>
            <w:tcW w:w="2353" w:type="pct"/>
          </w:tcPr>
          <w:p w:rsidR="0047487E" w:rsidRPr="00D77963" w:rsidRDefault="0047487E" w:rsidP="0082086C">
            <w:pPr>
              <w:pStyle w:val="TableText"/>
            </w:pPr>
            <w:r w:rsidRPr="00D77963">
              <w:t>Serious adverse events, n (%)</w:t>
            </w:r>
          </w:p>
        </w:tc>
        <w:tc>
          <w:tcPr>
            <w:tcW w:w="1324" w:type="pct"/>
          </w:tcPr>
          <w:p w:rsidR="0047487E" w:rsidRPr="00D77963" w:rsidRDefault="0047487E" w:rsidP="0082086C">
            <w:pPr>
              <w:pStyle w:val="TableText"/>
              <w:jc w:val="center"/>
            </w:pPr>
            <w:r w:rsidRPr="00D77963">
              <w:t>2/56 (3.57)</w:t>
            </w:r>
          </w:p>
        </w:tc>
        <w:tc>
          <w:tcPr>
            <w:tcW w:w="1323" w:type="pct"/>
          </w:tcPr>
          <w:p w:rsidR="0047487E" w:rsidRPr="00D77963" w:rsidRDefault="0047487E" w:rsidP="0082086C">
            <w:pPr>
              <w:pStyle w:val="TableText"/>
              <w:jc w:val="center"/>
            </w:pPr>
            <w:r w:rsidRPr="00D77963">
              <w:t>0</w:t>
            </w:r>
          </w:p>
        </w:tc>
      </w:tr>
      <w:tr w:rsidR="0047487E" w:rsidRPr="00D77963" w:rsidTr="00D77963">
        <w:tc>
          <w:tcPr>
            <w:tcW w:w="2353" w:type="pct"/>
          </w:tcPr>
          <w:p w:rsidR="0047487E" w:rsidRPr="00D77963" w:rsidRDefault="0047487E" w:rsidP="0082086C">
            <w:pPr>
              <w:pStyle w:val="TableText"/>
            </w:pPr>
            <w:r w:rsidRPr="00D77963">
              <w:t>Discontinuation related to adverse events, n (%)</w:t>
            </w:r>
          </w:p>
        </w:tc>
        <w:tc>
          <w:tcPr>
            <w:tcW w:w="1324" w:type="pct"/>
          </w:tcPr>
          <w:p w:rsidR="0047487E" w:rsidRPr="00D77963" w:rsidRDefault="0047487E" w:rsidP="0082086C">
            <w:pPr>
              <w:pStyle w:val="TableText"/>
              <w:jc w:val="center"/>
            </w:pPr>
            <w:r w:rsidRPr="00D77963">
              <w:t>0</w:t>
            </w:r>
          </w:p>
        </w:tc>
        <w:tc>
          <w:tcPr>
            <w:tcW w:w="1323" w:type="pct"/>
          </w:tcPr>
          <w:p w:rsidR="0047487E" w:rsidRPr="00D77963" w:rsidRDefault="0047487E" w:rsidP="0082086C">
            <w:pPr>
              <w:pStyle w:val="TableText"/>
              <w:jc w:val="center"/>
            </w:pPr>
            <w:r w:rsidRPr="00D77963">
              <w:t>0</w:t>
            </w:r>
          </w:p>
        </w:tc>
      </w:tr>
      <w:tr w:rsidR="0047487E" w:rsidRPr="00D77963" w:rsidTr="00D77963">
        <w:tc>
          <w:tcPr>
            <w:tcW w:w="2353" w:type="pct"/>
          </w:tcPr>
          <w:p w:rsidR="0047487E" w:rsidRPr="00D77963" w:rsidRDefault="0047487E" w:rsidP="0082086C">
            <w:pPr>
              <w:pStyle w:val="TableText"/>
            </w:pPr>
            <w:r w:rsidRPr="00D77963">
              <w:t>Deaths, n (%)</w:t>
            </w:r>
          </w:p>
        </w:tc>
        <w:tc>
          <w:tcPr>
            <w:tcW w:w="1324" w:type="pct"/>
          </w:tcPr>
          <w:p w:rsidR="0047487E" w:rsidRPr="00D77963" w:rsidRDefault="0047487E" w:rsidP="0082086C">
            <w:pPr>
              <w:pStyle w:val="TableText"/>
              <w:jc w:val="center"/>
            </w:pPr>
            <w:r w:rsidRPr="00D77963">
              <w:t>0</w:t>
            </w:r>
          </w:p>
        </w:tc>
        <w:tc>
          <w:tcPr>
            <w:tcW w:w="1323" w:type="pct"/>
          </w:tcPr>
          <w:p w:rsidR="0047487E" w:rsidRPr="00D77963" w:rsidRDefault="0047487E" w:rsidP="0082086C">
            <w:pPr>
              <w:pStyle w:val="TableText"/>
              <w:jc w:val="center"/>
            </w:pPr>
            <w:r w:rsidRPr="00D77963">
              <w:t>0</w:t>
            </w:r>
          </w:p>
        </w:tc>
      </w:tr>
    </w:tbl>
    <w:p w:rsidR="0047487E" w:rsidRPr="00D77963" w:rsidRDefault="0047487E" w:rsidP="0047487E">
      <w:pPr>
        <w:pStyle w:val="TableFigureFooter"/>
      </w:pPr>
      <w:r w:rsidRPr="00D77963">
        <w:t>Source: Table 2.6.4, p.89 of the submission</w:t>
      </w:r>
    </w:p>
    <w:p w:rsidR="00230810" w:rsidRPr="00D77963" w:rsidRDefault="00230810" w:rsidP="00DA4F48">
      <w:pPr>
        <w:numPr>
          <w:ilvl w:val="1"/>
          <w:numId w:val="1"/>
        </w:numPr>
        <w:spacing w:after="120"/>
        <w:rPr>
          <w:rFonts w:eastAsia="Calibri"/>
          <w:szCs w:val="22"/>
          <w:lang w:eastAsia="en-US"/>
        </w:rPr>
      </w:pPr>
      <w:r w:rsidRPr="00D77963">
        <w:rPr>
          <w:rFonts w:eastAsia="Calibri"/>
          <w:szCs w:val="22"/>
          <w:lang w:eastAsia="en-US"/>
        </w:rPr>
        <w:t xml:space="preserve">The overall incidence of adverse events was similar between treatment arms. There was a slightly greater incidence of serious adverse events in the </w:t>
      </w:r>
      <w:proofErr w:type="spellStart"/>
      <w:r w:rsidRPr="00D77963">
        <w:rPr>
          <w:rFonts w:eastAsia="Calibri"/>
          <w:szCs w:val="22"/>
          <w:lang w:eastAsia="en-US"/>
        </w:rPr>
        <w:t>galcanezumab</w:t>
      </w:r>
      <w:proofErr w:type="spellEnd"/>
      <w:r w:rsidRPr="00D77963">
        <w:rPr>
          <w:rFonts w:eastAsia="Calibri"/>
          <w:szCs w:val="22"/>
          <w:lang w:eastAsia="en-US"/>
        </w:rPr>
        <w:t xml:space="preserve"> treatment group. A description of serious adverse events in the episodic migraine ≥3 treatment failure subgroup was not provided.</w:t>
      </w:r>
    </w:p>
    <w:p w:rsidR="0047487E" w:rsidRPr="00D77963" w:rsidRDefault="00230810" w:rsidP="0047487E">
      <w:pPr>
        <w:numPr>
          <w:ilvl w:val="1"/>
          <w:numId w:val="1"/>
        </w:numPr>
        <w:spacing w:after="120"/>
        <w:rPr>
          <w:rFonts w:eastAsia="Calibri"/>
          <w:szCs w:val="22"/>
          <w:lang w:eastAsia="en-US"/>
        </w:rPr>
      </w:pPr>
      <w:r w:rsidRPr="00D77963">
        <w:t xml:space="preserve">A more detailed description of adverse events and discontinuations in the episodic migraine ≥3 treatment failure subgroup was not included in the submission. It is unclear whether compliance with treatment will be the same in the population with ≥3 previous treatment failures as in the overall population. </w:t>
      </w:r>
    </w:p>
    <w:p w:rsidR="007F1017" w:rsidRPr="00D77963" w:rsidRDefault="007F1017" w:rsidP="00D86231">
      <w:pPr>
        <w:pStyle w:val="3-SubsectionHeading"/>
      </w:pPr>
      <w:bookmarkStart w:id="22" w:name="_Toc22897643"/>
      <w:bookmarkStart w:id="23" w:name="_Toc51078505"/>
      <w:r w:rsidRPr="00D77963">
        <w:t>Benefits/harms</w:t>
      </w:r>
      <w:bookmarkEnd w:id="22"/>
      <w:bookmarkEnd w:id="23"/>
    </w:p>
    <w:p w:rsidR="00E852A3" w:rsidRPr="00D77963" w:rsidRDefault="00E852A3" w:rsidP="00E852A3">
      <w:pPr>
        <w:numPr>
          <w:ilvl w:val="1"/>
          <w:numId w:val="1"/>
        </w:numPr>
        <w:spacing w:after="120"/>
        <w:rPr>
          <w:rFonts w:eastAsia="Calibri"/>
          <w:szCs w:val="22"/>
          <w:lang w:eastAsia="en-US"/>
        </w:rPr>
      </w:pPr>
      <w:r w:rsidRPr="00D77963">
        <w:rPr>
          <w:rFonts w:eastAsia="Calibri"/>
          <w:szCs w:val="22"/>
          <w:lang w:eastAsia="en-US"/>
        </w:rPr>
        <w:t xml:space="preserve">On the basis of the direct evidence presented in the submission (12 weeks of double-blind treatment in CONQUER), for every 100 patients treated with </w:t>
      </w:r>
      <w:proofErr w:type="spellStart"/>
      <w:r w:rsidRPr="00D77963">
        <w:rPr>
          <w:rFonts w:eastAsia="Calibri"/>
          <w:szCs w:val="22"/>
          <w:lang w:eastAsia="en-US"/>
        </w:rPr>
        <w:t>galcanezumab</w:t>
      </w:r>
      <w:proofErr w:type="spellEnd"/>
      <w:r w:rsidRPr="00D77963">
        <w:rPr>
          <w:rFonts w:eastAsia="Calibri"/>
          <w:szCs w:val="22"/>
          <w:lang w:eastAsia="en-US"/>
        </w:rPr>
        <w:t xml:space="preserve"> 120 mg monthly in comparison to placebo:</w:t>
      </w:r>
    </w:p>
    <w:p w:rsidR="00E852A3" w:rsidRPr="00D77963" w:rsidRDefault="00E852A3" w:rsidP="00E852A3">
      <w:pPr>
        <w:numPr>
          <w:ilvl w:val="0"/>
          <w:numId w:val="27"/>
        </w:numPr>
        <w:ind w:left="1077" w:hanging="357"/>
        <w:rPr>
          <w:rFonts w:eastAsia="Calibri"/>
          <w:szCs w:val="22"/>
          <w:lang w:eastAsia="en-US"/>
        </w:rPr>
      </w:pPr>
      <w:r w:rsidRPr="00D77963">
        <w:rPr>
          <w:rFonts w:eastAsia="Calibri"/>
          <w:szCs w:val="22"/>
          <w:lang w:eastAsia="en-US"/>
        </w:rPr>
        <w:t>Approximately 2</w:t>
      </w:r>
      <w:r w:rsidR="00784F43" w:rsidRPr="00D77963">
        <w:rPr>
          <w:rFonts w:eastAsia="Calibri"/>
          <w:szCs w:val="22"/>
          <w:lang w:eastAsia="en-US"/>
        </w:rPr>
        <w:t>5</w:t>
      </w:r>
      <w:r w:rsidRPr="00D77963">
        <w:rPr>
          <w:rFonts w:eastAsia="Calibri"/>
          <w:szCs w:val="22"/>
          <w:lang w:eastAsia="en-US"/>
        </w:rPr>
        <w:t xml:space="preserve"> more patients would have a ≥50% reduction in monthly migraine days.</w:t>
      </w:r>
    </w:p>
    <w:p w:rsidR="00E852A3" w:rsidRPr="00D77963" w:rsidRDefault="00E852A3" w:rsidP="00E852A3">
      <w:pPr>
        <w:numPr>
          <w:ilvl w:val="0"/>
          <w:numId w:val="27"/>
        </w:numPr>
        <w:ind w:left="1077" w:hanging="357"/>
        <w:rPr>
          <w:rFonts w:eastAsia="Calibri"/>
          <w:szCs w:val="22"/>
          <w:lang w:eastAsia="en-US"/>
        </w:rPr>
      </w:pPr>
      <w:r w:rsidRPr="00D77963">
        <w:rPr>
          <w:rFonts w:eastAsia="Calibri"/>
          <w:szCs w:val="22"/>
          <w:lang w:eastAsia="en-US"/>
        </w:rPr>
        <w:t xml:space="preserve">Patients would experience, on average, approximately </w:t>
      </w:r>
      <w:r w:rsidR="00784F43" w:rsidRPr="00D77963">
        <w:rPr>
          <w:rFonts w:eastAsia="Calibri"/>
          <w:szCs w:val="22"/>
          <w:lang w:eastAsia="en-US"/>
        </w:rPr>
        <w:t xml:space="preserve">2 to </w:t>
      </w:r>
      <w:r w:rsidRPr="00D77963">
        <w:rPr>
          <w:rFonts w:eastAsia="Calibri"/>
          <w:szCs w:val="22"/>
          <w:lang w:eastAsia="en-US"/>
        </w:rPr>
        <w:t>3 fewer migraine days per month.</w:t>
      </w:r>
    </w:p>
    <w:p w:rsidR="00784F43" w:rsidRPr="00D77963" w:rsidRDefault="00E852A3" w:rsidP="00E84704">
      <w:pPr>
        <w:numPr>
          <w:ilvl w:val="0"/>
          <w:numId w:val="27"/>
        </w:numPr>
        <w:spacing w:after="120"/>
        <w:ind w:left="1077" w:hanging="357"/>
        <w:rPr>
          <w:rFonts w:eastAsia="Calibri"/>
          <w:szCs w:val="22"/>
          <w:lang w:eastAsia="en-US"/>
        </w:rPr>
      </w:pPr>
      <w:r w:rsidRPr="00D77963">
        <w:rPr>
          <w:rFonts w:eastAsia="Calibri"/>
          <w:szCs w:val="22"/>
          <w:lang w:eastAsia="en-US"/>
        </w:rPr>
        <w:lastRenderedPageBreak/>
        <w:t xml:space="preserve">Approximately </w:t>
      </w:r>
      <w:r w:rsidR="007D688A" w:rsidRPr="00D77963">
        <w:rPr>
          <w:rFonts w:eastAsia="Calibri"/>
          <w:szCs w:val="22"/>
          <w:lang w:eastAsia="en-US"/>
        </w:rPr>
        <w:t>3</w:t>
      </w:r>
      <w:r w:rsidRPr="00D77963">
        <w:rPr>
          <w:rFonts w:eastAsia="Calibri"/>
          <w:szCs w:val="22"/>
          <w:lang w:eastAsia="en-US"/>
        </w:rPr>
        <w:t xml:space="preserve"> patient</w:t>
      </w:r>
      <w:r w:rsidR="007D688A" w:rsidRPr="00D77963">
        <w:rPr>
          <w:rFonts w:eastAsia="Calibri"/>
          <w:szCs w:val="22"/>
          <w:lang w:eastAsia="en-US"/>
        </w:rPr>
        <w:t>s</w:t>
      </w:r>
      <w:r w:rsidRPr="00D77963">
        <w:rPr>
          <w:rFonts w:eastAsia="Calibri"/>
          <w:szCs w:val="22"/>
          <w:lang w:eastAsia="en-US"/>
        </w:rPr>
        <w:t xml:space="preserve"> </w:t>
      </w:r>
      <w:r w:rsidR="00E31FE7" w:rsidRPr="00D77963">
        <w:rPr>
          <w:rFonts w:eastAsia="Calibri"/>
          <w:szCs w:val="22"/>
          <w:lang w:eastAsia="en-US"/>
        </w:rPr>
        <w:t xml:space="preserve">would </w:t>
      </w:r>
      <w:r w:rsidR="00784F43" w:rsidRPr="00D77963">
        <w:rPr>
          <w:rFonts w:eastAsia="Calibri"/>
          <w:szCs w:val="22"/>
          <w:lang w:eastAsia="en-US"/>
        </w:rPr>
        <w:t xml:space="preserve">experience skin </w:t>
      </w:r>
      <w:r w:rsidR="00E51411" w:rsidRPr="00D77963">
        <w:rPr>
          <w:rFonts w:eastAsia="Calibri"/>
          <w:szCs w:val="22"/>
          <w:lang w:eastAsia="en-US"/>
        </w:rPr>
        <w:t>redness where the injection</w:t>
      </w:r>
      <w:r w:rsidR="00784F43" w:rsidRPr="00D77963">
        <w:rPr>
          <w:rFonts w:eastAsia="Calibri"/>
          <w:szCs w:val="22"/>
          <w:lang w:eastAsia="en-US"/>
        </w:rPr>
        <w:t xml:space="preserve"> was given</w:t>
      </w:r>
      <w:r w:rsidR="00E84704" w:rsidRPr="00D77963">
        <w:rPr>
          <w:rFonts w:eastAsia="Calibri"/>
          <w:szCs w:val="22"/>
          <w:lang w:eastAsia="en-US"/>
        </w:rPr>
        <w:t>.</w:t>
      </w:r>
      <w:r w:rsidR="00784F43" w:rsidRPr="00D77963">
        <w:rPr>
          <w:rFonts w:eastAsia="Calibri"/>
          <w:szCs w:val="22"/>
          <w:lang w:eastAsia="en-US"/>
        </w:rPr>
        <w:t xml:space="preserve"> </w:t>
      </w:r>
    </w:p>
    <w:p w:rsidR="00784F43" w:rsidRPr="00D77963" w:rsidRDefault="00784F43" w:rsidP="00784F43">
      <w:pPr>
        <w:spacing w:after="120"/>
        <w:ind w:left="720"/>
        <w:rPr>
          <w:rFonts w:eastAsia="Calibri"/>
          <w:szCs w:val="22"/>
          <w:lang w:eastAsia="en-US"/>
        </w:rPr>
      </w:pPr>
      <w:r w:rsidRPr="00D77963">
        <w:rPr>
          <w:rFonts w:eastAsia="Calibri"/>
          <w:szCs w:val="22"/>
          <w:lang w:eastAsia="en-US"/>
        </w:rPr>
        <w:t xml:space="preserve">The </w:t>
      </w:r>
      <w:r w:rsidR="00AE3D84" w:rsidRPr="00D77963">
        <w:rPr>
          <w:rFonts w:eastAsia="Calibri"/>
          <w:szCs w:val="22"/>
          <w:lang w:eastAsia="en-US"/>
        </w:rPr>
        <w:t xml:space="preserve">efficacy of </w:t>
      </w:r>
      <w:proofErr w:type="spellStart"/>
      <w:r w:rsidR="00AE3D84" w:rsidRPr="00D77963">
        <w:rPr>
          <w:rFonts w:eastAsia="Calibri"/>
          <w:szCs w:val="22"/>
          <w:lang w:eastAsia="en-US"/>
        </w:rPr>
        <w:t>galcanezumab</w:t>
      </w:r>
      <w:proofErr w:type="spellEnd"/>
      <w:r w:rsidR="00AE3D84" w:rsidRPr="00D77963">
        <w:rPr>
          <w:rFonts w:eastAsia="Calibri"/>
          <w:szCs w:val="22"/>
          <w:lang w:eastAsia="en-US"/>
        </w:rPr>
        <w:t xml:space="preserve"> was similar in the ITT population and in the subgroup populations (EM and EM with </w:t>
      </w:r>
      <w:r w:rsidR="00AE3D84" w:rsidRPr="00D77963">
        <w:rPr>
          <w:rFonts w:eastAsia="Calibri" w:cs="Calibri"/>
          <w:szCs w:val="22"/>
          <w:lang w:eastAsia="en-US"/>
        </w:rPr>
        <w:t>≥</w:t>
      </w:r>
      <w:r w:rsidR="00AE3D84" w:rsidRPr="00D77963">
        <w:rPr>
          <w:rFonts w:eastAsia="Calibri"/>
          <w:szCs w:val="22"/>
          <w:lang w:eastAsia="en-US"/>
        </w:rPr>
        <w:t>3 prior treatment failures)</w:t>
      </w:r>
      <w:r w:rsidR="004D6DBE" w:rsidRPr="00D77963">
        <w:t>.</w:t>
      </w:r>
    </w:p>
    <w:p w:rsidR="00B60939" w:rsidRPr="00D77963" w:rsidRDefault="00B60939" w:rsidP="00AE3D84">
      <w:pPr>
        <w:pStyle w:val="3-SubsectionHeading"/>
      </w:pPr>
      <w:bookmarkStart w:id="24" w:name="_Toc22897644"/>
      <w:bookmarkStart w:id="25" w:name="_Toc51078506"/>
      <w:r w:rsidRPr="00D77963">
        <w:t>Clinical claim</w:t>
      </w:r>
      <w:bookmarkEnd w:id="24"/>
      <w:bookmarkEnd w:id="25"/>
    </w:p>
    <w:p w:rsidR="00230810" w:rsidRPr="00D77963" w:rsidRDefault="00230810" w:rsidP="00DA4F48">
      <w:pPr>
        <w:numPr>
          <w:ilvl w:val="1"/>
          <w:numId w:val="1"/>
        </w:numPr>
        <w:spacing w:after="120"/>
        <w:rPr>
          <w:rFonts w:eastAsia="Calibri"/>
          <w:szCs w:val="22"/>
          <w:lang w:eastAsia="en-US"/>
        </w:rPr>
      </w:pPr>
      <w:r w:rsidRPr="00D77963">
        <w:rPr>
          <w:rFonts w:eastAsia="Calibri"/>
          <w:szCs w:val="22"/>
          <w:lang w:eastAsia="en-US"/>
        </w:rPr>
        <w:t xml:space="preserve">The submission claimed that </w:t>
      </w:r>
      <w:proofErr w:type="spellStart"/>
      <w:r w:rsidRPr="00D77963">
        <w:rPr>
          <w:rFonts w:eastAsia="Calibri"/>
          <w:szCs w:val="22"/>
          <w:lang w:eastAsia="en-US"/>
        </w:rPr>
        <w:t>galcanezumab</w:t>
      </w:r>
      <w:proofErr w:type="spellEnd"/>
      <w:r w:rsidRPr="00D77963">
        <w:rPr>
          <w:rFonts w:eastAsia="Calibri"/>
          <w:szCs w:val="22"/>
          <w:lang w:eastAsia="en-US"/>
        </w:rPr>
        <w:t xml:space="preserve">, in patients with treatment-resistant episodic migraine, is superior to best supportive care in terms of efficacy and with similar safety and tolerability. </w:t>
      </w:r>
    </w:p>
    <w:p w:rsidR="00230810" w:rsidRPr="00D77963" w:rsidRDefault="00230810" w:rsidP="00230810">
      <w:pPr>
        <w:numPr>
          <w:ilvl w:val="1"/>
          <w:numId w:val="1"/>
        </w:numPr>
        <w:spacing w:after="120"/>
        <w:rPr>
          <w:rFonts w:eastAsia="Calibri"/>
          <w:szCs w:val="22"/>
          <w:lang w:eastAsia="en-US"/>
        </w:rPr>
      </w:pPr>
      <w:r w:rsidRPr="00D77963">
        <w:t xml:space="preserve">While </w:t>
      </w:r>
      <w:proofErr w:type="spellStart"/>
      <w:r w:rsidRPr="00D77963">
        <w:t>galcanezumab</w:t>
      </w:r>
      <w:proofErr w:type="spellEnd"/>
      <w:r w:rsidRPr="00D77963">
        <w:t xml:space="preserve"> demonstrated a statistically significant advantage over placebo for the key outcomes of reduction in migraine days per month and ≥50% responder rate, and was generally well tolerated during the CONQUER trial, </w:t>
      </w:r>
      <w:r w:rsidR="00CF65B1" w:rsidRPr="00D77963">
        <w:t xml:space="preserve">the evaluation considered </w:t>
      </w:r>
      <w:r w:rsidRPr="00D77963">
        <w:t>there are a number of outstanding issues associated with this comparison</w:t>
      </w:r>
      <w:r w:rsidR="00E852A3" w:rsidRPr="00D77963">
        <w:t>.</w:t>
      </w:r>
      <w:r w:rsidRPr="00D77963">
        <w:t xml:space="preserve"> </w:t>
      </w:r>
    </w:p>
    <w:p w:rsidR="00E31FE7" w:rsidRPr="00D77963" w:rsidRDefault="00E31FE7" w:rsidP="00E31FE7">
      <w:pPr>
        <w:numPr>
          <w:ilvl w:val="1"/>
          <w:numId w:val="1"/>
        </w:numPr>
        <w:spacing w:after="120"/>
        <w:rPr>
          <w:rFonts w:eastAsia="Calibri"/>
          <w:szCs w:val="22"/>
          <w:lang w:eastAsia="en-US"/>
        </w:rPr>
      </w:pPr>
      <w:r w:rsidRPr="00D77963">
        <w:t xml:space="preserve">The episodic migraine subpopulation with ≥3 prior treatment failures in the CONQUER trial had relatively severe disease, with high monthly </w:t>
      </w:r>
      <w:r w:rsidR="00477465" w:rsidRPr="00D77963">
        <w:t>MHD</w:t>
      </w:r>
      <w:r w:rsidRPr="00D77963">
        <w:t xml:space="preserve"> at baseline (approximately 10 per month on average) and with a majority of patients (80%) diagnosed with high frequency episodic migraine, defined as 8 to &lt;15 </w:t>
      </w:r>
      <w:r w:rsidR="00477465" w:rsidRPr="00D77963">
        <w:t xml:space="preserve">MHD </w:t>
      </w:r>
      <w:r w:rsidRPr="00D77963">
        <w:t xml:space="preserve">per 30-day period. </w:t>
      </w:r>
      <w:r w:rsidR="00CF65B1" w:rsidRPr="00D77963">
        <w:t xml:space="preserve">The ESC considered it was </w:t>
      </w:r>
      <w:r w:rsidRPr="00D77963">
        <w:t>unclear whether disease severity in the trial would be similar in the proposed PBS population</w:t>
      </w:r>
      <w:r w:rsidR="00CF65B1" w:rsidRPr="00D77963">
        <w:t xml:space="preserve"> who are required to have 4 or more MHD.</w:t>
      </w:r>
    </w:p>
    <w:p w:rsidR="00F853FB" w:rsidRPr="00D77963" w:rsidRDefault="00F853FB" w:rsidP="00F853FB">
      <w:pPr>
        <w:numPr>
          <w:ilvl w:val="1"/>
          <w:numId w:val="1"/>
        </w:numPr>
        <w:spacing w:after="120"/>
        <w:rPr>
          <w:rFonts w:eastAsia="Calibri"/>
          <w:szCs w:val="22"/>
          <w:lang w:eastAsia="en-US"/>
        </w:rPr>
      </w:pPr>
      <w:r w:rsidRPr="00D77963">
        <w:t xml:space="preserve">The placebo arm of the CONQUER trial may not be a suitable proxy for best supportive care. While patients in the trial were allowed to use acute medicines for the treatment of migraines, they were not permitted to use prophylactic medications during the trial. </w:t>
      </w:r>
      <w:r w:rsidR="00DA3671" w:rsidRPr="00D77963">
        <w:t>The evaluation considered t</w:t>
      </w:r>
      <w:r w:rsidRPr="00D77963">
        <w:t>his may not reflect the management of patients in the PBS population.</w:t>
      </w:r>
      <w:r w:rsidR="00DA3671" w:rsidRPr="00D77963">
        <w:t xml:space="preserve"> </w:t>
      </w:r>
      <w:r w:rsidR="00CF65B1" w:rsidRPr="00D77963">
        <w:t xml:space="preserve">The ESC considered that, as </w:t>
      </w:r>
      <w:proofErr w:type="spellStart"/>
      <w:r w:rsidR="00CF65B1" w:rsidRPr="00D77963">
        <w:t>galcanezumab</w:t>
      </w:r>
      <w:proofErr w:type="spellEnd"/>
      <w:r w:rsidR="00CF65B1" w:rsidRPr="00D77963">
        <w:t xml:space="preserve"> was positioned as a last line treatment for migraine, the placebo arm of the CONQUER trial was a reasonable proxy for best support care and this had been previously accepted by the PBAC for other </w:t>
      </w:r>
      <w:r w:rsidR="00C06EFF" w:rsidRPr="00D77963">
        <w:t xml:space="preserve">medicines for </w:t>
      </w:r>
      <w:r w:rsidR="00CF65B1" w:rsidRPr="00D77963">
        <w:t>migraine (paragraph 5.1).</w:t>
      </w:r>
    </w:p>
    <w:p w:rsidR="00230810" w:rsidRPr="00D77963" w:rsidRDefault="00230810" w:rsidP="00230810">
      <w:pPr>
        <w:numPr>
          <w:ilvl w:val="1"/>
          <w:numId w:val="1"/>
        </w:numPr>
        <w:spacing w:after="120"/>
        <w:rPr>
          <w:rFonts w:eastAsia="Calibri"/>
          <w:szCs w:val="22"/>
          <w:lang w:eastAsia="en-US"/>
        </w:rPr>
      </w:pPr>
      <w:r w:rsidRPr="00D77963">
        <w:t xml:space="preserve">The CONQUER trial assessed outcomes at 12 weeks, and there remains uncertainty in any durability of effects and adverse events resulting from prolonged use. Some concerns exist about the long-term effects of continuous blocking of CGRP or its receptor due to CGRP’s cardiovascular protective role. Given that </w:t>
      </w:r>
      <w:proofErr w:type="spellStart"/>
      <w:r w:rsidRPr="00D77963">
        <w:t>galcanezumab</w:t>
      </w:r>
      <w:proofErr w:type="spellEnd"/>
      <w:r w:rsidRPr="00D77963">
        <w:t xml:space="preserve"> is expected to be a chronic treatment, with patients likely to take </w:t>
      </w:r>
      <w:proofErr w:type="spellStart"/>
      <w:r w:rsidRPr="00D77963">
        <w:t>galcanezumab</w:t>
      </w:r>
      <w:proofErr w:type="spellEnd"/>
      <w:r w:rsidRPr="00D77963">
        <w:t xml:space="preserve"> for a long duration (&gt; 1 year), studies with longer follow-up are needed.</w:t>
      </w:r>
    </w:p>
    <w:p w:rsidR="00230810" w:rsidRPr="00D77963" w:rsidRDefault="00230810" w:rsidP="00230810">
      <w:pPr>
        <w:numPr>
          <w:ilvl w:val="1"/>
          <w:numId w:val="1"/>
        </w:numPr>
        <w:spacing w:after="120"/>
        <w:rPr>
          <w:rFonts w:eastAsia="Calibri"/>
          <w:szCs w:val="22"/>
          <w:lang w:eastAsia="en-US"/>
        </w:rPr>
      </w:pPr>
      <w:r w:rsidRPr="00D77963">
        <w:t xml:space="preserve">There is a paucity of evidence on the optimal duration of treatment. Although patients may discontinue treatment due to poor tolerability or lack of efficacy, </w:t>
      </w:r>
      <w:r w:rsidR="00F51E0D" w:rsidRPr="00D77963">
        <w:t>patients who experience an improvement are also unlikely to remain on treatment indefinitely.</w:t>
      </w:r>
    </w:p>
    <w:p w:rsidR="00230810" w:rsidRPr="00D77963" w:rsidRDefault="00230810" w:rsidP="00230810">
      <w:pPr>
        <w:numPr>
          <w:ilvl w:val="1"/>
          <w:numId w:val="1"/>
        </w:numPr>
        <w:spacing w:after="120"/>
        <w:rPr>
          <w:rFonts w:eastAsia="Calibri"/>
          <w:szCs w:val="22"/>
          <w:lang w:eastAsia="en-US"/>
        </w:rPr>
      </w:pPr>
      <w:r w:rsidRPr="00D77963">
        <w:t xml:space="preserve">The therapeutic conclusion in the ≥3 treatment failure subgroup was based on an analysis of limited subgroup data. Further, this </w:t>
      </w:r>
      <w:proofErr w:type="spellStart"/>
      <w:r w:rsidRPr="00D77963">
        <w:t>prespecified</w:t>
      </w:r>
      <w:proofErr w:type="spellEnd"/>
      <w:r w:rsidRPr="00D77963">
        <w:t xml:space="preserve"> subpopulation included patients with 3 or 4 prior preventive medication category failures due to inadequate efficacy or safety/tolerability (as based on a subjective assessment by investigators at trial sites); the proposed restriction specifies patients who have experienced an </w:t>
      </w:r>
      <w:r w:rsidRPr="00D77963">
        <w:lastRenderedPageBreak/>
        <w:t>inadequate response, intolerance or a contraindication to at least three prior preventive migraine medications (within or between categories). Therefore, the PBS population may be</w:t>
      </w:r>
      <w:r w:rsidR="00E51411" w:rsidRPr="00D77963">
        <w:t xml:space="preserve"> less treatment experienced</w:t>
      </w:r>
      <w:r w:rsidRPr="00D77963">
        <w:t xml:space="preserve"> more treatment naïve (or </w:t>
      </w:r>
      <w:r w:rsidR="00E51411" w:rsidRPr="00D77963">
        <w:t xml:space="preserve">more </w:t>
      </w:r>
      <w:r w:rsidRPr="00D77963">
        <w:t xml:space="preserve">treatment experienced, in the case of those with more than 4 prior medications) than the trial subpopulation. </w:t>
      </w:r>
    </w:p>
    <w:p w:rsidR="00B53428" w:rsidRPr="00D77963" w:rsidRDefault="00B53428" w:rsidP="00B53428">
      <w:pPr>
        <w:numPr>
          <w:ilvl w:val="1"/>
          <w:numId w:val="1"/>
        </w:numPr>
        <w:spacing w:after="120"/>
        <w:rPr>
          <w:rFonts w:eastAsia="Calibri"/>
          <w:szCs w:val="22"/>
          <w:lang w:eastAsia="en-US"/>
        </w:rPr>
      </w:pPr>
      <w:r w:rsidRPr="00D77963">
        <w:t xml:space="preserve">The ESC considered the claim that </w:t>
      </w:r>
      <w:proofErr w:type="spellStart"/>
      <w:r w:rsidRPr="00D77963">
        <w:t>galcanezumab</w:t>
      </w:r>
      <w:proofErr w:type="spellEnd"/>
      <w:r w:rsidRPr="00D77963">
        <w:t xml:space="preserve">, in patients with treatment-resistant episodic migraine, is superior to best supportive care in terms of efficacy was supported.  The ESC considered </w:t>
      </w:r>
      <w:proofErr w:type="spellStart"/>
      <w:r w:rsidRPr="00D77963">
        <w:t>galcanezumab</w:t>
      </w:r>
      <w:proofErr w:type="spellEnd"/>
      <w:r w:rsidRPr="00D77963">
        <w:t xml:space="preserve"> appeared reasonably well tolerated </w:t>
      </w:r>
      <w:r w:rsidR="00A32544" w:rsidRPr="00D77963">
        <w:t xml:space="preserve">and the claim of non-inferior safety compared to best supportive may be reasonable </w:t>
      </w:r>
      <w:r w:rsidRPr="00D77963">
        <w:t xml:space="preserve">but noted the lack of long term safety data.  </w:t>
      </w:r>
      <w:r w:rsidR="00485DBF" w:rsidRPr="00D77963">
        <w:t xml:space="preserve">The PBAC agreed with the ESC that the clinical claims were supported </w:t>
      </w:r>
      <w:r w:rsidR="00AB2FEC" w:rsidRPr="00D77963">
        <w:t xml:space="preserve">by the clinical data presented </w:t>
      </w:r>
      <w:r w:rsidR="00485DBF" w:rsidRPr="00D77963">
        <w:t xml:space="preserve">but noted the benefit was modest and may not be realised in the population proposed for PBS listing. </w:t>
      </w:r>
    </w:p>
    <w:p w:rsidR="00B60939" w:rsidRPr="00D77963" w:rsidRDefault="00B60939" w:rsidP="00E9094A">
      <w:pPr>
        <w:pStyle w:val="3-SubsectionHeading"/>
      </w:pPr>
      <w:bookmarkStart w:id="26" w:name="_Toc22897645"/>
      <w:bookmarkStart w:id="27" w:name="_Toc51078507"/>
      <w:r w:rsidRPr="00D77963">
        <w:t>Economic analysis</w:t>
      </w:r>
      <w:bookmarkEnd w:id="26"/>
      <w:bookmarkEnd w:id="27"/>
      <w:r w:rsidR="00491B3A" w:rsidRPr="00D77963">
        <w:t xml:space="preserve"> </w:t>
      </w:r>
    </w:p>
    <w:p w:rsidR="00275C5A" w:rsidRPr="00D77963" w:rsidRDefault="00230810" w:rsidP="00471634">
      <w:pPr>
        <w:numPr>
          <w:ilvl w:val="1"/>
          <w:numId w:val="1"/>
        </w:numPr>
        <w:spacing w:after="120"/>
        <w:rPr>
          <w:rFonts w:eastAsia="Calibri"/>
          <w:szCs w:val="22"/>
          <w:lang w:eastAsia="en-US"/>
        </w:rPr>
      </w:pPr>
      <w:r w:rsidRPr="00D77963">
        <w:rPr>
          <w:rFonts w:eastAsia="Calibri"/>
          <w:szCs w:val="22"/>
          <w:lang w:eastAsia="en-US"/>
        </w:rPr>
        <w:t xml:space="preserve">The submission presented a cost-utility analysis based on the within-trial comparison of </w:t>
      </w:r>
      <w:proofErr w:type="spellStart"/>
      <w:r w:rsidRPr="00D77963">
        <w:rPr>
          <w:rFonts w:eastAsia="Calibri"/>
          <w:szCs w:val="22"/>
          <w:lang w:eastAsia="en-US"/>
        </w:rPr>
        <w:t>galcanezumab</w:t>
      </w:r>
      <w:proofErr w:type="spellEnd"/>
      <w:r w:rsidRPr="00D77963">
        <w:rPr>
          <w:rFonts w:eastAsia="Calibri"/>
          <w:szCs w:val="22"/>
          <w:lang w:eastAsia="en-US"/>
        </w:rPr>
        <w:t xml:space="preserve"> and placebo, with placebo as a proxy for best supportive care. </w:t>
      </w:r>
    </w:p>
    <w:p w:rsidR="008C5739" w:rsidRPr="00D77963" w:rsidRDefault="00E852A3" w:rsidP="008C5739">
      <w:pPr>
        <w:numPr>
          <w:ilvl w:val="1"/>
          <w:numId w:val="1"/>
        </w:numPr>
        <w:spacing w:after="120"/>
        <w:rPr>
          <w:rFonts w:eastAsia="Calibri"/>
          <w:szCs w:val="22"/>
          <w:lang w:eastAsia="en-US"/>
        </w:rPr>
      </w:pPr>
      <w:r w:rsidRPr="00D77963">
        <w:t xml:space="preserve">A summary of the model structure is presented in </w:t>
      </w:r>
      <w:r w:rsidR="00D5606A" w:rsidRPr="00D77963">
        <w:t xml:space="preserve">Table </w:t>
      </w:r>
      <w:r w:rsidR="00D5606A" w:rsidRPr="00D77963">
        <w:rPr>
          <w:noProof/>
        </w:rPr>
        <w:t>9</w:t>
      </w:r>
      <w:r w:rsidR="008C5739" w:rsidRPr="00D77963">
        <w:t xml:space="preserve">.  </w:t>
      </w:r>
    </w:p>
    <w:p w:rsidR="00275C5A" w:rsidRPr="00D77963" w:rsidRDefault="006F5006" w:rsidP="006F5006">
      <w:pPr>
        <w:pStyle w:val="TableFigureCaption"/>
      </w:pPr>
      <w:bookmarkStart w:id="28" w:name="_Ref53751756"/>
      <w:r w:rsidRPr="00D77963">
        <w:lastRenderedPageBreak/>
        <w:t xml:space="preserve">Table </w:t>
      </w:r>
      <w:r w:rsidR="00D5606A" w:rsidRPr="00D77963">
        <w:rPr>
          <w:noProof/>
        </w:rPr>
        <w:t>9</w:t>
      </w:r>
      <w:bookmarkEnd w:id="28"/>
      <w:r w:rsidRPr="00D77963">
        <w:t xml:space="preserve">: </w:t>
      </w:r>
      <w:r w:rsidR="00275C5A" w:rsidRPr="00D77963">
        <w:t>Summary of model structure</w:t>
      </w:r>
      <w:r w:rsidR="00184B0E" w:rsidRPr="00D77963">
        <w:t>, key inputs</w:t>
      </w:r>
      <w:r w:rsidR="00275C5A" w:rsidRPr="00D77963">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275C5A" w:rsidRPr="00D77963" w:rsidTr="00D77963">
        <w:trPr>
          <w:tblHeader/>
        </w:trPr>
        <w:tc>
          <w:tcPr>
            <w:tcW w:w="1396" w:type="pct"/>
            <w:shd w:val="clear" w:color="auto" w:fill="auto"/>
            <w:vAlign w:val="center"/>
          </w:tcPr>
          <w:p w:rsidR="00275C5A" w:rsidRPr="00D77963" w:rsidRDefault="00275C5A" w:rsidP="00641FB3">
            <w:pPr>
              <w:pStyle w:val="Tableheadingrow"/>
              <w:rPr>
                <w:lang w:val="en-AU"/>
              </w:rPr>
            </w:pPr>
            <w:r w:rsidRPr="00D77963">
              <w:rPr>
                <w:lang w:val="en-AU"/>
              </w:rPr>
              <w:t>Component</w:t>
            </w:r>
          </w:p>
        </w:tc>
        <w:tc>
          <w:tcPr>
            <w:tcW w:w="3604" w:type="pct"/>
            <w:shd w:val="clear" w:color="auto" w:fill="auto"/>
            <w:vAlign w:val="center"/>
          </w:tcPr>
          <w:p w:rsidR="00275C5A" w:rsidRPr="00D77963" w:rsidRDefault="00275C5A" w:rsidP="00641FB3">
            <w:pPr>
              <w:pStyle w:val="Tableheadingrow"/>
              <w:rPr>
                <w:lang w:val="en-AU"/>
              </w:rPr>
            </w:pPr>
            <w:r w:rsidRPr="00D77963">
              <w:rPr>
                <w:lang w:val="en-AU"/>
              </w:rPr>
              <w:t>Summary</w:t>
            </w:r>
          </w:p>
        </w:tc>
      </w:tr>
      <w:tr w:rsidR="00EB46F9" w:rsidRPr="00D77963" w:rsidTr="00D77963">
        <w:tc>
          <w:tcPr>
            <w:tcW w:w="1396" w:type="pct"/>
            <w:vAlign w:val="center"/>
          </w:tcPr>
          <w:p w:rsidR="00EB46F9" w:rsidRPr="00D77963" w:rsidRDefault="00EB46F9" w:rsidP="00EB46F9">
            <w:pPr>
              <w:pStyle w:val="TableText"/>
            </w:pPr>
            <w:r w:rsidRPr="00D77963">
              <w:t>Type of analysis</w:t>
            </w:r>
          </w:p>
        </w:tc>
        <w:tc>
          <w:tcPr>
            <w:tcW w:w="3604" w:type="pct"/>
          </w:tcPr>
          <w:p w:rsidR="00EB46F9" w:rsidRPr="00D77963" w:rsidRDefault="00EB46F9" w:rsidP="00EB46F9">
            <w:pPr>
              <w:pStyle w:val="TableText"/>
            </w:pPr>
            <w:r w:rsidRPr="00D77963">
              <w:t>Cost-effectiveness analysis and cost-utility analysis</w:t>
            </w:r>
          </w:p>
        </w:tc>
      </w:tr>
      <w:tr w:rsidR="00EB46F9" w:rsidRPr="00D77963" w:rsidTr="00D77963">
        <w:tc>
          <w:tcPr>
            <w:tcW w:w="1396" w:type="pct"/>
            <w:vAlign w:val="center"/>
          </w:tcPr>
          <w:p w:rsidR="00EB46F9" w:rsidRPr="00D77963" w:rsidRDefault="00EB46F9" w:rsidP="00EB46F9">
            <w:pPr>
              <w:pStyle w:val="TableText"/>
            </w:pPr>
            <w:r w:rsidRPr="00D77963">
              <w:t>Comparison</w:t>
            </w:r>
          </w:p>
        </w:tc>
        <w:tc>
          <w:tcPr>
            <w:tcW w:w="3604" w:type="pct"/>
          </w:tcPr>
          <w:p w:rsidR="00EB46F9" w:rsidRPr="00D77963" w:rsidRDefault="00EB46F9" w:rsidP="00EB46F9">
            <w:pPr>
              <w:pStyle w:val="TableText"/>
            </w:pPr>
            <w:proofErr w:type="spellStart"/>
            <w:r w:rsidRPr="00D77963">
              <w:t>Galcanezumab</w:t>
            </w:r>
            <w:proofErr w:type="spellEnd"/>
            <w:r w:rsidRPr="00D77963">
              <w:t xml:space="preserve"> versus placebo (as a proxy for best supportive care)</w:t>
            </w:r>
          </w:p>
        </w:tc>
      </w:tr>
      <w:tr w:rsidR="00EB46F9" w:rsidRPr="00D77963" w:rsidTr="00D77963">
        <w:tc>
          <w:tcPr>
            <w:tcW w:w="1396" w:type="pct"/>
            <w:vAlign w:val="center"/>
          </w:tcPr>
          <w:p w:rsidR="00EB46F9" w:rsidRPr="00D77963" w:rsidRDefault="00EB46F9" w:rsidP="00EB46F9">
            <w:pPr>
              <w:pStyle w:val="TableText"/>
            </w:pPr>
            <w:r w:rsidRPr="00D77963">
              <w:t>Outcomes</w:t>
            </w:r>
          </w:p>
        </w:tc>
        <w:tc>
          <w:tcPr>
            <w:tcW w:w="3604" w:type="pct"/>
          </w:tcPr>
          <w:p w:rsidR="00EB46F9" w:rsidRPr="00D77963" w:rsidRDefault="00EB46F9" w:rsidP="00EB46F9">
            <w:pPr>
              <w:pStyle w:val="TableText"/>
            </w:pPr>
            <w:r w:rsidRPr="00D77963">
              <w:t>Migraine headache days; quality-adjusted life years (QALYs)</w:t>
            </w:r>
          </w:p>
        </w:tc>
      </w:tr>
      <w:tr w:rsidR="00EB46F9" w:rsidRPr="00D77963" w:rsidTr="00D77963">
        <w:tc>
          <w:tcPr>
            <w:tcW w:w="1396" w:type="pct"/>
            <w:vAlign w:val="center"/>
          </w:tcPr>
          <w:p w:rsidR="00EB46F9" w:rsidRPr="00D77963" w:rsidRDefault="00EB46F9" w:rsidP="00EB46F9">
            <w:pPr>
              <w:pStyle w:val="TableText"/>
            </w:pPr>
            <w:r w:rsidRPr="00D77963">
              <w:t>Time horizon</w:t>
            </w:r>
          </w:p>
        </w:tc>
        <w:tc>
          <w:tcPr>
            <w:tcW w:w="3604" w:type="pct"/>
          </w:tcPr>
          <w:p w:rsidR="00EB46F9" w:rsidRPr="00D77963" w:rsidRDefault="00EB46F9" w:rsidP="00EB46F9">
            <w:pPr>
              <w:pStyle w:val="TableText"/>
            </w:pPr>
            <w:r w:rsidRPr="00D77963">
              <w:t>5 years in the model base case compared with 12 weeks double blind treatment period in the CONQUER trial</w:t>
            </w:r>
          </w:p>
        </w:tc>
      </w:tr>
      <w:tr w:rsidR="00EB46F9" w:rsidRPr="00D77963" w:rsidTr="00D77963">
        <w:tc>
          <w:tcPr>
            <w:tcW w:w="1396" w:type="pct"/>
            <w:vAlign w:val="center"/>
          </w:tcPr>
          <w:p w:rsidR="00EB46F9" w:rsidRPr="00D77963" w:rsidRDefault="00EB46F9" w:rsidP="00EB46F9">
            <w:pPr>
              <w:pStyle w:val="TableText"/>
            </w:pPr>
            <w:r w:rsidRPr="00D77963">
              <w:t>Methods used to generate results</w:t>
            </w:r>
          </w:p>
        </w:tc>
        <w:tc>
          <w:tcPr>
            <w:tcW w:w="3604" w:type="pct"/>
          </w:tcPr>
          <w:p w:rsidR="00EB46F9" w:rsidRPr="00D77963" w:rsidRDefault="00EB46F9" w:rsidP="00EB46F9">
            <w:pPr>
              <w:pStyle w:val="TableText"/>
            </w:pPr>
            <w:r w:rsidRPr="00D77963">
              <w:t>Markov state transition model</w:t>
            </w:r>
          </w:p>
        </w:tc>
      </w:tr>
      <w:tr w:rsidR="00EB46F9" w:rsidRPr="00D77963" w:rsidTr="00D77963">
        <w:tc>
          <w:tcPr>
            <w:tcW w:w="1396" w:type="pct"/>
            <w:vAlign w:val="center"/>
          </w:tcPr>
          <w:p w:rsidR="00EB46F9" w:rsidRPr="00D77963" w:rsidRDefault="00EB46F9" w:rsidP="00EB46F9">
            <w:pPr>
              <w:pStyle w:val="TableText"/>
            </w:pPr>
            <w:r w:rsidRPr="00D77963">
              <w:t>Health states</w:t>
            </w:r>
          </w:p>
        </w:tc>
        <w:tc>
          <w:tcPr>
            <w:tcW w:w="3604" w:type="pct"/>
          </w:tcPr>
          <w:p w:rsidR="00EB46F9" w:rsidRPr="00D77963" w:rsidRDefault="00EB46F9" w:rsidP="00EB46F9">
            <w:pPr>
              <w:pStyle w:val="PBACTableText"/>
              <w:jc w:val="left"/>
            </w:pPr>
            <w:r w:rsidRPr="00D77963">
              <w:t>On treatment/responder (after 12-week assessment)</w:t>
            </w:r>
          </w:p>
          <w:p w:rsidR="00EB46F9" w:rsidRPr="00D77963" w:rsidRDefault="00EB46F9" w:rsidP="00EB46F9">
            <w:pPr>
              <w:pStyle w:val="PBACTableText"/>
              <w:jc w:val="left"/>
            </w:pPr>
            <w:r w:rsidRPr="00D77963">
              <w:t>Discontinued (due to poor response)</w:t>
            </w:r>
          </w:p>
          <w:p w:rsidR="00EB46F9" w:rsidRPr="00D77963" w:rsidRDefault="00EB46F9" w:rsidP="00EB46F9">
            <w:pPr>
              <w:pStyle w:val="PBACTableText"/>
              <w:jc w:val="left"/>
            </w:pPr>
            <w:r w:rsidRPr="00D77963">
              <w:t>Discontinued (due to adverse events)</w:t>
            </w:r>
          </w:p>
          <w:p w:rsidR="00EB46F9" w:rsidRPr="00D77963" w:rsidRDefault="00EB46F9" w:rsidP="00EB46F9">
            <w:pPr>
              <w:pStyle w:val="TableText"/>
            </w:pPr>
            <w:r w:rsidRPr="00D77963">
              <w:t>Dead</w:t>
            </w:r>
          </w:p>
        </w:tc>
      </w:tr>
      <w:tr w:rsidR="00EB46F9" w:rsidRPr="00D77963" w:rsidTr="00D77963">
        <w:tc>
          <w:tcPr>
            <w:tcW w:w="1396" w:type="pct"/>
            <w:vAlign w:val="center"/>
          </w:tcPr>
          <w:p w:rsidR="00EB46F9" w:rsidRPr="00D77963" w:rsidRDefault="00EB46F9" w:rsidP="00EB46F9">
            <w:pPr>
              <w:pStyle w:val="TableText"/>
            </w:pPr>
            <w:r w:rsidRPr="00D77963">
              <w:t>Cycle length</w:t>
            </w:r>
          </w:p>
        </w:tc>
        <w:tc>
          <w:tcPr>
            <w:tcW w:w="3604" w:type="pct"/>
          </w:tcPr>
          <w:p w:rsidR="00EB46F9" w:rsidRPr="00D77963" w:rsidRDefault="00EB46F9" w:rsidP="00EB46F9">
            <w:pPr>
              <w:pStyle w:val="TableText"/>
            </w:pPr>
            <w:r w:rsidRPr="00D77963">
              <w:t xml:space="preserve">One month (30 days) </w:t>
            </w:r>
          </w:p>
        </w:tc>
      </w:tr>
      <w:tr w:rsidR="00EB46F9" w:rsidRPr="00D77963" w:rsidTr="00D77963">
        <w:tc>
          <w:tcPr>
            <w:tcW w:w="1396" w:type="pct"/>
            <w:vAlign w:val="center"/>
          </w:tcPr>
          <w:p w:rsidR="00EB46F9" w:rsidRPr="00D77963" w:rsidRDefault="00EB46F9" w:rsidP="00EB46F9">
            <w:pPr>
              <w:pStyle w:val="TableText"/>
            </w:pPr>
            <w:r w:rsidRPr="00D77963">
              <w:t>Transition probabilities</w:t>
            </w:r>
          </w:p>
        </w:tc>
        <w:tc>
          <w:tcPr>
            <w:tcW w:w="3604" w:type="pct"/>
          </w:tcPr>
          <w:p w:rsidR="00EB46F9" w:rsidRPr="00D77963" w:rsidRDefault="00EB46F9" w:rsidP="00EB46F9">
            <w:pPr>
              <w:pStyle w:val="Tabletext0"/>
            </w:pPr>
            <w:r w:rsidRPr="00D77963">
              <w:t>Response rates from the CONQUER trial (</w:t>
            </w:r>
            <w:r w:rsidRPr="00D77963">
              <w:rPr>
                <w:rFonts w:cs="Calibri"/>
              </w:rPr>
              <w:t>≥</w:t>
            </w:r>
            <w:r w:rsidRPr="00D77963">
              <w:t>3 treatment failure episodic migraine subgroup)</w:t>
            </w:r>
          </w:p>
          <w:p w:rsidR="006636EB" w:rsidRPr="00D77963" w:rsidRDefault="00EB46F9" w:rsidP="00EB46F9">
            <w:pPr>
              <w:pStyle w:val="Tabletext0"/>
            </w:pPr>
            <w:r w:rsidRPr="00D77963">
              <w:t xml:space="preserve">Mean migraine headache days modelled from the observed migraine headache day distributions in the CONQUER and EVOLVE 1 and 2 trials </w:t>
            </w:r>
          </w:p>
          <w:p w:rsidR="00EB46F9" w:rsidRPr="00D77963" w:rsidRDefault="006636EB" w:rsidP="00EB46F9">
            <w:pPr>
              <w:pStyle w:val="Tabletext0"/>
            </w:pPr>
            <w:r w:rsidRPr="00D77963">
              <w:t xml:space="preserve">Return to baseline migraine headache days informed by </w:t>
            </w:r>
            <w:r w:rsidR="00AF3196" w:rsidRPr="00D77963">
              <w:t xml:space="preserve">washout data </w:t>
            </w:r>
            <w:r w:rsidRPr="00D77963">
              <w:t>in the EVOLVE trials</w:t>
            </w:r>
          </w:p>
          <w:p w:rsidR="00F51E0D" w:rsidRPr="00D77963" w:rsidRDefault="00EB46F9" w:rsidP="00EB46F9">
            <w:pPr>
              <w:pStyle w:val="TableText"/>
            </w:pPr>
            <w:r w:rsidRPr="00D77963">
              <w:t xml:space="preserve">Discontinuation due to adverse events from CGAJ open-label study </w:t>
            </w:r>
          </w:p>
          <w:p w:rsidR="00EB46F9" w:rsidRPr="00D77963" w:rsidRDefault="00EB46F9" w:rsidP="00EB46F9">
            <w:pPr>
              <w:pStyle w:val="TableText"/>
            </w:pPr>
            <w:r w:rsidRPr="00D77963">
              <w:t>Background mortality using annual age-specific mortality (ABS life tables)</w:t>
            </w:r>
          </w:p>
        </w:tc>
      </w:tr>
      <w:tr w:rsidR="00EB46F9" w:rsidRPr="00D77963" w:rsidTr="00D77963">
        <w:tc>
          <w:tcPr>
            <w:tcW w:w="1396" w:type="pct"/>
            <w:vAlign w:val="center"/>
          </w:tcPr>
          <w:p w:rsidR="00EB46F9" w:rsidRPr="00D77963" w:rsidRDefault="00EB46F9" w:rsidP="00EB46F9">
            <w:pPr>
              <w:pStyle w:val="TableText"/>
            </w:pPr>
            <w:r w:rsidRPr="00D77963">
              <w:t>Utilities</w:t>
            </w:r>
          </w:p>
        </w:tc>
        <w:tc>
          <w:tcPr>
            <w:tcW w:w="3604" w:type="pct"/>
          </w:tcPr>
          <w:p w:rsidR="00EB46F9" w:rsidRPr="00D77963" w:rsidRDefault="00EB46F9" w:rsidP="008D2D1D">
            <w:pPr>
              <w:pStyle w:val="TableText"/>
            </w:pPr>
            <w:r w:rsidRPr="00D77963">
              <w:t>Utility values mapped from the MSQ in CONQUER to EQ-5D-3L using an algorithm published by Gillard et al. (2012)</w:t>
            </w:r>
            <w:r w:rsidR="008D2D1D" w:rsidRPr="00D77963">
              <w:t>. The ESC noted a mixed model regression analysis of the transformed utilities was used to determine the utility gain applied in the economic model</w:t>
            </w:r>
            <w:r w:rsidR="001133D8" w:rsidRPr="00D77963">
              <w:t>, rather than a direct mapping</w:t>
            </w:r>
            <w:r w:rsidR="008D2D1D" w:rsidRPr="00D77963">
              <w:t xml:space="preserve">.  </w:t>
            </w:r>
          </w:p>
        </w:tc>
      </w:tr>
      <w:tr w:rsidR="009319B5" w:rsidRPr="00D77963" w:rsidTr="00D77963">
        <w:tc>
          <w:tcPr>
            <w:tcW w:w="1396" w:type="pct"/>
            <w:vAlign w:val="center"/>
          </w:tcPr>
          <w:p w:rsidR="009319B5" w:rsidRPr="00D77963" w:rsidRDefault="009319B5" w:rsidP="00EB46F9">
            <w:pPr>
              <w:pStyle w:val="TableText"/>
            </w:pPr>
            <w:r w:rsidRPr="00D77963">
              <w:t>Costs</w:t>
            </w:r>
          </w:p>
        </w:tc>
        <w:tc>
          <w:tcPr>
            <w:tcW w:w="3604" w:type="pct"/>
          </w:tcPr>
          <w:p w:rsidR="009319B5" w:rsidRPr="00D77963" w:rsidRDefault="009319B5" w:rsidP="009319B5">
            <w:pPr>
              <w:pStyle w:val="TableText"/>
            </w:pPr>
            <w:proofErr w:type="spellStart"/>
            <w:r w:rsidRPr="00D77963">
              <w:t>Galcanezumab</w:t>
            </w:r>
            <w:proofErr w:type="spellEnd"/>
            <w:r w:rsidRPr="00D77963">
              <w:t xml:space="preserve"> drug costs based on the proposed effective DPMQ. </w:t>
            </w:r>
          </w:p>
          <w:p w:rsidR="009319B5" w:rsidRPr="00D77963" w:rsidRDefault="009319B5" w:rsidP="009319B5">
            <w:pPr>
              <w:pStyle w:val="TableText"/>
            </w:pPr>
            <w:r w:rsidRPr="00D77963">
              <w:t>No drug cost applied for placebo/best supportive care</w:t>
            </w:r>
          </w:p>
          <w:p w:rsidR="009319B5" w:rsidRPr="00D77963" w:rsidRDefault="009319B5" w:rsidP="009319B5">
            <w:pPr>
              <w:pStyle w:val="TableText"/>
            </w:pPr>
            <w:r w:rsidRPr="00D77963">
              <w:t>Acute medication use associated with each monthly migraine headache day predicted from CONQUER trial (ITT population, including both chronic and episodic migraine patients) using a binomial distribution. Unit costs based on PBS and OTC prices.</w:t>
            </w:r>
          </w:p>
          <w:p w:rsidR="009319B5" w:rsidRPr="00D77963" w:rsidRDefault="009319B5" w:rsidP="009319B5">
            <w:pPr>
              <w:pStyle w:val="TableText"/>
            </w:pPr>
            <w:r w:rsidRPr="00D77963">
              <w:t xml:space="preserve">Disease management costs (GP visits, specialist visits, nurse practitioner visits, emergency department visits, </w:t>
            </w:r>
            <w:proofErr w:type="gramStart"/>
            <w:r w:rsidR="00C039E7" w:rsidRPr="00D77963">
              <w:t>hospitalisations</w:t>
            </w:r>
            <w:proofErr w:type="gramEnd"/>
            <w:r w:rsidRPr="00D77963">
              <w:t xml:space="preserve">) by monthly migraine days based on the UK National Health and Wellness Survey (NHWS) included in the </w:t>
            </w:r>
            <w:proofErr w:type="spellStart"/>
            <w:r w:rsidRPr="00D77963">
              <w:t>erenumab</w:t>
            </w:r>
            <w:proofErr w:type="spellEnd"/>
            <w:r w:rsidRPr="00D77963">
              <w:t xml:space="preserve"> submission to NICE. Unit costs based on MBS, AR-DRG and Urgency Related Group items.</w:t>
            </w:r>
          </w:p>
        </w:tc>
      </w:tr>
      <w:tr w:rsidR="00EB46F9" w:rsidRPr="00D77963" w:rsidTr="00D77963">
        <w:tc>
          <w:tcPr>
            <w:tcW w:w="1396" w:type="pct"/>
            <w:vAlign w:val="center"/>
          </w:tcPr>
          <w:p w:rsidR="00EB46F9" w:rsidRPr="00D77963" w:rsidRDefault="00EB46F9" w:rsidP="00EB46F9">
            <w:pPr>
              <w:pStyle w:val="TableText"/>
            </w:pPr>
            <w:r w:rsidRPr="00D77963">
              <w:t>Software package</w:t>
            </w:r>
          </w:p>
        </w:tc>
        <w:tc>
          <w:tcPr>
            <w:tcW w:w="3604" w:type="pct"/>
          </w:tcPr>
          <w:p w:rsidR="00EB46F9" w:rsidRPr="00D77963" w:rsidRDefault="00EB46F9" w:rsidP="00EB46F9">
            <w:pPr>
              <w:pStyle w:val="TableText"/>
            </w:pPr>
            <w:r w:rsidRPr="00D77963">
              <w:t xml:space="preserve">Microsoft Excel </w:t>
            </w:r>
          </w:p>
        </w:tc>
      </w:tr>
    </w:tbl>
    <w:p w:rsidR="003270E4" w:rsidRPr="00D77963" w:rsidRDefault="00EB46F9" w:rsidP="00BB00B3">
      <w:pPr>
        <w:pStyle w:val="TableFigureFooter"/>
      </w:pPr>
      <w:r w:rsidRPr="00D77963">
        <w:t>Source: Table 3.3.1 of the submission</w:t>
      </w:r>
    </w:p>
    <w:p w:rsidR="00521A07" w:rsidRPr="00D77963" w:rsidRDefault="00EB46F9" w:rsidP="00521A07">
      <w:pPr>
        <w:numPr>
          <w:ilvl w:val="1"/>
          <w:numId w:val="1"/>
        </w:numPr>
        <w:spacing w:after="120"/>
      </w:pPr>
      <w:r w:rsidRPr="00D77963">
        <w:t xml:space="preserve">A summary of the key drivers of the economic model is presented in </w:t>
      </w:r>
      <w:r w:rsidR="00D5606A" w:rsidRPr="00D77963">
        <w:t xml:space="preserve">Table </w:t>
      </w:r>
      <w:r w:rsidR="00D5606A" w:rsidRPr="00D77963">
        <w:rPr>
          <w:noProof/>
        </w:rPr>
        <w:t>10</w:t>
      </w:r>
      <w:r w:rsidR="00D27891" w:rsidRPr="00D77963">
        <w:t xml:space="preserve"> </w:t>
      </w:r>
      <w:r w:rsidRPr="00D77963">
        <w:t>below.</w:t>
      </w:r>
    </w:p>
    <w:p w:rsidR="00521A07" w:rsidRPr="00D77963" w:rsidRDefault="00521A07">
      <w:pPr>
        <w:jc w:val="left"/>
      </w:pPr>
      <w:r w:rsidRPr="00D77963">
        <w:br w:type="page"/>
      </w:r>
    </w:p>
    <w:p w:rsidR="00D110BD" w:rsidRPr="00D77963" w:rsidRDefault="006F5006" w:rsidP="006F5006">
      <w:pPr>
        <w:pStyle w:val="TableFigureCaption"/>
      </w:pPr>
      <w:bookmarkStart w:id="29" w:name="_Ref53751782"/>
      <w:r w:rsidRPr="00D77963">
        <w:lastRenderedPageBreak/>
        <w:t xml:space="preserve">Table </w:t>
      </w:r>
      <w:r w:rsidR="00D5606A" w:rsidRPr="00D77963">
        <w:rPr>
          <w:noProof/>
        </w:rPr>
        <w:t>10</w:t>
      </w:r>
      <w:bookmarkEnd w:id="29"/>
      <w:r w:rsidRPr="00D77963">
        <w:t xml:space="preserve">: </w:t>
      </w:r>
      <w:r w:rsidR="00D110BD" w:rsidRPr="00D77963">
        <w:t>Key drivers of the model</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7"/>
        <w:gridCol w:w="6665"/>
        <w:gridCol w:w="1225"/>
      </w:tblGrid>
      <w:tr w:rsidR="00537182" w:rsidRPr="00D77963" w:rsidTr="00D77963">
        <w:trPr>
          <w:tblHeader/>
        </w:trPr>
        <w:tc>
          <w:tcPr>
            <w:tcW w:w="625" w:type="pct"/>
            <w:shd w:val="clear" w:color="auto" w:fill="auto"/>
            <w:vAlign w:val="center"/>
          </w:tcPr>
          <w:p w:rsidR="00D110BD" w:rsidRPr="00D77963" w:rsidRDefault="00D110BD" w:rsidP="00B62ACA">
            <w:pPr>
              <w:pStyle w:val="Tableheadingrow"/>
              <w:rPr>
                <w:szCs w:val="20"/>
                <w:lang w:val="en-AU"/>
              </w:rPr>
            </w:pPr>
            <w:r w:rsidRPr="00D77963">
              <w:rPr>
                <w:szCs w:val="20"/>
                <w:lang w:val="en-AU"/>
              </w:rPr>
              <w:t>Description</w:t>
            </w:r>
          </w:p>
        </w:tc>
        <w:tc>
          <w:tcPr>
            <w:tcW w:w="3695" w:type="pct"/>
            <w:shd w:val="clear" w:color="auto" w:fill="auto"/>
            <w:vAlign w:val="center"/>
          </w:tcPr>
          <w:p w:rsidR="00D110BD" w:rsidRPr="00D77963" w:rsidRDefault="00D110BD" w:rsidP="00E852A3">
            <w:pPr>
              <w:pStyle w:val="Tableheadingrow"/>
              <w:jc w:val="center"/>
              <w:rPr>
                <w:szCs w:val="20"/>
                <w:lang w:val="en-AU"/>
              </w:rPr>
            </w:pPr>
            <w:r w:rsidRPr="00D77963">
              <w:rPr>
                <w:szCs w:val="20"/>
                <w:lang w:val="en-AU"/>
              </w:rPr>
              <w:t>Method/Value</w:t>
            </w:r>
          </w:p>
        </w:tc>
        <w:tc>
          <w:tcPr>
            <w:tcW w:w="679" w:type="pct"/>
            <w:shd w:val="clear" w:color="auto" w:fill="auto"/>
            <w:vAlign w:val="center"/>
          </w:tcPr>
          <w:p w:rsidR="00490B17" w:rsidRPr="00D77963" w:rsidRDefault="00D110BD" w:rsidP="00E852A3">
            <w:pPr>
              <w:pStyle w:val="Tableheadingrow"/>
              <w:jc w:val="center"/>
              <w:rPr>
                <w:szCs w:val="20"/>
                <w:lang w:val="en-AU"/>
              </w:rPr>
            </w:pPr>
            <w:r w:rsidRPr="00D77963">
              <w:rPr>
                <w:szCs w:val="20"/>
                <w:lang w:val="en-AU"/>
              </w:rPr>
              <w:t>Impact</w:t>
            </w:r>
          </w:p>
        </w:tc>
      </w:tr>
      <w:tr w:rsidR="00C16ECC" w:rsidRPr="00D77963" w:rsidTr="00D77963">
        <w:tc>
          <w:tcPr>
            <w:tcW w:w="625" w:type="pct"/>
            <w:shd w:val="clear" w:color="auto" w:fill="auto"/>
            <w:vAlign w:val="center"/>
          </w:tcPr>
          <w:p w:rsidR="00C16ECC" w:rsidRPr="00D77963" w:rsidRDefault="00C16ECC" w:rsidP="00B62ACA">
            <w:pPr>
              <w:pStyle w:val="TableText"/>
              <w:rPr>
                <w:szCs w:val="20"/>
              </w:rPr>
            </w:pPr>
            <w:r w:rsidRPr="00D77963">
              <w:rPr>
                <w:szCs w:val="20"/>
              </w:rPr>
              <w:t>Clinical evidence</w:t>
            </w:r>
          </w:p>
        </w:tc>
        <w:tc>
          <w:tcPr>
            <w:tcW w:w="3695" w:type="pct"/>
            <w:shd w:val="clear" w:color="auto" w:fill="auto"/>
            <w:vAlign w:val="center"/>
          </w:tcPr>
          <w:p w:rsidR="00C16ECC" w:rsidRPr="00D77963" w:rsidRDefault="00C16ECC" w:rsidP="00D27891">
            <w:pPr>
              <w:pStyle w:val="TableText"/>
              <w:rPr>
                <w:szCs w:val="20"/>
              </w:rPr>
            </w:pPr>
            <w:r w:rsidRPr="00D77963">
              <w:rPr>
                <w:szCs w:val="20"/>
              </w:rPr>
              <w:t xml:space="preserve">The model applied a response-based stopping rule assessed at </w:t>
            </w:r>
            <w:r w:rsidR="00E852A3" w:rsidRPr="00D77963">
              <w:rPr>
                <w:szCs w:val="20"/>
              </w:rPr>
              <w:t>3 months</w:t>
            </w:r>
            <w:r w:rsidRPr="00D77963">
              <w:rPr>
                <w:szCs w:val="20"/>
              </w:rPr>
              <w:t>, where a response is defined as ≥50% reduction in monthly migraine days from baseline, based on the proportion of patients who achieved this outcome in the relevant subgroup (</w:t>
            </w:r>
            <w:r w:rsidR="00E852A3" w:rsidRPr="00D77963">
              <w:rPr>
                <w:szCs w:val="20"/>
              </w:rPr>
              <w:t>41.1</w:t>
            </w:r>
            <w:r w:rsidRPr="00D77963">
              <w:rPr>
                <w:szCs w:val="20"/>
              </w:rPr>
              <w:t xml:space="preserve">% </w:t>
            </w:r>
            <w:r w:rsidR="00E852A3" w:rsidRPr="00D77963">
              <w:rPr>
                <w:szCs w:val="20"/>
              </w:rPr>
              <w:t xml:space="preserve">in the </w:t>
            </w:r>
            <w:proofErr w:type="spellStart"/>
            <w:r w:rsidR="00E852A3" w:rsidRPr="00D77963">
              <w:rPr>
                <w:szCs w:val="20"/>
              </w:rPr>
              <w:t>galcanezumab</w:t>
            </w:r>
            <w:proofErr w:type="spellEnd"/>
            <w:r w:rsidR="00E852A3" w:rsidRPr="00D77963">
              <w:rPr>
                <w:szCs w:val="20"/>
              </w:rPr>
              <w:t xml:space="preserve"> treatment arm</w:t>
            </w:r>
            <w:r w:rsidRPr="00D77963">
              <w:rPr>
                <w:szCs w:val="20"/>
              </w:rPr>
              <w:t>).</w:t>
            </w:r>
            <w:r w:rsidR="00E31FE7" w:rsidRPr="00D77963">
              <w:rPr>
                <w:szCs w:val="20"/>
              </w:rPr>
              <w:t xml:space="preserve"> There is a risk that a higher proportion of patients will continue treatment, who still achieve a </w:t>
            </w:r>
            <w:r w:rsidR="00D27891" w:rsidRPr="00D77963">
              <w:rPr>
                <w:szCs w:val="20"/>
              </w:rPr>
              <w:t xml:space="preserve">meaningful </w:t>
            </w:r>
            <w:r w:rsidR="00E31FE7" w:rsidRPr="00D77963">
              <w:rPr>
                <w:szCs w:val="20"/>
              </w:rPr>
              <w:t xml:space="preserve">clinical benefit from treatment with </w:t>
            </w:r>
            <w:proofErr w:type="spellStart"/>
            <w:r w:rsidR="00E31FE7" w:rsidRPr="00D77963">
              <w:rPr>
                <w:szCs w:val="20"/>
              </w:rPr>
              <w:t>galcanezumab</w:t>
            </w:r>
            <w:proofErr w:type="spellEnd"/>
            <w:r w:rsidR="00E31FE7" w:rsidRPr="00D77963">
              <w:rPr>
                <w:szCs w:val="20"/>
              </w:rPr>
              <w:t xml:space="preserve"> but without achieving the large decrease in migraine days associated with responders in the model (i.e. those with &lt;50% response rate).</w:t>
            </w:r>
            <w:r w:rsidRPr="00D77963">
              <w:rPr>
                <w:szCs w:val="20"/>
              </w:rPr>
              <w:t xml:space="preserve"> </w:t>
            </w:r>
            <w:r w:rsidR="00E852A3" w:rsidRPr="00D77963">
              <w:rPr>
                <w:szCs w:val="20"/>
              </w:rPr>
              <w:t xml:space="preserve">The impact of a higher proportion of patients with lower response rates and a lower reduction in mean MHDs was unable to be </w:t>
            </w:r>
            <w:r w:rsidR="00E31FE7" w:rsidRPr="00D77963">
              <w:rPr>
                <w:szCs w:val="20"/>
              </w:rPr>
              <w:t xml:space="preserve">adequately </w:t>
            </w:r>
            <w:r w:rsidR="00E852A3" w:rsidRPr="00D77963">
              <w:rPr>
                <w:szCs w:val="20"/>
              </w:rPr>
              <w:t xml:space="preserve">assessed in sensitivity analysis due to the structure of the model, however this represents a likely scenario in clinical practice, particularly if patients in the PBS population do not have the high MHDs observed at baseline in the CONQUER trial and modelled in the submission. The inclusion of patients who do not achieve the large clinical benefit currently attributed to responders in the model is likely to markedly reduce the cost-effectiveness of </w:t>
            </w:r>
            <w:proofErr w:type="spellStart"/>
            <w:r w:rsidR="00E852A3" w:rsidRPr="00D77963">
              <w:rPr>
                <w:szCs w:val="20"/>
              </w:rPr>
              <w:t>galcanezumab</w:t>
            </w:r>
            <w:proofErr w:type="spellEnd"/>
            <w:r w:rsidR="00E852A3" w:rsidRPr="00D77963">
              <w:rPr>
                <w:szCs w:val="20"/>
              </w:rPr>
              <w:t>, and this remains a su</w:t>
            </w:r>
            <w:r w:rsidR="00E31FE7" w:rsidRPr="00D77963">
              <w:rPr>
                <w:szCs w:val="20"/>
              </w:rPr>
              <w:t xml:space="preserve">bstantial area of uncertainty. </w:t>
            </w:r>
          </w:p>
        </w:tc>
        <w:tc>
          <w:tcPr>
            <w:tcW w:w="679" w:type="pct"/>
            <w:shd w:val="clear" w:color="auto" w:fill="auto"/>
            <w:vAlign w:val="center"/>
          </w:tcPr>
          <w:p w:rsidR="00C16ECC" w:rsidRPr="00D77963" w:rsidRDefault="00C16ECC" w:rsidP="00E852A3">
            <w:pPr>
              <w:pStyle w:val="TableText"/>
              <w:rPr>
                <w:szCs w:val="20"/>
              </w:rPr>
            </w:pPr>
            <w:r w:rsidRPr="00D77963">
              <w:rPr>
                <w:szCs w:val="20"/>
              </w:rPr>
              <w:t xml:space="preserve">High, favours </w:t>
            </w:r>
            <w:proofErr w:type="spellStart"/>
            <w:r w:rsidR="00E852A3" w:rsidRPr="00D77963">
              <w:rPr>
                <w:szCs w:val="20"/>
              </w:rPr>
              <w:t>galcanez</w:t>
            </w:r>
            <w:r w:rsidRPr="00D77963">
              <w:rPr>
                <w:szCs w:val="20"/>
              </w:rPr>
              <w:t>umab</w:t>
            </w:r>
            <w:proofErr w:type="spellEnd"/>
          </w:p>
        </w:tc>
      </w:tr>
      <w:tr w:rsidR="00C16ECC" w:rsidRPr="00D77963" w:rsidTr="00D77963">
        <w:tc>
          <w:tcPr>
            <w:tcW w:w="625" w:type="pct"/>
            <w:shd w:val="clear" w:color="auto" w:fill="auto"/>
            <w:vAlign w:val="center"/>
          </w:tcPr>
          <w:p w:rsidR="00C16ECC" w:rsidRPr="00D77963" w:rsidRDefault="00C16ECC" w:rsidP="00B62ACA">
            <w:pPr>
              <w:pStyle w:val="TableText"/>
              <w:rPr>
                <w:szCs w:val="20"/>
              </w:rPr>
            </w:pPr>
            <w:r w:rsidRPr="00D77963">
              <w:rPr>
                <w:szCs w:val="20"/>
              </w:rPr>
              <w:t>Extrapolation</w:t>
            </w:r>
          </w:p>
        </w:tc>
        <w:tc>
          <w:tcPr>
            <w:tcW w:w="3695" w:type="pct"/>
            <w:shd w:val="clear" w:color="auto" w:fill="auto"/>
            <w:vAlign w:val="center"/>
          </w:tcPr>
          <w:p w:rsidR="00C16ECC" w:rsidRPr="00D77963" w:rsidRDefault="00C16ECC" w:rsidP="002D08CA">
            <w:pPr>
              <w:pStyle w:val="TableText"/>
              <w:rPr>
                <w:szCs w:val="20"/>
              </w:rPr>
            </w:pPr>
            <w:r w:rsidRPr="00D77963">
              <w:rPr>
                <w:szCs w:val="20"/>
              </w:rPr>
              <w:t xml:space="preserve">The economic model assumed ongoing treatment for responders for the life of the model, with patients </w:t>
            </w:r>
            <w:r w:rsidR="00E852A3" w:rsidRPr="00D77963">
              <w:rPr>
                <w:szCs w:val="20"/>
              </w:rPr>
              <w:t xml:space="preserve">who met response criteria at cycle 3 </w:t>
            </w:r>
            <w:r w:rsidRPr="00D77963">
              <w:rPr>
                <w:szCs w:val="20"/>
              </w:rPr>
              <w:t xml:space="preserve">only </w:t>
            </w:r>
            <w:r w:rsidR="00E852A3" w:rsidRPr="00D77963">
              <w:rPr>
                <w:szCs w:val="20"/>
              </w:rPr>
              <w:t>subsequently able to discontinue</w:t>
            </w:r>
            <w:r w:rsidRPr="00D77963">
              <w:rPr>
                <w:szCs w:val="20"/>
              </w:rPr>
              <w:t xml:space="preserve"> due to adverse events</w:t>
            </w:r>
            <w:r w:rsidR="002D08CA" w:rsidRPr="00D77963">
              <w:rPr>
                <w:szCs w:val="20"/>
              </w:rPr>
              <w:t xml:space="preserve"> or death</w:t>
            </w:r>
            <w:r w:rsidRPr="00D77963">
              <w:rPr>
                <w:szCs w:val="20"/>
              </w:rPr>
              <w:t xml:space="preserve">. This also assumed that the response to </w:t>
            </w:r>
            <w:proofErr w:type="spellStart"/>
            <w:r w:rsidR="00E852A3" w:rsidRPr="00D77963">
              <w:rPr>
                <w:szCs w:val="20"/>
              </w:rPr>
              <w:t>galcanez</w:t>
            </w:r>
            <w:r w:rsidRPr="00D77963">
              <w:rPr>
                <w:szCs w:val="20"/>
              </w:rPr>
              <w:t>umab</w:t>
            </w:r>
            <w:proofErr w:type="spellEnd"/>
            <w:r w:rsidRPr="00D77963">
              <w:rPr>
                <w:szCs w:val="20"/>
              </w:rPr>
              <w:t xml:space="preserve"> </w:t>
            </w:r>
            <w:r w:rsidR="002D08CA" w:rsidRPr="00D77963">
              <w:rPr>
                <w:szCs w:val="20"/>
              </w:rPr>
              <w:t>is</w:t>
            </w:r>
            <w:r w:rsidRPr="00D77963">
              <w:rPr>
                <w:szCs w:val="20"/>
              </w:rPr>
              <w:t xml:space="preserve"> maintained long-term. Current evidence from </w:t>
            </w:r>
            <w:r w:rsidR="002D08CA" w:rsidRPr="00D77963">
              <w:rPr>
                <w:szCs w:val="20"/>
              </w:rPr>
              <w:t>a</w:t>
            </w:r>
            <w:r w:rsidR="00E852A3" w:rsidRPr="00D77963">
              <w:rPr>
                <w:szCs w:val="20"/>
              </w:rPr>
              <w:t xml:space="preserve"> 12-month open label study </w:t>
            </w:r>
            <w:r w:rsidR="002D08CA" w:rsidRPr="00D77963">
              <w:rPr>
                <w:szCs w:val="20"/>
              </w:rPr>
              <w:t>(</w:t>
            </w:r>
            <w:r w:rsidR="00E852A3" w:rsidRPr="00D77963">
              <w:rPr>
                <w:szCs w:val="20"/>
              </w:rPr>
              <w:t>CGAJ</w:t>
            </w:r>
            <w:r w:rsidR="002D08CA" w:rsidRPr="00D77963">
              <w:rPr>
                <w:szCs w:val="20"/>
              </w:rPr>
              <w:t>)</w:t>
            </w:r>
            <w:r w:rsidR="00E852A3" w:rsidRPr="00D77963">
              <w:rPr>
                <w:szCs w:val="20"/>
              </w:rPr>
              <w:t xml:space="preserve"> did not </w:t>
            </w:r>
            <w:r w:rsidRPr="00D77963">
              <w:rPr>
                <w:szCs w:val="20"/>
              </w:rPr>
              <w:t>adequately demonstrate the maintenance of treatment effect</w:t>
            </w:r>
            <w:r w:rsidR="00E852A3" w:rsidRPr="00D77963">
              <w:rPr>
                <w:szCs w:val="20"/>
              </w:rPr>
              <w:t xml:space="preserve">, with only 24% of </w:t>
            </w:r>
            <w:r w:rsidR="00E852A3" w:rsidRPr="00D77963">
              <w:rPr>
                <w:rFonts w:cs="Calibri"/>
                <w:szCs w:val="20"/>
              </w:rPr>
              <w:t>≥</w:t>
            </w:r>
            <w:r w:rsidR="00E852A3" w:rsidRPr="00D77963">
              <w:rPr>
                <w:szCs w:val="20"/>
              </w:rPr>
              <w:t>50% responders maintaining this response a 12 months</w:t>
            </w:r>
            <w:r w:rsidRPr="00D77963">
              <w:rPr>
                <w:szCs w:val="20"/>
              </w:rPr>
              <w:t>.</w:t>
            </w:r>
          </w:p>
        </w:tc>
        <w:tc>
          <w:tcPr>
            <w:tcW w:w="679" w:type="pct"/>
            <w:shd w:val="clear" w:color="auto" w:fill="auto"/>
            <w:vAlign w:val="center"/>
          </w:tcPr>
          <w:p w:rsidR="00C16ECC" w:rsidRPr="00D77963" w:rsidRDefault="00C16ECC" w:rsidP="00BF0E85">
            <w:pPr>
              <w:pStyle w:val="TableText"/>
              <w:rPr>
                <w:szCs w:val="20"/>
              </w:rPr>
            </w:pPr>
            <w:r w:rsidRPr="00D77963">
              <w:rPr>
                <w:szCs w:val="20"/>
              </w:rPr>
              <w:t xml:space="preserve">High, favours </w:t>
            </w:r>
            <w:proofErr w:type="spellStart"/>
            <w:r w:rsidR="00BF0E85" w:rsidRPr="00D77963">
              <w:rPr>
                <w:szCs w:val="20"/>
              </w:rPr>
              <w:t>galcanez</w:t>
            </w:r>
            <w:r w:rsidRPr="00D77963">
              <w:rPr>
                <w:szCs w:val="20"/>
              </w:rPr>
              <w:t>umab</w:t>
            </w:r>
            <w:proofErr w:type="spellEnd"/>
          </w:p>
        </w:tc>
      </w:tr>
      <w:tr w:rsidR="00C16ECC" w:rsidRPr="00D77963" w:rsidTr="00D77963">
        <w:tc>
          <w:tcPr>
            <w:tcW w:w="625" w:type="pct"/>
            <w:shd w:val="clear" w:color="auto" w:fill="auto"/>
            <w:vAlign w:val="center"/>
          </w:tcPr>
          <w:p w:rsidR="00C16ECC" w:rsidRPr="00D77963" w:rsidRDefault="00C16ECC" w:rsidP="00B62ACA">
            <w:pPr>
              <w:pStyle w:val="TableText"/>
              <w:rPr>
                <w:szCs w:val="20"/>
              </w:rPr>
            </w:pPr>
            <w:r w:rsidRPr="00D77963">
              <w:rPr>
                <w:szCs w:val="20"/>
              </w:rPr>
              <w:t>Utilities</w:t>
            </w:r>
          </w:p>
        </w:tc>
        <w:tc>
          <w:tcPr>
            <w:tcW w:w="3695" w:type="pct"/>
            <w:shd w:val="clear" w:color="auto" w:fill="auto"/>
            <w:vAlign w:val="center"/>
          </w:tcPr>
          <w:p w:rsidR="00344A28" w:rsidRPr="00D77963" w:rsidRDefault="00C16ECC" w:rsidP="001133D8">
            <w:pPr>
              <w:pStyle w:val="TableText"/>
              <w:rPr>
                <w:szCs w:val="20"/>
              </w:rPr>
            </w:pPr>
            <w:r w:rsidRPr="00D77963">
              <w:rPr>
                <w:szCs w:val="20"/>
              </w:rPr>
              <w:t xml:space="preserve">The utility values </w:t>
            </w:r>
            <w:r w:rsidR="00BF0E85" w:rsidRPr="00D77963">
              <w:rPr>
                <w:szCs w:val="20"/>
              </w:rPr>
              <w:t>were</w:t>
            </w:r>
            <w:r w:rsidRPr="00D77963">
              <w:rPr>
                <w:szCs w:val="20"/>
              </w:rPr>
              <w:t xml:space="preserve"> based on</w:t>
            </w:r>
            <w:r w:rsidR="00344A28" w:rsidRPr="00D77963">
              <w:rPr>
                <w:szCs w:val="20"/>
              </w:rPr>
              <w:t xml:space="preserve"> mapping of the MSQ in</w:t>
            </w:r>
            <w:r w:rsidRPr="00D77963">
              <w:rPr>
                <w:szCs w:val="20"/>
              </w:rPr>
              <w:t xml:space="preserve"> a subgroup of patients with episodic or chronic migraine with ≥ 3 treatment failures from the CONQUER trial</w:t>
            </w:r>
            <w:r w:rsidR="008D2D1D" w:rsidRPr="00D77963">
              <w:rPr>
                <w:szCs w:val="20"/>
              </w:rPr>
              <w:t xml:space="preserve"> </w:t>
            </w:r>
            <w:r w:rsidR="008D2D1D" w:rsidRPr="00D77963">
              <w:rPr>
                <w:i/>
                <w:szCs w:val="20"/>
              </w:rPr>
              <w:t>to EQ-5D-3L</w:t>
            </w:r>
            <w:r w:rsidRPr="00D77963">
              <w:rPr>
                <w:i/>
                <w:szCs w:val="20"/>
              </w:rPr>
              <w:t>.</w:t>
            </w:r>
            <w:r w:rsidRPr="00D77963">
              <w:rPr>
                <w:szCs w:val="20"/>
              </w:rPr>
              <w:t xml:space="preserve"> </w:t>
            </w:r>
            <w:r w:rsidR="00BF0E85" w:rsidRPr="00D77963">
              <w:rPr>
                <w:szCs w:val="20"/>
              </w:rPr>
              <w:t>T</w:t>
            </w:r>
            <w:r w:rsidRPr="00D77963">
              <w:rPr>
                <w:szCs w:val="20"/>
              </w:rPr>
              <w:t xml:space="preserve">he data used in the analysis were not well documented, and the derived utility values could not be adequately evaluated. </w:t>
            </w:r>
            <w:r w:rsidR="004D1766" w:rsidRPr="00D77963">
              <w:rPr>
                <w:szCs w:val="20"/>
              </w:rPr>
              <w:t xml:space="preserve"> It is unclear whether it was appropriate to include utilities based on populations who would be outside of the restriction (i.e. patients with chronic migraine).</w:t>
            </w:r>
            <w:r w:rsidR="002D08CA" w:rsidRPr="00D77963">
              <w:rPr>
                <w:szCs w:val="20"/>
              </w:rPr>
              <w:t xml:space="preserve"> </w:t>
            </w:r>
            <w:r w:rsidR="00692214" w:rsidRPr="00D77963">
              <w:rPr>
                <w:szCs w:val="20"/>
              </w:rPr>
              <w:t xml:space="preserve"> The ESC noted mapped utilities were used in a regression analysis to derive a utility improvement of 0.0573 for</w:t>
            </w:r>
            <w:r w:rsidR="001133D8" w:rsidRPr="00D77963">
              <w:rPr>
                <w:szCs w:val="20"/>
              </w:rPr>
              <w:t xml:space="preserve"> all</w:t>
            </w:r>
            <w:r w:rsidR="00692214" w:rsidRPr="00D77963">
              <w:rPr>
                <w:szCs w:val="20"/>
              </w:rPr>
              <w:t xml:space="preserve"> </w:t>
            </w:r>
            <w:proofErr w:type="spellStart"/>
            <w:r w:rsidR="00692214" w:rsidRPr="00D77963">
              <w:rPr>
                <w:szCs w:val="20"/>
              </w:rPr>
              <w:t>galcanezumab</w:t>
            </w:r>
            <w:proofErr w:type="spellEnd"/>
            <w:r w:rsidR="001133D8" w:rsidRPr="00D77963">
              <w:rPr>
                <w:szCs w:val="20"/>
              </w:rPr>
              <w:t xml:space="preserve"> </w:t>
            </w:r>
            <w:r w:rsidR="00D663CE" w:rsidRPr="00D77963">
              <w:rPr>
                <w:szCs w:val="20"/>
              </w:rPr>
              <w:t xml:space="preserve">health </w:t>
            </w:r>
            <w:r w:rsidR="001133D8" w:rsidRPr="00D77963">
              <w:rPr>
                <w:szCs w:val="20"/>
              </w:rPr>
              <w:t>states</w:t>
            </w:r>
            <w:r w:rsidR="00692214" w:rsidRPr="00D77963">
              <w:rPr>
                <w:szCs w:val="20"/>
              </w:rPr>
              <w:t xml:space="preserve"> compared to BSC.</w:t>
            </w:r>
          </w:p>
          <w:p w:rsidR="00C16ECC" w:rsidRPr="00D77963" w:rsidRDefault="002D08CA" w:rsidP="00C06EFF">
            <w:pPr>
              <w:pStyle w:val="TableText"/>
              <w:rPr>
                <w:szCs w:val="20"/>
              </w:rPr>
            </w:pPr>
            <w:r w:rsidRPr="00D77963">
              <w:rPr>
                <w:szCs w:val="20"/>
              </w:rPr>
              <w:t xml:space="preserve">An improvement in utility associated with </w:t>
            </w:r>
            <w:proofErr w:type="spellStart"/>
            <w:r w:rsidRPr="00D77963">
              <w:rPr>
                <w:szCs w:val="20"/>
              </w:rPr>
              <w:t>galcanezumab</w:t>
            </w:r>
            <w:proofErr w:type="spellEnd"/>
            <w:r w:rsidRPr="00D77963">
              <w:rPr>
                <w:szCs w:val="20"/>
              </w:rPr>
              <w:t xml:space="preserve"> treatment independent of the number of monthly migraine days </w:t>
            </w:r>
            <w:r w:rsidR="00066C85" w:rsidRPr="00D77963">
              <w:rPr>
                <w:szCs w:val="20"/>
              </w:rPr>
              <w:t>wa</w:t>
            </w:r>
            <w:r w:rsidRPr="00D77963">
              <w:rPr>
                <w:szCs w:val="20"/>
              </w:rPr>
              <w:t>s applied in the model</w:t>
            </w:r>
            <w:r w:rsidR="00692214" w:rsidRPr="00D77963">
              <w:rPr>
                <w:szCs w:val="20"/>
              </w:rPr>
              <w:t>, meaning that patients experiencing the same number of monthly migraine days had higher utilities</w:t>
            </w:r>
            <w:r w:rsidR="001133D8" w:rsidRPr="00D77963">
              <w:rPr>
                <w:szCs w:val="20"/>
              </w:rPr>
              <w:t xml:space="preserve"> when treated with </w:t>
            </w:r>
            <w:proofErr w:type="spellStart"/>
            <w:r w:rsidR="001133D8" w:rsidRPr="00D77963">
              <w:rPr>
                <w:szCs w:val="20"/>
              </w:rPr>
              <w:t>galcanezumab</w:t>
            </w:r>
            <w:proofErr w:type="spellEnd"/>
            <w:r w:rsidR="00C06EFF" w:rsidRPr="00D77963">
              <w:rPr>
                <w:szCs w:val="20"/>
              </w:rPr>
              <w:t xml:space="preserve">. </w:t>
            </w:r>
            <w:r w:rsidRPr="00D77963">
              <w:rPr>
                <w:szCs w:val="20"/>
              </w:rPr>
              <w:t>This may duplicate the benefit of treatment in the model</w:t>
            </w:r>
            <w:r w:rsidR="00C16ECC" w:rsidRPr="00D77963">
              <w:rPr>
                <w:szCs w:val="20"/>
              </w:rPr>
              <w:t xml:space="preserve">. </w:t>
            </w:r>
            <w:r w:rsidR="00BF0E85" w:rsidRPr="00D77963">
              <w:rPr>
                <w:szCs w:val="20"/>
              </w:rPr>
              <w:t xml:space="preserve">Applying </w:t>
            </w:r>
            <w:r w:rsidR="00692214" w:rsidRPr="00D77963">
              <w:rPr>
                <w:szCs w:val="20"/>
              </w:rPr>
              <w:t xml:space="preserve">pooled utility values or </w:t>
            </w:r>
            <w:r w:rsidR="00BF0E85" w:rsidRPr="00D77963">
              <w:rPr>
                <w:szCs w:val="20"/>
              </w:rPr>
              <w:t>baseline utilities for each MHD to the ‘on-treatment’ health states significantly increased the ICER.</w:t>
            </w:r>
          </w:p>
        </w:tc>
        <w:tc>
          <w:tcPr>
            <w:tcW w:w="679" w:type="pct"/>
            <w:shd w:val="clear" w:color="auto" w:fill="auto"/>
            <w:vAlign w:val="center"/>
          </w:tcPr>
          <w:p w:rsidR="00C16ECC" w:rsidRPr="00D77963" w:rsidRDefault="00C16ECC" w:rsidP="00BF0E85">
            <w:pPr>
              <w:pStyle w:val="TableText"/>
              <w:rPr>
                <w:szCs w:val="20"/>
              </w:rPr>
            </w:pPr>
            <w:r w:rsidRPr="00D77963">
              <w:rPr>
                <w:szCs w:val="20"/>
              </w:rPr>
              <w:t xml:space="preserve">High, favours </w:t>
            </w:r>
            <w:proofErr w:type="spellStart"/>
            <w:r w:rsidR="00BF0E85" w:rsidRPr="00D77963">
              <w:rPr>
                <w:szCs w:val="20"/>
              </w:rPr>
              <w:t>galcanez</w:t>
            </w:r>
            <w:r w:rsidRPr="00D77963">
              <w:rPr>
                <w:szCs w:val="20"/>
              </w:rPr>
              <w:t>umab</w:t>
            </w:r>
            <w:proofErr w:type="spellEnd"/>
          </w:p>
        </w:tc>
      </w:tr>
    </w:tbl>
    <w:p w:rsidR="00D110BD" w:rsidRPr="00D77963" w:rsidRDefault="009D792E" w:rsidP="00BB00B3">
      <w:pPr>
        <w:pStyle w:val="TableFigureFooter"/>
      </w:pPr>
      <w:r w:rsidRPr="00D77963">
        <w:t xml:space="preserve">Source: </w:t>
      </w:r>
      <w:r w:rsidR="00BF0E85" w:rsidRPr="00D77963">
        <w:t>Compiled from Section 3 of the submission</w:t>
      </w:r>
    </w:p>
    <w:p w:rsidR="00EB251B" w:rsidRPr="00D77963" w:rsidRDefault="00EB251B" w:rsidP="00EB251B">
      <w:pPr>
        <w:widowControl w:val="0"/>
        <w:numPr>
          <w:ilvl w:val="1"/>
          <w:numId w:val="1"/>
        </w:numPr>
        <w:spacing w:after="160"/>
        <w:rPr>
          <w:snapToGrid w:val="0"/>
          <w:szCs w:val="22"/>
          <w:lang w:eastAsia="en-US"/>
        </w:rPr>
      </w:pPr>
      <w:r w:rsidRPr="00D77963">
        <w:rPr>
          <w:snapToGrid w:val="0"/>
          <w:szCs w:val="22"/>
          <w:lang w:eastAsia="en-US"/>
        </w:rPr>
        <w:t xml:space="preserve">Patients enter the model with an average of 9.89 </w:t>
      </w:r>
      <w:r w:rsidR="00477465" w:rsidRPr="00D77963">
        <w:rPr>
          <w:snapToGrid w:val="0"/>
          <w:szCs w:val="22"/>
          <w:lang w:eastAsia="en-US"/>
        </w:rPr>
        <w:t>MHD</w:t>
      </w:r>
      <w:r w:rsidRPr="00D77963">
        <w:rPr>
          <w:snapToGrid w:val="0"/>
          <w:szCs w:val="22"/>
          <w:lang w:eastAsia="en-US"/>
        </w:rPr>
        <w:t xml:space="preserve"> per month</w:t>
      </w:r>
      <w:r w:rsidR="00A52C97" w:rsidRPr="00D77963">
        <w:rPr>
          <w:snapToGrid w:val="0"/>
          <w:szCs w:val="22"/>
          <w:lang w:eastAsia="en-US"/>
        </w:rPr>
        <w:t xml:space="preserve"> (baseline)</w:t>
      </w:r>
      <w:r w:rsidRPr="00D77963">
        <w:rPr>
          <w:snapToGrid w:val="0"/>
          <w:szCs w:val="22"/>
          <w:lang w:eastAsia="en-US"/>
        </w:rPr>
        <w:t xml:space="preserve">. After 3 months of treatment, patients who achieve a ≥50% reduction in migraine days experience an average of 3.29 </w:t>
      </w:r>
      <w:r w:rsidR="008D2D1D" w:rsidRPr="00D77963">
        <w:rPr>
          <w:snapToGrid w:val="0"/>
          <w:szCs w:val="22"/>
          <w:lang w:eastAsia="en-US"/>
        </w:rPr>
        <w:t>MHD</w:t>
      </w:r>
      <w:r w:rsidRPr="00D77963">
        <w:rPr>
          <w:snapToGrid w:val="0"/>
          <w:szCs w:val="22"/>
          <w:lang w:eastAsia="en-US"/>
        </w:rPr>
        <w:t xml:space="preserve"> for </w:t>
      </w:r>
      <w:proofErr w:type="spellStart"/>
      <w:r w:rsidRPr="00D77963">
        <w:rPr>
          <w:snapToGrid w:val="0"/>
          <w:szCs w:val="22"/>
          <w:lang w:eastAsia="en-US"/>
        </w:rPr>
        <w:t>galcanezumab</w:t>
      </w:r>
      <w:proofErr w:type="spellEnd"/>
      <w:r w:rsidRPr="00D77963">
        <w:rPr>
          <w:snapToGrid w:val="0"/>
          <w:szCs w:val="22"/>
          <w:lang w:eastAsia="en-US"/>
        </w:rPr>
        <w:t xml:space="preserve">-treated patients and 2.90 </w:t>
      </w:r>
      <w:r w:rsidR="008D2D1D" w:rsidRPr="00D77963">
        <w:rPr>
          <w:snapToGrid w:val="0"/>
          <w:szCs w:val="22"/>
          <w:lang w:eastAsia="en-US"/>
        </w:rPr>
        <w:t>MHD</w:t>
      </w:r>
      <w:r w:rsidRPr="00D77963">
        <w:rPr>
          <w:snapToGrid w:val="0"/>
          <w:szCs w:val="22"/>
          <w:lang w:eastAsia="en-US"/>
        </w:rPr>
        <w:t xml:space="preserve"> for best supportive care patients. Patients who discontinue treatment due to non-response after 3 months of treatment have a one month change in mean </w:t>
      </w:r>
      <w:r w:rsidR="00477465" w:rsidRPr="00D77963">
        <w:rPr>
          <w:snapToGrid w:val="0"/>
          <w:szCs w:val="22"/>
          <w:lang w:eastAsia="en-US"/>
        </w:rPr>
        <w:t>MHD</w:t>
      </w:r>
      <w:r w:rsidRPr="00D77963">
        <w:rPr>
          <w:snapToGrid w:val="0"/>
          <w:szCs w:val="22"/>
          <w:lang w:eastAsia="en-US"/>
        </w:rPr>
        <w:t xml:space="preserve"> (-1.71 for </w:t>
      </w:r>
      <w:proofErr w:type="spellStart"/>
      <w:r w:rsidRPr="00D77963">
        <w:rPr>
          <w:snapToGrid w:val="0"/>
          <w:szCs w:val="22"/>
          <w:lang w:eastAsia="en-US"/>
        </w:rPr>
        <w:t>galcanezumab</w:t>
      </w:r>
      <w:proofErr w:type="spellEnd"/>
      <w:r w:rsidRPr="00D77963">
        <w:rPr>
          <w:snapToGrid w:val="0"/>
          <w:szCs w:val="22"/>
          <w:lang w:eastAsia="en-US"/>
        </w:rPr>
        <w:t>; 0.83 for best supportive care) before returning to baseline. Patients who discontinue treatment due to adverse events</w:t>
      </w:r>
      <w:r w:rsidR="00624DA8" w:rsidRPr="00D77963">
        <w:rPr>
          <w:snapToGrid w:val="0"/>
          <w:szCs w:val="22"/>
          <w:lang w:eastAsia="en-US"/>
        </w:rPr>
        <w:t xml:space="preserve"> over the duration of the model</w:t>
      </w:r>
      <w:r w:rsidRPr="00D77963">
        <w:rPr>
          <w:snapToGrid w:val="0"/>
          <w:szCs w:val="22"/>
          <w:lang w:eastAsia="en-US"/>
        </w:rPr>
        <w:t xml:space="preserve"> return to baseline </w:t>
      </w:r>
      <w:r w:rsidR="008D2D1D" w:rsidRPr="00D77963">
        <w:rPr>
          <w:snapToGrid w:val="0"/>
          <w:szCs w:val="22"/>
          <w:lang w:eastAsia="en-US"/>
        </w:rPr>
        <w:t>MHD</w:t>
      </w:r>
      <w:r w:rsidRPr="00D77963">
        <w:rPr>
          <w:snapToGrid w:val="0"/>
          <w:szCs w:val="22"/>
          <w:lang w:eastAsia="en-US"/>
        </w:rPr>
        <w:t xml:space="preserve"> over 13 months.</w:t>
      </w:r>
    </w:p>
    <w:p w:rsidR="0027658E" w:rsidRPr="00D77963" w:rsidRDefault="00EB251B" w:rsidP="006636EB">
      <w:pPr>
        <w:widowControl w:val="0"/>
        <w:numPr>
          <w:ilvl w:val="1"/>
          <w:numId w:val="1"/>
        </w:numPr>
        <w:spacing w:after="160"/>
        <w:rPr>
          <w:snapToGrid w:val="0"/>
          <w:szCs w:val="22"/>
          <w:lang w:eastAsia="en-US"/>
        </w:rPr>
      </w:pPr>
      <w:r w:rsidRPr="00D77963">
        <w:rPr>
          <w:snapToGrid w:val="0"/>
          <w:szCs w:val="22"/>
          <w:lang w:eastAsia="en-US"/>
        </w:rPr>
        <w:t xml:space="preserve">Modelled distributions were based on the </w:t>
      </w:r>
      <w:r w:rsidR="00531F8E" w:rsidRPr="00D77963">
        <w:rPr>
          <w:snapToGrid w:val="0"/>
          <w:szCs w:val="22"/>
          <w:lang w:eastAsia="en-US"/>
        </w:rPr>
        <w:t xml:space="preserve">placebo group in the </w:t>
      </w:r>
      <w:r w:rsidRPr="00D77963">
        <w:rPr>
          <w:snapToGrid w:val="0"/>
          <w:szCs w:val="22"/>
          <w:lang w:eastAsia="en-US"/>
        </w:rPr>
        <w:t xml:space="preserve">EVOLVE studies. </w:t>
      </w:r>
      <w:r w:rsidR="00F31F96" w:rsidRPr="00D77963">
        <w:rPr>
          <w:snapToGrid w:val="0"/>
          <w:szCs w:val="22"/>
          <w:lang w:eastAsia="en-US"/>
        </w:rPr>
        <w:t xml:space="preserve">The average modelled distributions of MHDs used in the economic model are summarised in </w:t>
      </w:r>
      <w:r w:rsidR="00D5606A" w:rsidRPr="00D77963">
        <w:t xml:space="preserve">Figure </w:t>
      </w:r>
      <w:r w:rsidR="00D5606A" w:rsidRPr="00D77963">
        <w:rPr>
          <w:noProof/>
        </w:rPr>
        <w:t>1</w:t>
      </w:r>
      <w:r w:rsidR="00F31F96" w:rsidRPr="00D77963">
        <w:rPr>
          <w:snapToGrid w:val="0"/>
          <w:szCs w:val="22"/>
          <w:lang w:eastAsia="en-US"/>
        </w:rPr>
        <w:t>.</w:t>
      </w:r>
    </w:p>
    <w:p w:rsidR="0027658E" w:rsidRPr="00D77963" w:rsidRDefault="006F5006" w:rsidP="006F5006">
      <w:pPr>
        <w:pStyle w:val="TableFigureCaption"/>
      </w:pPr>
      <w:bookmarkStart w:id="30" w:name="_Ref53751846"/>
      <w:r w:rsidRPr="00D77963">
        <w:lastRenderedPageBreak/>
        <w:t xml:space="preserve">Figure </w:t>
      </w:r>
      <w:r w:rsidR="00D5606A" w:rsidRPr="00D77963">
        <w:rPr>
          <w:noProof/>
        </w:rPr>
        <w:t>1</w:t>
      </w:r>
      <w:bookmarkEnd w:id="30"/>
      <w:r w:rsidR="0027658E" w:rsidRPr="00D77963">
        <w:rPr>
          <w:snapToGrid w:val="0"/>
        </w:rPr>
        <w:t>: Mean predicted distributions of migraine headache days per cycle by heath state</w:t>
      </w:r>
    </w:p>
    <w:p w:rsidR="0027658E" w:rsidRPr="00D77963" w:rsidRDefault="000A390A" w:rsidP="0027658E">
      <w:pPr>
        <w:rPr>
          <w:snapToGrid w:val="0"/>
          <w:szCs w:val="22"/>
          <w:lang w:eastAsia="en-US"/>
        </w:rPr>
      </w:pPr>
      <w:r>
        <w:rPr>
          <w:noProof/>
          <w:snapToGrid w:val="0"/>
          <w:szCs w:val="22"/>
        </w:rPr>
        <w:drawing>
          <wp:inline distT="0" distB="0" distL="0" distR="0" wp14:anchorId="6A52FD5C">
            <wp:extent cx="5730240" cy="3848100"/>
            <wp:effectExtent l="0" t="0" r="3810" b="0"/>
            <wp:docPr id="1" name="Picture 1" title="Figure 1: Mean predicted distributions of migraine headache days per cycle by heath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848100"/>
                    </a:xfrm>
                    <a:prstGeom prst="rect">
                      <a:avLst/>
                    </a:prstGeom>
                    <a:noFill/>
                  </pic:spPr>
                </pic:pic>
              </a:graphicData>
            </a:graphic>
          </wp:inline>
        </w:drawing>
      </w:r>
    </w:p>
    <w:p w:rsidR="0027658E" w:rsidRPr="00D77963" w:rsidRDefault="0027658E" w:rsidP="00D77963">
      <w:pPr>
        <w:pStyle w:val="TableFigureFooter"/>
        <w:rPr>
          <w:lang w:eastAsia="en-US"/>
        </w:rPr>
      </w:pPr>
      <w:r w:rsidRPr="00D77963">
        <w:t xml:space="preserve">Source: Constructed during the evaluation using Attachment 4.1 </w:t>
      </w:r>
      <w:proofErr w:type="spellStart"/>
      <w:r w:rsidRPr="00D77963">
        <w:t>Galcanezumab</w:t>
      </w:r>
      <w:proofErr w:type="spellEnd"/>
      <w:r w:rsidRPr="00D77963">
        <w:t xml:space="preserve"> Section 3 model</w:t>
      </w:r>
    </w:p>
    <w:p w:rsidR="0027658E" w:rsidRPr="00D77963" w:rsidRDefault="0027658E" w:rsidP="00521A07">
      <w:pPr>
        <w:widowControl w:val="0"/>
        <w:numPr>
          <w:ilvl w:val="1"/>
          <w:numId w:val="1"/>
        </w:numPr>
        <w:spacing w:after="160"/>
        <w:rPr>
          <w:snapToGrid w:val="0"/>
          <w:szCs w:val="22"/>
          <w:lang w:eastAsia="en-US"/>
        </w:rPr>
      </w:pPr>
      <w:r w:rsidRPr="00D77963">
        <w:rPr>
          <w:snapToGrid w:val="0"/>
          <w:szCs w:val="22"/>
          <w:lang w:eastAsia="en-US"/>
        </w:rPr>
        <w:t xml:space="preserve">The modelled mean distributions over a 5-year time horizon highlight the low MHDs associated with responder health states, most of whom achieved 0, 1, or 2 MHDs per cycle. Patients who discontinued </w:t>
      </w:r>
      <w:proofErr w:type="spellStart"/>
      <w:r w:rsidRPr="00D77963">
        <w:rPr>
          <w:snapToGrid w:val="0"/>
          <w:szCs w:val="22"/>
          <w:lang w:eastAsia="en-US"/>
        </w:rPr>
        <w:t>galcanezumab</w:t>
      </w:r>
      <w:proofErr w:type="spellEnd"/>
      <w:r w:rsidRPr="00D77963">
        <w:rPr>
          <w:snapToGrid w:val="0"/>
          <w:szCs w:val="22"/>
          <w:lang w:eastAsia="en-US"/>
        </w:rPr>
        <w:t xml:space="preserve"> due to an adverse event, and non-responders in both arms accrued more MHDs in each cycle. Given that costs and outcomes applied in the model were driven by these distributions, any change in these is likely to affect the ICER.</w:t>
      </w:r>
    </w:p>
    <w:p w:rsidR="00531F8E" w:rsidRPr="00D77963" w:rsidRDefault="00531F8E" w:rsidP="00531F8E">
      <w:pPr>
        <w:widowControl w:val="0"/>
        <w:numPr>
          <w:ilvl w:val="1"/>
          <w:numId w:val="1"/>
        </w:numPr>
        <w:spacing w:after="160"/>
        <w:rPr>
          <w:snapToGrid w:val="0"/>
          <w:szCs w:val="22"/>
          <w:lang w:eastAsia="en-US"/>
        </w:rPr>
      </w:pPr>
      <w:r w:rsidRPr="00D77963">
        <w:rPr>
          <w:snapToGrid w:val="0"/>
          <w:szCs w:val="22"/>
          <w:lang w:eastAsia="en-US"/>
        </w:rPr>
        <w:t>The modelled distributions include people with MHDs that would be outside of the restriction. At baseline in the economic model, 4.9% of the population experiences 0-3 MHDs, and 14.8% of the population experiences ≥15 MHDs.</w:t>
      </w:r>
    </w:p>
    <w:p w:rsidR="00521A07" w:rsidRPr="00D77963" w:rsidRDefault="00F31F96" w:rsidP="0027658E">
      <w:pPr>
        <w:widowControl w:val="0"/>
        <w:numPr>
          <w:ilvl w:val="1"/>
          <w:numId w:val="1"/>
        </w:numPr>
        <w:spacing w:after="160"/>
        <w:rPr>
          <w:snapToGrid w:val="0"/>
          <w:szCs w:val="22"/>
          <w:lang w:eastAsia="en-US"/>
        </w:rPr>
      </w:pPr>
      <w:r w:rsidRPr="00D77963">
        <w:rPr>
          <w:snapToGrid w:val="0"/>
          <w:szCs w:val="22"/>
          <w:lang w:eastAsia="en-US"/>
        </w:rPr>
        <w:t>The utilities</w:t>
      </w:r>
      <w:r w:rsidR="00531F8E" w:rsidRPr="00D77963">
        <w:rPr>
          <w:snapToGrid w:val="0"/>
          <w:szCs w:val="22"/>
          <w:lang w:eastAsia="en-US"/>
        </w:rPr>
        <w:t xml:space="preserve"> applied in the model</w:t>
      </w:r>
      <w:r w:rsidRPr="00D77963">
        <w:rPr>
          <w:snapToGrid w:val="0"/>
          <w:szCs w:val="22"/>
          <w:lang w:eastAsia="en-US"/>
        </w:rPr>
        <w:t xml:space="preserve"> are summarised</w:t>
      </w:r>
      <w:r w:rsidR="00531F8E" w:rsidRPr="00D77963">
        <w:rPr>
          <w:snapToGrid w:val="0"/>
          <w:szCs w:val="22"/>
          <w:lang w:eastAsia="en-US"/>
        </w:rPr>
        <w:t xml:space="preserve"> in </w:t>
      </w:r>
      <w:r w:rsidR="00D5606A" w:rsidRPr="00D77963">
        <w:t xml:space="preserve">Table </w:t>
      </w:r>
      <w:r w:rsidR="00D5606A" w:rsidRPr="00D77963">
        <w:rPr>
          <w:noProof/>
        </w:rPr>
        <w:t>11</w:t>
      </w:r>
      <w:r w:rsidR="00C75620" w:rsidRPr="00D77963">
        <w:rPr>
          <w:snapToGrid w:val="0"/>
          <w:szCs w:val="22"/>
          <w:lang w:eastAsia="en-US"/>
        </w:rPr>
        <w:t xml:space="preserve"> </w:t>
      </w:r>
      <w:r w:rsidR="00531F8E" w:rsidRPr="00D77963">
        <w:rPr>
          <w:snapToGrid w:val="0"/>
          <w:szCs w:val="22"/>
          <w:lang w:eastAsia="en-US"/>
        </w:rPr>
        <w:t>below.</w:t>
      </w:r>
    </w:p>
    <w:p w:rsidR="00521A07" w:rsidRPr="00D77963" w:rsidRDefault="00521A07">
      <w:pPr>
        <w:jc w:val="left"/>
        <w:rPr>
          <w:snapToGrid w:val="0"/>
          <w:szCs w:val="22"/>
          <w:lang w:eastAsia="en-US"/>
        </w:rPr>
      </w:pPr>
      <w:r w:rsidRPr="00D77963">
        <w:rPr>
          <w:snapToGrid w:val="0"/>
          <w:szCs w:val="22"/>
          <w:lang w:eastAsia="en-US"/>
        </w:rPr>
        <w:br w:type="page"/>
      </w:r>
    </w:p>
    <w:p w:rsidR="00F31F96" w:rsidRPr="00D77963" w:rsidRDefault="006F5006" w:rsidP="006F5006">
      <w:pPr>
        <w:pStyle w:val="TableFigureCaption"/>
      </w:pPr>
      <w:bookmarkStart w:id="31" w:name="_Ref53751881"/>
      <w:r w:rsidRPr="00D77963">
        <w:lastRenderedPageBreak/>
        <w:t xml:space="preserve">Table </w:t>
      </w:r>
      <w:r w:rsidR="00D5606A" w:rsidRPr="00D77963">
        <w:rPr>
          <w:noProof/>
        </w:rPr>
        <w:t>11</w:t>
      </w:r>
      <w:bookmarkEnd w:id="31"/>
      <w:r w:rsidR="00F31F96" w:rsidRPr="00D77963">
        <w:t>: Average utility estimates in the economic model</w:t>
      </w:r>
    </w:p>
    <w:tbl>
      <w:tblPr>
        <w:tblStyle w:val="TableGrid"/>
        <w:tblW w:w="5000" w:type="pct"/>
        <w:tblCellMar>
          <w:left w:w="28" w:type="dxa"/>
          <w:right w:w="28" w:type="dxa"/>
        </w:tblCellMar>
        <w:tblLook w:val="04A0" w:firstRow="1" w:lastRow="0" w:firstColumn="1" w:lastColumn="0" w:noHBand="0" w:noVBand="1"/>
        <w:tblCaption w:val="Table 11: Average utility estimates in the economic model"/>
      </w:tblPr>
      <w:tblGrid>
        <w:gridCol w:w="1556"/>
        <w:gridCol w:w="1277"/>
        <w:gridCol w:w="994"/>
        <w:gridCol w:w="5190"/>
      </w:tblGrid>
      <w:tr w:rsidR="00F31F96" w:rsidRPr="00D77963" w:rsidTr="00A157AD">
        <w:trPr>
          <w:tblHeader/>
        </w:trPr>
        <w:tc>
          <w:tcPr>
            <w:tcW w:w="863" w:type="pct"/>
          </w:tcPr>
          <w:p w:rsidR="00F31F96" w:rsidRPr="00D77963" w:rsidRDefault="00F31F96" w:rsidP="00FC180F">
            <w:pPr>
              <w:jc w:val="left"/>
              <w:rPr>
                <w:rFonts w:ascii="Arial Narrow" w:hAnsi="Arial Narrow"/>
                <w:b/>
                <w:sz w:val="20"/>
                <w:szCs w:val="20"/>
              </w:rPr>
            </w:pPr>
            <w:r w:rsidRPr="00D77963">
              <w:rPr>
                <w:rFonts w:ascii="Arial Narrow" w:hAnsi="Arial Narrow"/>
                <w:b/>
                <w:sz w:val="20"/>
                <w:szCs w:val="20"/>
              </w:rPr>
              <w:t>Health state/cycle</w:t>
            </w:r>
          </w:p>
        </w:tc>
        <w:tc>
          <w:tcPr>
            <w:tcW w:w="708" w:type="pct"/>
          </w:tcPr>
          <w:p w:rsidR="00F31F96" w:rsidRPr="00D77963" w:rsidRDefault="00F31F96" w:rsidP="00FC180F">
            <w:pPr>
              <w:jc w:val="center"/>
              <w:rPr>
                <w:rFonts w:ascii="Arial Narrow" w:hAnsi="Arial Narrow"/>
                <w:b/>
                <w:sz w:val="20"/>
                <w:szCs w:val="20"/>
              </w:rPr>
            </w:pPr>
            <w:proofErr w:type="spellStart"/>
            <w:r w:rsidRPr="00D77963">
              <w:rPr>
                <w:rFonts w:ascii="Arial Narrow" w:hAnsi="Arial Narrow"/>
                <w:b/>
                <w:sz w:val="20"/>
                <w:szCs w:val="20"/>
              </w:rPr>
              <w:t>Galcanezumab</w:t>
            </w:r>
            <w:proofErr w:type="spellEnd"/>
          </w:p>
        </w:tc>
        <w:tc>
          <w:tcPr>
            <w:tcW w:w="551" w:type="pct"/>
          </w:tcPr>
          <w:p w:rsidR="00F31F96" w:rsidRPr="00D77963" w:rsidRDefault="00F31F96" w:rsidP="00FC180F">
            <w:pPr>
              <w:jc w:val="center"/>
              <w:rPr>
                <w:rFonts w:ascii="Arial Narrow" w:hAnsi="Arial Narrow"/>
                <w:b/>
                <w:sz w:val="20"/>
                <w:szCs w:val="20"/>
              </w:rPr>
            </w:pPr>
            <w:r w:rsidRPr="00D77963">
              <w:rPr>
                <w:rFonts w:ascii="Arial Narrow" w:hAnsi="Arial Narrow"/>
                <w:b/>
                <w:sz w:val="20"/>
                <w:szCs w:val="20"/>
              </w:rPr>
              <w:t>BSC</w:t>
            </w:r>
          </w:p>
        </w:tc>
        <w:tc>
          <w:tcPr>
            <w:tcW w:w="2878" w:type="pct"/>
          </w:tcPr>
          <w:p w:rsidR="00F31F96" w:rsidRPr="00D77963" w:rsidRDefault="00F31F96" w:rsidP="00FC180F">
            <w:pPr>
              <w:rPr>
                <w:rFonts w:ascii="Arial Narrow" w:hAnsi="Arial Narrow"/>
                <w:b/>
                <w:sz w:val="20"/>
                <w:szCs w:val="20"/>
              </w:rPr>
            </w:pPr>
            <w:r w:rsidRPr="00D77963">
              <w:rPr>
                <w:rFonts w:ascii="Arial Narrow" w:hAnsi="Arial Narrow"/>
                <w:b/>
                <w:sz w:val="20"/>
                <w:szCs w:val="20"/>
              </w:rPr>
              <w:t>Source</w:t>
            </w:r>
          </w:p>
        </w:tc>
      </w:tr>
      <w:tr w:rsidR="00F31F96" w:rsidRPr="00D77963" w:rsidTr="00D77963">
        <w:tc>
          <w:tcPr>
            <w:tcW w:w="5000" w:type="pct"/>
            <w:gridSpan w:val="4"/>
          </w:tcPr>
          <w:p w:rsidR="00F31F96" w:rsidRPr="00D77963" w:rsidRDefault="00F31F96" w:rsidP="00FC180F">
            <w:pPr>
              <w:pStyle w:val="Tabletext0"/>
              <w:rPr>
                <w:b/>
                <w:szCs w:val="20"/>
              </w:rPr>
            </w:pPr>
            <w:r w:rsidRPr="00D77963">
              <w:rPr>
                <w:b/>
                <w:szCs w:val="20"/>
              </w:rPr>
              <w:t>Prior to response assessment</w:t>
            </w:r>
          </w:p>
        </w:tc>
      </w:tr>
      <w:tr w:rsidR="00F31F96" w:rsidRPr="00D77963" w:rsidTr="00D77963">
        <w:trPr>
          <w:trHeight w:val="295"/>
        </w:trPr>
        <w:tc>
          <w:tcPr>
            <w:tcW w:w="863" w:type="pct"/>
            <w:tcBorders>
              <w:bottom w:val="nil"/>
            </w:tcBorders>
          </w:tcPr>
          <w:p w:rsidR="00F31F96" w:rsidRPr="00D77963" w:rsidRDefault="00F31F96" w:rsidP="00FC180F">
            <w:pPr>
              <w:pStyle w:val="TableText"/>
              <w:rPr>
                <w:szCs w:val="20"/>
              </w:rPr>
            </w:pPr>
            <w:r w:rsidRPr="00D77963">
              <w:rPr>
                <w:szCs w:val="20"/>
              </w:rPr>
              <w:t>On treatment</w:t>
            </w:r>
          </w:p>
        </w:tc>
        <w:tc>
          <w:tcPr>
            <w:tcW w:w="708" w:type="pct"/>
            <w:tcBorders>
              <w:bottom w:val="nil"/>
            </w:tcBorders>
          </w:tcPr>
          <w:p w:rsidR="00F31F96" w:rsidRPr="00D77963" w:rsidRDefault="00F31F96" w:rsidP="00FC180F">
            <w:pPr>
              <w:pStyle w:val="TableText"/>
              <w:rPr>
                <w:szCs w:val="20"/>
              </w:rPr>
            </w:pPr>
          </w:p>
        </w:tc>
        <w:tc>
          <w:tcPr>
            <w:tcW w:w="551" w:type="pct"/>
            <w:tcBorders>
              <w:bottom w:val="nil"/>
            </w:tcBorders>
          </w:tcPr>
          <w:p w:rsidR="00F31F96" w:rsidRPr="00D77963" w:rsidRDefault="00F31F96" w:rsidP="00FC180F">
            <w:pPr>
              <w:pStyle w:val="TableText"/>
              <w:rPr>
                <w:szCs w:val="20"/>
              </w:rPr>
            </w:pPr>
          </w:p>
        </w:tc>
        <w:tc>
          <w:tcPr>
            <w:tcW w:w="2878" w:type="pct"/>
            <w:vMerge w:val="restart"/>
          </w:tcPr>
          <w:p w:rsidR="00F31F96" w:rsidRPr="00D77963" w:rsidRDefault="00F31F96" w:rsidP="00FC180F">
            <w:pPr>
              <w:pStyle w:val="TableText"/>
              <w:rPr>
                <w:szCs w:val="20"/>
              </w:rPr>
            </w:pPr>
            <w:r w:rsidRPr="00D77963">
              <w:rPr>
                <w:szCs w:val="20"/>
              </w:rPr>
              <w:t>Based on distribution of headache days associated with baseline migraine headache days per month (9.89); multiplied by corresponding baseline utilities in cycle 1; and by response utilities (which vary by treatment arm) in cycles 2 and 3</w:t>
            </w:r>
          </w:p>
        </w:tc>
      </w:tr>
      <w:tr w:rsidR="00F31F96" w:rsidRPr="00D77963" w:rsidTr="00D77963">
        <w:trPr>
          <w:trHeight w:val="75"/>
        </w:trPr>
        <w:tc>
          <w:tcPr>
            <w:tcW w:w="863" w:type="pct"/>
            <w:tcBorders>
              <w:top w:val="nil"/>
              <w:bottom w:val="nil"/>
            </w:tcBorders>
          </w:tcPr>
          <w:p w:rsidR="00F31F96" w:rsidRPr="00D77963" w:rsidRDefault="00F31F96" w:rsidP="00FC180F">
            <w:pPr>
              <w:pStyle w:val="TableText"/>
              <w:rPr>
                <w:szCs w:val="20"/>
              </w:rPr>
            </w:pPr>
            <w:r w:rsidRPr="00D77963">
              <w:rPr>
                <w:szCs w:val="20"/>
              </w:rPr>
              <w:t>- Cycle 1</w:t>
            </w:r>
          </w:p>
        </w:tc>
        <w:tc>
          <w:tcPr>
            <w:tcW w:w="708" w:type="pct"/>
            <w:tcBorders>
              <w:top w:val="nil"/>
              <w:bottom w:val="nil"/>
            </w:tcBorders>
            <w:vAlign w:val="center"/>
          </w:tcPr>
          <w:p w:rsidR="00F31F96" w:rsidRPr="00D77963" w:rsidRDefault="00F31F96" w:rsidP="00FC180F">
            <w:pPr>
              <w:pStyle w:val="TableText"/>
              <w:jc w:val="center"/>
              <w:rPr>
                <w:szCs w:val="20"/>
              </w:rPr>
            </w:pPr>
            <w:r w:rsidRPr="00D77963">
              <w:rPr>
                <w:szCs w:val="20"/>
              </w:rPr>
              <w:t>0.5997</w:t>
            </w:r>
          </w:p>
        </w:tc>
        <w:tc>
          <w:tcPr>
            <w:tcW w:w="551" w:type="pct"/>
            <w:tcBorders>
              <w:top w:val="nil"/>
              <w:bottom w:val="nil"/>
            </w:tcBorders>
            <w:vAlign w:val="center"/>
          </w:tcPr>
          <w:p w:rsidR="00F31F96" w:rsidRPr="00D77963" w:rsidRDefault="00F31F96" w:rsidP="00FC180F">
            <w:pPr>
              <w:pStyle w:val="TableText"/>
              <w:jc w:val="center"/>
              <w:rPr>
                <w:szCs w:val="20"/>
              </w:rPr>
            </w:pPr>
            <w:r w:rsidRPr="00D77963">
              <w:rPr>
                <w:szCs w:val="20"/>
              </w:rPr>
              <w:t>0.5997</w:t>
            </w:r>
          </w:p>
        </w:tc>
        <w:tc>
          <w:tcPr>
            <w:tcW w:w="2878" w:type="pct"/>
            <w:vMerge/>
          </w:tcPr>
          <w:p w:rsidR="00F31F96" w:rsidRPr="00D77963" w:rsidRDefault="00F31F96" w:rsidP="00FC180F">
            <w:pPr>
              <w:pStyle w:val="TableText"/>
              <w:rPr>
                <w:szCs w:val="20"/>
              </w:rPr>
            </w:pPr>
          </w:p>
        </w:tc>
      </w:tr>
      <w:tr w:rsidR="00F31F96" w:rsidRPr="00D77963" w:rsidTr="00D77963">
        <w:trPr>
          <w:trHeight w:val="249"/>
        </w:trPr>
        <w:tc>
          <w:tcPr>
            <w:tcW w:w="863" w:type="pct"/>
            <w:tcBorders>
              <w:top w:val="nil"/>
              <w:bottom w:val="single" w:sz="4" w:space="0" w:color="auto"/>
            </w:tcBorders>
            <w:vAlign w:val="center"/>
          </w:tcPr>
          <w:p w:rsidR="00F31F96" w:rsidRPr="00D77963" w:rsidRDefault="00F31F96" w:rsidP="00FC180F">
            <w:pPr>
              <w:pStyle w:val="TableText"/>
              <w:rPr>
                <w:szCs w:val="20"/>
              </w:rPr>
            </w:pPr>
            <w:r w:rsidRPr="00D77963">
              <w:rPr>
                <w:szCs w:val="20"/>
              </w:rPr>
              <w:t>- Cycle 2-3</w:t>
            </w:r>
          </w:p>
        </w:tc>
        <w:tc>
          <w:tcPr>
            <w:tcW w:w="708" w:type="pct"/>
            <w:tcBorders>
              <w:top w:val="nil"/>
              <w:bottom w:val="single" w:sz="4" w:space="0" w:color="auto"/>
            </w:tcBorders>
            <w:vAlign w:val="center"/>
          </w:tcPr>
          <w:p w:rsidR="00F31F96" w:rsidRPr="00D77963" w:rsidRDefault="00F31F96" w:rsidP="00FC180F">
            <w:pPr>
              <w:pStyle w:val="TableText"/>
              <w:jc w:val="center"/>
              <w:rPr>
                <w:szCs w:val="20"/>
              </w:rPr>
            </w:pPr>
            <w:r w:rsidRPr="00D77963">
              <w:rPr>
                <w:szCs w:val="20"/>
              </w:rPr>
              <w:t>0.6873</w:t>
            </w:r>
          </w:p>
        </w:tc>
        <w:tc>
          <w:tcPr>
            <w:tcW w:w="551" w:type="pct"/>
            <w:tcBorders>
              <w:top w:val="nil"/>
              <w:bottom w:val="single" w:sz="4" w:space="0" w:color="auto"/>
            </w:tcBorders>
            <w:vAlign w:val="center"/>
          </w:tcPr>
          <w:p w:rsidR="00F31F96" w:rsidRPr="00D77963" w:rsidRDefault="00F31F96" w:rsidP="00FC180F">
            <w:pPr>
              <w:pStyle w:val="TableText"/>
              <w:jc w:val="center"/>
              <w:rPr>
                <w:szCs w:val="20"/>
              </w:rPr>
            </w:pPr>
            <w:r w:rsidRPr="00D77963">
              <w:rPr>
                <w:szCs w:val="20"/>
              </w:rPr>
              <w:t>0.6300</w:t>
            </w:r>
          </w:p>
        </w:tc>
        <w:tc>
          <w:tcPr>
            <w:tcW w:w="2878" w:type="pct"/>
            <w:vMerge/>
          </w:tcPr>
          <w:p w:rsidR="00F31F96" w:rsidRPr="00D77963" w:rsidRDefault="00F31F96" w:rsidP="00FC180F">
            <w:pPr>
              <w:pStyle w:val="TableText"/>
              <w:rPr>
                <w:szCs w:val="20"/>
              </w:rPr>
            </w:pPr>
          </w:p>
        </w:tc>
      </w:tr>
      <w:tr w:rsidR="00F31F96" w:rsidRPr="00D77963" w:rsidTr="00D77963">
        <w:trPr>
          <w:trHeight w:val="368"/>
        </w:trPr>
        <w:tc>
          <w:tcPr>
            <w:tcW w:w="863" w:type="pct"/>
            <w:tcBorders>
              <w:bottom w:val="nil"/>
            </w:tcBorders>
          </w:tcPr>
          <w:p w:rsidR="00F31F96" w:rsidRPr="00D77963" w:rsidRDefault="00F31F96" w:rsidP="00FC180F">
            <w:pPr>
              <w:pStyle w:val="TableText"/>
              <w:rPr>
                <w:szCs w:val="20"/>
              </w:rPr>
            </w:pPr>
            <w:r w:rsidRPr="00D77963">
              <w:rPr>
                <w:szCs w:val="20"/>
              </w:rPr>
              <w:t xml:space="preserve">Off treatment </w:t>
            </w:r>
            <w:r w:rsidRPr="00D77963">
              <w:rPr>
                <w:szCs w:val="20"/>
              </w:rPr>
              <w:br/>
              <w:t>(adverse event)</w:t>
            </w:r>
          </w:p>
        </w:tc>
        <w:tc>
          <w:tcPr>
            <w:tcW w:w="708" w:type="pct"/>
            <w:tcBorders>
              <w:bottom w:val="nil"/>
            </w:tcBorders>
            <w:vAlign w:val="center"/>
          </w:tcPr>
          <w:p w:rsidR="00F31F96" w:rsidRPr="00D77963" w:rsidRDefault="00F31F96" w:rsidP="00FC180F">
            <w:pPr>
              <w:pStyle w:val="TableText"/>
              <w:jc w:val="center"/>
              <w:rPr>
                <w:szCs w:val="20"/>
              </w:rPr>
            </w:pPr>
          </w:p>
        </w:tc>
        <w:tc>
          <w:tcPr>
            <w:tcW w:w="551" w:type="pct"/>
            <w:tcBorders>
              <w:bottom w:val="nil"/>
            </w:tcBorders>
            <w:vAlign w:val="center"/>
          </w:tcPr>
          <w:p w:rsidR="00F31F96" w:rsidRPr="00D77963" w:rsidRDefault="00F31F96" w:rsidP="00FC180F">
            <w:pPr>
              <w:pStyle w:val="TableText"/>
              <w:jc w:val="center"/>
              <w:rPr>
                <w:szCs w:val="20"/>
              </w:rPr>
            </w:pPr>
          </w:p>
        </w:tc>
        <w:tc>
          <w:tcPr>
            <w:tcW w:w="2878" w:type="pct"/>
            <w:vMerge w:val="restart"/>
          </w:tcPr>
          <w:p w:rsidR="00F31F96" w:rsidRPr="00D77963" w:rsidRDefault="00F31F96" w:rsidP="00FC180F">
            <w:pPr>
              <w:pStyle w:val="TableText"/>
              <w:rPr>
                <w:szCs w:val="20"/>
              </w:rPr>
            </w:pPr>
            <w:r w:rsidRPr="00D77963">
              <w:rPr>
                <w:szCs w:val="20"/>
              </w:rPr>
              <w:t>Based on distribution of headache days associated with baseline migraine headache days per month (9.89); multiplied by baseline utilities</w:t>
            </w:r>
          </w:p>
        </w:tc>
      </w:tr>
      <w:tr w:rsidR="00F31F96" w:rsidRPr="00D77963" w:rsidTr="00D77963">
        <w:trPr>
          <w:trHeight w:val="121"/>
        </w:trPr>
        <w:tc>
          <w:tcPr>
            <w:tcW w:w="863" w:type="pct"/>
            <w:tcBorders>
              <w:top w:val="nil"/>
            </w:tcBorders>
          </w:tcPr>
          <w:p w:rsidR="00F31F96" w:rsidRPr="00D77963" w:rsidRDefault="00F31F96" w:rsidP="00FC180F">
            <w:pPr>
              <w:pStyle w:val="TableText"/>
              <w:rPr>
                <w:szCs w:val="20"/>
              </w:rPr>
            </w:pPr>
            <w:r w:rsidRPr="00D77963">
              <w:rPr>
                <w:szCs w:val="20"/>
              </w:rPr>
              <w:t>- Cycles 2-3</w:t>
            </w:r>
          </w:p>
        </w:tc>
        <w:tc>
          <w:tcPr>
            <w:tcW w:w="708" w:type="pct"/>
            <w:tcBorders>
              <w:top w:val="nil"/>
            </w:tcBorders>
            <w:vAlign w:val="center"/>
          </w:tcPr>
          <w:p w:rsidR="00F31F96" w:rsidRPr="00D77963" w:rsidRDefault="00F31F96" w:rsidP="00FC180F">
            <w:pPr>
              <w:pStyle w:val="TableText"/>
              <w:jc w:val="center"/>
              <w:rPr>
                <w:szCs w:val="20"/>
              </w:rPr>
            </w:pPr>
            <w:r w:rsidRPr="00D77963">
              <w:rPr>
                <w:szCs w:val="20"/>
              </w:rPr>
              <w:t>0.5997</w:t>
            </w:r>
          </w:p>
        </w:tc>
        <w:tc>
          <w:tcPr>
            <w:tcW w:w="551" w:type="pct"/>
            <w:tcBorders>
              <w:top w:val="nil"/>
            </w:tcBorders>
            <w:vAlign w:val="center"/>
          </w:tcPr>
          <w:p w:rsidR="00F31F96" w:rsidRPr="00D77963" w:rsidRDefault="00F31F96" w:rsidP="00FC180F">
            <w:pPr>
              <w:pStyle w:val="TableText"/>
              <w:jc w:val="center"/>
              <w:rPr>
                <w:szCs w:val="20"/>
              </w:rPr>
            </w:pPr>
            <w:r w:rsidRPr="00D77963">
              <w:rPr>
                <w:szCs w:val="20"/>
              </w:rPr>
              <w:t>0.5997</w:t>
            </w:r>
          </w:p>
        </w:tc>
        <w:tc>
          <w:tcPr>
            <w:tcW w:w="2878" w:type="pct"/>
            <w:vMerge/>
          </w:tcPr>
          <w:p w:rsidR="00F31F96" w:rsidRPr="00D77963" w:rsidRDefault="00F31F96" w:rsidP="00FC180F">
            <w:pPr>
              <w:jc w:val="left"/>
              <w:rPr>
                <w:rFonts w:ascii="Arial Narrow" w:hAnsi="Arial Narrow"/>
                <w:sz w:val="20"/>
                <w:szCs w:val="20"/>
              </w:rPr>
            </w:pPr>
          </w:p>
        </w:tc>
      </w:tr>
      <w:tr w:rsidR="00F31F96" w:rsidRPr="00D77963" w:rsidTr="00D77963">
        <w:tc>
          <w:tcPr>
            <w:tcW w:w="5000" w:type="pct"/>
            <w:gridSpan w:val="4"/>
          </w:tcPr>
          <w:p w:rsidR="00F31F96" w:rsidRPr="00D77963" w:rsidRDefault="00F31F96" w:rsidP="00FC180F">
            <w:pPr>
              <w:pStyle w:val="Tabletext0"/>
              <w:rPr>
                <w:b/>
                <w:szCs w:val="20"/>
              </w:rPr>
            </w:pPr>
            <w:r w:rsidRPr="00D77963">
              <w:rPr>
                <w:b/>
                <w:szCs w:val="20"/>
              </w:rPr>
              <w:t>After response assessment</w:t>
            </w:r>
          </w:p>
        </w:tc>
      </w:tr>
      <w:tr w:rsidR="00F31F96" w:rsidRPr="00D77963" w:rsidTr="00D77963">
        <w:trPr>
          <w:trHeight w:val="281"/>
        </w:trPr>
        <w:tc>
          <w:tcPr>
            <w:tcW w:w="863" w:type="pct"/>
            <w:tcBorders>
              <w:bottom w:val="nil"/>
            </w:tcBorders>
            <w:vAlign w:val="center"/>
          </w:tcPr>
          <w:p w:rsidR="00F31F96" w:rsidRPr="00D77963" w:rsidRDefault="00F31F96" w:rsidP="00FC180F">
            <w:pPr>
              <w:pStyle w:val="Tabletext0"/>
              <w:rPr>
                <w:szCs w:val="20"/>
              </w:rPr>
            </w:pPr>
            <w:r w:rsidRPr="00D77963">
              <w:rPr>
                <w:szCs w:val="20"/>
              </w:rPr>
              <w:t>On treatment</w:t>
            </w:r>
          </w:p>
        </w:tc>
        <w:tc>
          <w:tcPr>
            <w:tcW w:w="708" w:type="pct"/>
            <w:tcBorders>
              <w:bottom w:val="nil"/>
            </w:tcBorders>
          </w:tcPr>
          <w:p w:rsidR="00F31F96" w:rsidRPr="00D77963" w:rsidRDefault="00F31F96" w:rsidP="00FC180F">
            <w:pPr>
              <w:pStyle w:val="Tabletext0"/>
              <w:rPr>
                <w:szCs w:val="20"/>
              </w:rPr>
            </w:pPr>
          </w:p>
        </w:tc>
        <w:tc>
          <w:tcPr>
            <w:tcW w:w="551" w:type="pct"/>
            <w:tcBorders>
              <w:bottom w:val="nil"/>
            </w:tcBorders>
          </w:tcPr>
          <w:p w:rsidR="00F31F96" w:rsidRPr="00D77963" w:rsidRDefault="00F31F96" w:rsidP="00FC180F">
            <w:pPr>
              <w:pStyle w:val="Tabletext0"/>
              <w:rPr>
                <w:szCs w:val="20"/>
              </w:rPr>
            </w:pPr>
          </w:p>
        </w:tc>
        <w:tc>
          <w:tcPr>
            <w:tcW w:w="2878" w:type="pct"/>
            <w:vMerge w:val="restart"/>
          </w:tcPr>
          <w:p w:rsidR="00F31F96" w:rsidRPr="00D77963" w:rsidRDefault="00F31F96" w:rsidP="00FC180F">
            <w:pPr>
              <w:pStyle w:val="Tabletext0"/>
              <w:rPr>
                <w:szCs w:val="20"/>
              </w:rPr>
            </w:pPr>
            <w:r w:rsidRPr="00D77963">
              <w:rPr>
                <w:szCs w:val="20"/>
              </w:rPr>
              <w:t xml:space="preserve">Based on distribution of headache days associated with mean migraine headache days per month for responders (3.29 for </w:t>
            </w:r>
            <w:proofErr w:type="spellStart"/>
            <w:r w:rsidRPr="00D77963">
              <w:rPr>
                <w:szCs w:val="20"/>
              </w:rPr>
              <w:t>galcanezumab</w:t>
            </w:r>
            <w:proofErr w:type="spellEnd"/>
            <w:r w:rsidRPr="00D77963">
              <w:rPr>
                <w:szCs w:val="20"/>
              </w:rPr>
              <w:t xml:space="preserve">; 2.90 for BSC); multiplied by corresponding response utilities (which vary by treatment arm) </w:t>
            </w:r>
          </w:p>
        </w:tc>
      </w:tr>
      <w:tr w:rsidR="00F31F96" w:rsidRPr="00D77963" w:rsidTr="00D77963">
        <w:trPr>
          <w:trHeight w:val="203"/>
        </w:trPr>
        <w:tc>
          <w:tcPr>
            <w:tcW w:w="863" w:type="pct"/>
            <w:tcBorders>
              <w:top w:val="nil"/>
              <w:bottom w:val="single" w:sz="4" w:space="0" w:color="auto"/>
            </w:tcBorders>
            <w:vAlign w:val="center"/>
          </w:tcPr>
          <w:p w:rsidR="00F31F96" w:rsidRPr="00D77963" w:rsidRDefault="00F31F96" w:rsidP="00FC180F">
            <w:pPr>
              <w:pStyle w:val="Tabletext0"/>
              <w:rPr>
                <w:szCs w:val="20"/>
              </w:rPr>
            </w:pPr>
            <w:r w:rsidRPr="00D77963">
              <w:rPr>
                <w:szCs w:val="20"/>
              </w:rPr>
              <w:t>- Cycles 4+</w:t>
            </w:r>
          </w:p>
        </w:tc>
        <w:tc>
          <w:tcPr>
            <w:tcW w:w="708" w:type="pct"/>
            <w:tcBorders>
              <w:top w:val="nil"/>
              <w:bottom w:val="single" w:sz="4" w:space="0" w:color="auto"/>
            </w:tcBorders>
            <w:vAlign w:val="center"/>
          </w:tcPr>
          <w:p w:rsidR="00F31F96" w:rsidRPr="00D77963" w:rsidRDefault="00F31F96" w:rsidP="00FC180F">
            <w:pPr>
              <w:pStyle w:val="Tabletext0"/>
              <w:jc w:val="center"/>
              <w:rPr>
                <w:szCs w:val="20"/>
              </w:rPr>
            </w:pPr>
            <w:r w:rsidRPr="00D77963">
              <w:rPr>
                <w:szCs w:val="20"/>
              </w:rPr>
              <w:t>0.7618</w:t>
            </w:r>
          </w:p>
        </w:tc>
        <w:tc>
          <w:tcPr>
            <w:tcW w:w="551" w:type="pct"/>
            <w:tcBorders>
              <w:top w:val="nil"/>
              <w:bottom w:val="single" w:sz="4" w:space="0" w:color="auto"/>
            </w:tcBorders>
            <w:vAlign w:val="center"/>
          </w:tcPr>
          <w:p w:rsidR="00F31F96" w:rsidRPr="00D77963" w:rsidRDefault="00F31F96" w:rsidP="00FC180F">
            <w:pPr>
              <w:pStyle w:val="Tabletext0"/>
              <w:jc w:val="center"/>
              <w:rPr>
                <w:szCs w:val="20"/>
              </w:rPr>
            </w:pPr>
            <w:r w:rsidRPr="00D77963">
              <w:rPr>
                <w:szCs w:val="20"/>
              </w:rPr>
              <w:t>0.7089</w:t>
            </w:r>
          </w:p>
        </w:tc>
        <w:tc>
          <w:tcPr>
            <w:tcW w:w="2878" w:type="pct"/>
            <w:vMerge/>
          </w:tcPr>
          <w:p w:rsidR="00F31F96" w:rsidRPr="00D77963" w:rsidRDefault="00F31F96" w:rsidP="00FC180F">
            <w:pPr>
              <w:pStyle w:val="Tabletext0"/>
              <w:rPr>
                <w:szCs w:val="20"/>
              </w:rPr>
            </w:pPr>
          </w:p>
        </w:tc>
      </w:tr>
      <w:tr w:rsidR="00F31F96" w:rsidRPr="00D77963" w:rsidTr="00D77963">
        <w:trPr>
          <w:trHeight w:val="281"/>
        </w:trPr>
        <w:tc>
          <w:tcPr>
            <w:tcW w:w="863" w:type="pct"/>
            <w:tcBorders>
              <w:bottom w:val="nil"/>
            </w:tcBorders>
            <w:vAlign w:val="center"/>
          </w:tcPr>
          <w:p w:rsidR="00F31F96" w:rsidRPr="00D77963" w:rsidRDefault="00F31F96" w:rsidP="00FC180F">
            <w:pPr>
              <w:pStyle w:val="Tabletext0"/>
              <w:rPr>
                <w:szCs w:val="20"/>
              </w:rPr>
            </w:pPr>
            <w:r w:rsidRPr="00D77963">
              <w:rPr>
                <w:szCs w:val="20"/>
              </w:rPr>
              <w:t xml:space="preserve">Off treatment </w:t>
            </w:r>
            <w:r w:rsidRPr="00D77963">
              <w:rPr>
                <w:szCs w:val="20"/>
              </w:rPr>
              <w:br/>
              <w:t>(non-response)</w:t>
            </w:r>
          </w:p>
        </w:tc>
        <w:tc>
          <w:tcPr>
            <w:tcW w:w="708" w:type="pct"/>
            <w:tcBorders>
              <w:bottom w:val="nil"/>
            </w:tcBorders>
            <w:vAlign w:val="center"/>
          </w:tcPr>
          <w:p w:rsidR="00F31F96" w:rsidRPr="00D77963" w:rsidRDefault="00F31F96" w:rsidP="00FC180F">
            <w:pPr>
              <w:pStyle w:val="Tabletext0"/>
              <w:jc w:val="center"/>
              <w:rPr>
                <w:szCs w:val="20"/>
              </w:rPr>
            </w:pPr>
          </w:p>
        </w:tc>
        <w:tc>
          <w:tcPr>
            <w:tcW w:w="551" w:type="pct"/>
            <w:tcBorders>
              <w:bottom w:val="nil"/>
            </w:tcBorders>
            <w:vAlign w:val="center"/>
          </w:tcPr>
          <w:p w:rsidR="00F31F96" w:rsidRPr="00D77963" w:rsidRDefault="00F31F96" w:rsidP="00FC180F">
            <w:pPr>
              <w:pStyle w:val="Tabletext0"/>
              <w:jc w:val="center"/>
              <w:rPr>
                <w:szCs w:val="20"/>
              </w:rPr>
            </w:pPr>
          </w:p>
        </w:tc>
        <w:tc>
          <w:tcPr>
            <w:tcW w:w="2878" w:type="pct"/>
            <w:vMerge w:val="restart"/>
          </w:tcPr>
          <w:p w:rsidR="00F31F96" w:rsidRPr="00D77963" w:rsidRDefault="00F31F96" w:rsidP="00FC180F">
            <w:pPr>
              <w:pStyle w:val="Tabletext0"/>
              <w:rPr>
                <w:szCs w:val="20"/>
              </w:rPr>
            </w:pPr>
            <w:r w:rsidRPr="00D77963">
              <w:rPr>
                <w:szCs w:val="20"/>
              </w:rPr>
              <w:t xml:space="preserve">For cycle 4, based on distribution of headache days associated with mean migraine headache days per month for non-responders (8.18 for </w:t>
            </w:r>
            <w:proofErr w:type="spellStart"/>
            <w:r w:rsidRPr="00D77963">
              <w:rPr>
                <w:szCs w:val="20"/>
              </w:rPr>
              <w:t>galcanezumab</w:t>
            </w:r>
            <w:proofErr w:type="spellEnd"/>
            <w:r w:rsidRPr="00D77963">
              <w:rPr>
                <w:szCs w:val="20"/>
              </w:rPr>
              <w:t>; 10.72 for BSC). It is assumed that treatment washout period is one cycle, therefore from cycle 5 distribution of headache days is based on baseline migraine headache days (9.89). Migraine days are multiplied by corresponding baseline utilities</w:t>
            </w:r>
          </w:p>
        </w:tc>
      </w:tr>
      <w:tr w:rsidR="00F31F96" w:rsidRPr="00D77963" w:rsidTr="00D77963">
        <w:trPr>
          <w:trHeight w:val="70"/>
        </w:trPr>
        <w:tc>
          <w:tcPr>
            <w:tcW w:w="863" w:type="pct"/>
            <w:tcBorders>
              <w:top w:val="nil"/>
              <w:bottom w:val="nil"/>
            </w:tcBorders>
            <w:vAlign w:val="center"/>
          </w:tcPr>
          <w:p w:rsidR="00F31F96" w:rsidRPr="00D77963" w:rsidRDefault="00F31F96" w:rsidP="00FC180F">
            <w:pPr>
              <w:pStyle w:val="Tabletext0"/>
              <w:rPr>
                <w:szCs w:val="20"/>
              </w:rPr>
            </w:pPr>
            <w:r w:rsidRPr="00D77963">
              <w:rPr>
                <w:szCs w:val="20"/>
              </w:rPr>
              <w:t>- Cycle 4</w:t>
            </w:r>
          </w:p>
        </w:tc>
        <w:tc>
          <w:tcPr>
            <w:tcW w:w="708" w:type="pct"/>
            <w:tcBorders>
              <w:top w:val="nil"/>
              <w:bottom w:val="nil"/>
            </w:tcBorders>
            <w:vAlign w:val="center"/>
          </w:tcPr>
          <w:p w:rsidR="00F31F96" w:rsidRPr="00D77963" w:rsidRDefault="00F31F96" w:rsidP="00FC180F">
            <w:pPr>
              <w:pStyle w:val="Tabletext0"/>
              <w:jc w:val="center"/>
              <w:rPr>
                <w:szCs w:val="20"/>
              </w:rPr>
            </w:pPr>
            <w:r w:rsidRPr="00D77963">
              <w:rPr>
                <w:szCs w:val="20"/>
              </w:rPr>
              <w:t>0.6257</w:t>
            </w:r>
          </w:p>
        </w:tc>
        <w:tc>
          <w:tcPr>
            <w:tcW w:w="551" w:type="pct"/>
            <w:tcBorders>
              <w:top w:val="nil"/>
              <w:bottom w:val="nil"/>
            </w:tcBorders>
            <w:vAlign w:val="center"/>
          </w:tcPr>
          <w:p w:rsidR="00F31F96" w:rsidRPr="00D77963" w:rsidRDefault="00F31F96" w:rsidP="00FC180F">
            <w:pPr>
              <w:pStyle w:val="Tabletext0"/>
              <w:jc w:val="center"/>
              <w:rPr>
                <w:szCs w:val="20"/>
              </w:rPr>
            </w:pPr>
            <w:r w:rsidRPr="00D77963">
              <w:rPr>
                <w:szCs w:val="20"/>
              </w:rPr>
              <w:t>0.5871</w:t>
            </w:r>
          </w:p>
        </w:tc>
        <w:tc>
          <w:tcPr>
            <w:tcW w:w="2878" w:type="pct"/>
            <w:vMerge/>
          </w:tcPr>
          <w:p w:rsidR="00F31F96" w:rsidRPr="00D77963" w:rsidRDefault="00F31F96" w:rsidP="00FC180F">
            <w:pPr>
              <w:pStyle w:val="Tabletext0"/>
              <w:rPr>
                <w:szCs w:val="20"/>
              </w:rPr>
            </w:pPr>
          </w:p>
        </w:tc>
      </w:tr>
      <w:tr w:rsidR="00F31F96" w:rsidRPr="00D77963" w:rsidTr="00D77963">
        <w:trPr>
          <w:trHeight w:val="427"/>
        </w:trPr>
        <w:tc>
          <w:tcPr>
            <w:tcW w:w="863" w:type="pct"/>
            <w:tcBorders>
              <w:top w:val="nil"/>
              <w:bottom w:val="single" w:sz="4" w:space="0" w:color="auto"/>
            </w:tcBorders>
            <w:vAlign w:val="center"/>
          </w:tcPr>
          <w:p w:rsidR="00F31F96" w:rsidRPr="00D77963" w:rsidRDefault="00F31F96" w:rsidP="00FC180F">
            <w:pPr>
              <w:pStyle w:val="Tabletext0"/>
              <w:rPr>
                <w:szCs w:val="20"/>
              </w:rPr>
            </w:pPr>
            <w:r w:rsidRPr="00D77963">
              <w:rPr>
                <w:szCs w:val="20"/>
              </w:rPr>
              <w:t>- Cycle 5+</w:t>
            </w:r>
          </w:p>
        </w:tc>
        <w:tc>
          <w:tcPr>
            <w:tcW w:w="708" w:type="pct"/>
            <w:tcBorders>
              <w:top w:val="nil"/>
              <w:bottom w:val="single" w:sz="4" w:space="0" w:color="auto"/>
            </w:tcBorders>
            <w:vAlign w:val="center"/>
          </w:tcPr>
          <w:p w:rsidR="00F31F96" w:rsidRPr="00D77963" w:rsidRDefault="00F31F96" w:rsidP="00FC180F">
            <w:pPr>
              <w:pStyle w:val="Tabletext0"/>
              <w:jc w:val="center"/>
              <w:rPr>
                <w:szCs w:val="20"/>
              </w:rPr>
            </w:pPr>
            <w:r w:rsidRPr="00D77963">
              <w:rPr>
                <w:szCs w:val="20"/>
              </w:rPr>
              <w:t>0.5997</w:t>
            </w:r>
          </w:p>
        </w:tc>
        <w:tc>
          <w:tcPr>
            <w:tcW w:w="551" w:type="pct"/>
            <w:tcBorders>
              <w:top w:val="nil"/>
              <w:bottom w:val="single" w:sz="4" w:space="0" w:color="auto"/>
            </w:tcBorders>
            <w:vAlign w:val="center"/>
          </w:tcPr>
          <w:p w:rsidR="00F31F96" w:rsidRPr="00D77963" w:rsidRDefault="00F31F96" w:rsidP="00FC180F">
            <w:pPr>
              <w:pStyle w:val="Tabletext0"/>
              <w:jc w:val="center"/>
              <w:rPr>
                <w:szCs w:val="20"/>
              </w:rPr>
            </w:pPr>
            <w:r w:rsidRPr="00D77963">
              <w:rPr>
                <w:szCs w:val="20"/>
              </w:rPr>
              <w:t>0.5997</w:t>
            </w:r>
          </w:p>
        </w:tc>
        <w:tc>
          <w:tcPr>
            <w:tcW w:w="2878" w:type="pct"/>
            <w:vMerge/>
          </w:tcPr>
          <w:p w:rsidR="00F31F96" w:rsidRPr="00D77963" w:rsidRDefault="00F31F96" w:rsidP="00FC180F">
            <w:pPr>
              <w:pStyle w:val="Tabletext0"/>
              <w:rPr>
                <w:szCs w:val="20"/>
              </w:rPr>
            </w:pPr>
          </w:p>
        </w:tc>
      </w:tr>
      <w:tr w:rsidR="00F31F96" w:rsidRPr="00D77963" w:rsidTr="00D77963">
        <w:trPr>
          <w:trHeight w:val="488"/>
        </w:trPr>
        <w:tc>
          <w:tcPr>
            <w:tcW w:w="863" w:type="pct"/>
            <w:tcBorders>
              <w:bottom w:val="nil"/>
            </w:tcBorders>
            <w:vAlign w:val="center"/>
          </w:tcPr>
          <w:p w:rsidR="00F31F96" w:rsidRPr="00D77963" w:rsidRDefault="00F31F96" w:rsidP="00FC180F">
            <w:pPr>
              <w:pStyle w:val="Tabletext0"/>
              <w:rPr>
                <w:szCs w:val="20"/>
              </w:rPr>
            </w:pPr>
            <w:r w:rsidRPr="00D77963">
              <w:rPr>
                <w:szCs w:val="20"/>
              </w:rPr>
              <w:t>Off treatment  (adverse event)</w:t>
            </w:r>
          </w:p>
        </w:tc>
        <w:tc>
          <w:tcPr>
            <w:tcW w:w="708" w:type="pct"/>
            <w:tcBorders>
              <w:bottom w:val="nil"/>
            </w:tcBorders>
          </w:tcPr>
          <w:p w:rsidR="00F31F96" w:rsidRPr="00D77963" w:rsidRDefault="00F31F96" w:rsidP="00FC180F">
            <w:pPr>
              <w:pStyle w:val="Tabletext0"/>
              <w:rPr>
                <w:szCs w:val="20"/>
              </w:rPr>
            </w:pPr>
          </w:p>
        </w:tc>
        <w:tc>
          <w:tcPr>
            <w:tcW w:w="551" w:type="pct"/>
            <w:tcBorders>
              <w:bottom w:val="nil"/>
            </w:tcBorders>
          </w:tcPr>
          <w:p w:rsidR="00F31F96" w:rsidRPr="00D77963" w:rsidRDefault="00F31F96" w:rsidP="00FC180F">
            <w:pPr>
              <w:pStyle w:val="Tabletext0"/>
              <w:rPr>
                <w:szCs w:val="20"/>
              </w:rPr>
            </w:pPr>
          </w:p>
        </w:tc>
        <w:tc>
          <w:tcPr>
            <w:tcW w:w="2878" w:type="pct"/>
            <w:vMerge w:val="restart"/>
          </w:tcPr>
          <w:p w:rsidR="00F31F96" w:rsidRPr="00D77963" w:rsidRDefault="00F31F96" w:rsidP="00FC180F">
            <w:pPr>
              <w:pStyle w:val="Tabletext0"/>
              <w:rPr>
                <w:szCs w:val="20"/>
              </w:rPr>
            </w:pPr>
            <w:r w:rsidRPr="00D77963">
              <w:rPr>
                <w:szCs w:val="20"/>
              </w:rPr>
              <w:t>Varies by cycle according to assumed waning of treatment effect over 13 cycles following discontinuation. Mean migraine headache days per month varies from 6.16 to 10.02. Baseline utilities applied.</w:t>
            </w:r>
          </w:p>
        </w:tc>
      </w:tr>
      <w:tr w:rsidR="00F31F96" w:rsidRPr="00D77963" w:rsidTr="00D77963">
        <w:trPr>
          <w:trHeight w:val="487"/>
        </w:trPr>
        <w:tc>
          <w:tcPr>
            <w:tcW w:w="863" w:type="pct"/>
            <w:tcBorders>
              <w:top w:val="nil"/>
            </w:tcBorders>
            <w:vAlign w:val="center"/>
          </w:tcPr>
          <w:p w:rsidR="00F31F96" w:rsidRPr="00D77963" w:rsidRDefault="00F31F96" w:rsidP="00FC180F">
            <w:pPr>
              <w:pStyle w:val="Tabletext0"/>
              <w:rPr>
                <w:szCs w:val="20"/>
              </w:rPr>
            </w:pPr>
            <w:r w:rsidRPr="00D77963">
              <w:rPr>
                <w:szCs w:val="20"/>
              </w:rPr>
              <w:t>- Cycles 4+</w:t>
            </w:r>
          </w:p>
        </w:tc>
        <w:tc>
          <w:tcPr>
            <w:tcW w:w="708" w:type="pct"/>
            <w:tcBorders>
              <w:top w:val="nil"/>
            </w:tcBorders>
          </w:tcPr>
          <w:p w:rsidR="00F31F96" w:rsidRPr="00D77963" w:rsidRDefault="00F31F96" w:rsidP="00FC180F">
            <w:pPr>
              <w:pStyle w:val="Tabletext0"/>
              <w:jc w:val="center"/>
              <w:rPr>
                <w:szCs w:val="20"/>
              </w:rPr>
            </w:pPr>
            <w:r w:rsidRPr="00D77963">
              <w:rPr>
                <w:szCs w:val="20"/>
              </w:rPr>
              <w:t>0.5977-</w:t>
            </w:r>
          </w:p>
          <w:p w:rsidR="00F31F96" w:rsidRPr="00D77963" w:rsidRDefault="00F31F96" w:rsidP="00FC180F">
            <w:pPr>
              <w:pStyle w:val="Tabletext0"/>
              <w:jc w:val="center"/>
              <w:rPr>
                <w:szCs w:val="20"/>
              </w:rPr>
            </w:pPr>
            <w:r w:rsidRPr="00D77963">
              <w:rPr>
                <w:szCs w:val="20"/>
              </w:rPr>
              <w:t>0.6565</w:t>
            </w:r>
          </w:p>
        </w:tc>
        <w:tc>
          <w:tcPr>
            <w:tcW w:w="551" w:type="pct"/>
            <w:tcBorders>
              <w:top w:val="nil"/>
            </w:tcBorders>
            <w:vAlign w:val="center"/>
          </w:tcPr>
          <w:p w:rsidR="00F31F96" w:rsidRPr="00D77963" w:rsidRDefault="00F31F96" w:rsidP="00FC180F">
            <w:pPr>
              <w:pStyle w:val="Tabletext0"/>
              <w:jc w:val="center"/>
              <w:rPr>
                <w:szCs w:val="20"/>
              </w:rPr>
            </w:pPr>
            <w:r w:rsidRPr="00D77963">
              <w:rPr>
                <w:szCs w:val="20"/>
              </w:rPr>
              <w:t>-</w:t>
            </w:r>
          </w:p>
        </w:tc>
        <w:tc>
          <w:tcPr>
            <w:tcW w:w="2878" w:type="pct"/>
            <w:vMerge/>
          </w:tcPr>
          <w:p w:rsidR="00F31F96" w:rsidRPr="00D77963" w:rsidRDefault="00F31F96" w:rsidP="00FC180F">
            <w:pPr>
              <w:jc w:val="left"/>
              <w:rPr>
                <w:rFonts w:ascii="Arial Narrow" w:hAnsi="Arial Narrow"/>
                <w:sz w:val="20"/>
                <w:szCs w:val="20"/>
              </w:rPr>
            </w:pPr>
          </w:p>
        </w:tc>
      </w:tr>
    </w:tbl>
    <w:p w:rsidR="00F31F96" w:rsidRPr="00D77963" w:rsidRDefault="00F31F96" w:rsidP="00D77963">
      <w:pPr>
        <w:pStyle w:val="TableFigureFooter"/>
      </w:pPr>
      <w:r w:rsidRPr="00D77963">
        <w:t>Source: constructed during the evaluation using A4.1_Galcanezumab_Section 3 Model Excel spreadsheet provided with the submission</w:t>
      </w:r>
    </w:p>
    <w:p w:rsidR="00F31F96" w:rsidRPr="00D77963" w:rsidRDefault="00F31F96" w:rsidP="00D77963">
      <w:pPr>
        <w:pStyle w:val="TableFigureFooter"/>
      </w:pPr>
      <w:r w:rsidRPr="00D77963">
        <w:t>Abbreviations: BSC, best supportive care</w:t>
      </w:r>
    </w:p>
    <w:p w:rsidR="00F31F96" w:rsidRPr="00D77963" w:rsidRDefault="00F31F96" w:rsidP="00D57701">
      <w:pPr>
        <w:widowControl w:val="0"/>
        <w:numPr>
          <w:ilvl w:val="1"/>
          <w:numId w:val="1"/>
        </w:numPr>
        <w:spacing w:after="160"/>
        <w:rPr>
          <w:snapToGrid w:val="0"/>
          <w:szCs w:val="22"/>
          <w:lang w:eastAsia="en-US"/>
        </w:rPr>
      </w:pPr>
      <w:r w:rsidRPr="00D77963">
        <w:rPr>
          <w:snapToGrid w:val="0"/>
          <w:szCs w:val="22"/>
          <w:lang w:eastAsia="en-US"/>
        </w:rPr>
        <w:t xml:space="preserve">There was a large utility benefit associated with being on </w:t>
      </w:r>
      <w:proofErr w:type="spellStart"/>
      <w:r w:rsidRPr="00D77963">
        <w:rPr>
          <w:snapToGrid w:val="0"/>
          <w:szCs w:val="22"/>
          <w:lang w:eastAsia="en-US"/>
        </w:rPr>
        <w:t>galcanezumab</w:t>
      </w:r>
      <w:proofErr w:type="spellEnd"/>
      <w:r w:rsidRPr="00D77963">
        <w:rPr>
          <w:snapToGrid w:val="0"/>
          <w:szCs w:val="22"/>
          <w:lang w:eastAsia="en-US"/>
        </w:rPr>
        <w:t xml:space="preserve"> treatment, both compared with baseline/off-treatment values</w:t>
      </w:r>
      <w:r w:rsidR="00E2178F" w:rsidRPr="00D77963">
        <w:rPr>
          <w:snapToGrid w:val="0"/>
          <w:szCs w:val="22"/>
          <w:lang w:eastAsia="en-US"/>
        </w:rPr>
        <w:t xml:space="preserve"> (ranging from 0.049 for 0 MH</w:t>
      </w:r>
      <w:r w:rsidR="00692214" w:rsidRPr="00D77963">
        <w:rPr>
          <w:snapToGrid w:val="0"/>
          <w:szCs w:val="22"/>
          <w:lang w:eastAsia="en-US"/>
        </w:rPr>
        <w:t>D to 0.166 for 30</w:t>
      </w:r>
      <w:r w:rsidR="00E2178F" w:rsidRPr="00D77963">
        <w:rPr>
          <w:snapToGrid w:val="0"/>
          <w:szCs w:val="22"/>
          <w:lang w:eastAsia="en-US"/>
        </w:rPr>
        <w:t xml:space="preserve"> MH</w:t>
      </w:r>
      <w:r w:rsidR="00692214" w:rsidRPr="00D77963">
        <w:rPr>
          <w:snapToGrid w:val="0"/>
          <w:szCs w:val="22"/>
          <w:lang w:eastAsia="en-US"/>
        </w:rPr>
        <w:t>D)</w:t>
      </w:r>
      <w:r w:rsidRPr="00D77963">
        <w:rPr>
          <w:snapToGrid w:val="0"/>
          <w:szCs w:val="22"/>
          <w:lang w:eastAsia="en-US"/>
        </w:rPr>
        <w:t>, and compared with those on-treatment in the BSC arm</w:t>
      </w:r>
      <w:r w:rsidR="00A65B14" w:rsidRPr="00D77963">
        <w:rPr>
          <w:snapToGrid w:val="0"/>
          <w:szCs w:val="22"/>
          <w:lang w:eastAsia="en-US"/>
        </w:rPr>
        <w:t xml:space="preserve"> (a constant 0.0573</w:t>
      </w:r>
      <w:r w:rsidR="00C06EFF" w:rsidRPr="00D77963">
        <w:rPr>
          <w:snapToGrid w:val="0"/>
          <w:szCs w:val="22"/>
          <w:lang w:eastAsia="en-US"/>
        </w:rPr>
        <w:t>)</w:t>
      </w:r>
      <w:r w:rsidR="00A65B14" w:rsidRPr="00D77963">
        <w:rPr>
          <w:snapToGrid w:val="0"/>
          <w:szCs w:val="22"/>
          <w:lang w:eastAsia="en-US"/>
        </w:rPr>
        <w:t xml:space="preserve">, </w:t>
      </w:r>
      <w:r w:rsidR="00A65B14" w:rsidRPr="00D77963">
        <w:t>meaning that patients experiencing the same number of</w:t>
      </w:r>
      <w:r w:rsidR="00E2178F" w:rsidRPr="00D77963">
        <w:t xml:space="preserve"> MHD </w:t>
      </w:r>
      <w:r w:rsidR="00A65B14" w:rsidRPr="00D77963">
        <w:t xml:space="preserve">had higher utilities if treated with </w:t>
      </w:r>
      <w:proofErr w:type="spellStart"/>
      <w:r w:rsidR="00A65B14" w:rsidRPr="00D77963">
        <w:t>galcanezumab</w:t>
      </w:r>
      <w:proofErr w:type="spellEnd"/>
      <w:r w:rsidR="00A65B14" w:rsidRPr="00D77963">
        <w:t>)</w:t>
      </w:r>
      <w:r w:rsidR="00E21DD1" w:rsidRPr="00D77963">
        <w:t xml:space="preserve"> (</w:t>
      </w:r>
      <w:r w:rsidR="00D5606A" w:rsidRPr="00D77963">
        <w:t xml:space="preserve">Table </w:t>
      </w:r>
      <w:r w:rsidR="00D5606A" w:rsidRPr="00D77963">
        <w:rPr>
          <w:noProof/>
        </w:rPr>
        <w:t>12</w:t>
      </w:r>
      <w:r w:rsidR="00E21DD1" w:rsidRPr="00D77963">
        <w:t>)</w:t>
      </w:r>
      <w:r w:rsidRPr="00D77963">
        <w:rPr>
          <w:snapToGrid w:val="0"/>
          <w:szCs w:val="22"/>
          <w:lang w:eastAsia="en-US"/>
        </w:rPr>
        <w:t xml:space="preserve">. The </w:t>
      </w:r>
      <w:r w:rsidR="00E2178F" w:rsidRPr="00D77963">
        <w:rPr>
          <w:snapToGrid w:val="0"/>
          <w:szCs w:val="22"/>
          <w:lang w:eastAsia="en-US"/>
        </w:rPr>
        <w:t xml:space="preserve">ESC considered </w:t>
      </w:r>
      <w:r w:rsidRPr="00D77963">
        <w:rPr>
          <w:snapToGrid w:val="0"/>
          <w:szCs w:val="22"/>
          <w:lang w:eastAsia="en-US"/>
        </w:rPr>
        <w:t xml:space="preserve">application of these higher utilities to the </w:t>
      </w:r>
      <w:proofErr w:type="spellStart"/>
      <w:r w:rsidRPr="00D77963">
        <w:rPr>
          <w:snapToGrid w:val="0"/>
          <w:szCs w:val="22"/>
          <w:lang w:eastAsia="en-US"/>
        </w:rPr>
        <w:t>galcanezumab</w:t>
      </w:r>
      <w:proofErr w:type="spellEnd"/>
      <w:r w:rsidRPr="00D77963">
        <w:rPr>
          <w:snapToGrid w:val="0"/>
          <w:szCs w:val="22"/>
          <w:lang w:eastAsia="en-US"/>
        </w:rPr>
        <w:t xml:space="preserve"> ‘on-treatment’ health state was not adequately justified, and the model was sensitive to the use of these utilities.</w:t>
      </w:r>
    </w:p>
    <w:p w:rsidR="00890502" w:rsidRPr="00D77963" w:rsidRDefault="006F5006" w:rsidP="00203F11">
      <w:pPr>
        <w:pStyle w:val="TableFigureCaption"/>
        <w:keepLines/>
        <w:rPr>
          <w:rFonts w:ascii="Calibri" w:hAnsi="Calibri"/>
          <w:sz w:val="22"/>
          <w:szCs w:val="18"/>
        </w:rPr>
      </w:pPr>
      <w:bookmarkStart w:id="32" w:name="_Ref53751928"/>
      <w:r w:rsidRPr="00D77963">
        <w:lastRenderedPageBreak/>
        <w:t xml:space="preserve">Table </w:t>
      </w:r>
      <w:r w:rsidR="00D5606A" w:rsidRPr="00D77963">
        <w:rPr>
          <w:noProof/>
        </w:rPr>
        <w:t>12</w:t>
      </w:r>
      <w:bookmarkEnd w:id="32"/>
      <w:r w:rsidR="00E21DD1" w:rsidRPr="00D77963">
        <w:rPr>
          <w:rFonts w:cs="Times New Roman"/>
        </w:rPr>
        <w:t xml:space="preserve">: </w:t>
      </w:r>
      <w:r w:rsidR="00E21DD1" w:rsidRPr="00D77963">
        <w:t>Utility values applied in the economic model base case</w:t>
      </w:r>
    </w:p>
    <w:tbl>
      <w:tblPr>
        <w:tblStyle w:val="TableGrid"/>
        <w:tblW w:w="5000" w:type="pct"/>
        <w:tblLook w:val="04A0" w:firstRow="1" w:lastRow="0" w:firstColumn="1" w:lastColumn="0" w:noHBand="0" w:noVBand="1"/>
        <w:tblCaption w:val="Table 12: Utility values applied in the economic model base case"/>
      </w:tblPr>
      <w:tblGrid>
        <w:gridCol w:w="1359"/>
        <w:gridCol w:w="1704"/>
        <w:gridCol w:w="1414"/>
        <w:gridCol w:w="1497"/>
        <w:gridCol w:w="1546"/>
        <w:gridCol w:w="1497"/>
      </w:tblGrid>
      <w:tr w:rsidR="00890502" w:rsidRPr="00D77963" w:rsidTr="00A157AD">
        <w:trPr>
          <w:tblHeader/>
        </w:trPr>
        <w:tc>
          <w:tcPr>
            <w:tcW w:w="754" w:type="pct"/>
            <w:vMerge w:val="restart"/>
          </w:tcPr>
          <w:p w:rsidR="00890502" w:rsidRPr="00D77963" w:rsidRDefault="00890502" w:rsidP="00203F11">
            <w:pPr>
              <w:pStyle w:val="PBACTableText"/>
              <w:keepNext/>
              <w:keepLines/>
              <w:spacing w:before="0" w:after="0"/>
              <w:jc w:val="left"/>
              <w:rPr>
                <w:b/>
              </w:rPr>
            </w:pPr>
            <w:r w:rsidRPr="00D77963">
              <w:rPr>
                <w:b/>
              </w:rPr>
              <w:t>No. of MHD per month</w:t>
            </w:r>
          </w:p>
        </w:tc>
        <w:tc>
          <w:tcPr>
            <w:tcW w:w="4246" w:type="pct"/>
            <w:gridSpan w:val="5"/>
          </w:tcPr>
          <w:p w:rsidR="00890502" w:rsidRPr="00D77963" w:rsidRDefault="00890502" w:rsidP="00203F11">
            <w:pPr>
              <w:pStyle w:val="TableText"/>
              <w:keepLines/>
              <w:jc w:val="center"/>
              <w:rPr>
                <w:b/>
                <w:szCs w:val="20"/>
              </w:rPr>
            </w:pPr>
            <w:r w:rsidRPr="00D77963">
              <w:rPr>
                <w:b/>
                <w:szCs w:val="20"/>
              </w:rPr>
              <w:t>Treatment specific utility values (base case)</w:t>
            </w:r>
          </w:p>
        </w:tc>
      </w:tr>
      <w:tr w:rsidR="00890502" w:rsidRPr="00D77963" w:rsidTr="00A157AD">
        <w:trPr>
          <w:tblHeader/>
        </w:trPr>
        <w:tc>
          <w:tcPr>
            <w:tcW w:w="754" w:type="pct"/>
            <w:vMerge/>
          </w:tcPr>
          <w:p w:rsidR="00890502" w:rsidRPr="00D77963" w:rsidRDefault="00890502" w:rsidP="00203F11">
            <w:pPr>
              <w:keepNext/>
              <w:keepLines/>
              <w:rPr>
                <w:rFonts w:ascii="Arial Narrow" w:hAnsi="Arial Narrow"/>
                <w:sz w:val="20"/>
                <w:szCs w:val="20"/>
              </w:rPr>
            </w:pPr>
          </w:p>
        </w:tc>
        <w:tc>
          <w:tcPr>
            <w:tcW w:w="2559" w:type="pct"/>
            <w:gridSpan w:val="3"/>
          </w:tcPr>
          <w:p w:rsidR="00890502" w:rsidRPr="00D77963" w:rsidRDefault="00890502" w:rsidP="00203F11">
            <w:pPr>
              <w:pStyle w:val="TableText"/>
              <w:keepLines/>
              <w:jc w:val="center"/>
              <w:rPr>
                <w:b/>
                <w:szCs w:val="20"/>
              </w:rPr>
            </w:pPr>
            <w:r w:rsidRPr="00D77963">
              <w:rPr>
                <w:b/>
                <w:szCs w:val="20"/>
              </w:rPr>
              <w:t>On-treatment</w:t>
            </w:r>
          </w:p>
        </w:tc>
        <w:tc>
          <w:tcPr>
            <w:tcW w:w="1687" w:type="pct"/>
            <w:gridSpan w:val="2"/>
          </w:tcPr>
          <w:p w:rsidR="00890502" w:rsidRPr="00D77963" w:rsidRDefault="00890502" w:rsidP="00203F11">
            <w:pPr>
              <w:pStyle w:val="TableText"/>
              <w:keepLines/>
              <w:jc w:val="center"/>
              <w:rPr>
                <w:b/>
                <w:szCs w:val="20"/>
              </w:rPr>
            </w:pPr>
            <w:r w:rsidRPr="00D77963">
              <w:rPr>
                <w:b/>
                <w:szCs w:val="20"/>
              </w:rPr>
              <w:t>Off-treatment</w:t>
            </w:r>
          </w:p>
        </w:tc>
      </w:tr>
      <w:tr w:rsidR="00890502" w:rsidRPr="00D77963" w:rsidTr="00D77963">
        <w:tc>
          <w:tcPr>
            <w:tcW w:w="754" w:type="pct"/>
          </w:tcPr>
          <w:p w:rsidR="00890502" w:rsidRPr="00D77963" w:rsidRDefault="00890502" w:rsidP="00203F11">
            <w:pPr>
              <w:keepNext/>
              <w:keepLines/>
              <w:jc w:val="center"/>
              <w:rPr>
                <w:rFonts w:ascii="Arial Narrow" w:hAnsi="Arial Narrow"/>
                <w:sz w:val="20"/>
                <w:szCs w:val="20"/>
              </w:rPr>
            </w:pPr>
          </w:p>
        </w:tc>
        <w:tc>
          <w:tcPr>
            <w:tcW w:w="945" w:type="pct"/>
          </w:tcPr>
          <w:p w:rsidR="00890502" w:rsidRPr="00D77963" w:rsidRDefault="00890502" w:rsidP="00203F11">
            <w:pPr>
              <w:pStyle w:val="TableText"/>
              <w:keepLines/>
              <w:jc w:val="center"/>
              <w:rPr>
                <w:b/>
                <w:szCs w:val="20"/>
              </w:rPr>
            </w:pPr>
            <w:r w:rsidRPr="00D77963">
              <w:rPr>
                <w:b/>
                <w:szCs w:val="20"/>
              </w:rPr>
              <w:t>GAL</w:t>
            </w:r>
          </w:p>
        </w:tc>
        <w:tc>
          <w:tcPr>
            <w:tcW w:w="784" w:type="pct"/>
          </w:tcPr>
          <w:p w:rsidR="00890502" w:rsidRPr="00D77963" w:rsidRDefault="00890502" w:rsidP="00203F11">
            <w:pPr>
              <w:pStyle w:val="TableText"/>
              <w:keepLines/>
              <w:jc w:val="center"/>
              <w:rPr>
                <w:b/>
                <w:szCs w:val="20"/>
              </w:rPr>
            </w:pPr>
            <w:r w:rsidRPr="00D77963">
              <w:rPr>
                <w:b/>
                <w:szCs w:val="20"/>
              </w:rPr>
              <w:t>BSC</w:t>
            </w:r>
          </w:p>
        </w:tc>
        <w:tc>
          <w:tcPr>
            <w:tcW w:w="830" w:type="pct"/>
          </w:tcPr>
          <w:p w:rsidR="00890502" w:rsidRPr="00D77963" w:rsidRDefault="00E21DD1" w:rsidP="00203F11">
            <w:pPr>
              <w:pStyle w:val="TableText"/>
              <w:keepLines/>
              <w:jc w:val="center"/>
              <w:rPr>
                <w:b/>
                <w:szCs w:val="20"/>
              </w:rPr>
            </w:pPr>
            <w:r w:rsidRPr="00D77963">
              <w:rPr>
                <w:b/>
                <w:szCs w:val="20"/>
              </w:rPr>
              <w:t>Increment</w:t>
            </w:r>
          </w:p>
          <w:p w:rsidR="00890502" w:rsidRPr="00D77963" w:rsidRDefault="00890502" w:rsidP="00203F11">
            <w:pPr>
              <w:pStyle w:val="TableText"/>
              <w:keepLines/>
              <w:jc w:val="center"/>
              <w:rPr>
                <w:b/>
                <w:szCs w:val="20"/>
              </w:rPr>
            </w:pPr>
            <w:r w:rsidRPr="00D77963">
              <w:rPr>
                <w:b/>
                <w:szCs w:val="20"/>
              </w:rPr>
              <w:t>(GAL – BSC)</w:t>
            </w:r>
          </w:p>
        </w:tc>
        <w:tc>
          <w:tcPr>
            <w:tcW w:w="857" w:type="pct"/>
          </w:tcPr>
          <w:p w:rsidR="00890502" w:rsidRPr="00D77963" w:rsidRDefault="00890502" w:rsidP="00203F11">
            <w:pPr>
              <w:pStyle w:val="TableText"/>
              <w:keepLines/>
              <w:jc w:val="center"/>
              <w:rPr>
                <w:b/>
                <w:szCs w:val="20"/>
              </w:rPr>
            </w:pPr>
            <w:r w:rsidRPr="00D77963">
              <w:rPr>
                <w:b/>
                <w:szCs w:val="20"/>
              </w:rPr>
              <w:t>Baseline</w:t>
            </w:r>
          </w:p>
        </w:tc>
        <w:tc>
          <w:tcPr>
            <w:tcW w:w="830" w:type="pct"/>
          </w:tcPr>
          <w:p w:rsidR="00E21DD1" w:rsidRPr="00D77963" w:rsidRDefault="00E21DD1" w:rsidP="00203F11">
            <w:pPr>
              <w:pStyle w:val="TableText"/>
              <w:keepLines/>
              <w:jc w:val="center"/>
              <w:rPr>
                <w:b/>
                <w:szCs w:val="20"/>
              </w:rPr>
            </w:pPr>
            <w:r w:rsidRPr="00D77963">
              <w:rPr>
                <w:b/>
                <w:szCs w:val="20"/>
              </w:rPr>
              <w:t xml:space="preserve">Increment </w:t>
            </w:r>
          </w:p>
          <w:p w:rsidR="00890502" w:rsidRPr="00D77963" w:rsidRDefault="00890502" w:rsidP="00203F11">
            <w:pPr>
              <w:pStyle w:val="TableText"/>
              <w:keepLines/>
              <w:jc w:val="center"/>
              <w:rPr>
                <w:b/>
                <w:szCs w:val="20"/>
              </w:rPr>
            </w:pPr>
            <w:r w:rsidRPr="00D77963">
              <w:rPr>
                <w:b/>
                <w:szCs w:val="20"/>
              </w:rPr>
              <w:t>(GAL – off-treatment)</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0</w:t>
            </w:r>
          </w:p>
        </w:tc>
        <w:tc>
          <w:tcPr>
            <w:tcW w:w="945" w:type="pct"/>
          </w:tcPr>
          <w:p w:rsidR="00890502" w:rsidRPr="00D77963" w:rsidRDefault="00890502" w:rsidP="00203F11">
            <w:pPr>
              <w:pStyle w:val="PBACTableText"/>
              <w:keepNext/>
              <w:keepLines/>
              <w:spacing w:before="0" w:after="0"/>
              <w:jc w:val="center"/>
            </w:pPr>
            <w:r w:rsidRPr="00D77963">
              <w:t>0.7990</w:t>
            </w:r>
          </w:p>
        </w:tc>
        <w:tc>
          <w:tcPr>
            <w:tcW w:w="784" w:type="pct"/>
          </w:tcPr>
          <w:p w:rsidR="00890502" w:rsidRPr="00D77963" w:rsidRDefault="00890502" w:rsidP="00203F11">
            <w:pPr>
              <w:pStyle w:val="PBACTableText"/>
              <w:keepNext/>
              <w:keepLines/>
              <w:spacing w:before="0" w:after="0"/>
              <w:jc w:val="center"/>
            </w:pPr>
            <w:r w:rsidRPr="00D77963">
              <w:t>0.7417</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0.7500</w:t>
            </w:r>
          </w:p>
        </w:tc>
        <w:tc>
          <w:tcPr>
            <w:tcW w:w="830" w:type="pct"/>
          </w:tcPr>
          <w:p w:rsidR="00890502" w:rsidRPr="00D77963" w:rsidRDefault="00890502" w:rsidP="00203F11">
            <w:pPr>
              <w:pStyle w:val="PBACTableText"/>
              <w:keepNext/>
              <w:keepLines/>
              <w:spacing w:before="0" w:after="0"/>
              <w:jc w:val="center"/>
            </w:pPr>
            <w:r w:rsidRPr="00D77963">
              <w:t>0.049</w:t>
            </w:r>
            <w:r w:rsidR="00E21DD1" w:rsidRPr="00D77963">
              <w:t>0</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1</w:t>
            </w:r>
          </w:p>
        </w:tc>
        <w:tc>
          <w:tcPr>
            <w:tcW w:w="945" w:type="pct"/>
          </w:tcPr>
          <w:p w:rsidR="00890502" w:rsidRPr="00D77963" w:rsidRDefault="00890502" w:rsidP="00203F11">
            <w:pPr>
              <w:pStyle w:val="PBACTableText"/>
              <w:keepNext/>
              <w:keepLines/>
              <w:spacing w:before="0" w:after="0"/>
              <w:jc w:val="center"/>
            </w:pPr>
            <w:r w:rsidRPr="00D77963">
              <w:t>0.7877</w:t>
            </w:r>
          </w:p>
        </w:tc>
        <w:tc>
          <w:tcPr>
            <w:tcW w:w="784" w:type="pct"/>
          </w:tcPr>
          <w:p w:rsidR="00890502" w:rsidRPr="00D77963" w:rsidRDefault="00890502" w:rsidP="00203F11">
            <w:pPr>
              <w:pStyle w:val="PBACTableText"/>
              <w:keepNext/>
              <w:keepLines/>
              <w:spacing w:before="0" w:after="0"/>
              <w:jc w:val="center"/>
            </w:pPr>
            <w:r w:rsidRPr="00D77963">
              <w:t>0.7304</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0.7348</w:t>
            </w:r>
          </w:p>
        </w:tc>
        <w:tc>
          <w:tcPr>
            <w:tcW w:w="830" w:type="pct"/>
          </w:tcPr>
          <w:p w:rsidR="00890502" w:rsidRPr="00D77963" w:rsidRDefault="00890502" w:rsidP="00203F11">
            <w:pPr>
              <w:pStyle w:val="PBACTableText"/>
              <w:keepNext/>
              <w:keepLines/>
              <w:spacing w:before="0" w:after="0"/>
              <w:jc w:val="center"/>
            </w:pPr>
            <w:r w:rsidRPr="00D77963">
              <w:t>0.0529</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2</w:t>
            </w:r>
          </w:p>
        </w:tc>
        <w:tc>
          <w:tcPr>
            <w:tcW w:w="945" w:type="pct"/>
          </w:tcPr>
          <w:p w:rsidR="00890502" w:rsidRPr="00D77963" w:rsidRDefault="00890502" w:rsidP="00203F11">
            <w:pPr>
              <w:pStyle w:val="PBACTableText"/>
              <w:keepNext/>
              <w:keepLines/>
              <w:spacing w:before="0" w:after="0"/>
              <w:jc w:val="center"/>
            </w:pPr>
            <w:r w:rsidRPr="00D77963">
              <w:t>0.7764</w:t>
            </w:r>
          </w:p>
        </w:tc>
        <w:tc>
          <w:tcPr>
            <w:tcW w:w="784" w:type="pct"/>
          </w:tcPr>
          <w:p w:rsidR="00890502" w:rsidRPr="00D77963" w:rsidRDefault="00890502" w:rsidP="00203F11">
            <w:pPr>
              <w:pStyle w:val="PBACTableText"/>
              <w:keepNext/>
              <w:keepLines/>
              <w:spacing w:before="0" w:after="0"/>
              <w:jc w:val="center"/>
            </w:pPr>
            <w:r w:rsidRPr="00D77963">
              <w:t>0.7191</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0.7196</w:t>
            </w:r>
          </w:p>
        </w:tc>
        <w:tc>
          <w:tcPr>
            <w:tcW w:w="830" w:type="pct"/>
          </w:tcPr>
          <w:p w:rsidR="00890502" w:rsidRPr="00D77963" w:rsidRDefault="00890502" w:rsidP="00203F11">
            <w:pPr>
              <w:pStyle w:val="PBACTableText"/>
              <w:keepNext/>
              <w:keepLines/>
              <w:spacing w:before="0" w:after="0"/>
              <w:jc w:val="center"/>
            </w:pPr>
            <w:r w:rsidRPr="00D77963">
              <w:t>0.0568</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3</w:t>
            </w:r>
          </w:p>
        </w:tc>
        <w:tc>
          <w:tcPr>
            <w:tcW w:w="945" w:type="pct"/>
          </w:tcPr>
          <w:p w:rsidR="00890502" w:rsidRPr="00D77963" w:rsidRDefault="00890502" w:rsidP="00203F11">
            <w:pPr>
              <w:pStyle w:val="PBACTableText"/>
              <w:keepNext/>
              <w:keepLines/>
              <w:spacing w:before="0" w:after="0"/>
              <w:jc w:val="center"/>
            </w:pPr>
            <w:r w:rsidRPr="00D77963">
              <w:t>0.7651</w:t>
            </w:r>
          </w:p>
        </w:tc>
        <w:tc>
          <w:tcPr>
            <w:tcW w:w="784" w:type="pct"/>
          </w:tcPr>
          <w:p w:rsidR="00890502" w:rsidRPr="00D77963" w:rsidRDefault="00890502" w:rsidP="00203F11">
            <w:pPr>
              <w:pStyle w:val="PBACTableText"/>
              <w:keepNext/>
              <w:keepLines/>
              <w:spacing w:before="0" w:after="0"/>
              <w:jc w:val="center"/>
            </w:pPr>
            <w:r w:rsidRPr="00D77963">
              <w:t>0.7078</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0.7044</w:t>
            </w:r>
          </w:p>
        </w:tc>
        <w:tc>
          <w:tcPr>
            <w:tcW w:w="830" w:type="pct"/>
          </w:tcPr>
          <w:p w:rsidR="00890502" w:rsidRPr="00D77963" w:rsidRDefault="00890502" w:rsidP="00203F11">
            <w:pPr>
              <w:pStyle w:val="PBACTableText"/>
              <w:keepNext/>
              <w:keepLines/>
              <w:spacing w:before="0" w:after="0"/>
              <w:jc w:val="center"/>
            </w:pPr>
            <w:r w:rsidRPr="00D77963">
              <w:t>0.0607</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4</w:t>
            </w:r>
          </w:p>
        </w:tc>
        <w:tc>
          <w:tcPr>
            <w:tcW w:w="945" w:type="pct"/>
          </w:tcPr>
          <w:p w:rsidR="00890502" w:rsidRPr="00D77963" w:rsidRDefault="00890502" w:rsidP="00203F11">
            <w:pPr>
              <w:pStyle w:val="PBACTableText"/>
              <w:keepNext/>
              <w:keepLines/>
              <w:spacing w:before="0" w:after="0"/>
              <w:jc w:val="center"/>
            </w:pPr>
            <w:r w:rsidRPr="00D77963">
              <w:t>0.7538</w:t>
            </w:r>
          </w:p>
        </w:tc>
        <w:tc>
          <w:tcPr>
            <w:tcW w:w="784" w:type="pct"/>
          </w:tcPr>
          <w:p w:rsidR="00890502" w:rsidRPr="00D77963" w:rsidRDefault="00890502" w:rsidP="00203F11">
            <w:pPr>
              <w:pStyle w:val="PBACTableText"/>
              <w:keepNext/>
              <w:keepLines/>
              <w:spacing w:before="0" w:after="0"/>
              <w:jc w:val="center"/>
            </w:pPr>
            <w:r w:rsidRPr="00D77963">
              <w:t>0.6965</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0.6892</w:t>
            </w:r>
          </w:p>
        </w:tc>
        <w:tc>
          <w:tcPr>
            <w:tcW w:w="830" w:type="pct"/>
          </w:tcPr>
          <w:p w:rsidR="00890502" w:rsidRPr="00D77963" w:rsidRDefault="00890502" w:rsidP="00203F11">
            <w:pPr>
              <w:pStyle w:val="PBACTableText"/>
              <w:keepNext/>
              <w:keepLines/>
              <w:spacing w:before="0" w:after="0"/>
              <w:jc w:val="center"/>
            </w:pPr>
            <w:r w:rsidRPr="00D77963">
              <w:t>0.0646</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w:t>
            </w:r>
          </w:p>
        </w:tc>
        <w:tc>
          <w:tcPr>
            <w:tcW w:w="945" w:type="pct"/>
          </w:tcPr>
          <w:p w:rsidR="00890502" w:rsidRPr="00D77963" w:rsidRDefault="00890502" w:rsidP="00203F11">
            <w:pPr>
              <w:pStyle w:val="PBACTableText"/>
              <w:keepNext/>
              <w:keepLines/>
              <w:spacing w:before="0" w:after="0"/>
              <w:jc w:val="center"/>
            </w:pPr>
          </w:p>
        </w:tc>
        <w:tc>
          <w:tcPr>
            <w:tcW w:w="784"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c>
          <w:tcPr>
            <w:tcW w:w="857"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15</w:t>
            </w:r>
          </w:p>
        </w:tc>
        <w:tc>
          <w:tcPr>
            <w:tcW w:w="945" w:type="pct"/>
          </w:tcPr>
          <w:p w:rsidR="00890502" w:rsidRPr="00D77963" w:rsidRDefault="00890502" w:rsidP="00203F11">
            <w:pPr>
              <w:pStyle w:val="PBACTableText"/>
              <w:keepNext/>
              <w:keepLines/>
              <w:spacing w:before="0" w:after="0"/>
              <w:jc w:val="center"/>
            </w:pPr>
            <w:r w:rsidRPr="00D77963">
              <w:t>0.6295</w:t>
            </w:r>
          </w:p>
        </w:tc>
        <w:tc>
          <w:tcPr>
            <w:tcW w:w="784" w:type="pct"/>
          </w:tcPr>
          <w:p w:rsidR="00890502" w:rsidRPr="00D77963" w:rsidRDefault="00890502" w:rsidP="00203F11">
            <w:pPr>
              <w:pStyle w:val="PBACTableText"/>
              <w:keepNext/>
              <w:keepLines/>
              <w:spacing w:before="0" w:after="0"/>
              <w:jc w:val="center"/>
            </w:pPr>
            <w:r w:rsidRPr="00D77963">
              <w:t>0.5722</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0.5220</w:t>
            </w:r>
          </w:p>
        </w:tc>
        <w:tc>
          <w:tcPr>
            <w:tcW w:w="830" w:type="pct"/>
          </w:tcPr>
          <w:p w:rsidR="00890502" w:rsidRPr="00D77963" w:rsidRDefault="00890502" w:rsidP="00203F11">
            <w:pPr>
              <w:pStyle w:val="PBACTableText"/>
              <w:keepNext/>
              <w:keepLines/>
              <w:spacing w:before="0" w:after="0"/>
              <w:jc w:val="center"/>
            </w:pPr>
            <w:r w:rsidRPr="00D77963">
              <w:t>0.1075</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w:t>
            </w:r>
          </w:p>
        </w:tc>
        <w:tc>
          <w:tcPr>
            <w:tcW w:w="945" w:type="pct"/>
          </w:tcPr>
          <w:p w:rsidR="00890502" w:rsidRPr="00D77963" w:rsidRDefault="00890502" w:rsidP="00203F11">
            <w:pPr>
              <w:pStyle w:val="PBACTableText"/>
              <w:keepNext/>
              <w:keepLines/>
              <w:spacing w:before="0" w:after="0"/>
              <w:jc w:val="center"/>
            </w:pPr>
          </w:p>
        </w:tc>
        <w:tc>
          <w:tcPr>
            <w:tcW w:w="784"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c>
          <w:tcPr>
            <w:tcW w:w="857"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20</w:t>
            </w:r>
          </w:p>
        </w:tc>
        <w:tc>
          <w:tcPr>
            <w:tcW w:w="945" w:type="pct"/>
          </w:tcPr>
          <w:p w:rsidR="00890502" w:rsidRPr="00D77963" w:rsidRDefault="00890502" w:rsidP="00203F11">
            <w:pPr>
              <w:pStyle w:val="PBACTableText"/>
              <w:keepNext/>
              <w:keepLines/>
              <w:spacing w:before="0" w:after="0"/>
              <w:jc w:val="center"/>
            </w:pPr>
            <w:r w:rsidRPr="00D77963">
              <w:t>0.5730</w:t>
            </w:r>
          </w:p>
        </w:tc>
        <w:tc>
          <w:tcPr>
            <w:tcW w:w="784" w:type="pct"/>
          </w:tcPr>
          <w:p w:rsidR="00890502" w:rsidRPr="00D77963" w:rsidRDefault="00890502" w:rsidP="00203F11">
            <w:pPr>
              <w:pStyle w:val="PBACTableText"/>
              <w:keepNext/>
              <w:keepLines/>
              <w:spacing w:before="0" w:after="0"/>
              <w:jc w:val="center"/>
            </w:pPr>
            <w:r w:rsidRPr="00D77963">
              <w:t>0.5157</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0.4460</w:t>
            </w:r>
          </w:p>
        </w:tc>
        <w:tc>
          <w:tcPr>
            <w:tcW w:w="830" w:type="pct"/>
          </w:tcPr>
          <w:p w:rsidR="00890502" w:rsidRPr="00D77963" w:rsidRDefault="00890502" w:rsidP="00203F11">
            <w:pPr>
              <w:pStyle w:val="PBACTableText"/>
              <w:keepNext/>
              <w:keepLines/>
              <w:jc w:val="center"/>
            </w:pPr>
            <w:r w:rsidRPr="00D77963">
              <w:t>0.127</w:t>
            </w:r>
            <w:r w:rsidR="00E21DD1" w:rsidRPr="00D77963">
              <w:t>0</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w:t>
            </w:r>
          </w:p>
        </w:tc>
        <w:tc>
          <w:tcPr>
            <w:tcW w:w="945" w:type="pct"/>
          </w:tcPr>
          <w:p w:rsidR="00890502" w:rsidRPr="00D77963" w:rsidRDefault="00890502" w:rsidP="00203F11">
            <w:pPr>
              <w:pStyle w:val="PBACTableText"/>
              <w:keepNext/>
              <w:keepLines/>
              <w:spacing w:before="0" w:after="0"/>
              <w:jc w:val="center"/>
            </w:pPr>
          </w:p>
        </w:tc>
        <w:tc>
          <w:tcPr>
            <w:tcW w:w="784"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c>
          <w:tcPr>
            <w:tcW w:w="857"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25</w:t>
            </w:r>
          </w:p>
        </w:tc>
        <w:tc>
          <w:tcPr>
            <w:tcW w:w="945" w:type="pct"/>
          </w:tcPr>
          <w:p w:rsidR="00890502" w:rsidRPr="00D77963" w:rsidRDefault="00890502" w:rsidP="00203F11">
            <w:pPr>
              <w:pStyle w:val="PBACTableText"/>
              <w:keepNext/>
              <w:keepLines/>
              <w:spacing w:before="0" w:after="0"/>
              <w:jc w:val="center"/>
            </w:pPr>
            <w:r w:rsidRPr="00D77963">
              <w:t>0.5165</w:t>
            </w:r>
          </w:p>
        </w:tc>
        <w:tc>
          <w:tcPr>
            <w:tcW w:w="784" w:type="pct"/>
          </w:tcPr>
          <w:p w:rsidR="00890502" w:rsidRPr="00D77963" w:rsidRDefault="00890502" w:rsidP="00203F11">
            <w:pPr>
              <w:pStyle w:val="PBACTableText"/>
              <w:keepNext/>
              <w:keepLines/>
              <w:spacing w:before="0" w:after="0"/>
              <w:jc w:val="center"/>
            </w:pPr>
            <w:r w:rsidRPr="00D77963">
              <w:t>0.4592</w:t>
            </w:r>
          </w:p>
        </w:tc>
        <w:tc>
          <w:tcPr>
            <w:tcW w:w="830" w:type="pct"/>
          </w:tcPr>
          <w:p w:rsidR="00890502" w:rsidRPr="00D77963" w:rsidRDefault="00890502" w:rsidP="00203F11">
            <w:pPr>
              <w:pStyle w:val="PBACTableText"/>
              <w:keepNext/>
              <w:keepLines/>
              <w:spacing w:before="0" w:after="0"/>
              <w:jc w:val="center"/>
            </w:pPr>
            <w:r w:rsidRPr="00D77963">
              <w:t>0.0573</w:t>
            </w:r>
          </w:p>
        </w:tc>
        <w:tc>
          <w:tcPr>
            <w:tcW w:w="857" w:type="pct"/>
          </w:tcPr>
          <w:p w:rsidR="00890502" w:rsidRPr="00D77963" w:rsidRDefault="00890502" w:rsidP="00203F11">
            <w:pPr>
              <w:pStyle w:val="PBACTableText"/>
              <w:keepNext/>
              <w:keepLines/>
              <w:spacing w:before="0" w:after="0"/>
              <w:jc w:val="center"/>
            </w:pPr>
            <w:r w:rsidRPr="00D77963">
              <w:t>0.3700</w:t>
            </w:r>
          </w:p>
        </w:tc>
        <w:tc>
          <w:tcPr>
            <w:tcW w:w="830" w:type="pct"/>
          </w:tcPr>
          <w:p w:rsidR="00890502" w:rsidRPr="00D77963" w:rsidRDefault="00E21DD1" w:rsidP="00203F11">
            <w:pPr>
              <w:pStyle w:val="PBACTableText"/>
              <w:keepNext/>
              <w:keepLines/>
              <w:jc w:val="center"/>
            </w:pPr>
            <w:r w:rsidRPr="00D77963">
              <w:t>0.1465</w:t>
            </w:r>
          </w:p>
        </w:tc>
      </w:tr>
      <w:tr w:rsidR="00890502" w:rsidRPr="00D77963" w:rsidTr="00D77963">
        <w:tc>
          <w:tcPr>
            <w:tcW w:w="754" w:type="pct"/>
          </w:tcPr>
          <w:p w:rsidR="00890502" w:rsidRPr="00D77963" w:rsidRDefault="00890502" w:rsidP="00203F11">
            <w:pPr>
              <w:pStyle w:val="PBACTableText"/>
              <w:keepNext/>
              <w:keepLines/>
              <w:spacing w:before="0" w:after="0"/>
              <w:jc w:val="center"/>
            </w:pPr>
            <w:r w:rsidRPr="00D77963">
              <w:t>….</w:t>
            </w:r>
          </w:p>
        </w:tc>
        <w:tc>
          <w:tcPr>
            <w:tcW w:w="945" w:type="pct"/>
          </w:tcPr>
          <w:p w:rsidR="00890502" w:rsidRPr="00D77963" w:rsidRDefault="00890502" w:rsidP="00203F11">
            <w:pPr>
              <w:pStyle w:val="PBACTableText"/>
              <w:keepNext/>
              <w:keepLines/>
              <w:spacing w:before="0" w:after="0"/>
              <w:jc w:val="center"/>
            </w:pPr>
          </w:p>
        </w:tc>
        <w:tc>
          <w:tcPr>
            <w:tcW w:w="784"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c>
          <w:tcPr>
            <w:tcW w:w="857" w:type="pct"/>
          </w:tcPr>
          <w:p w:rsidR="00890502" w:rsidRPr="00D77963" w:rsidRDefault="00890502" w:rsidP="00203F11">
            <w:pPr>
              <w:pStyle w:val="PBACTableText"/>
              <w:keepNext/>
              <w:keepLines/>
              <w:spacing w:before="0" w:after="0"/>
              <w:jc w:val="center"/>
            </w:pPr>
          </w:p>
        </w:tc>
        <w:tc>
          <w:tcPr>
            <w:tcW w:w="830" w:type="pct"/>
          </w:tcPr>
          <w:p w:rsidR="00890502" w:rsidRPr="00D77963" w:rsidRDefault="00890502" w:rsidP="00203F11">
            <w:pPr>
              <w:pStyle w:val="PBACTableText"/>
              <w:keepNext/>
              <w:keepLines/>
              <w:spacing w:before="0" w:after="0"/>
              <w:jc w:val="center"/>
            </w:pPr>
          </w:p>
        </w:tc>
      </w:tr>
      <w:tr w:rsidR="00890502" w:rsidRPr="00D77963" w:rsidTr="00D77963">
        <w:tc>
          <w:tcPr>
            <w:tcW w:w="754" w:type="pct"/>
          </w:tcPr>
          <w:p w:rsidR="00890502" w:rsidRPr="00D77963" w:rsidRDefault="00890502" w:rsidP="00203F11">
            <w:pPr>
              <w:pStyle w:val="PBACTableText"/>
              <w:keepLines/>
              <w:spacing w:before="0" w:after="0"/>
              <w:jc w:val="center"/>
            </w:pPr>
            <w:r w:rsidRPr="00D77963">
              <w:t>30</w:t>
            </w:r>
          </w:p>
        </w:tc>
        <w:tc>
          <w:tcPr>
            <w:tcW w:w="945" w:type="pct"/>
          </w:tcPr>
          <w:p w:rsidR="00890502" w:rsidRPr="00D77963" w:rsidRDefault="00890502" w:rsidP="00203F11">
            <w:pPr>
              <w:pStyle w:val="PBACTableText"/>
              <w:keepLines/>
              <w:spacing w:before="0" w:after="0"/>
              <w:jc w:val="center"/>
            </w:pPr>
            <w:r w:rsidRPr="00D77963">
              <w:t>0.4600</w:t>
            </w:r>
          </w:p>
        </w:tc>
        <w:tc>
          <w:tcPr>
            <w:tcW w:w="784" w:type="pct"/>
          </w:tcPr>
          <w:p w:rsidR="00890502" w:rsidRPr="00D77963" w:rsidRDefault="00890502" w:rsidP="00203F11">
            <w:pPr>
              <w:pStyle w:val="PBACTableText"/>
              <w:keepLines/>
              <w:spacing w:before="0" w:after="0"/>
              <w:jc w:val="center"/>
            </w:pPr>
            <w:r w:rsidRPr="00D77963">
              <w:t>0.4027</w:t>
            </w:r>
          </w:p>
        </w:tc>
        <w:tc>
          <w:tcPr>
            <w:tcW w:w="830" w:type="pct"/>
          </w:tcPr>
          <w:p w:rsidR="00890502" w:rsidRPr="00D77963" w:rsidRDefault="00890502" w:rsidP="00203F11">
            <w:pPr>
              <w:pStyle w:val="PBACTableText"/>
              <w:keepLines/>
              <w:spacing w:before="0" w:after="0"/>
              <w:jc w:val="center"/>
            </w:pPr>
            <w:r w:rsidRPr="00D77963">
              <w:t>0.0573</w:t>
            </w:r>
          </w:p>
        </w:tc>
        <w:tc>
          <w:tcPr>
            <w:tcW w:w="857" w:type="pct"/>
          </w:tcPr>
          <w:p w:rsidR="00890502" w:rsidRPr="00D77963" w:rsidRDefault="00890502" w:rsidP="00203F11">
            <w:pPr>
              <w:pStyle w:val="PBACTableText"/>
              <w:keepLines/>
              <w:spacing w:before="0" w:after="0"/>
              <w:jc w:val="center"/>
            </w:pPr>
            <w:r w:rsidRPr="00D77963">
              <w:t>0.2940</w:t>
            </w:r>
          </w:p>
        </w:tc>
        <w:tc>
          <w:tcPr>
            <w:tcW w:w="830" w:type="pct"/>
          </w:tcPr>
          <w:p w:rsidR="00890502" w:rsidRPr="00D77963" w:rsidRDefault="00E21DD1" w:rsidP="00203F11">
            <w:pPr>
              <w:pStyle w:val="PBACTableText"/>
              <w:keepLines/>
              <w:jc w:val="center"/>
            </w:pPr>
            <w:r w:rsidRPr="00D77963">
              <w:t>0.1660</w:t>
            </w:r>
          </w:p>
        </w:tc>
      </w:tr>
    </w:tbl>
    <w:p w:rsidR="00890502" w:rsidRPr="00D77963" w:rsidRDefault="00E21DD1" w:rsidP="00D77963">
      <w:pPr>
        <w:pStyle w:val="TableFigureFooter"/>
        <w:rPr>
          <w:lang w:eastAsia="en-US"/>
        </w:rPr>
      </w:pPr>
      <w:r w:rsidRPr="00D77963">
        <w:rPr>
          <w:lang w:eastAsia="en-US"/>
        </w:rPr>
        <w:t xml:space="preserve">Abbreviations: BSC, best supportive care; GAL, </w:t>
      </w:r>
      <w:proofErr w:type="spellStart"/>
      <w:r w:rsidRPr="00D77963">
        <w:rPr>
          <w:lang w:eastAsia="en-US"/>
        </w:rPr>
        <w:t>galcanezumab</w:t>
      </w:r>
      <w:proofErr w:type="spellEnd"/>
      <w:r w:rsidRPr="00D77963">
        <w:rPr>
          <w:lang w:eastAsia="en-US"/>
        </w:rPr>
        <w:t>; MHD, migraine headache days</w:t>
      </w:r>
    </w:p>
    <w:p w:rsidR="00F31F96" w:rsidRPr="00D77963" w:rsidRDefault="00CD10BB" w:rsidP="00CD10BB">
      <w:pPr>
        <w:widowControl w:val="0"/>
        <w:numPr>
          <w:ilvl w:val="1"/>
          <w:numId w:val="1"/>
        </w:numPr>
        <w:spacing w:after="160"/>
        <w:rPr>
          <w:snapToGrid w:val="0"/>
          <w:szCs w:val="22"/>
          <w:lang w:eastAsia="en-US"/>
        </w:rPr>
      </w:pPr>
      <w:r w:rsidRPr="00D77963">
        <w:rPr>
          <w:snapToGrid w:val="0"/>
          <w:szCs w:val="22"/>
          <w:lang w:eastAsia="en-US"/>
        </w:rPr>
        <w:t>The utility values were based on a subgroup analysis of patients with episodic or chronic migraine with ≥ 3 treatment failures from the CONQUER trial, which was stated to provide insufficient numbers of patients for robust analysis. The data used in the analysis were not well documented, and the derived utility values could not be adequately evaluated.</w:t>
      </w:r>
    </w:p>
    <w:p w:rsidR="00F31F96" w:rsidRPr="00D77963" w:rsidRDefault="00F31F96" w:rsidP="00AF3196">
      <w:pPr>
        <w:widowControl w:val="0"/>
        <w:numPr>
          <w:ilvl w:val="1"/>
          <w:numId w:val="1"/>
        </w:numPr>
        <w:spacing w:after="160"/>
        <w:rPr>
          <w:snapToGrid w:val="0"/>
          <w:szCs w:val="22"/>
          <w:lang w:eastAsia="en-US"/>
        </w:rPr>
      </w:pPr>
      <w:r w:rsidRPr="00D77963">
        <w:rPr>
          <w:snapToGrid w:val="0"/>
          <w:szCs w:val="22"/>
          <w:lang w:eastAsia="en-US"/>
        </w:rPr>
        <w:t xml:space="preserve">The submission stated that when stratified by treatment, the modelled utilities suggest some improvement in mapped MSQ utilities associated with treatment with </w:t>
      </w:r>
      <w:proofErr w:type="spellStart"/>
      <w:r w:rsidRPr="00D77963">
        <w:rPr>
          <w:snapToGrid w:val="0"/>
          <w:szCs w:val="22"/>
          <w:lang w:eastAsia="en-US"/>
        </w:rPr>
        <w:t>galcanezumab</w:t>
      </w:r>
      <w:proofErr w:type="spellEnd"/>
      <w:r w:rsidRPr="00D77963">
        <w:rPr>
          <w:snapToGrid w:val="0"/>
          <w:szCs w:val="22"/>
          <w:lang w:eastAsia="en-US"/>
        </w:rPr>
        <w:t xml:space="preserve">, independent of the number of monthly </w:t>
      </w:r>
      <w:r w:rsidR="00CF29C9" w:rsidRPr="00D77963">
        <w:rPr>
          <w:snapToGrid w:val="0"/>
          <w:szCs w:val="22"/>
          <w:lang w:eastAsia="en-US"/>
        </w:rPr>
        <w:t>MHD</w:t>
      </w:r>
      <w:r w:rsidRPr="00D77963">
        <w:rPr>
          <w:snapToGrid w:val="0"/>
          <w:szCs w:val="22"/>
          <w:lang w:eastAsia="en-US"/>
        </w:rPr>
        <w:t xml:space="preserve">. </w:t>
      </w:r>
      <w:r w:rsidR="00AF3196" w:rsidRPr="00D77963">
        <w:rPr>
          <w:snapToGrid w:val="0"/>
          <w:szCs w:val="22"/>
          <w:lang w:eastAsia="en-US"/>
        </w:rPr>
        <w:t xml:space="preserve">The submission claimed that this suggests treatment effect may have a benefit beyond reducing the number of monthly </w:t>
      </w:r>
      <w:r w:rsidR="00E2178F" w:rsidRPr="00D77963">
        <w:rPr>
          <w:snapToGrid w:val="0"/>
          <w:szCs w:val="22"/>
          <w:lang w:eastAsia="en-US"/>
        </w:rPr>
        <w:t>MHD</w:t>
      </w:r>
      <w:r w:rsidR="00AF3196" w:rsidRPr="00D77963">
        <w:rPr>
          <w:snapToGrid w:val="0"/>
          <w:szCs w:val="22"/>
          <w:lang w:eastAsia="en-US"/>
        </w:rPr>
        <w:t xml:space="preserve">, including both headache severity and other aspects such as nausea and cognitive function. </w:t>
      </w:r>
      <w:r w:rsidR="00E2178F" w:rsidRPr="00D77963">
        <w:rPr>
          <w:snapToGrid w:val="0"/>
          <w:szCs w:val="22"/>
          <w:lang w:eastAsia="en-US"/>
        </w:rPr>
        <w:t>The ESC noted n</w:t>
      </w:r>
      <w:r w:rsidR="00AF3196" w:rsidRPr="00D77963">
        <w:rPr>
          <w:snapToGrid w:val="0"/>
          <w:szCs w:val="22"/>
          <w:lang w:eastAsia="en-US"/>
        </w:rPr>
        <w:t>o evidence was provided to support this argument. Based on this,</w:t>
      </w:r>
      <w:r w:rsidRPr="00D77963">
        <w:rPr>
          <w:snapToGrid w:val="0"/>
          <w:szCs w:val="22"/>
          <w:lang w:eastAsia="en-US"/>
        </w:rPr>
        <w:t xml:space="preserve"> </w:t>
      </w:r>
      <w:r w:rsidR="00AF3196" w:rsidRPr="00D77963">
        <w:rPr>
          <w:snapToGrid w:val="0"/>
          <w:szCs w:val="22"/>
          <w:lang w:eastAsia="en-US"/>
        </w:rPr>
        <w:t xml:space="preserve">different utilities for </w:t>
      </w:r>
      <w:proofErr w:type="spellStart"/>
      <w:r w:rsidR="00AF3196" w:rsidRPr="00D77963">
        <w:rPr>
          <w:snapToGrid w:val="0"/>
          <w:szCs w:val="22"/>
          <w:lang w:eastAsia="en-US"/>
        </w:rPr>
        <w:t>galcanezumab</w:t>
      </w:r>
      <w:proofErr w:type="spellEnd"/>
      <w:r w:rsidR="00AF3196" w:rsidRPr="00D77963">
        <w:rPr>
          <w:snapToGrid w:val="0"/>
          <w:szCs w:val="22"/>
          <w:lang w:eastAsia="en-US"/>
        </w:rPr>
        <w:t xml:space="preserve"> and best supportive care were</w:t>
      </w:r>
      <w:r w:rsidRPr="00D77963">
        <w:rPr>
          <w:snapToGrid w:val="0"/>
          <w:szCs w:val="22"/>
          <w:lang w:eastAsia="en-US"/>
        </w:rPr>
        <w:t xml:space="preserve"> included in the economic base case. </w:t>
      </w:r>
      <w:r w:rsidR="00CF29C9" w:rsidRPr="00D77963">
        <w:rPr>
          <w:snapToGrid w:val="0"/>
          <w:szCs w:val="22"/>
          <w:lang w:eastAsia="en-US"/>
        </w:rPr>
        <w:t xml:space="preserve">The ESC considered it was </w:t>
      </w:r>
      <w:r w:rsidRPr="00D77963">
        <w:rPr>
          <w:snapToGrid w:val="0"/>
          <w:szCs w:val="22"/>
          <w:lang w:eastAsia="en-US"/>
        </w:rPr>
        <w:t xml:space="preserve">unclear whether the application of a utility benefit for being on treatment with </w:t>
      </w:r>
      <w:proofErr w:type="spellStart"/>
      <w:r w:rsidRPr="00D77963">
        <w:rPr>
          <w:snapToGrid w:val="0"/>
          <w:szCs w:val="22"/>
          <w:lang w:eastAsia="en-US"/>
        </w:rPr>
        <w:t>galcanezumab</w:t>
      </w:r>
      <w:proofErr w:type="spellEnd"/>
      <w:r w:rsidRPr="00D77963">
        <w:rPr>
          <w:snapToGrid w:val="0"/>
          <w:szCs w:val="22"/>
          <w:lang w:eastAsia="en-US"/>
        </w:rPr>
        <w:t xml:space="preserve"> compared with BSC was appropriate, and </w:t>
      </w:r>
      <w:r w:rsidR="00DA3671" w:rsidRPr="00D77963">
        <w:rPr>
          <w:snapToGrid w:val="0"/>
          <w:szCs w:val="22"/>
          <w:lang w:eastAsia="en-US"/>
        </w:rPr>
        <w:t xml:space="preserve">likely double counts the </w:t>
      </w:r>
      <w:r w:rsidRPr="00D77963">
        <w:rPr>
          <w:snapToGrid w:val="0"/>
          <w:szCs w:val="22"/>
          <w:lang w:eastAsia="en-US"/>
        </w:rPr>
        <w:t>benefit of treatment in the model. The scatterplot of mapped MSQ utilities by treatment shows wide variability, with each MHD informed by a relatively small number of observations. The model was sensitive to the use of on-treatment utilities.</w:t>
      </w:r>
      <w:r w:rsidR="00D05336" w:rsidRPr="00D77963">
        <w:rPr>
          <w:snapToGrid w:val="0"/>
          <w:szCs w:val="22"/>
          <w:lang w:eastAsia="en-US"/>
        </w:rPr>
        <w:t xml:space="preserve"> The PSCR argued that it is reasonable that the utility values applied in the model are separated for patients on </w:t>
      </w:r>
      <w:proofErr w:type="spellStart"/>
      <w:r w:rsidR="00D05336" w:rsidRPr="00D77963">
        <w:rPr>
          <w:snapToGrid w:val="0"/>
          <w:szCs w:val="22"/>
          <w:lang w:eastAsia="en-US"/>
        </w:rPr>
        <w:t>galcanezumab</w:t>
      </w:r>
      <w:proofErr w:type="spellEnd"/>
      <w:r w:rsidR="00D05336" w:rsidRPr="00D77963">
        <w:rPr>
          <w:snapToGrid w:val="0"/>
          <w:szCs w:val="22"/>
          <w:lang w:eastAsia="en-US"/>
        </w:rPr>
        <w:t xml:space="preserve"> treatment and best supportive care in the ‘on treatment’ health state.  The PSCR stated the submission presented a range of outcomes from the CONQUER study that supported this assumption and it is supported by a number of publications that treatment status is predictive of utility (i.e., higher utility associated with active treatment compared with BSC).  </w:t>
      </w:r>
    </w:p>
    <w:p w:rsidR="006636EB" w:rsidRPr="00D77963" w:rsidRDefault="00DA3671" w:rsidP="006636EB">
      <w:pPr>
        <w:widowControl w:val="0"/>
        <w:numPr>
          <w:ilvl w:val="1"/>
          <w:numId w:val="1"/>
        </w:numPr>
        <w:spacing w:after="160"/>
        <w:rPr>
          <w:snapToGrid w:val="0"/>
          <w:szCs w:val="22"/>
          <w:lang w:eastAsia="en-US"/>
        </w:rPr>
      </w:pPr>
      <w:r w:rsidRPr="00D77963">
        <w:t>The ESC noted the EQ-5D-5L scores collected during the CONQUER trial show</w:t>
      </w:r>
      <w:r w:rsidR="00E2178F" w:rsidRPr="00D77963">
        <w:t>ed</w:t>
      </w:r>
      <w:r w:rsidRPr="00D77963">
        <w:t xml:space="preserve"> no statistically significant difference between treatment arms, while mapped EQ-5D </w:t>
      </w:r>
      <w:r w:rsidRPr="00D77963">
        <w:lastRenderedPageBreak/>
        <w:t xml:space="preserve">utility values used in the economic model favour treatment with </w:t>
      </w:r>
      <w:proofErr w:type="spellStart"/>
      <w:r w:rsidRPr="00D77963">
        <w:t>galcanezumab</w:t>
      </w:r>
      <w:proofErr w:type="spellEnd"/>
      <w:r w:rsidRPr="00D77963">
        <w:t>. The difference between estimated and observed EQ-5D scores was not adequately addressed in the submission.</w:t>
      </w:r>
    </w:p>
    <w:p w:rsidR="008C5739" w:rsidRPr="00D77963" w:rsidRDefault="00C16ECC" w:rsidP="00C16ECC">
      <w:pPr>
        <w:widowControl w:val="0"/>
        <w:numPr>
          <w:ilvl w:val="1"/>
          <w:numId w:val="1"/>
        </w:numPr>
        <w:spacing w:after="160"/>
        <w:rPr>
          <w:snapToGrid w:val="0"/>
          <w:szCs w:val="22"/>
          <w:lang w:eastAsia="en-US"/>
        </w:rPr>
      </w:pPr>
      <w:r w:rsidRPr="00D77963">
        <w:rPr>
          <w:snapToGrid w:val="0"/>
          <w:szCs w:val="22"/>
          <w:lang w:eastAsia="en-US"/>
        </w:rPr>
        <w:t xml:space="preserve">The results of the </w:t>
      </w:r>
      <w:r w:rsidR="00BF0E85" w:rsidRPr="00D77963">
        <w:rPr>
          <w:snapToGrid w:val="0"/>
          <w:szCs w:val="22"/>
          <w:lang w:eastAsia="en-US"/>
        </w:rPr>
        <w:t xml:space="preserve">stepped </w:t>
      </w:r>
      <w:r w:rsidRPr="00D77963">
        <w:rPr>
          <w:snapToGrid w:val="0"/>
          <w:szCs w:val="22"/>
          <w:lang w:eastAsia="en-US"/>
        </w:rPr>
        <w:t xml:space="preserve">economic analysis, including additional steps calculated during the evaluation, are provided in </w:t>
      </w:r>
      <w:r w:rsidR="00D5606A" w:rsidRPr="00D77963">
        <w:t xml:space="preserve">Table </w:t>
      </w:r>
      <w:r w:rsidR="00D5606A" w:rsidRPr="00D77963">
        <w:rPr>
          <w:noProof/>
        </w:rPr>
        <w:t>13</w:t>
      </w:r>
      <w:r w:rsidR="00752D41" w:rsidRPr="00D77963">
        <w:rPr>
          <w:snapToGrid w:val="0"/>
          <w:szCs w:val="22"/>
          <w:lang w:eastAsia="en-US"/>
        </w:rPr>
        <w:t xml:space="preserve"> </w:t>
      </w:r>
      <w:r w:rsidRPr="00D77963">
        <w:rPr>
          <w:snapToGrid w:val="0"/>
          <w:szCs w:val="22"/>
          <w:lang w:eastAsia="en-US"/>
        </w:rPr>
        <w:t>below.</w:t>
      </w:r>
    </w:p>
    <w:p w:rsidR="00D110BD" w:rsidRPr="00D77963" w:rsidRDefault="006F5006" w:rsidP="006F5006">
      <w:pPr>
        <w:pStyle w:val="TableFigureCaption"/>
      </w:pPr>
      <w:bookmarkStart w:id="33" w:name="_Ref53751959"/>
      <w:r w:rsidRPr="00D77963">
        <w:t xml:space="preserve">Table </w:t>
      </w:r>
      <w:r w:rsidR="00D5606A" w:rsidRPr="00D77963">
        <w:rPr>
          <w:noProof/>
        </w:rPr>
        <w:t>13</w:t>
      </w:r>
      <w:bookmarkEnd w:id="33"/>
      <w:r w:rsidR="005A373D" w:rsidRPr="00D77963">
        <w:t>: Results of the stepped economic evaluation</w:t>
      </w:r>
    </w:p>
    <w:tbl>
      <w:tblPr>
        <w:tblStyle w:val="ASD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the stepped economic evaluation"/>
      </w:tblPr>
      <w:tblGrid>
        <w:gridCol w:w="4111"/>
        <w:gridCol w:w="1636"/>
        <w:gridCol w:w="1636"/>
        <w:gridCol w:w="1634"/>
      </w:tblGrid>
      <w:tr w:rsidR="00C16ECC" w:rsidRPr="00D77963" w:rsidTr="00A157AD">
        <w:trPr>
          <w:cnfStyle w:val="100000000000" w:firstRow="1" w:lastRow="0" w:firstColumn="0" w:lastColumn="0" w:oddVBand="0" w:evenVBand="0" w:oddHBand="0" w:evenHBand="0" w:firstRowFirstColumn="0" w:firstRowLastColumn="0" w:lastRowFirstColumn="0" w:lastRowLastColumn="0"/>
          <w:tblHeader/>
        </w:trPr>
        <w:tc>
          <w:tcPr>
            <w:tcW w:w="2280" w:type="pct"/>
          </w:tcPr>
          <w:p w:rsidR="00C16ECC" w:rsidRPr="00D77963" w:rsidRDefault="00C16ECC" w:rsidP="0082086C">
            <w:pPr>
              <w:jc w:val="left"/>
              <w:rPr>
                <w:rFonts w:ascii="Arial Narrow" w:hAnsi="Arial Narrow" w:cs="Times New Roman"/>
                <w:sz w:val="20"/>
                <w:szCs w:val="20"/>
                <w:lang w:val="en-AU"/>
              </w:rPr>
            </w:pPr>
          </w:p>
        </w:tc>
        <w:tc>
          <w:tcPr>
            <w:tcW w:w="907" w:type="pct"/>
          </w:tcPr>
          <w:p w:rsidR="00C16ECC" w:rsidRPr="00D77963" w:rsidRDefault="00C16ECC" w:rsidP="0082086C">
            <w:pPr>
              <w:jc w:val="center"/>
              <w:rPr>
                <w:rFonts w:ascii="Arial Narrow" w:hAnsi="Arial Narrow" w:cs="Times New Roman"/>
                <w:sz w:val="20"/>
                <w:szCs w:val="20"/>
                <w:lang w:val="en-AU"/>
              </w:rPr>
            </w:pPr>
            <w:proofErr w:type="spellStart"/>
            <w:r w:rsidRPr="00D77963">
              <w:rPr>
                <w:rFonts w:ascii="Arial Narrow" w:hAnsi="Arial Narrow" w:cs="Times New Roman"/>
                <w:sz w:val="20"/>
                <w:szCs w:val="20"/>
                <w:lang w:val="en-AU"/>
              </w:rPr>
              <w:t>Galcanezumab</w:t>
            </w:r>
            <w:proofErr w:type="spellEnd"/>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BSC</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Increment</w:t>
            </w:r>
          </w:p>
        </w:tc>
      </w:tr>
      <w:tr w:rsidR="00C16ECC" w:rsidRPr="00D77963" w:rsidTr="00D77963">
        <w:tc>
          <w:tcPr>
            <w:tcW w:w="5000" w:type="pct"/>
            <w:gridSpan w:val="4"/>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Step 1a: Trial-based analysis, difference in migraine days over 12-weeks, drug costs only</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Costs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11059">
              <w:rPr>
                <w:rFonts w:ascii="Arial Narrow" w:hAnsi="Arial Narrow" w:cs="Times New Roman"/>
                <w:sz w:val="20"/>
                <w:szCs w:val="20"/>
                <w:vertAlign w:val="superscript"/>
                <w:lang w:val="en-AU"/>
              </w:rPr>
              <w:t>1</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Mean reduction in migraine days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-3.64</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-0.65</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-2.99</w:t>
            </w:r>
          </w:p>
        </w:tc>
      </w:tr>
      <w:tr w:rsidR="00C16ECC" w:rsidRPr="00D77963" w:rsidTr="00D77963">
        <w:tc>
          <w:tcPr>
            <w:tcW w:w="4093" w:type="pct"/>
            <w:gridSpan w:val="3"/>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Incremental cost per migraine headache day avoided</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5000" w:type="pct"/>
            <w:gridSpan w:val="4"/>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 xml:space="preserve">Step 1b: </w:t>
            </w:r>
            <w:r w:rsidRPr="00D77963">
              <w:rPr>
                <w:rFonts w:ascii="Arial Narrow" w:hAnsi="Arial Narrow" w:cs="Times New Roman"/>
                <w:sz w:val="20"/>
                <w:szCs w:val="20"/>
                <w:u w:val="single"/>
                <w:lang w:val="en-AU"/>
              </w:rPr>
              <w:t>Modelled analysis</w:t>
            </w:r>
            <w:r w:rsidRPr="00D77963">
              <w:rPr>
                <w:rFonts w:ascii="Arial Narrow" w:hAnsi="Arial Narrow" w:cs="Times New Roman"/>
                <w:sz w:val="20"/>
                <w:szCs w:val="20"/>
                <w:lang w:val="en-AU"/>
              </w:rPr>
              <w:t>, difference in migraine days in cycle 4 (after 3-month assessment period), drug costs</w:t>
            </w:r>
            <w:r w:rsidR="00F31F96" w:rsidRPr="00D77963">
              <w:rPr>
                <w:rFonts w:ascii="Arial Narrow" w:hAnsi="Arial Narrow" w:cs="Times New Roman"/>
                <w:sz w:val="20"/>
                <w:szCs w:val="20"/>
                <w:lang w:val="en-AU"/>
              </w:rPr>
              <w:t xml:space="preserve"> only</w:t>
            </w:r>
            <w:r w:rsidRPr="00D77963">
              <w:rPr>
                <w:rFonts w:ascii="Arial Narrow" w:hAnsi="Arial Narrow" w:cs="Times New Roman"/>
                <w:sz w:val="20"/>
                <w:szCs w:val="20"/>
                <w:lang w:val="en-AU"/>
              </w:rPr>
              <w:t xml:space="preserve"> over 3 cycles (approximately 12 weeks)</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Costs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 xml:space="preserve">Mean </w:t>
            </w:r>
            <w:r w:rsidR="00F31F96" w:rsidRPr="00D77963">
              <w:rPr>
                <w:rFonts w:ascii="Arial Narrow" w:hAnsi="Arial Narrow" w:cs="Times New Roman"/>
                <w:sz w:val="20"/>
                <w:szCs w:val="20"/>
                <w:lang w:val="en-AU"/>
              </w:rPr>
              <w:t xml:space="preserve">reduction in </w:t>
            </w:r>
            <w:r w:rsidRPr="00D77963">
              <w:rPr>
                <w:rFonts w:ascii="Arial Narrow" w:hAnsi="Arial Narrow" w:cs="Times New Roman"/>
                <w:sz w:val="20"/>
                <w:szCs w:val="20"/>
                <w:lang w:val="en-AU"/>
              </w:rPr>
              <w:t>migraine days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-3.7</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-0.5</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-3.2</w:t>
            </w:r>
          </w:p>
        </w:tc>
      </w:tr>
      <w:tr w:rsidR="00C16ECC" w:rsidRPr="00D77963" w:rsidTr="00D77963">
        <w:tc>
          <w:tcPr>
            <w:tcW w:w="4093" w:type="pct"/>
            <w:gridSpan w:val="3"/>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Incremental cost per migraine headache day avoided</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5000" w:type="pct"/>
            <w:gridSpan w:val="4"/>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 xml:space="preserve">Step 2a: Difference in migraine days, drug costs </w:t>
            </w:r>
            <w:r w:rsidRPr="00D77963">
              <w:rPr>
                <w:rFonts w:ascii="Arial Narrow" w:hAnsi="Arial Narrow" w:cs="Times New Roman"/>
                <w:sz w:val="20"/>
                <w:szCs w:val="20"/>
                <w:u w:val="single"/>
                <w:lang w:val="en-AU"/>
              </w:rPr>
              <w:t>over 12 months</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Costs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 xml:space="preserve">Mean migraine </w:t>
            </w:r>
            <w:r w:rsidR="00F31F96" w:rsidRPr="00D77963">
              <w:rPr>
                <w:rFonts w:ascii="Arial Narrow" w:hAnsi="Arial Narrow" w:cs="Times New Roman"/>
                <w:sz w:val="20"/>
                <w:szCs w:val="20"/>
                <w:lang w:val="en-AU"/>
              </w:rPr>
              <w:t xml:space="preserve">headache </w:t>
            </w:r>
            <w:r w:rsidRPr="00D77963">
              <w:rPr>
                <w:rFonts w:ascii="Arial Narrow" w:hAnsi="Arial Narrow" w:cs="Times New Roman"/>
                <w:sz w:val="20"/>
                <w:szCs w:val="20"/>
                <w:lang w:val="en-AU"/>
              </w:rPr>
              <w:t>days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100.5</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117.6</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17.1</w:t>
            </w:r>
          </w:p>
        </w:tc>
      </w:tr>
      <w:tr w:rsidR="00C16ECC" w:rsidRPr="00D77963" w:rsidTr="00D77963">
        <w:tc>
          <w:tcPr>
            <w:tcW w:w="4093" w:type="pct"/>
            <w:gridSpan w:val="3"/>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Incremental cost per migraine headache day avoided</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5000" w:type="pct"/>
            <w:gridSpan w:val="4"/>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b/>
                <w:sz w:val="20"/>
                <w:szCs w:val="20"/>
                <w:lang w:val="en-AU"/>
              </w:rPr>
              <w:t xml:space="preserve">Step 2b: Change in migraine days, drug costs, </w:t>
            </w:r>
            <w:r w:rsidRPr="00D77963">
              <w:rPr>
                <w:rFonts w:ascii="Arial Narrow" w:hAnsi="Arial Narrow" w:cs="Times New Roman"/>
                <w:b/>
                <w:sz w:val="20"/>
                <w:szCs w:val="20"/>
                <w:u w:val="single"/>
                <w:lang w:val="en-AU"/>
              </w:rPr>
              <w:t>acute treatment and migraine management costs</w:t>
            </w:r>
            <w:r w:rsidRPr="00D77963">
              <w:rPr>
                <w:rFonts w:ascii="Arial Narrow" w:hAnsi="Arial Narrow" w:cs="Times New Roman"/>
                <w:b/>
                <w:sz w:val="20"/>
                <w:szCs w:val="20"/>
                <w:lang w:val="en-AU"/>
              </w:rPr>
              <w:t xml:space="preserve"> over 12 months</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Costs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$6,690</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 xml:space="preserve">Mean migraine </w:t>
            </w:r>
            <w:r w:rsidR="00F31F96" w:rsidRPr="00D77963">
              <w:rPr>
                <w:rFonts w:ascii="Arial Narrow" w:hAnsi="Arial Narrow" w:cs="Times New Roman"/>
                <w:sz w:val="20"/>
                <w:szCs w:val="20"/>
                <w:lang w:val="en-AU"/>
              </w:rPr>
              <w:t xml:space="preserve">headache </w:t>
            </w:r>
            <w:r w:rsidRPr="00D77963">
              <w:rPr>
                <w:rFonts w:ascii="Arial Narrow" w:hAnsi="Arial Narrow" w:cs="Times New Roman"/>
                <w:sz w:val="20"/>
                <w:szCs w:val="20"/>
                <w:lang w:val="en-AU"/>
              </w:rPr>
              <w:t>days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100.5</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117.6</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17.1</w:t>
            </w:r>
          </w:p>
        </w:tc>
      </w:tr>
      <w:tr w:rsidR="00C16ECC" w:rsidRPr="00D77963" w:rsidTr="00D77963">
        <w:tc>
          <w:tcPr>
            <w:tcW w:w="4093" w:type="pct"/>
            <w:gridSpan w:val="3"/>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Incremental cost per migraine headache day avoided</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5000" w:type="pct"/>
            <w:gridSpan w:val="4"/>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 xml:space="preserve">Step 3: </w:t>
            </w:r>
            <w:r w:rsidRPr="00D77963">
              <w:rPr>
                <w:rFonts w:ascii="Arial Narrow" w:hAnsi="Arial Narrow" w:cs="Times New Roman"/>
                <w:sz w:val="20"/>
                <w:szCs w:val="20"/>
                <w:u w:val="single"/>
                <w:lang w:val="en-AU"/>
              </w:rPr>
              <w:t>Utilities applied to health states to generate QALYs</w:t>
            </w:r>
            <w:r w:rsidRPr="00D77963">
              <w:rPr>
                <w:rFonts w:ascii="Arial Narrow" w:hAnsi="Arial Narrow" w:cs="Times New Roman"/>
                <w:sz w:val="20"/>
                <w:szCs w:val="20"/>
                <w:lang w:val="en-AU"/>
              </w:rPr>
              <w:t>; costs over 12 months</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Costs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$6,690</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E93D64">
              <w:rPr>
                <w:rFonts w:ascii="Arial Narrow" w:hAnsi="Arial Narrow" w:cs="Times New Roman"/>
                <w:sz w:val="20"/>
                <w:szCs w:val="20"/>
                <w:vertAlign w:val="superscript"/>
                <w:lang w:val="en-AU"/>
              </w:rPr>
              <w:t>1</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QALYs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0.710</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0.659</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0.051</w:t>
            </w:r>
          </w:p>
        </w:tc>
      </w:tr>
      <w:tr w:rsidR="00C16ECC" w:rsidRPr="00D77963" w:rsidTr="00D77963">
        <w:tc>
          <w:tcPr>
            <w:tcW w:w="4093" w:type="pct"/>
            <w:gridSpan w:val="3"/>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Incremental cost per QALY gained</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A2591E">
              <w:rPr>
                <w:rFonts w:ascii="Arial Narrow" w:hAnsi="Arial Narrow" w:cs="Times New Roman"/>
                <w:sz w:val="20"/>
                <w:szCs w:val="20"/>
                <w:vertAlign w:val="superscript"/>
                <w:lang w:val="en-AU"/>
              </w:rPr>
              <w:t>2</w:t>
            </w:r>
          </w:p>
        </w:tc>
      </w:tr>
      <w:tr w:rsidR="00C16ECC" w:rsidRPr="00D77963" w:rsidTr="00D77963">
        <w:tc>
          <w:tcPr>
            <w:tcW w:w="5000" w:type="pct"/>
            <w:gridSpan w:val="4"/>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b/>
                <w:sz w:val="20"/>
                <w:szCs w:val="20"/>
                <w:lang w:val="en-AU"/>
              </w:rPr>
              <w:t xml:space="preserve">Step 4: QALYs and costs </w:t>
            </w:r>
            <w:r w:rsidRPr="00D77963">
              <w:rPr>
                <w:rFonts w:ascii="Arial Narrow" w:hAnsi="Arial Narrow" w:cs="Times New Roman"/>
                <w:b/>
                <w:sz w:val="20"/>
                <w:szCs w:val="20"/>
                <w:u w:val="single"/>
                <w:lang w:val="en-AU"/>
              </w:rPr>
              <w:t>over 5 year time horizon</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Costs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$28,2</w:t>
            </w:r>
            <w:r w:rsidR="00E51411" w:rsidRPr="00D77963">
              <w:rPr>
                <w:rFonts w:ascii="Arial Narrow" w:hAnsi="Arial Narrow" w:cs="Times New Roman"/>
                <w:sz w:val="20"/>
                <w:szCs w:val="20"/>
                <w:lang w:val="en-AU"/>
              </w:rPr>
              <w:t>70</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A2591E">
              <w:rPr>
                <w:rFonts w:ascii="Arial Narrow" w:hAnsi="Arial Narrow" w:cs="Times New Roman"/>
                <w:sz w:val="20"/>
                <w:szCs w:val="20"/>
                <w:vertAlign w:val="superscript"/>
                <w:lang w:val="en-AU"/>
              </w:rPr>
              <w:t>3</w:t>
            </w:r>
          </w:p>
        </w:tc>
      </w:tr>
      <w:tr w:rsidR="00C16ECC" w:rsidRPr="00D77963" w:rsidTr="00D77963">
        <w:tc>
          <w:tcPr>
            <w:tcW w:w="2280" w:type="pct"/>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QALYs</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3.002</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2.807</w:t>
            </w:r>
          </w:p>
        </w:tc>
        <w:tc>
          <w:tcPr>
            <w:tcW w:w="907" w:type="pct"/>
          </w:tcPr>
          <w:p w:rsidR="00C16ECC" w:rsidRPr="00D77963" w:rsidRDefault="00C16ECC" w:rsidP="0082086C">
            <w:pPr>
              <w:jc w:val="center"/>
              <w:rPr>
                <w:rFonts w:ascii="Arial Narrow" w:hAnsi="Arial Narrow" w:cs="Times New Roman"/>
                <w:sz w:val="20"/>
                <w:szCs w:val="20"/>
                <w:lang w:val="en-AU"/>
              </w:rPr>
            </w:pPr>
            <w:r w:rsidRPr="00D77963">
              <w:rPr>
                <w:rFonts w:ascii="Arial Narrow" w:hAnsi="Arial Narrow" w:cs="Times New Roman"/>
                <w:sz w:val="20"/>
                <w:szCs w:val="20"/>
                <w:lang w:val="en-AU"/>
              </w:rPr>
              <w:t>0.195</w:t>
            </w:r>
          </w:p>
        </w:tc>
      </w:tr>
      <w:tr w:rsidR="00C16ECC" w:rsidRPr="00D77963" w:rsidTr="00D77963">
        <w:tc>
          <w:tcPr>
            <w:tcW w:w="4093" w:type="pct"/>
            <w:gridSpan w:val="3"/>
          </w:tcPr>
          <w:p w:rsidR="00C16ECC" w:rsidRPr="00D77963" w:rsidRDefault="00C16ECC" w:rsidP="0082086C">
            <w:pPr>
              <w:jc w:val="left"/>
              <w:rPr>
                <w:rFonts w:ascii="Arial Narrow" w:hAnsi="Arial Narrow" w:cs="Times New Roman"/>
                <w:sz w:val="20"/>
                <w:szCs w:val="20"/>
                <w:lang w:val="en-AU"/>
              </w:rPr>
            </w:pPr>
            <w:r w:rsidRPr="00D77963">
              <w:rPr>
                <w:rFonts w:ascii="Arial Narrow" w:hAnsi="Arial Narrow" w:cs="Times New Roman"/>
                <w:sz w:val="20"/>
                <w:szCs w:val="20"/>
                <w:lang w:val="en-AU"/>
              </w:rPr>
              <w:t>Incremental cost per QALY gained</w:t>
            </w:r>
          </w:p>
        </w:tc>
        <w:tc>
          <w:tcPr>
            <w:tcW w:w="907" w:type="pct"/>
          </w:tcPr>
          <w:p w:rsidR="00C16ECC" w:rsidRPr="00E11059" w:rsidRDefault="00C16ECC" w:rsidP="0082086C">
            <w:pPr>
              <w:jc w:val="center"/>
              <w:rPr>
                <w:rFonts w:ascii="Arial Narrow" w:hAnsi="Arial Narrow" w:cs="Times New Roman"/>
                <w:sz w:val="20"/>
                <w:szCs w:val="20"/>
                <w:vertAlign w:val="superscript"/>
                <w:lang w:val="en-AU"/>
              </w:rPr>
            </w:pPr>
            <w:r w:rsidRPr="00D77963">
              <w:rPr>
                <w:rFonts w:ascii="Arial Narrow" w:hAnsi="Arial Narrow" w:cs="Times New Roman"/>
                <w:sz w:val="20"/>
                <w:szCs w:val="20"/>
                <w:lang w:val="en-AU"/>
              </w:rPr>
              <w:t>$</w:t>
            </w:r>
            <w:r w:rsidR="00272C12">
              <w:rPr>
                <w:rFonts w:ascii="Arial Narrow" w:hAnsi="Arial Narrow" w:cs="Times New Roman"/>
                <w:noProof/>
                <w:color w:val="000000"/>
                <w:sz w:val="20"/>
                <w:szCs w:val="20"/>
                <w:highlight w:val="black"/>
                <w:lang w:val="en-AU"/>
              </w:rPr>
              <w:t>'''''''''''''''''</w:t>
            </w:r>
            <w:r w:rsidR="00A2591E">
              <w:rPr>
                <w:rFonts w:ascii="Arial Narrow" w:hAnsi="Arial Narrow" w:cs="Times New Roman"/>
                <w:sz w:val="20"/>
                <w:szCs w:val="20"/>
                <w:vertAlign w:val="superscript"/>
                <w:lang w:val="en-AU"/>
              </w:rPr>
              <w:t>4</w:t>
            </w:r>
          </w:p>
        </w:tc>
      </w:tr>
    </w:tbl>
    <w:p w:rsidR="00C16ECC" w:rsidRDefault="00C16ECC" w:rsidP="00C16ECC">
      <w:pPr>
        <w:pStyle w:val="TableFigureFooter"/>
      </w:pPr>
      <w:r w:rsidRPr="00D77963">
        <w:t xml:space="preserve">Source: Table 3.8.5 of the submission; additional analyses calculated during the evaluation using Attachment 4.1 </w:t>
      </w:r>
      <w:proofErr w:type="spellStart"/>
      <w:r w:rsidRPr="00D77963">
        <w:t>Galcanezumab</w:t>
      </w:r>
      <w:proofErr w:type="spellEnd"/>
      <w:r w:rsidRPr="00D77963">
        <w:t xml:space="preserve"> section 3 model</w:t>
      </w:r>
    </w:p>
    <w:p w:rsidR="00E93D64" w:rsidRDefault="00E93D64" w:rsidP="00C16ECC">
      <w:pPr>
        <w:pStyle w:val="TableFigureFooter"/>
        <w:rPr>
          <w:i/>
        </w:rPr>
      </w:pPr>
      <w:r>
        <w:rPr>
          <w:i/>
        </w:rPr>
        <w:t>The redacted values correspond to the following ranges:</w:t>
      </w:r>
    </w:p>
    <w:p w:rsidR="00E93D64" w:rsidRDefault="00E93D64" w:rsidP="00C16ECC">
      <w:pPr>
        <w:pStyle w:val="TableFigureFooter"/>
        <w:rPr>
          <w:i/>
        </w:rPr>
      </w:pPr>
      <w:r>
        <w:rPr>
          <w:i/>
          <w:vertAlign w:val="superscript"/>
        </w:rPr>
        <w:t>1</w:t>
      </w:r>
      <w:r>
        <w:rPr>
          <w:i/>
        </w:rPr>
        <w:t xml:space="preserve"> $0 to &lt; $5000</w:t>
      </w:r>
    </w:p>
    <w:p w:rsidR="00A2591E" w:rsidRDefault="00A2591E" w:rsidP="00C16ECC">
      <w:pPr>
        <w:pStyle w:val="TableFigureFooter"/>
        <w:rPr>
          <w:i/>
        </w:rPr>
      </w:pPr>
      <w:r>
        <w:rPr>
          <w:i/>
          <w:vertAlign w:val="superscript"/>
        </w:rPr>
        <w:t>2</w:t>
      </w:r>
      <w:r>
        <w:rPr>
          <w:i/>
        </w:rPr>
        <w:t xml:space="preserve"> $45,000 to &lt; $55,000</w:t>
      </w:r>
    </w:p>
    <w:p w:rsidR="00A2591E" w:rsidRDefault="00A2591E" w:rsidP="00C16ECC">
      <w:pPr>
        <w:pStyle w:val="TableFigureFooter"/>
        <w:rPr>
          <w:i/>
        </w:rPr>
      </w:pPr>
      <w:r>
        <w:rPr>
          <w:i/>
          <w:vertAlign w:val="superscript"/>
        </w:rPr>
        <w:t>3</w:t>
      </w:r>
      <w:r>
        <w:rPr>
          <w:i/>
        </w:rPr>
        <w:t xml:space="preserve"> $5,000 to &lt; $15,000</w:t>
      </w:r>
    </w:p>
    <w:p w:rsidR="00A2591E" w:rsidRPr="00A2591E" w:rsidRDefault="00A2591E" w:rsidP="00C16ECC">
      <w:pPr>
        <w:pStyle w:val="TableFigureFooter"/>
        <w:rPr>
          <w:i/>
        </w:rPr>
      </w:pPr>
      <w:r>
        <w:rPr>
          <w:i/>
          <w:vertAlign w:val="superscript"/>
        </w:rPr>
        <w:t>4</w:t>
      </w:r>
      <w:r>
        <w:rPr>
          <w:i/>
        </w:rPr>
        <w:t xml:space="preserve"> $35,000 to &lt; $45,000</w:t>
      </w:r>
    </w:p>
    <w:p w:rsidR="00E93D64" w:rsidRPr="00E93D64" w:rsidRDefault="00E93D64" w:rsidP="00C16ECC">
      <w:pPr>
        <w:pStyle w:val="TableFigureFooter"/>
        <w:rPr>
          <w:i/>
          <w:sz w:val="20"/>
        </w:rPr>
      </w:pPr>
    </w:p>
    <w:p w:rsidR="002D08CA" w:rsidRPr="00D77963" w:rsidRDefault="002D08CA" w:rsidP="00DA4F48">
      <w:pPr>
        <w:widowControl w:val="0"/>
        <w:numPr>
          <w:ilvl w:val="1"/>
          <w:numId w:val="1"/>
        </w:numPr>
        <w:spacing w:after="160"/>
        <w:rPr>
          <w:snapToGrid w:val="0"/>
          <w:szCs w:val="22"/>
          <w:lang w:eastAsia="en-US"/>
        </w:rPr>
      </w:pPr>
      <w:r w:rsidRPr="00D77963">
        <w:rPr>
          <w:snapToGrid w:val="0"/>
          <w:szCs w:val="22"/>
          <w:lang w:eastAsia="en-US"/>
        </w:rPr>
        <w:t xml:space="preserve">Based on the results of the economic model, treatment with </w:t>
      </w:r>
      <w:proofErr w:type="spellStart"/>
      <w:r w:rsidRPr="00D77963">
        <w:rPr>
          <w:snapToGrid w:val="0"/>
          <w:szCs w:val="22"/>
          <w:lang w:eastAsia="en-US"/>
        </w:rPr>
        <w:t>galcanezumab</w:t>
      </w:r>
      <w:proofErr w:type="spellEnd"/>
      <w:r w:rsidRPr="00D77963">
        <w:rPr>
          <w:snapToGrid w:val="0"/>
          <w:szCs w:val="22"/>
          <w:lang w:eastAsia="en-US"/>
        </w:rPr>
        <w:t xml:space="preserve"> was associated with an incremental cost per QALY gained of </w:t>
      </w:r>
      <w:r w:rsidR="00B9274E">
        <w:rPr>
          <w:snapToGrid w:val="0"/>
          <w:szCs w:val="22"/>
          <w:lang w:eastAsia="en-US"/>
        </w:rPr>
        <w:t>$35,000 to &lt; $45,000</w:t>
      </w:r>
      <w:r w:rsidRPr="00D77963">
        <w:rPr>
          <w:snapToGrid w:val="0"/>
          <w:szCs w:val="22"/>
          <w:lang w:eastAsia="en-US"/>
        </w:rPr>
        <w:t xml:space="preserve">, compared to best supportive care (placebo). </w:t>
      </w:r>
    </w:p>
    <w:p w:rsidR="00E41464" w:rsidRPr="00D77963" w:rsidRDefault="00E41464" w:rsidP="00DA4F48">
      <w:pPr>
        <w:widowControl w:val="0"/>
        <w:numPr>
          <w:ilvl w:val="1"/>
          <w:numId w:val="1"/>
        </w:numPr>
        <w:spacing w:after="160"/>
        <w:rPr>
          <w:snapToGrid w:val="0"/>
          <w:szCs w:val="22"/>
          <w:lang w:eastAsia="en-US"/>
        </w:rPr>
      </w:pPr>
      <w:r w:rsidRPr="00D77963">
        <w:rPr>
          <w:snapToGrid w:val="0"/>
          <w:szCs w:val="22"/>
          <w:lang w:eastAsia="en-US"/>
        </w:rPr>
        <w:t>The model trace is</w:t>
      </w:r>
      <w:r w:rsidR="00D57701" w:rsidRPr="00D77963">
        <w:rPr>
          <w:snapToGrid w:val="0"/>
          <w:szCs w:val="22"/>
          <w:lang w:eastAsia="en-US"/>
        </w:rPr>
        <w:t xml:space="preserve"> summarised</w:t>
      </w:r>
      <w:r w:rsidRPr="00D77963">
        <w:rPr>
          <w:snapToGrid w:val="0"/>
          <w:szCs w:val="22"/>
          <w:lang w:eastAsia="en-US"/>
        </w:rPr>
        <w:t xml:space="preserve"> </w:t>
      </w:r>
      <w:r w:rsidR="009319B5" w:rsidRPr="00D77963">
        <w:rPr>
          <w:snapToGrid w:val="0"/>
          <w:szCs w:val="22"/>
          <w:lang w:eastAsia="en-US"/>
        </w:rPr>
        <w:t xml:space="preserve">in </w:t>
      </w:r>
      <w:r w:rsidR="00D5606A" w:rsidRPr="00D77963">
        <w:t xml:space="preserve">Figure </w:t>
      </w:r>
      <w:r w:rsidR="00D5606A" w:rsidRPr="00D77963">
        <w:rPr>
          <w:noProof/>
        </w:rPr>
        <w:t>2</w:t>
      </w:r>
      <w:r w:rsidR="00752D41" w:rsidRPr="00D77963">
        <w:rPr>
          <w:snapToGrid w:val="0"/>
          <w:szCs w:val="22"/>
          <w:lang w:eastAsia="en-US"/>
        </w:rPr>
        <w:t xml:space="preserve"> </w:t>
      </w:r>
      <w:r w:rsidRPr="00D77963">
        <w:rPr>
          <w:snapToGrid w:val="0"/>
          <w:szCs w:val="22"/>
          <w:lang w:eastAsia="en-US"/>
        </w:rPr>
        <w:t>below</w:t>
      </w:r>
      <w:r w:rsidR="00D57701" w:rsidRPr="00D77963">
        <w:rPr>
          <w:snapToGrid w:val="0"/>
          <w:szCs w:val="22"/>
          <w:lang w:eastAsia="en-US"/>
        </w:rPr>
        <w:t>.</w:t>
      </w:r>
    </w:p>
    <w:p w:rsidR="00E41464" w:rsidRPr="00D77963" w:rsidRDefault="006F5006" w:rsidP="006F5006">
      <w:pPr>
        <w:pStyle w:val="TableFigureCaption"/>
      </w:pPr>
      <w:bookmarkStart w:id="34" w:name="_Ref53751999"/>
      <w:r w:rsidRPr="00D77963">
        <w:lastRenderedPageBreak/>
        <w:t xml:space="preserve">Figure </w:t>
      </w:r>
      <w:r w:rsidR="00D5606A" w:rsidRPr="00D77963">
        <w:rPr>
          <w:noProof/>
        </w:rPr>
        <w:t>2</w:t>
      </w:r>
      <w:bookmarkEnd w:id="34"/>
      <w:r w:rsidR="00E41464" w:rsidRPr="00D77963">
        <w:t xml:space="preserve">: Model traces for </w:t>
      </w:r>
      <w:proofErr w:type="spellStart"/>
      <w:r w:rsidR="00E41464" w:rsidRPr="00D77963">
        <w:t>galcanezumab</w:t>
      </w:r>
      <w:proofErr w:type="spellEnd"/>
      <w:r w:rsidR="00E41464" w:rsidRPr="00D77963">
        <w:t xml:space="preserve"> and best supportive care arms</w:t>
      </w:r>
    </w:p>
    <w:p w:rsidR="00E41464" w:rsidRPr="00D77963" w:rsidRDefault="000A390A" w:rsidP="00E41464">
      <w:pPr>
        <w:rPr>
          <w:color w:val="3366FF"/>
        </w:rPr>
      </w:pPr>
      <w:r>
        <w:rPr>
          <w:noProof/>
          <w:color w:val="3366FF"/>
        </w:rPr>
        <w:drawing>
          <wp:inline distT="0" distB="0" distL="0" distR="0" wp14:anchorId="448F2FFE">
            <wp:extent cx="5737860" cy="3825240"/>
            <wp:effectExtent l="0" t="0" r="0" b="3810"/>
            <wp:docPr id="4" name="Picture 4" title="Figure 2: Model traces for galcanezumab and best supportive care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860" cy="3825240"/>
                    </a:xfrm>
                    <a:prstGeom prst="rect">
                      <a:avLst/>
                    </a:prstGeom>
                    <a:noFill/>
                  </pic:spPr>
                </pic:pic>
              </a:graphicData>
            </a:graphic>
          </wp:inline>
        </w:drawing>
      </w:r>
    </w:p>
    <w:p w:rsidR="00E41464" w:rsidRPr="00D77963" w:rsidRDefault="00E41464" w:rsidP="00E41464">
      <w:pPr>
        <w:pStyle w:val="TableFigureFooter"/>
      </w:pPr>
      <w:r w:rsidRPr="00D77963">
        <w:t xml:space="preserve">Source: Constructed during the evaluation using Attachment 4.1 </w:t>
      </w:r>
      <w:proofErr w:type="spellStart"/>
      <w:r w:rsidRPr="00D77963">
        <w:t>Galcanezumab</w:t>
      </w:r>
      <w:proofErr w:type="spellEnd"/>
      <w:r w:rsidRPr="00D77963">
        <w:t xml:space="preserve"> Section 3 model</w:t>
      </w:r>
    </w:p>
    <w:p w:rsidR="00E41464" w:rsidRPr="00D77963" w:rsidRDefault="00E41464" w:rsidP="00E41464">
      <w:pPr>
        <w:pStyle w:val="TableFigureFooter"/>
      </w:pPr>
      <w:r w:rsidRPr="00D77963">
        <w:t>Abbrev</w:t>
      </w:r>
      <w:r w:rsidR="00E204BA" w:rsidRPr="00D77963">
        <w:t>i</w:t>
      </w:r>
      <w:r w:rsidRPr="00D77963">
        <w:t xml:space="preserve">ations: AE, adverse event; BSC, best supportive care; </w:t>
      </w:r>
      <w:proofErr w:type="spellStart"/>
      <w:r w:rsidRPr="00D77963">
        <w:t>Galc</w:t>
      </w:r>
      <w:proofErr w:type="spellEnd"/>
      <w:r w:rsidRPr="00D77963">
        <w:t xml:space="preserve">, </w:t>
      </w:r>
      <w:proofErr w:type="spellStart"/>
      <w:r w:rsidRPr="00D77963">
        <w:t>galcanezumab</w:t>
      </w:r>
      <w:proofErr w:type="spellEnd"/>
      <w:r w:rsidRPr="00D77963">
        <w:t xml:space="preserve">; </w:t>
      </w:r>
      <w:proofErr w:type="spellStart"/>
      <w:proofErr w:type="gramStart"/>
      <w:r w:rsidRPr="00D77963">
        <w:t>Tx</w:t>
      </w:r>
      <w:proofErr w:type="spellEnd"/>
      <w:proofErr w:type="gramEnd"/>
      <w:r w:rsidRPr="00D77963">
        <w:t>, treatment</w:t>
      </w:r>
    </w:p>
    <w:p w:rsidR="00E41464" w:rsidRPr="00D77963" w:rsidRDefault="00E41464" w:rsidP="00E41464">
      <w:pPr>
        <w:widowControl w:val="0"/>
        <w:numPr>
          <w:ilvl w:val="1"/>
          <w:numId w:val="1"/>
        </w:numPr>
        <w:spacing w:after="160"/>
        <w:rPr>
          <w:snapToGrid w:val="0"/>
          <w:szCs w:val="22"/>
          <w:lang w:eastAsia="en-US"/>
        </w:rPr>
      </w:pPr>
      <w:r w:rsidRPr="00D77963">
        <w:rPr>
          <w:snapToGrid w:val="0"/>
          <w:szCs w:val="22"/>
          <w:lang w:eastAsia="en-US"/>
        </w:rPr>
        <w:t xml:space="preserve">The Markov trace shows that treatment with </w:t>
      </w:r>
      <w:proofErr w:type="spellStart"/>
      <w:r w:rsidRPr="00D77963">
        <w:rPr>
          <w:snapToGrid w:val="0"/>
          <w:szCs w:val="22"/>
          <w:lang w:eastAsia="en-US"/>
        </w:rPr>
        <w:t>galcanezumab</w:t>
      </w:r>
      <w:proofErr w:type="spellEnd"/>
      <w:r w:rsidRPr="00D77963">
        <w:rPr>
          <w:snapToGrid w:val="0"/>
          <w:szCs w:val="22"/>
          <w:lang w:eastAsia="en-US"/>
        </w:rPr>
        <w:t xml:space="preserve"> was associated with more time spent in the on treatment responder health state, and less time in the discontinuation health states (either due to adverse events or non-response), compared with best supportive care. </w:t>
      </w:r>
    </w:p>
    <w:p w:rsidR="00E41464" w:rsidRPr="00D77963" w:rsidRDefault="00D57701" w:rsidP="00E41464">
      <w:pPr>
        <w:widowControl w:val="0"/>
        <w:numPr>
          <w:ilvl w:val="1"/>
          <w:numId w:val="1"/>
        </w:numPr>
        <w:spacing w:after="160"/>
        <w:rPr>
          <w:snapToGrid w:val="0"/>
          <w:szCs w:val="22"/>
          <w:lang w:eastAsia="en-US"/>
        </w:rPr>
      </w:pPr>
      <w:r w:rsidRPr="00D77963">
        <w:rPr>
          <w:snapToGrid w:val="0"/>
          <w:szCs w:val="22"/>
          <w:lang w:eastAsia="en-US"/>
        </w:rPr>
        <w:t xml:space="preserve">The responder health states were associated with lower </w:t>
      </w:r>
      <w:r w:rsidR="00E2178F" w:rsidRPr="00D77963">
        <w:rPr>
          <w:snapToGrid w:val="0"/>
          <w:szCs w:val="22"/>
          <w:lang w:eastAsia="en-US"/>
        </w:rPr>
        <w:t>MHD</w:t>
      </w:r>
      <w:r w:rsidRPr="00D77963">
        <w:rPr>
          <w:snapToGrid w:val="0"/>
          <w:szCs w:val="22"/>
          <w:lang w:eastAsia="en-US"/>
        </w:rPr>
        <w:t xml:space="preserve"> and greater utility benefit. Responders could only discontinue due to adverse events or death.</w:t>
      </w:r>
      <w:r w:rsidR="00E204BA" w:rsidRPr="00D77963">
        <w:rPr>
          <w:snapToGrid w:val="0"/>
          <w:szCs w:val="22"/>
          <w:lang w:eastAsia="en-US"/>
        </w:rPr>
        <w:t xml:space="preserve"> </w:t>
      </w:r>
    </w:p>
    <w:p w:rsidR="00C16ECC" w:rsidRPr="00D77963" w:rsidRDefault="00C16ECC" w:rsidP="00DA4F48">
      <w:pPr>
        <w:widowControl w:val="0"/>
        <w:numPr>
          <w:ilvl w:val="1"/>
          <w:numId w:val="1"/>
        </w:numPr>
        <w:spacing w:after="160"/>
        <w:rPr>
          <w:snapToGrid w:val="0"/>
          <w:szCs w:val="22"/>
          <w:lang w:eastAsia="en-US"/>
        </w:rPr>
      </w:pPr>
      <w:r w:rsidRPr="00D77963">
        <w:rPr>
          <w:snapToGrid w:val="0"/>
          <w:szCs w:val="22"/>
          <w:lang w:eastAsia="en-US"/>
        </w:rPr>
        <w:t xml:space="preserve">The </w:t>
      </w:r>
      <w:r w:rsidR="00E2178F" w:rsidRPr="00D77963">
        <w:rPr>
          <w:snapToGrid w:val="0"/>
          <w:szCs w:val="22"/>
          <w:lang w:eastAsia="en-US"/>
        </w:rPr>
        <w:t xml:space="preserve">evaluation considered the </w:t>
      </w:r>
      <w:r w:rsidRPr="00D77963">
        <w:rPr>
          <w:snapToGrid w:val="0"/>
          <w:szCs w:val="22"/>
          <w:lang w:eastAsia="en-US"/>
        </w:rPr>
        <w:t xml:space="preserve">base case incremental cost effectiveness ratio was unlikely to represent the cost-effectiveness of </w:t>
      </w:r>
      <w:proofErr w:type="spellStart"/>
      <w:r w:rsidRPr="00D77963">
        <w:rPr>
          <w:snapToGrid w:val="0"/>
          <w:szCs w:val="22"/>
          <w:lang w:eastAsia="en-US"/>
        </w:rPr>
        <w:t>galcanezumab</w:t>
      </w:r>
      <w:proofErr w:type="spellEnd"/>
      <w:r w:rsidRPr="00D77963">
        <w:rPr>
          <w:snapToGrid w:val="0"/>
          <w:szCs w:val="22"/>
          <w:lang w:eastAsia="en-US"/>
        </w:rPr>
        <w:t xml:space="preserve"> in clinical practice. There were a number of issues associated with the economic model that limit the reliability of the estimated ICERs:</w:t>
      </w:r>
    </w:p>
    <w:p w:rsidR="002D08CA" w:rsidRPr="00D77963" w:rsidRDefault="002D08CA" w:rsidP="002D08CA">
      <w:pPr>
        <w:pStyle w:val="ExecSumBodyText"/>
        <w:numPr>
          <w:ilvl w:val="1"/>
          <w:numId w:val="28"/>
        </w:numPr>
        <w:ind w:left="1100" w:hanging="380"/>
        <w:rPr>
          <w:i/>
        </w:rPr>
      </w:pPr>
      <w:r w:rsidRPr="00D77963">
        <w:t xml:space="preserve">Ongoing treatment with </w:t>
      </w:r>
      <w:proofErr w:type="spellStart"/>
      <w:r w:rsidRPr="00D77963">
        <w:t>galcanezumab</w:t>
      </w:r>
      <w:proofErr w:type="spellEnd"/>
      <w:r w:rsidRPr="00D77963">
        <w:t xml:space="preserve"> was limited to patients who achieved ≥50% response, which was associated with very low mean MHDs. Although consistent with the proposed restriction, in practice it is likely that patients with smaller, although still clinically relevant, benefits will continue treatment. The subjective nature of the proposed continuation criteria and a current lack of PBS-listed treatment alternatives for this population may also contribute to a higher continuation rate in clinical practice.</w:t>
      </w:r>
      <w:r w:rsidR="00CF29C9" w:rsidRPr="00D77963">
        <w:t xml:space="preserve"> The ESC </w:t>
      </w:r>
      <w:r w:rsidR="00752D41" w:rsidRPr="00D77963">
        <w:t>noted</w:t>
      </w:r>
      <w:r w:rsidR="00CF29C9" w:rsidRPr="00D77963">
        <w:t xml:space="preserve"> the</w:t>
      </w:r>
      <w:r w:rsidRPr="00D77963">
        <w:t xml:space="preserve"> structure of the economic model mean</w:t>
      </w:r>
      <w:r w:rsidR="00CF29C9" w:rsidRPr="00D77963">
        <w:t>t</w:t>
      </w:r>
      <w:r w:rsidRPr="00D77963">
        <w:t xml:space="preserve"> that it </w:t>
      </w:r>
      <w:r w:rsidR="00CF29C9" w:rsidRPr="00D77963">
        <w:t>was</w:t>
      </w:r>
      <w:r w:rsidRPr="00D77963">
        <w:t xml:space="preserve"> difficult to assess different scenarios that explore this risk.</w:t>
      </w:r>
      <w:r w:rsidR="0083059E" w:rsidRPr="00D77963">
        <w:t xml:space="preserve"> </w:t>
      </w:r>
    </w:p>
    <w:p w:rsidR="002D08CA" w:rsidRPr="00D77963" w:rsidRDefault="002D08CA" w:rsidP="002D08CA">
      <w:pPr>
        <w:pStyle w:val="ExecSumBodyText"/>
        <w:numPr>
          <w:ilvl w:val="1"/>
          <w:numId w:val="28"/>
        </w:numPr>
        <w:ind w:left="1100" w:hanging="380"/>
      </w:pPr>
      <w:r w:rsidRPr="00D77963">
        <w:lastRenderedPageBreak/>
        <w:t xml:space="preserve">The economic model assumed ongoing treatment for responders for the life of the model, with patients only discontinuing due to adverse events or death after the initial response assessment. This also assumes that the response to </w:t>
      </w:r>
      <w:proofErr w:type="spellStart"/>
      <w:r w:rsidRPr="00D77963">
        <w:t>galcanezumab</w:t>
      </w:r>
      <w:proofErr w:type="spellEnd"/>
      <w:r w:rsidRPr="00D77963">
        <w:t xml:space="preserve"> will be maintained long-term. Current evidence from a long-term open-label trial of </w:t>
      </w:r>
      <w:proofErr w:type="spellStart"/>
      <w:r w:rsidRPr="00D77963">
        <w:t>galcanezumab</w:t>
      </w:r>
      <w:proofErr w:type="spellEnd"/>
      <w:r w:rsidRPr="00D77963">
        <w:t xml:space="preserve">, Study CGAJ, did not adequately demonstrate the maintenance of treatment effect, with a majority of responders losing response by month 12. </w:t>
      </w:r>
      <w:r w:rsidR="00CF29C9" w:rsidRPr="00D77963">
        <w:t xml:space="preserve">The ESC considered this was a highly optimistic assumption. </w:t>
      </w:r>
    </w:p>
    <w:p w:rsidR="002D08CA" w:rsidRPr="00D77963" w:rsidRDefault="002D08CA" w:rsidP="002D08CA">
      <w:pPr>
        <w:pStyle w:val="ExecSumBodyText"/>
        <w:numPr>
          <w:ilvl w:val="1"/>
          <w:numId w:val="28"/>
        </w:numPr>
        <w:ind w:left="1100" w:hanging="380"/>
      </w:pPr>
      <w:r w:rsidRPr="00D77963">
        <w:t>The comparator in the CONQUER trial (placebo) may not be a good proxy for standard of care for the modelled population. In practice, at least a proportion of this population is likely to be using some preventive migraine treatment, which was not allowed in the CONQUER trial.</w:t>
      </w:r>
      <w:r w:rsidR="00E2178F" w:rsidRPr="00D77963">
        <w:t xml:space="preserve"> The ESC considered placebo was a reasonable proxy for standard of care (paragraph 6.3</w:t>
      </w:r>
      <w:r w:rsidR="00695D4A" w:rsidRPr="00D77963">
        <w:t>5</w:t>
      </w:r>
      <w:r w:rsidR="00E2178F" w:rsidRPr="00D77963">
        <w:t xml:space="preserve">). </w:t>
      </w:r>
    </w:p>
    <w:p w:rsidR="00CA543A" w:rsidRPr="00D77963" w:rsidRDefault="002D08CA" w:rsidP="002D08CA">
      <w:pPr>
        <w:pStyle w:val="ExecSumBodyText"/>
        <w:numPr>
          <w:ilvl w:val="1"/>
          <w:numId w:val="28"/>
        </w:numPr>
        <w:ind w:left="1100" w:hanging="380"/>
      </w:pPr>
      <w:r w:rsidRPr="00D77963">
        <w:t xml:space="preserve">The costs and outcomes in the economic model were all based on observed response rates and mean MHDs achieved in the subgroup who had failed treatment with ≥3 previous preventive treatments in CONQUER. Patients in this subpopulation appeared to experience relatively severe disease, with an average of approximately 10 monthly </w:t>
      </w:r>
      <w:r w:rsidR="00477465" w:rsidRPr="00D77963">
        <w:t>MHD</w:t>
      </w:r>
      <w:r w:rsidRPr="00D77963">
        <w:t xml:space="preserve"> at baseline, and a majority of patients (80%) diagnosed with high frequency episodic migraine, defined as 8 to &lt;15 </w:t>
      </w:r>
      <w:r w:rsidR="00477465" w:rsidRPr="00D77963">
        <w:t>MHD</w:t>
      </w:r>
      <w:r w:rsidRPr="00D77963">
        <w:t xml:space="preserve"> per 30-day period. </w:t>
      </w:r>
      <w:r w:rsidR="00E2178F" w:rsidRPr="00D77963">
        <w:t xml:space="preserve">The ESC considered it was </w:t>
      </w:r>
      <w:r w:rsidRPr="00D77963">
        <w:t xml:space="preserve">unclear whether disease severity, mean reductions in </w:t>
      </w:r>
      <w:r w:rsidR="00CF29C9" w:rsidRPr="00D77963">
        <w:t>MHD</w:t>
      </w:r>
      <w:r w:rsidRPr="00D77963">
        <w:t xml:space="preserve">, and response rates observed in the trial are likely to be similar in the proposed PBS population. Responders achieved very favourable MHD in the model; if there is any change to MHD achieved in clinical practice, the cost effectiveness of </w:t>
      </w:r>
      <w:proofErr w:type="spellStart"/>
      <w:r w:rsidRPr="00D77963">
        <w:t>galcanezumab</w:t>
      </w:r>
      <w:proofErr w:type="spellEnd"/>
      <w:r w:rsidRPr="00D77963">
        <w:t xml:space="preserve"> will also change.</w:t>
      </w:r>
    </w:p>
    <w:p w:rsidR="00521A07" w:rsidRPr="00D77963" w:rsidRDefault="00CA543A" w:rsidP="00DA4F48">
      <w:pPr>
        <w:widowControl w:val="0"/>
        <w:numPr>
          <w:ilvl w:val="1"/>
          <w:numId w:val="1"/>
        </w:numPr>
        <w:spacing w:after="160"/>
        <w:rPr>
          <w:snapToGrid w:val="0"/>
          <w:szCs w:val="22"/>
          <w:lang w:eastAsia="en-US"/>
        </w:rPr>
      </w:pPr>
      <w:r w:rsidRPr="00D77963">
        <w:rPr>
          <w:snapToGrid w:val="0"/>
          <w:szCs w:val="22"/>
          <w:lang w:eastAsia="en-US"/>
        </w:rPr>
        <w:t xml:space="preserve">Key sensitivity analyses presented in the submission and conducted during the evaluation are summarised in </w:t>
      </w:r>
      <w:r w:rsidR="00D5606A" w:rsidRPr="00D77963">
        <w:t xml:space="preserve">Table </w:t>
      </w:r>
      <w:r w:rsidR="00D5606A" w:rsidRPr="00D77963">
        <w:rPr>
          <w:noProof/>
        </w:rPr>
        <w:t>14</w:t>
      </w:r>
      <w:r w:rsidRPr="00D77963">
        <w:rPr>
          <w:snapToGrid w:val="0"/>
          <w:szCs w:val="22"/>
          <w:lang w:eastAsia="en-US"/>
        </w:rPr>
        <w:t>.</w:t>
      </w:r>
    </w:p>
    <w:p w:rsidR="00521A07" w:rsidRPr="00D77963" w:rsidRDefault="00521A07">
      <w:pPr>
        <w:jc w:val="left"/>
        <w:rPr>
          <w:snapToGrid w:val="0"/>
          <w:szCs w:val="22"/>
          <w:lang w:eastAsia="en-US"/>
        </w:rPr>
      </w:pPr>
      <w:r w:rsidRPr="00D77963">
        <w:rPr>
          <w:snapToGrid w:val="0"/>
          <w:szCs w:val="22"/>
          <w:lang w:eastAsia="en-US"/>
        </w:rPr>
        <w:br w:type="page"/>
      </w:r>
    </w:p>
    <w:p w:rsidR="00CA543A" w:rsidRPr="00D77963" w:rsidRDefault="006F5006" w:rsidP="006F5006">
      <w:pPr>
        <w:pStyle w:val="TableFigureCaption"/>
        <w:rPr>
          <w:rStyle w:val="CommentReference"/>
          <w:sz w:val="22"/>
          <w:szCs w:val="18"/>
        </w:rPr>
      </w:pPr>
      <w:bookmarkStart w:id="35" w:name="_Ref53752041"/>
      <w:r w:rsidRPr="00D77963">
        <w:lastRenderedPageBreak/>
        <w:t xml:space="preserve">Table </w:t>
      </w:r>
      <w:r w:rsidR="00D5606A" w:rsidRPr="00D77963">
        <w:rPr>
          <w:noProof/>
        </w:rPr>
        <w:t>14</w:t>
      </w:r>
      <w:bookmarkEnd w:id="35"/>
      <w:r w:rsidR="00CA543A" w:rsidRPr="00D77963">
        <w:rPr>
          <w:rStyle w:val="CommentReference"/>
          <w:sz w:val="20"/>
          <w:szCs w:val="20"/>
        </w:rPr>
        <w:t xml:space="preserve">: Results of key sensitivity analyses </w:t>
      </w:r>
    </w:p>
    <w:tbl>
      <w:tblPr>
        <w:tblStyle w:val="TableGrid"/>
        <w:tblW w:w="5000" w:type="pct"/>
        <w:tblCellMar>
          <w:left w:w="57" w:type="dxa"/>
          <w:right w:w="57" w:type="dxa"/>
        </w:tblCellMar>
        <w:tblLook w:val="04A0" w:firstRow="1" w:lastRow="0" w:firstColumn="1" w:lastColumn="0" w:noHBand="0" w:noVBand="1"/>
        <w:tblCaption w:val="Table 14: Results of key sensitivity analyses "/>
      </w:tblPr>
      <w:tblGrid>
        <w:gridCol w:w="5120"/>
        <w:gridCol w:w="1275"/>
        <w:gridCol w:w="1268"/>
        <w:gridCol w:w="1354"/>
      </w:tblGrid>
      <w:tr w:rsidR="00CA543A" w:rsidRPr="00D77963" w:rsidTr="00D77963">
        <w:trPr>
          <w:tblHeader/>
        </w:trPr>
        <w:tc>
          <w:tcPr>
            <w:tcW w:w="2839" w:type="pct"/>
          </w:tcPr>
          <w:p w:rsidR="00CA543A" w:rsidRPr="00D77963" w:rsidRDefault="00CA543A" w:rsidP="00372DA8">
            <w:pPr>
              <w:pStyle w:val="TableHeading"/>
              <w:keepNext w:val="0"/>
              <w:spacing w:after="0"/>
              <w:rPr>
                <w:rStyle w:val="CommentReference"/>
                <w:sz w:val="20"/>
                <w:szCs w:val="20"/>
              </w:rPr>
            </w:pPr>
          </w:p>
        </w:tc>
        <w:tc>
          <w:tcPr>
            <w:tcW w:w="707" w:type="pct"/>
          </w:tcPr>
          <w:p w:rsidR="00CA543A" w:rsidRPr="00D77963" w:rsidRDefault="00CA543A" w:rsidP="00372DA8">
            <w:pPr>
              <w:pStyle w:val="Tabletext0"/>
              <w:jc w:val="center"/>
              <w:rPr>
                <w:b/>
                <w:szCs w:val="20"/>
              </w:rPr>
            </w:pPr>
            <w:r w:rsidRPr="00D77963">
              <w:rPr>
                <w:b/>
                <w:szCs w:val="20"/>
              </w:rPr>
              <w:t>Incremental cost</w:t>
            </w:r>
          </w:p>
        </w:tc>
        <w:tc>
          <w:tcPr>
            <w:tcW w:w="703" w:type="pct"/>
          </w:tcPr>
          <w:p w:rsidR="00CA543A" w:rsidRPr="00D77963" w:rsidRDefault="00CA543A" w:rsidP="00372DA8">
            <w:pPr>
              <w:pStyle w:val="Tabletext0"/>
              <w:jc w:val="center"/>
              <w:rPr>
                <w:b/>
                <w:szCs w:val="20"/>
              </w:rPr>
            </w:pPr>
            <w:r w:rsidRPr="00D77963">
              <w:rPr>
                <w:b/>
                <w:szCs w:val="20"/>
              </w:rPr>
              <w:t>Incremental QALYs</w:t>
            </w:r>
          </w:p>
        </w:tc>
        <w:tc>
          <w:tcPr>
            <w:tcW w:w="751" w:type="pct"/>
            <w:vAlign w:val="center"/>
          </w:tcPr>
          <w:p w:rsidR="00CA543A" w:rsidRPr="00D77963" w:rsidRDefault="00CA543A" w:rsidP="00372DA8">
            <w:pPr>
              <w:pStyle w:val="Tabletext0"/>
              <w:jc w:val="center"/>
              <w:rPr>
                <w:b/>
                <w:szCs w:val="20"/>
              </w:rPr>
            </w:pPr>
            <w:r w:rsidRPr="00D77963">
              <w:rPr>
                <w:b/>
                <w:szCs w:val="20"/>
              </w:rPr>
              <w:t>ICER</w:t>
            </w:r>
          </w:p>
        </w:tc>
      </w:tr>
      <w:tr w:rsidR="00CA543A" w:rsidRPr="00D77963" w:rsidTr="00D77963">
        <w:tc>
          <w:tcPr>
            <w:tcW w:w="2839" w:type="pct"/>
          </w:tcPr>
          <w:p w:rsidR="00CA543A" w:rsidRPr="00D77963" w:rsidRDefault="00CA543A" w:rsidP="00372DA8">
            <w:pPr>
              <w:pStyle w:val="TableHeading"/>
              <w:keepNext w:val="0"/>
              <w:spacing w:after="0"/>
              <w:rPr>
                <w:rStyle w:val="CommentReference"/>
                <w:sz w:val="20"/>
                <w:szCs w:val="20"/>
              </w:rPr>
            </w:pPr>
            <w:r w:rsidRPr="00D77963">
              <w:rPr>
                <w:rStyle w:val="CommentReference"/>
                <w:sz w:val="20"/>
                <w:szCs w:val="20"/>
              </w:rPr>
              <w:t>Base case</w:t>
            </w:r>
          </w:p>
        </w:tc>
        <w:tc>
          <w:tcPr>
            <w:tcW w:w="707" w:type="pct"/>
          </w:tcPr>
          <w:p w:rsidR="00CA543A" w:rsidRPr="00D77963" w:rsidRDefault="00CA543A" w:rsidP="00372DA8">
            <w:pPr>
              <w:pStyle w:val="Tabletext0"/>
              <w:jc w:val="center"/>
              <w:rPr>
                <w:b/>
                <w:szCs w:val="20"/>
              </w:rPr>
            </w:pPr>
            <w:r w:rsidRPr="00D77963">
              <w:rPr>
                <w:b/>
                <w:szCs w:val="20"/>
              </w:rPr>
              <w:t>$</w:t>
            </w:r>
            <w:r w:rsidR="00272C12">
              <w:rPr>
                <w:b/>
                <w:noProof/>
                <w:color w:val="000000"/>
                <w:szCs w:val="20"/>
                <w:highlight w:val="black"/>
              </w:rPr>
              <w:t>''''''''''''</w:t>
            </w:r>
          </w:p>
        </w:tc>
        <w:tc>
          <w:tcPr>
            <w:tcW w:w="703" w:type="pct"/>
          </w:tcPr>
          <w:p w:rsidR="00CA543A" w:rsidRPr="00D77963" w:rsidRDefault="00CA543A" w:rsidP="00372DA8">
            <w:pPr>
              <w:pStyle w:val="Tabletext0"/>
              <w:jc w:val="center"/>
              <w:rPr>
                <w:b/>
                <w:szCs w:val="20"/>
              </w:rPr>
            </w:pPr>
            <w:r w:rsidRPr="00D77963">
              <w:rPr>
                <w:b/>
                <w:szCs w:val="20"/>
              </w:rPr>
              <w:t>0.195</w:t>
            </w:r>
          </w:p>
        </w:tc>
        <w:tc>
          <w:tcPr>
            <w:tcW w:w="751" w:type="pct"/>
          </w:tcPr>
          <w:p w:rsidR="00CA543A" w:rsidRPr="00B9274E" w:rsidRDefault="00CA543A" w:rsidP="00372DA8">
            <w:pPr>
              <w:pStyle w:val="Tabletext0"/>
              <w:jc w:val="center"/>
              <w:rPr>
                <w:szCs w:val="20"/>
                <w:vertAlign w:val="superscript"/>
              </w:rPr>
            </w:pPr>
            <w:r w:rsidRPr="00D77963">
              <w:rPr>
                <w:b/>
                <w:szCs w:val="20"/>
              </w:rPr>
              <w:t>$</w:t>
            </w:r>
            <w:r w:rsidR="00272C12">
              <w:rPr>
                <w:b/>
                <w:noProof/>
                <w:color w:val="000000"/>
                <w:szCs w:val="20"/>
                <w:highlight w:val="black"/>
              </w:rPr>
              <w:t>''''''''''''''</w:t>
            </w:r>
            <w:r w:rsidR="00B9274E">
              <w:rPr>
                <w:szCs w:val="20"/>
                <w:vertAlign w:val="superscript"/>
              </w:rPr>
              <w:t>1</w:t>
            </w:r>
          </w:p>
        </w:tc>
      </w:tr>
      <w:tr w:rsidR="00CA543A" w:rsidRPr="00D77963" w:rsidTr="00D77963">
        <w:tc>
          <w:tcPr>
            <w:tcW w:w="5000" w:type="pct"/>
            <w:gridSpan w:val="4"/>
          </w:tcPr>
          <w:p w:rsidR="00CA543A" w:rsidRPr="00D77963" w:rsidRDefault="00CA543A" w:rsidP="00372DA8">
            <w:pPr>
              <w:pStyle w:val="TableHeading"/>
              <w:keepNext w:val="0"/>
              <w:spacing w:after="0"/>
              <w:rPr>
                <w:rStyle w:val="CommentReference"/>
                <w:sz w:val="20"/>
                <w:szCs w:val="20"/>
              </w:rPr>
            </w:pPr>
            <w:r w:rsidRPr="00D77963">
              <w:rPr>
                <w:rStyle w:val="CommentReference"/>
                <w:sz w:val="20"/>
                <w:szCs w:val="20"/>
              </w:rPr>
              <w:t>Time horizon (base case 5 years)</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1 year</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0.0509</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2</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3 years</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0.1321</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1</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10 years</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0.2984</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1</w:t>
            </w:r>
          </w:p>
        </w:tc>
      </w:tr>
      <w:tr w:rsidR="00CA543A" w:rsidRPr="00D77963" w:rsidTr="00D77963">
        <w:tc>
          <w:tcPr>
            <w:tcW w:w="5000" w:type="pct"/>
            <w:gridSpan w:val="4"/>
          </w:tcPr>
          <w:p w:rsidR="00CA543A" w:rsidRPr="00D77963" w:rsidRDefault="00CA543A" w:rsidP="00372DA8">
            <w:pPr>
              <w:pStyle w:val="TableHeading"/>
              <w:keepNext w:val="0"/>
              <w:spacing w:after="0"/>
              <w:rPr>
                <w:rStyle w:val="CommentReference"/>
                <w:sz w:val="20"/>
                <w:szCs w:val="20"/>
              </w:rPr>
            </w:pPr>
            <w:r w:rsidRPr="00D77963">
              <w:rPr>
                <w:rStyle w:val="CommentReference"/>
                <w:sz w:val="20"/>
                <w:szCs w:val="20"/>
              </w:rPr>
              <w:t>Proportion of responders (base case response based on</w:t>
            </w:r>
            <w:r w:rsidR="002533B3" w:rsidRPr="00D77963">
              <w:rPr>
                <w:rStyle w:val="CommentReference"/>
                <w:sz w:val="20"/>
                <w:szCs w:val="20"/>
              </w:rPr>
              <w:t xml:space="preserve"> the proportion achieving a</w:t>
            </w:r>
            <w:r w:rsidRPr="00D77963">
              <w:rPr>
                <w:rStyle w:val="CommentReference"/>
                <w:sz w:val="20"/>
                <w:szCs w:val="20"/>
              </w:rPr>
              <w:t xml:space="preserve"> ≥50% reduction in mean MHD in episodic migraine ≥3 treatment failure subpopulation of CONQUER</w:t>
            </w:r>
            <w:r w:rsidR="002533B3" w:rsidRPr="00D77963">
              <w:rPr>
                <w:rStyle w:val="CommentReference"/>
                <w:sz w:val="20"/>
                <w:szCs w:val="20"/>
              </w:rPr>
              <w:t xml:space="preserve"> [41.1%]</w:t>
            </w:r>
            <w:r w:rsidRPr="00D77963">
              <w:rPr>
                <w:rStyle w:val="CommentReference"/>
                <w:sz w:val="20"/>
                <w:szCs w:val="20"/>
              </w:rPr>
              <w:t>)</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proofErr w:type="spellStart"/>
            <w:r w:rsidRPr="00D77963">
              <w:rPr>
                <w:rStyle w:val="CommentReference"/>
                <w:b w:val="0"/>
                <w:sz w:val="20"/>
                <w:szCs w:val="20"/>
              </w:rPr>
              <w:t>Galcanezumab</w:t>
            </w:r>
            <w:proofErr w:type="spellEnd"/>
            <w:r w:rsidRPr="00D77963">
              <w:rPr>
                <w:rStyle w:val="CommentReference"/>
                <w:b w:val="0"/>
                <w:sz w:val="20"/>
                <w:szCs w:val="20"/>
              </w:rPr>
              <w:t xml:space="preserve"> responders (58.9%) based on BSC arm multiplied by upper 95% CL of estimated RR from OR (3.67)</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0.308</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3</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proofErr w:type="spellStart"/>
            <w:r w:rsidRPr="00D77963">
              <w:rPr>
                <w:rStyle w:val="CommentReference"/>
                <w:b w:val="0"/>
                <w:sz w:val="20"/>
                <w:szCs w:val="20"/>
              </w:rPr>
              <w:t>Galcanezumab</w:t>
            </w:r>
            <w:proofErr w:type="spellEnd"/>
            <w:r w:rsidRPr="00D77963">
              <w:rPr>
                <w:rStyle w:val="CommentReference"/>
                <w:b w:val="0"/>
                <w:sz w:val="20"/>
                <w:szCs w:val="20"/>
              </w:rPr>
              <w:t xml:space="preserve"> responders (25.2%) based on BSC arm multiplied by lower 95% CL of estimated RR from OR (1.53)</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0.095</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4</w:t>
            </w:r>
          </w:p>
        </w:tc>
      </w:tr>
      <w:tr w:rsidR="00CA543A" w:rsidRPr="00D77963" w:rsidTr="00D77963">
        <w:tc>
          <w:tcPr>
            <w:tcW w:w="5000" w:type="pct"/>
            <w:gridSpan w:val="4"/>
          </w:tcPr>
          <w:p w:rsidR="00CA543A" w:rsidRPr="00D77963" w:rsidRDefault="00CA543A" w:rsidP="00372DA8">
            <w:pPr>
              <w:pStyle w:val="TableHeading"/>
              <w:keepNext w:val="0"/>
              <w:spacing w:after="0"/>
              <w:rPr>
                <w:rFonts w:cs="Calibri"/>
                <w:i/>
                <w:color w:val="000000"/>
                <w:szCs w:val="20"/>
              </w:rPr>
            </w:pPr>
            <w:r w:rsidRPr="00D77963">
              <w:rPr>
                <w:rStyle w:val="CommentReference"/>
                <w:sz w:val="20"/>
                <w:szCs w:val="20"/>
              </w:rPr>
              <w:t xml:space="preserve">Proportion of non-responders continuing </w:t>
            </w:r>
            <w:proofErr w:type="spellStart"/>
            <w:r w:rsidRPr="00D77963">
              <w:rPr>
                <w:rStyle w:val="CommentReference"/>
                <w:sz w:val="20"/>
                <w:szCs w:val="20"/>
              </w:rPr>
              <w:t>galcanezumab</w:t>
            </w:r>
            <w:proofErr w:type="spellEnd"/>
            <w:r w:rsidRPr="00D77963">
              <w:rPr>
                <w:rStyle w:val="CommentReference"/>
                <w:sz w:val="20"/>
                <w:szCs w:val="20"/>
              </w:rPr>
              <w:t xml:space="preserve"> treatment (base case 0%; responders achieve mean MHD reduction of -6.6; non-responders -1.71)</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10% of non-responders continue treatment; mean MHD for ‘on treatment’ based on weighted average of responders and non-responders (-5.66)</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0.179</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1</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20% of non-responders continue treatment; mean MHD for ‘on treatment’ based on weighted average of responders and non-responders (-5.02)</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0.167</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2</w:t>
            </w:r>
          </w:p>
        </w:tc>
      </w:tr>
      <w:tr w:rsidR="00CA543A" w:rsidRPr="00D77963" w:rsidTr="00D77963">
        <w:tc>
          <w:tcPr>
            <w:tcW w:w="5000" w:type="pct"/>
            <w:gridSpan w:val="4"/>
          </w:tcPr>
          <w:p w:rsidR="00CA543A" w:rsidRPr="00D77963" w:rsidRDefault="00CA543A" w:rsidP="00372DA8">
            <w:pPr>
              <w:pStyle w:val="TableHeading"/>
              <w:keepNext w:val="0"/>
              <w:spacing w:after="0"/>
              <w:rPr>
                <w:rFonts w:cs="Calibri"/>
                <w:color w:val="000000"/>
                <w:szCs w:val="20"/>
              </w:rPr>
            </w:pPr>
            <w:r w:rsidRPr="00D77963">
              <w:rPr>
                <w:rStyle w:val="CommentReference"/>
                <w:sz w:val="20"/>
                <w:szCs w:val="20"/>
              </w:rPr>
              <w:t xml:space="preserve">Reduction in mean MHD associated with treatment (base case mean MHD reduction in responders (GAL -6.60, BSC -6.99) and non-responders (GAL -1.71, BSC 0.83) based on episodic migraine ≥3 treatment failure subpopulation of CONQUER) </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 xml:space="preserve">Mean MHD reduction in responders based on upper 95% CL for </w:t>
            </w:r>
            <w:proofErr w:type="spellStart"/>
            <w:r w:rsidRPr="00D77963">
              <w:rPr>
                <w:rStyle w:val="CommentReference"/>
                <w:b w:val="0"/>
                <w:sz w:val="20"/>
                <w:szCs w:val="20"/>
              </w:rPr>
              <w:t>galcanezumab</w:t>
            </w:r>
            <w:proofErr w:type="spellEnd"/>
            <w:r w:rsidRPr="00D77963">
              <w:rPr>
                <w:rStyle w:val="CommentReference"/>
                <w:b w:val="0"/>
                <w:sz w:val="20"/>
                <w:szCs w:val="20"/>
              </w:rPr>
              <w:t xml:space="preserve"> responders (-4.93)</w:t>
            </w:r>
            <w:r w:rsidRPr="00D77963">
              <w:rPr>
                <w:rStyle w:val="CommentReference"/>
                <w:b w:val="0"/>
                <w:sz w:val="20"/>
                <w:szCs w:val="20"/>
                <w:vertAlign w:val="superscript"/>
              </w:rPr>
              <w:t>2</w:t>
            </w:r>
            <w:r w:rsidRPr="00D77963">
              <w:rPr>
                <w:rStyle w:val="CommentReference"/>
                <w:b w:val="0"/>
                <w:sz w:val="20"/>
                <w:szCs w:val="20"/>
              </w:rPr>
              <w:t xml:space="preserve">; applied to </w:t>
            </w:r>
            <w:proofErr w:type="spellStart"/>
            <w:r w:rsidRPr="00D77963">
              <w:rPr>
                <w:rStyle w:val="CommentReference"/>
                <w:b w:val="0"/>
                <w:sz w:val="20"/>
                <w:szCs w:val="20"/>
              </w:rPr>
              <w:t>galcanezumab</w:t>
            </w:r>
            <w:proofErr w:type="spellEnd"/>
            <w:r w:rsidRPr="00D77963">
              <w:rPr>
                <w:rStyle w:val="CommentReference"/>
                <w:b w:val="0"/>
                <w:sz w:val="20"/>
                <w:szCs w:val="20"/>
              </w:rPr>
              <w:t xml:space="preserve"> and BSC arms</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0.181</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1</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 xml:space="preserve">Mean MHD reduction in responders based on lower 95% CL for </w:t>
            </w:r>
            <w:proofErr w:type="spellStart"/>
            <w:r w:rsidRPr="00D77963">
              <w:rPr>
                <w:rStyle w:val="CommentReference"/>
                <w:b w:val="0"/>
                <w:sz w:val="20"/>
                <w:szCs w:val="20"/>
              </w:rPr>
              <w:t>galcanezumab</w:t>
            </w:r>
            <w:proofErr w:type="spellEnd"/>
            <w:r w:rsidRPr="00D77963">
              <w:rPr>
                <w:rStyle w:val="CommentReference"/>
                <w:b w:val="0"/>
                <w:sz w:val="20"/>
                <w:szCs w:val="20"/>
              </w:rPr>
              <w:t xml:space="preserve"> responders (-8.27)</w:t>
            </w:r>
            <w:r w:rsidRPr="00D77963">
              <w:rPr>
                <w:rStyle w:val="CommentReference"/>
                <w:b w:val="0"/>
                <w:sz w:val="20"/>
                <w:szCs w:val="20"/>
                <w:vertAlign w:val="superscript"/>
              </w:rPr>
              <w:t>2</w:t>
            </w:r>
            <w:r w:rsidRPr="00D77963">
              <w:rPr>
                <w:rStyle w:val="CommentReference"/>
                <w:b w:val="0"/>
                <w:sz w:val="20"/>
                <w:szCs w:val="20"/>
              </w:rPr>
              <w:t xml:space="preserve">; applied to </w:t>
            </w:r>
            <w:proofErr w:type="spellStart"/>
            <w:r w:rsidRPr="00D77963">
              <w:rPr>
                <w:rStyle w:val="CommentReference"/>
                <w:b w:val="0"/>
                <w:sz w:val="20"/>
                <w:szCs w:val="20"/>
              </w:rPr>
              <w:t>galcanezumab</w:t>
            </w:r>
            <w:proofErr w:type="spellEnd"/>
            <w:r w:rsidRPr="00D77963">
              <w:rPr>
                <w:rStyle w:val="CommentReference"/>
                <w:b w:val="0"/>
                <w:sz w:val="20"/>
                <w:szCs w:val="20"/>
              </w:rPr>
              <w:t xml:space="preserve"> and BSC arms</w:t>
            </w:r>
          </w:p>
        </w:tc>
        <w:tc>
          <w:tcPr>
            <w:tcW w:w="707"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0.216</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3</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Mean MHD reduction in responders based on MCID (-2.0); change in non-responders 0.</w:t>
            </w:r>
          </w:p>
        </w:tc>
        <w:tc>
          <w:tcPr>
            <w:tcW w:w="707" w:type="pct"/>
            <w:vAlign w:val="center"/>
          </w:tcPr>
          <w:p w:rsidR="00CA543A" w:rsidRPr="00D77963" w:rsidRDefault="00CA543A" w:rsidP="009319B5">
            <w:pPr>
              <w:jc w:val="center"/>
              <w:rPr>
                <w:rFonts w:ascii="Arial Narrow" w:hAnsi="Arial Narrow" w:cs="Calibri"/>
                <w:color w:val="000000"/>
                <w:sz w:val="20"/>
                <w:szCs w:val="20"/>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p>
        </w:tc>
        <w:tc>
          <w:tcPr>
            <w:tcW w:w="703" w:type="pct"/>
            <w:vAlign w:val="center"/>
          </w:tcPr>
          <w:p w:rsidR="00CA543A" w:rsidRPr="00D77963" w:rsidRDefault="00CA543A" w:rsidP="00372DA8">
            <w:pPr>
              <w:jc w:val="center"/>
              <w:rPr>
                <w:rFonts w:ascii="Arial Narrow" w:hAnsi="Arial Narrow" w:cs="Calibri"/>
                <w:color w:val="000000"/>
                <w:sz w:val="20"/>
                <w:szCs w:val="20"/>
              </w:rPr>
            </w:pPr>
            <w:r w:rsidRPr="00D77963">
              <w:rPr>
                <w:rFonts w:ascii="Arial Narrow" w:hAnsi="Arial Narrow" w:cs="Calibri"/>
                <w:color w:val="000000"/>
                <w:sz w:val="20"/>
                <w:szCs w:val="20"/>
              </w:rPr>
              <w:t>0.148</w:t>
            </w:r>
          </w:p>
        </w:tc>
        <w:tc>
          <w:tcPr>
            <w:tcW w:w="751" w:type="pct"/>
            <w:vAlign w:val="center"/>
          </w:tcPr>
          <w:p w:rsidR="00CA543A" w:rsidRPr="00B9274E" w:rsidRDefault="00CA543A" w:rsidP="00372DA8">
            <w:pPr>
              <w:jc w:val="center"/>
              <w:rPr>
                <w:rFonts w:ascii="Arial Narrow" w:hAnsi="Arial Narrow" w:cs="Calibri"/>
                <w:color w:val="000000"/>
                <w:sz w:val="20"/>
                <w:szCs w:val="20"/>
                <w:vertAlign w:val="superscript"/>
              </w:rPr>
            </w:pPr>
            <w:r w:rsidRPr="00D77963">
              <w:rPr>
                <w:rFonts w:ascii="Arial Narrow" w:hAnsi="Arial Narrow" w:cs="Calibri"/>
                <w:color w:val="000000"/>
                <w:sz w:val="20"/>
                <w:szCs w:val="20"/>
              </w:rPr>
              <w:t>$</w:t>
            </w:r>
            <w:r w:rsidR="00272C12">
              <w:rPr>
                <w:rFonts w:ascii="Arial Narrow" w:hAnsi="Arial Narrow" w:cs="Calibri"/>
                <w:noProof/>
                <w:color w:val="000000"/>
                <w:sz w:val="20"/>
                <w:szCs w:val="20"/>
                <w:highlight w:val="black"/>
              </w:rPr>
              <w:t>'''''''''''''''</w:t>
            </w:r>
            <w:r w:rsidR="00B9274E">
              <w:rPr>
                <w:rFonts w:ascii="Arial Narrow" w:hAnsi="Arial Narrow" w:cs="Calibri"/>
                <w:color w:val="000000"/>
                <w:sz w:val="20"/>
                <w:szCs w:val="20"/>
                <w:vertAlign w:val="superscript"/>
              </w:rPr>
              <w:t>4</w:t>
            </w:r>
          </w:p>
        </w:tc>
      </w:tr>
      <w:tr w:rsidR="00CA543A" w:rsidRPr="00D77963" w:rsidTr="00D77963">
        <w:tc>
          <w:tcPr>
            <w:tcW w:w="5000" w:type="pct"/>
            <w:gridSpan w:val="4"/>
          </w:tcPr>
          <w:p w:rsidR="00CA543A" w:rsidRPr="00D77963" w:rsidRDefault="00CA543A" w:rsidP="00372DA8">
            <w:pPr>
              <w:rPr>
                <w:rFonts w:ascii="Arial Narrow" w:hAnsi="Arial Narrow"/>
                <w:b/>
                <w:sz w:val="20"/>
                <w:szCs w:val="20"/>
              </w:rPr>
            </w:pPr>
            <w:r w:rsidRPr="00D77963">
              <w:rPr>
                <w:rFonts w:ascii="Arial Narrow" w:hAnsi="Arial Narrow"/>
                <w:b/>
                <w:sz w:val="20"/>
                <w:szCs w:val="20"/>
              </w:rPr>
              <w:t>Duration of treatment effect (base case for duration of model)</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BSC loss of efficacy after 1 year</w:t>
            </w:r>
          </w:p>
        </w:tc>
        <w:tc>
          <w:tcPr>
            <w:tcW w:w="707" w:type="pct"/>
          </w:tcPr>
          <w:p w:rsidR="00CA543A" w:rsidRPr="00D77963" w:rsidRDefault="00CA543A" w:rsidP="00372DA8">
            <w:pPr>
              <w:pStyle w:val="Tabletext0"/>
              <w:jc w:val="center"/>
              <w:rPr>
                <w:szCs w:val="20"/>
              </w:rPr>
            </w:pPr>
            <w:r w:rsidRPr="00D77963">
              <w:rPr>
                <w:szCs w:val="20"/>
              </w:rPr>
              <w:t>$</w:t>
            </w:r>
            <w:r w:rsidR="00272C12">
              <w:rPr>
                <w:noProof/>
                <w:color w:val="000000"/>
                <w:szCs w:val="20"/>
                <w:highlight w:val="black"/>
              </w:rPr>
              <w:t>''''''''''''</w:t>
            </w:r>
          </w:p>
        </w:tc>
        <w:tc>
          <w:tcPr>
            <w:tcW w:w="703" w:type="pct"/>
          </w:tcPr>
          <w:p w:rsidR="00CA543A" w:rsidRPr="00D77963" w:rsidRDefault="00CA543A" w:rsidP="00372DA8">
            <w:pPr>
              <w:pStyle w:val="Tabletext0"/>
              <w:jc w:val="center"/>
              <w:rPr>
                <w:szCs w:val="20"/>
              </w:rPr>
            </w:pPr>
            <w:r w:rsidRPr="00D77963">
              <w:rPr>
                <w:szCs w:val="20"/>
              </w:rPr>
              <w:t>0.247</w:t>
            </w:r>
          </w:p>
        </w:tc>
        <w:tc>
          <w:tcPr>
            <w:tcW w:w="751" w:type="pct"/>
          </w:tcPr>
          <w:p w:rsidR="00CA543A" w:rsidRPr="0033478A" w:rsidRDefault="00CA543A" w:rsidP="00372DA8">
            <w:pPr>
              <w:pStyle w:val="Tabletext0"/>
              <w:jc w:val="center"/>
              <w:rPr>
                <w:szCs w:val="20"/>
              </w:rPr>
            </w:pPr>
            <w:r w:rsidRPr="00D77963">
              <w:rPr>
                <w:szCs w:val="20"/>
              </w:rPr>
              <w:t>$</w:t>
            </w:r>
            <w:r w:rsidR="00272C12">
              <w:rPr>
                <w:noProof/>
                <w:color w:val="000000"/>
                <w:szCs w:val="20"/>
                <w:highlight w:val="black"/>
              </w:rPr>
              <w:t>'''''''''''''''</w:t>
            </w:r>
            <w:r w:rsidR="0033478A">
              <w:rPr>
                <w:szCs w:val="20"/>
                <w:vertAlign w:val="superscript"/>
              </w:rPr>
              <w:t>3</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10% reduction in mean MHD reduction per year for responders</w:t>
            </w:r>
          </w:p>
        </w:tc>
        <w:tc>
          <w:tcPr>
            <w:tcW w:w="707" w:type="pct"/>
          </w:tcPr>
          <w:p w:rsidR="00CA543A" w:rsidRPr="00D77963" w:rsidRDefault="00CA543A" w:rsidP="00372DA8">
            <w:pPr>
              <w:pStyle w:val="Tabletext0"/>
              <w:jc w:val="center"/>
              <w:rPr>
                <w:szCs w:val="20"/>
              </w:rPr>
            </w:pPr>
            <w:r w:rsidRPr="00D77963">
              <w:rPr>
                <w:szCs w:val="20"/>
              </w:rPr>
              <w:t>$</w:t>
            </w:r>
            <w:r w:rsidR="00272C12">
              <w:rPr>
                <w:noProof/>
                <w:color w:val="000000"/>
                <w:szCs w:val="20"/>
                <w:highlight w:val="black"/>
              </w:rPr>
              <w:t>''''''''''''</w:t>
            </w:r>
          </w:p>
        </w:tc>
        <w:tc>
          <w:tcPr>
            <w:tcW w:w="703" w:type="pct"/>
          </w:tcPr>
          <w:p w:rsidR="00CA543A" w:rsidRPr="00D77963" w:rsidRDefault="00CA543A" w:rsidP="00372DA8">
            <w:pPr>
              <w:pStyle w:val="Tabletext0"/>
              <w:jc w:val="center"/>
              <w:rPr>
                <w:szCs w:val="20"/>
              </w:rPr>
            </w:pPr>
            <w:r w:rsidRPr="00D77963">
              <w:rPr>
                <w:szCs w:val="20"/>
              </w:rPr>
              <w:t>0.184</w:t>
            </w:r>
          </w:p>
        </w:tc>
        <w:tc>
          <w:tcPr>
            <w:tcW w:w="751" w:type="pct"/>
          </w:tcPr>
          <w:p w:rsidR="00CA543A" w:rsidRPr="0033478A" w:rsidRDefault="00CA543A" w:rsidP="00372DA8">
            <w:pPr>
              <w:pStyle w:val="Tabletext0"/>
              <w:jc w:val="center"/>
              <w:rPr>
                <w:szCs w:val="20"/>
              </w:rPr>
            </w:pPr>
            <w:r w:rsidRPr="00D77963">
              <w:rPr>
                <w:szCs w:val="20"/>
              </w:rPr>
              <w:t>$</w:t>
            </w:r>
            <w:r w:rsidR="00272C12">
              <w:rPr>
                <w:noProof/>
                <w:color w:val="000000"/>
                <w:szCs w:val="20"/>
                <w:highlight w:val="black"/>
              </w:rPr>
              <w:t>''''''''''''''''</w:t>
            </w:r>
            <w:r w:rsidR="0033478A">
              <w:rPr>
                <w:szCs w:val="20"/>
                <w:vertAlign w:val="superscript"/>
              </w:rPr>
              <w:t>1</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20% reduction in mean MHD reduction per year for responders</w:t>
            </w:r>
          </w:p>
        </w:tc>
        <w:tc>
          <w:tcPr>
            <w:tcW w:w="707" w:type="pct"/>
          </w:tcPr>
          <w:p w:rsidR="00CA543A" w:rsidRPr="00D77963" w:rsidRDefault="00CA543A" w:rsidP="00372DA8">
            <w:pPr>
              <w:pStyle w:val="Tabletext0"/>
              <w:jc w:val="center"/>
              <w:rPr>
                <w:szCs w:val="20"/>
              </w:rPr>
            </w:pPr>
            <w:r w:rsidRPr="00D77963">
              <w:rPr>
                <w:szCs w:val="20"/>
              </w:rPr>
              <w:t>$</w:t>
            </w:r>
            <w:r w:rsidR="00272C12">
              <w:rPr>
                <w:noProof/>
                <w:color w:val="000000"/>
                <w:szCs w:val="20"/>
                <w:highlight w:val="black"/>
              </w:rPr>
              <w:t>'''''''''''''</w:t>
            </w:r>
          </w:p>
        </w:tc>
        <w:tc>
          <w:tcPr>
            <w:tcW w:w="703" w:type="pct"/>
          </w:tcPr>
          <w:p w:rsidR="00CA543A" w:rsidRPr="00D77963" w:rsidRDefault="00CA543A" w:rsidP="00372DA8">
            <w:pPr>
              <w:pStyle w:val="Tabletext0"/>
              <w:jc w:val="center"/>
              <w:rPr>
                <w:szCs w:val="20"/>
              </w:rPr>
            </w:pPr>
            <w:r w:rsidRPr="00D77963">
              <w:rPr>
                <w:szCs w:val="20"/>
              </w:rPr>
              <w:t>0.174</w:t>
            </w:r>
          </w:p>
        </w:tc>
        <w:tc>
          <w:tcPr>
            <w:tcW w:w="751" w:type="pct"/>
          </w:tcPr>
          <w:p w:rsidR="00CA543A" w:rsidRPr="0033478A" w:rsidRDefault="00CA543A" w:rsidP="00372DA8">
            <w:pPr>
              <w:pStyle w:val="Tabletext0"/>
              <w:jc w:val="center"/>
              <w:rPr>
                <w:szCs w:val="20"/>
              </w:rPr>
            </w:pPr>
            <w:r w:rsidRPr="00D77963">
              <w:rPr>
                <w:szCs w:val="20"/>
              </w:rPr>
              <w:t>$</w:t>
            </w:r>
            <w:r w:rsidR="00272C12">
              <w:rPr>
                <w:noProof/>
                <w:color w:val="000000"/>
                <w:szCs w:val="20"/>
                <w:highlight w:val="black"/>
              </w:rPr>
              <w:t>'''''''''''''''</w:t>
            </w:r>
            <w:r w:rsidR="0033478A">
              <w:rPr>
                <w:szCs w:val="20"/>
                <w:vertAlign w:val="superscript"/>
              </w:rPr>
              <w:t>2</w:t>
            </w:r>
          </w:p>
        </w:tc>
      </w:tr>
      <w:tr w:rsidR="00CA543A" w:rsidRPr="00D77963" w:rsidTr="00D77963">
        <w:tc>
          <w:tcPr>
            <w:tcW w:w="5000" w:type="pct"/>
            <w:gridSpan w:val="4"/>
          </w:tcPr>
          <w:p w:rsidR="00CA543A" w:rsidRPr="00D77963" w:rsidRDefault="00CA543A" w:rsidP="00372DA8">
            <w:pPr>
              <w:rPr>
                <w:rFonts w:ascii="Arial Narrow" w:hAnsi="Arial Narrow"/>
                <w:b/>
                <w:sz w:val="20"/>
                <w:szCs w:val="20"/>
              </w:rPr>
            </w:pPr>
            <w:r w:rsidRPr="00D77963">
              <w:rPr>
                <w:rFonts w:ascii="Arial Narrow" w:hAnsi="Arial Narrow"/>
                <w:b/>
                <w:sz w:val="20"/>
                <w:szCs w:val="20"/>
              </w:rPr>
              <w:t xml:space="preserve">Utility values (base case different utilities per migraine headache day applied to baseline/off treatment, </w:t>
            </w:r>
            <w:proofErr w:type="spellStart"/>
            <w:r w:rsidRPr="00D77963">
              <w:rPr>
                <w:rFonts w:ascii="Arial Narrow" w:hAnsi="Arial Narrow"/>
                <w:b/>
                <w:sz w:val="20"/>
                <w:szCs w:val="20"/>
              </w:rPr>
              <w:t>galcanezumab</w:t>
            </w:r>
            <w:proofErr w:type="spellEnd"/>
            <w:r w:rsidRPr="00D77963">
              <w:rPr>
                <w:rFonts w:ascii="Arial Narrow" w:hAnsi="Arial Narrow"/>
                <w:b/>
                <w:sz w:val="20"/>
                <w:szCs w:val="20"/>
              </w:rPr>
              <w:t xml:space="preserve"> on treatment and BSC on treatment health states)</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Pooled on-treatment utilities</w:t>
            </w:r>
          </w:p>
        </w:tc>
        <w:tc>
          <w:tcPr>
            <w:tcW w:w="707" w:type="pct"/>
          </w:tcPr>
          <w:p w:rsidR="00CA543A" w:rsidRPr="00D77963" w:rsidRDefault="00CA543A" w:rsidP="00372DA8">
            <w:pPr>
              <w:pStyle w:val="Tabletext0"/>
              <w:jc w:val="center"/>
              <w:rPr>
                <w:szCs w:val="20"/>
              </w:rPr>
            </w:pPr>
            <w:r w:rsidRPr="00D77963">
              <w:rPr>
                <w:szCs w:val="20"/>
              </w:rPr>
              <w:t>$</w:t>
            </w:r>
            <w:r w:rsidR="00272C12">
              <w:rPr>
                <w:noProof/>
                <w:color w:val="000000"/>
                <w:szCs w:val="20"/>
                <w:highlight w:val="black"/>
              </w:rPr>
              <w:t>''''''''''''''</w:t>
            </w:r>
          </w:p>
        </w:tc>
        <w:tc>
          <w:tcPr>
            <w:tcW w:w="703" w:type="pct"/>
          </w:tcPr>
          <w:p w:rsidR="00CA543A" w:rsidRPr="00D77963" w:rsidRDefault="00CA543A" w:rsidP="00372DA8">
            <w:pPr>
              <w:pStyle w:val="Tabletext0"/>
              <w:jc w:val="center"/>
              <w:rPr>
                <w:szCs w:val="20"/>
              </w:rPr>
            </w:pPr>
            <w:r w:rsidRPr="00D77963">
              <w:rPr>
                <w:szCs w:val="20"/>
              </w:rPr>
              <w:t>0.126</w:t>
            </w:r>
          </w:p>
        </w:tc>
        <w:tc>
          <w:tcPr>
            <w:tcW w:w="751" w:type="pct"/>
          </w:tcPr>
          <w:p w:rsidR="00CA543A" w:rsidRPr="0033478A" w:rsidRDefault="00CA543A" w:rsidP="00372DA8">
            <w:pPr>
              <w:pStyle w:val="Tabletext0"/>
              <w:jc w:val="center"/>
              <w:rPr>
                <w:szCs w:val="20"/>
              </w:rPr>
            </w:pPr>
            <w:r w:rsidRPr="00D77963">
              <w:rPr>
                <w:szCs w:val="20"/>
              </w:rPr>
              <w:t>$</w:t>
            </w:r>
            <w:r w:rsidR="00272C12">
              <w:rPr>
                <w:noProof/>
                <w:color w:val="000000"/>
                <w:szCs w:val="20"/>
                <w:highlight w:val="black"/>
              </w:rPr>
              <w:t>''''''''''''''''</w:t>
            </w:r>
            <w:r w:rsidR="0033478A">
              <w:rPr>
                <w:szCs w:val="20"/>
                <w:vertAlign w:val="superscript"/>
              </w:rPr>
              <w:t>4</w:t>
            </w:r>
          </w:p>
        </w:tc>
      </w:tr>
      <w:tr w:rsidR="00CA543A" w:rsidRPr="00D77963" w:rsidTr="00D77963">
        <w:tc>
          <w:tcPr>
            <w:tcW w:w="2839" w:type="pct"/>
          </w:tcPr>
          <w:p w:rsidR="00CA543A" w:rsidRPr="00D77963" w:rsidRDefault="00CA543A" w:rsidP="00372DA8">
            <w:pPr>
              <w:pStyle w:val="TableHeading"/>
              <w:keepNext w:val="0"/>
              <w:spacing w:after="0"/>
              <w:rPr>
                <w:rStyle w:val="CommentReference"/>
                <w:b w:val="0"/>
                <w:sz w:val="20"/>
                <w:szCs w:val="20"/>
              </w:rPr>
            </w:pPr>
            <w:r w:rsidRPr="00D77963">
              <w:rPr>
                <w:rStyle w:val="CommentReference"/>
                <w:b w:val="0"/>
                <w:sz w:val="20"/>
                <w:szCs w:val="20"/>
              </w:rPr>
              <w:t>Baseline utilities applied to all health states</w:t>
            </w:r>
          </w:p>
        </w:tc>
        <w:tc>
          <w:tcPr>
            <w:tcW w:w="707" w:type="pct"/>
          </w:tcPr>
          <w:p w:rsidR="00CA543A" w:rsidRPr="00D77963" w:rsidRDefault="00CA543A" w:rsidP="00372DA8">
            <w:pPr>
              <w:pStyle w:val="Tabletext0"/>
              <w:jc w:val="center"/>
              <w:rPr>
                <w:szCs w:val="20"/>
              </w:rPr>
            </w:pPr>
            <w:r w:rsidRPr="00D77963">
              <w:rPr>
                <w:szCs w:val="20"/>
              </w:rPr>
              <w:t>$</w:t>
            </w:r>
            <w:r w:rsidR="00272C12">
              <w:rPr>
                <w:noProof/>
                <w:color w:val="000000"/>
                <w:szCs w:val="20"/>
                <w:highlight w:val="black"/>
              </w:rPr>
              <w:t>''''''''''''''</w:t>
            </w:r>
          </w:p>
        </w:tc>
        <w:tc>
          <w:tcPr>
            <w:tcW w:w="703" w:type="pct"/>
          </w:tcPr>
          <w:p w:rsidR="00CA543A" w:rsidRPr="00D77963" w:rsidRDefault="00CA543A" w:rsidP="00372DA8">
            <w:pPr>
              <w:pStyle w:val="Tabletext0"/>
              <w:jc w:val="center"/>
              <w:rPr>
                <w:szCs w:val="20"/>
              </w:rPr>
            </w:pPr>
            <w:r w:rsidRPr="00D77963">
              <w:rPr>
                <w:szCs w:val="20"/>
              </w:rPr>
              <w:t>0.0901</w:t>
            </w:r>
          </w:p>
        </w:tc>
        <w:tc>
          <w:tcPr>
            <w:tcW w:w="751" w:type="pct"/>
          </w:tcPr>
          <w:p w:rsidR="00CA543A" w:rsidRPr="0033478A" w:rsidRDefault="00CA543A" w:rsidP="00372DA8">
            <w:pPr>
              <w:pStyle w:val="Tabletext0"/>
              <w:jc w:val="center"/>
              <w:rPr>
                <w:szCs w:val="20"/>
              </w:rPr>
            </w:pPr>
            <w:r w:rsidRPr="00D77963">
              <w:rPr>
                <w:szCs w:val="20"/>
              </w:rPr>
              <w:t>$</w:t>
            </w:r>
            <w:r w:rsidR="00272C12">
              <w:rPr>
                <w:noProof/>
                <w:color w:val="000000"/>
                <w:szCs w:val="20"/>
                <w:highlight w:val="black"/>
              </w:rPr>
              <w:t>''''''''''''''''</w:t>
            </w:r>
            <w:r w:rsidR="0033478A">
              <w:rPr>
                <w:szCs w:val="20"/>
                <w:vertAlign w:val="superscript"/>
              </w:rPr>
              <w:t>5</w:t>
            </w:r>
          </w:p>
        </w:tc>
      </w:tr>
    </w:tbl>
    <w:p w:rsidR="00CA543A" w:rsidRPr="00D77963" w:rsidRDefault="00CA543A" w:rsidP="00D77963">
      <w:pPr>
        <w:pStyle w:val="TableFigureFooter"/>
      </w:pPr>
      <w:r w:rsidRPr="00D77963">
        <w:t xml:space="preserve">Source: Table 3.9.2; Attachment 4.1 </w:t>
      </w:r>
      <w:proofErr w:type="spellStart"/>
      <w:r w:rsidRPr="00D77963">
        <w:t>Galcanezumab</w:t>
      </w:r>
      <w:proofErr w:type="spellEnd"/>
      <w:r w:rsidRPr="00D77963">
        <w:t xml:space="preserve"> Section 3 model</w:t>
      </w:r>
    </w:p>
    <w:p w:rsidR="00CA543A" w:rsidRPr="00D77963" w:rsidRDefault="00CA543A" w:rsidP="00D77963">
      <w:pPr>
        <w:pStyle w:val="TableFigureFooter"/>
      </w:pPr>
      <w:r w:rsidRPr="00D77963">
        <w:t xml:space="preserve">Abbreviations: BSC, best supportive care; CL, confidence limit; GAL, </w:t>
      </w:r>
      <w:proofErr w:type="spellStart"/>
      <w:r w:rsidRPr="00D77963">
        <w:t>galcanezumab</w:t>
      </w:r>
      <w:proofErr w:type="spellEnd"/>
      <w:r w:rsidRPr="00D77963">
        <w:t>; ICER, incremental cost effectiveness ratio; MHD, migraine headache days; QALY, quality adjusted life year</w:t>
      </w:r>
    </w:p>
    <w:p w:rsidR="00CA543A" w:rsidRPr="00D77963" w:rsidRDefault="00CA543A" w:rsidP="00D77963">
      <w:pPr>
        <w:pStyle w:val="TableFigureFooter"/>
      </w:pPr>
      <w:r w:rsidRPr="00D77963">
        <w:rPr>
          <w:vertAlign w:val="superscript"/>
        </w:rPr>
        <w:t>1</w:t>
      </w:r>
      <w:r w:rsidRPr="00D77963">
        <w:t>based on calculation in parameters worksheet of model spreadsheet, corrected to 95% rather than 90% confidence interval</w:t>
      </w:r>
    </w:p>
    <w:p w:rsidR="00CA543A" w:rsidRDefault="00CA543A" w:rsidP="00D77963">
      <w:pPr>
        <w:pStyle w:val="TableFigureFooter"/>
        <w:rPr>
          <w:rStyle w:val="CommentReference"/>
          <w:sz w:val="18"/>
          <w:szCs w:val="18"/>
        </w:rPr>
      </w:pPr>
      <w:r w:rsidRPr="00D77963">
        <w:rPr>
          <w:rStyle w:val="CommentReference"/>
          <w:sz w:val="18"/>
          <w:szCs w:val="18"/>
          <w:vertAlign w:val="superscript"/>
        </w:rPr>
        <w:t>2</w:t>
      </w:r>
      <w:r w:rsidRPr="00D77963">
        <w:rPr>
          <w:rStyle w:val="CommentReference"/>
          <w:sz w:val="18"/>
          <w:szCs w:val="18"/>
        </w:rPr>
        <w:t>calculated during the evaluation using a t-distribution, given the small sample size (N=18)</w:t>
      </w:r>
    </w:p>
    <w:p w:rsidR="00D357A8" w:rsidRDefault="00D357A8" w:rsidP="00D77963">
      <w:pPr>
        <w:pStyle w:val="TableFigureFooter"/>
        <w:rPr>
          <w:rStyle w:val="CommentReference"/>
          <w:i/>
          <w:sz w:val="18"/>
          <w:szCs w:val="18"/>
        </w:rPr>
      </w:pPr>
      <w:r>
        <w:rPr>
          <w:rStyle w:val="CommentReference"/>
          <w:i/>
          <w:sz w:val="18"/>
          <w:szCs w:val="18"/>
        </w:rPr>
        <w:t xml:space="preserve">The redacted values correspond to the following ranges </w:t>
      </w:r>
    </w:p>
    <w:p w:rsidR="00D357A8" w:rsidRDefault="00D357A8" w:rsidP="00D77963">
      <w:pPr>
        <w:pStyle w:val="TableFigureFooter"/>
        <w:rPr>
          <w:rStyle w:val="CommentReference"/>
          <w:i/>
          <w:sz w:val="18"/>
          <w:szCs w:val="18"/>
        </w:rPr>
      </w:pPr>
      <w:r>
        <w:rPr>
          <w:rStyle w:val="CommentReference"/>
          <w:i/>
          <w:sz w:val="18"/>
          <w:szCs w:val="18"/>
          <w:vertAlign w:val="superscript"/>
        </w:rPr>
        <w:t>1</w:t>
      </w:r>
      <w:r>
        <w:rPr>
          <w:rStyle w:val="CommentReference"/>
          <w:i/>
          <w:sz w:val="18"/>
          <w:szCs w:val="18"/>
        </w:rPr>
        <w:t xml:space="preserve"> $</w:t>
      </w:r>
      <w:r w:rsidR="005F0890">
        <w:rPr>
          <w:rStyle w:val="CommentReference"/>
          <w:i/>
          <w:sz w:val="18"/>
          <w:szCs w:val="18"/>
        </w:rPr>
        <w:t>35,000 to &lt; $45,000</w:t>
      </w:r>
    </w:p>
    <w:p w:rsidR="00D357A8" w:rsidRDefault="00D357A8" w:rsidP="00D77963">
      <w:pPr>
        <w:pStyle w:val="TableFigureFooter"/>
        <w:rPr>
          <w:rStyle w:val="CommentReference"/>
          <w:i/>
          <w:sz w:val="18"/>
          <w:szCs w:val="18"/>
        </w:rPr>
      </w:pPr>
      <w:r>
        <w:rPr>
          <w:rStyle w:val="CommentReference"/>
          <w:i/>
          <w:sz w:val="18"/>
          <w:szCs w:val="18"/>
          <w:vertAlign w:val="superscript"/>
        </w:rPr>
        <w:t>2</w:t>
      </w:r>
      <w:r>
        <w:rPr>
          <w:rStyle w:val="CommentReference"/>
          <w:i/>
          <w:sz w:val="18"/>
          <w:szCs w:val="18"/>
        </w:rPr>
        <w:t xml:space="preserve"> $</w:t>
      </w:r>
      <w:r w:rsidR="005F0890">
        <w:rPr>
          <w:rStyle w:val="CommentReference"/>
          <w:i/>
          <w:sz w:val="18"/>
          <w:szCs w:val="18"/>
        </w:rPr>
        <w:t>45,000 to &lt; $55,000</w:t>
      </w:r>
    </w:p>
    <w:p w:rsidR="00D357A8" w:rsidRPr="00D357A8" w:rsidRDefault="00D357A8" w:rsidP="00D77963">
      <w:pPr>
        <w:pStyle w:val="TableFigureFooter"/>
        <w:rPr>
          <w:i/>
          <w:szCs w:val="18"/>
        </w:rPr>
      </w:pPr>
      <w:r w:rsidRPr="00D357A8">
        <w:rPr>
          <w:i/>
          <w:szCs w:val="18"/>
          <w:vertAlign w:val="superscript"/>
        </w:rPr>
        <w:t>3</w:t>
      </w:r>
      <w:r w:rsidRPr="00D357A8">
        <w:rPr>
          <w:i/>
          <w:szCs w:val="18"/>
        </w:rPr>
        <w:t xml:space="preserve"> $</w:t>
      </w:r>
      <w:r w:rsidR="005F0890">
        <w:rPr>
          <w:i/>
          <w:szCs w:val="18"/>
        </w:rPr>
        <w:t>25,000 to &lt; $35,000</w:t>
      </w:r>
    </w:p>
    <w:p w:rsidR="00D357A8" w:rsidRPr="00D357A8" w:rsidRDefault="00D357A8" w:rsidP="00D77963">
      <w:pPr>
        <w:pStyle w:val="TableFigureFooter"/>
        <w:rPr>
          <w:i/>
          <w:szCs w:val="18"/>
        </w:rPr>
      </w:pPr>
      <w:r w:rsidRPr="00D357A8">
        <w:rPr>
          <w:i/>
          <w:szCs w:val="18"/>
          <w:vertAlign w:val="superscript"/>
        </w:rPr>
        <w:t>4</w:t>
      </w:r>
      <w:r w:rsidRPr="00D357A8">
        <w:rPr>
          <w:i/>
          <w:szCs w:val="18"/>
        </w:rPr>
        <w:t xml:space="preserve"> $</w:t>
      </w:r>
      <w:r w:rsidR="005F0890">
        <w:rPr>
          <w:i/>
          <w:szCs w:val="18"/>
        </w:rPr>
        <w:t>55,000 to &lt; $65,000</w:t>
      </w:r>
    </w:p>
    <w:p w:rsidR="00D357A8" w:rsidRPr="00D357A8" w:rsidRDefault="00D357A8" w:rsidP="00D77963">
      <w:pPr>
        <w:pStyle w:val="TableFigureFooter"/>
        <w:rPr>
          <w:i/>
          <w:szCs w:val="18"/>
        </w:rPr>
      </w:pPr>
      <w:r w:rsidRPr="00D357A8">
        <w:rPr>
          <w:i/>
          <w:szCs w:val="18"/>
          <w:vertAlign w:val="superscript"/>
        </w:rPr>
        <w:t>5</w:t>
      </w:r>
      <w:r w:rsidRPr="00D357A8">
        <w:rPr>
          <w:i/>
          <w:szCs w:val="18"/>
        </w:rPr>
        <w:t xml:space="preserve"> $</w:t>
      </w:r>
      <w:r w:rsidR="005F0890">
        <w:rPr>
          <w:i/>
          <w:szCs w:val="18"/>
        </w:rPr>
        <w:t>75,000 to &lt; $85,000</w:t>
      </w:r>
    </w:p>
    <w:p w:rsidR="00864EC7" w:rsidRPr="00D77963" w:rsidRDefault="00C16ECC" w:rsidP="00864EC7">
      <w:pPr>
        <w:widowControl w:val="0"/>
        <w:numPr>
          <w:ilvl w:val="1"/>
          <w:numId w:val="1"/>
        </w:numPr>
        <w:spacing w:after="160"/>
        <w:rPr>
          <w:i/>
          <w:snapToGrid w:val="0"/>
          <w:szCs w:val="22"/>
          <w:lang w:eastAsia="en-US"/>
        </w:rPr>
      </w:pPr>
      <w:r w:rsidRPr="00D77963">
        <w:rPr>
          <w:snapToGrid w:val="0"/>
          <w:szCs w:val="22"/>
          <w:lang w:eastAsia="en-US"/>
        </w:rPr>
        <w:t xml:space="preserve">The results of sensitivity analyses indicate that the model was most sensitive to changes in the assumed utility values, the mean MHD achieved by responders, the proportion of the population continuing treatment, whether the treatment effect was </w:t>
      </w:r>
      <w:r w:rsidRPr="00D77963">
        <w:rPr>
          <w:snapToGrid w:val="0"/>
          <w:szCs w:val="22"/>
          <w:lang w:eastAsia="en-US"/>
        </w:rPr>
        <w:lastRenderedPageBreak/>
        <w:t xml:space="preserve">maintained, and the model duration. Although an analysis where patients who achieved ≥30% response were allowed to continue was included in the model, these patients still achieved relatively high MHD reductions and a similar incremental benefit over the BSC arm. The impact of a higher proportion of patients with lower response rates and a lower reduction in mean MHD was unable to be assessed in sensitivity analysis due to the structure of the model, however this represents a likely scenario in clinical practice, particularly if patients in the PBS population do not have the high MHDs observed at baseline in the CONQUER trial and modelled in the submission. The inclusion of patients who do not achieve the large clinical benefit currently attributed to responders in the model is likely to markedly reduce the cost-effectiveness of </w:t>
      </w:r>
      <w:proofErr w:type="spellStart"/>
      <w:r w:rsidRPr="00D77963">
        <w:rPr>
          <w:snapToGrid w:val="0"/>
          <w:szCs w:val="22"/>
          <w:lang w:eastAsia="en-US"/>
        </w:rPr>
        <w:t>galcanezumab</w:t>
      </w:r>
      <w:proofErr w:type="spellEnd"/>
      <w:r w:rsidRPr="00D77963">
        <w:rPr>
          <w:snapToGrid w:val="0"/>
          <w:szCs w:val="22"/>
          <w:lang w:eastAsia="en-US"/>
        </w:rPr>
        <w:t>, and this remains a substantial area of uncertainty</w:t>
      </w:r>
      <w:r w:rsidRPr="00D77963">
        <w:rPr>
          <w:i/>
          <w:snapToGrid w:val="0"/>
          <w:szCs w:val="22"/>
          <w:lang w:eastAsia="en-US"/>
        </w:rPr>
        <w:t>.</w:t>
      </w:r>
      <w:r w:rsidR="00864EC7" w:rsidRPr="00D77963">
        <w:rPr>
          <w:i/>
          <w:snapToGrid w:val="0"/>
          <w:szCs w:val="22"/>
          <w:lang w:eastAsia="en-US"/>
        </w:rPr>
        <w:t xml:space="preserve"> </w:t>
      </w:r>
    </w:p>
    <w:p w:rsidR="00A34A4A" w:rsidRPr="00D77963" w:rsidRDefault="00864EC7" w:rsidP="002346AE">
      <w:pPr>
        <w:widowControl w:val="0"/>
        <w:numPr>
          <w:ilvl w:val="1"/>
          <w:numId w:val="1"/>
        </w:numPr>
        <w:spacing w:after="160"/>
        <w:rPr>
          <w:snapToGrid w:val="0"/>
          <w:szCs w:val="22"/>
          <w:lang w:eastAsia="en-US"/>
        </w:rPr>
      </w:pPr>
      <w:r w:rsidRPr="00D77963">
        <w:t>The ESC was of the view that the model presented in the submission had significant issues, incorporating numerous optimistic data assumptions and structural assumptions that mean it is unlikely to be reliable for decision making.</w:t>
      </w:r>
    </w:p>
    <w:p w:rsidR="00C25D9C" w:rsidRPr="00D77963" w:rsidRDefault="00C25D9C" w:rsidP="002346AE">
      <w:pPr>
        <w:pStyle w:val="3-SubsectionHeading"/>
      </w:pPr>
      <w:bookmarkStart w:id="36" w:name="_Toc22897646"/>
      <w:bookmarkStart w:id="37" w:name="_Toc51078508"/>
      <w:r w:rsidRPr="00D77963">
        <w:t>Drug cost/patient/year</w:t>
      </w:r>
      <w:bookmarkEnd w:id="36"/>
      <w:bookmarkEnd w:id="37"/>
    </w:p>
    <w:p w:rsidR="0086633A" w:rsidRPr="00D77963" w:rsidRDefault="00F7156A" w:rsidP="00471634">
      <w:pPr>
        <w:widowControl w:val="0"/>
        <w:numPr>
          <w:ilvl w:val="1"/>
          <w:numId w:val="1"/>
        </w:numPr>
        <w:spacing w:after="160"/>
        <w:rPr>
          <w:snapToGrid w:val="0"/>
          <w:szCs w:val="22"/>
          <w:lang w:eastAsia="en-US"/>
        </w:rPr>
      </w:pPr>
      <w:r w:rsidRPr="00D77963">
        <w:rPr>
          <w:snapToGrid w:val="0"/>
          <w:szCs w:val="22"/>
          <w:lang w:eastAsia="en-US"/>
        </w:rPr>
        <w:t xml:space="preserve">The cost of the first 3 months of </w:t>
      </w:r>
      <w:proofErr w:type="spellStart"/>
      <w:r w:rsidRPr="00D77963">
        <w:rPr>
          <w:snapToGrid w:val="0"/>
          <w:szCs w:val="22"/>
          <w:lang w:eastAsia="en-US"/>
        </w:rPr>
        <w:t>galcanezumab</w:t>
      </w:r>
      <w:proofErr w:type="spellEnd"/>
      <w:r w:rsidRPr="00D77963">
        <w:rPr>
          <w:snapToGrid w:val="0"/>
          <w:szCs w:val="22"/>
          <w:lang w:eastAsia="en-US"/>
        </w:rPr>
        <w:t xml:space="preserve"> </w:t>
      </w:r>
      <w:r w:rsidR="00471634" w:rsidRPr="00D77963">
        <w:rPr>
          <w:snapToGrid w:val="0"/>
          <w:szCs w:val="22"/>
          <w:lang w:eastAsia="en-US"/>
        </w:rPr>
        <w:t xml:space="preserve">(prior to response assessment) </w:t>
      </w:r>
      <w:r w:rsidR="0086633A" w:rsidRPr="00D77963">
        <w:rPr>
          <w:snapToGrid w:val="0"/>
          <w:szCs w:val="22"/>
          <w:lang w:eastAsia="en-US"/>
        </w:rPr>
        <w:t xml:space="preserve">at the proposed </w:t>
      </w:r>
      <w:r w:rsidR="00F853FB" w:rsidRPr="00D77963">
        <w:rPr>
          <w:snapToGrid w:val="0"/>
          <w:szCs w:val="22"/>
          <w:lang w:eastAsia="en-US"/>
        </w:rPr>
        <w:t xml:space="preserve">effective </w:t>
      </w:r>
      <w:r w:rsidR="0086633A" w:rsidRPr="00D77963">
        <w:rPr>
          <w:snapToGrid w:val="0"/>
          <w:szCs w:val="22"/>
          <w:lang w:eastAsia="en-US"/>
        </w:rPr>
        <w:t xml:space="preserve">DPMQ </w:t>
      </w:r>
      <w:r w:rsidRPr="00D77963">
        <w:rPr>
          <w:snapToGrid w:val="0"/>
          <w:szCs w:val="22"/>
          <w:lang w:eastAsia="en-US"/>
        </w:rPr>
        <w:t>(</w:t>
      </w:r>
      <w:r w:rsidR="0086633A" w:rsidRPr="00D77963">
        <w:rPr>
          <w:snapToGrid w:val="0"/>
          <w:szCs w:val="22"/>
          <w:lang w:eastAsia="en-US"/>
        </w:rPr>
        <w:t xml:space="preserve">including loading dose; </w:t>
      </w:r>
      <w:r w:rsidRPr="00D77963">
        <w:rPr>
          <w:snapToGrid w:val="0"/>
          <w:szCs w:val="22"/>
          <w:lang w:eastAsia="en-US"/>
        </w:rPr>
        <w:t xml:space="preserve">applied to 100% of the population) </w:t>
      </w:r>
      <w:r w:rsidR="0086633A" w:rsidRPr="00D77963">
        <w:rPr>
          <w:snapToGrid w:val="0"/>
          <w:szCs w:val="22"/>
          <w:lang w:eastAsia="en-US"/>
        </w:rPr>
        <w:t>is $</w:t>
      </w:r>
      <w:r w:rsidR="00272C12">
        <w:rPr>
          <w:noProof/>
          <w:snapToGrid w:val="0"/>
          <w:color w:val="000000"/>
          <w:szCs w:val="22"/>
          <w:highlight w:val="black"/>
          <w:lang w:eastAsia="en-US"/>
        </w:rPr>
        <w:t>''''''''''</w:t>
      </w:r>
      <w:r w:rsidR="0086633A" w:rsidRPr="00D77963">
        <w:rPr>
          <w:snapToGrid w:val="0"/>
          <w:szCs w:val="22"/>
          <w:lang w:eastAsia="en-US"/>
        </w:rPr>
        <w:t xml:space="preserve"> ($</w:t>
      </w:r>
      <w:r w:rsidR="00272C12">
        <w:rPr>
          <w:noProof/>
          <w:snapToGrid w:val="0"/>
          <w:color w:val="000000"/>
          <w:szCs w:val="22"/>
          <w:highlight w:val="black"/>
          <w:lang w:eastAsia="en-US"/>
        </w:rPr>
        <w:t>''''''''''''</w:t>
      </w:r>
      <w:r w:rsidR="0086633A" w:rsidRPr="00D77963">
        <w:rPr>
          <w:snapToGrid w:val="0"/>
          <w:szCs w:val="22"/>
          <w:lang w:eastAsia="en-US"/>
        </w:rPr>
        <w:t xml:space="preserve"> x 4 scripts). </w:t>
      </w:r>
    </w:p>
    <w:p w:rsidR="0082086C" w:rsidRPr="00D77963" w:rsidRDefault="0086633A" w:rsidP="00471634">
      <w:pPr>
        <w:widowControl w:val="0"/>
        <w:numPr>
          <w:ilvl w:val="1"/>
          <w:numId w:val="1"/>
        </w:numPr>
        <w:spacing w:after="160"/>
        <w:rPr>
          <w:snapToGrid w:val="0"/>
          <w:szCs w:val="22"/>
          <w:lang w:eastAsia="en-US"/>
        </w:rPr>
      </w:pPr>
      <w:r w:rsidRPr="00D77963">
        <w:rPr>
          <w:snapToGrid w:val="0"/>
          <w:szCs w:val="22"/>
          <w:lang w:eastAsia="en-US"/>
        </w:rPr>
        <w:t>Assuming 100% treatment compliance for a responder, the cost per patient</w:t>
      </w:r>
      <w:r w:rsidR="00F853FB" w:rsidRPr="00D77963">
        <w:rPr>
          <w:snapToGrid w:val="0"/>
          <w:szCs w:val="22"/>
          <w:lang w:eastAsia="en-US"/>
        </w:rPr>
        <w:t xml:space="preserve"> per year at the proposed effective DPMQ</w:t>
      </w:r>
      <w:r w:rsidRPr="00D77963">
        <w:rPr>
          <w:snapToGrid w:val="0"/>
          <w:szCs w:val="22"/>
          <w:lang w:eastAsia="en-US"/>
        </w:rPr>
        <w:t xml:space="preserve"> is $</w:t>
      </w:r>
      <w:r w:rsidR="00272C12">
        <w:rPr>
          <w:noProof/>
          <w:snapToGrid w:val="0"/>
          <w:color w:val="000000"/>
          <w:szCs w:val="22"/>
          <w:highlight w:val="black"/>
          <w:lang w:eastAsia="en-US"/>
        </w:rPr>
        <w:t>''''''''''</w:t>
      </w:r>
      <w:r w:rsidR="00B53428" w:rsidRPr="00D77963">
        <w:rPr>
          <w:snapToGrid w:val="0"/>
          <w:szCs w:val="22"/>
          <w:lang w:eastAsia="en-US"/>
        </w:rPr>
        <w:t xml:space="preserve"> </w:t>
      </w:r>
      <w:r w:rsidRPr="00D77963">
        <w:rPr>
          <w:snapToGrid w:val="0"/>
          <w:szCs w:val="22"/>
          <w:lang w:eastAsia="en-US"/>
        </w:rPr>
        <w:t>($</w:t>
      </w:r>
      <w:r w:rsidR="00272C12">
        <w:rPr>
          <w:noProof/>
          <w:snapToGrid w:val="0"/>
          <w:color w:val="000000"/>
          <w:szCs w:val="22"/>
          <w:highlight w:val="black"/>
          <w:lang w:eastAsia="en-US"/>
        </w:rPr>
        <w:t>''''''''''''</w:t>
      </w:r>
      <w:r w:rsidRPr="00D77963">
        <w:rPr>
          <w:snapToGrid w:val="0"/>
          <w:szCs w:val="22"/>
          <w:lang w:eastAsia="en-US"/>
        </w:rPr>
        <w:t xml:space="preserve"> x 1</w:t>
      </w:r>
      <w:r w:rsidR="00F853FB" w:rsidRPr="00D77963">
        <w:rPr>
          <w:snapToGrid w:val="0"/>
          <w:szCs w:val="22"/>
          <w:lang w:eastAsia="en-US"/>
        </w:rPr>
        <w:t>2</w:t>
      </w:r>
      <w:r w:rsidRPr="00D77963">
        <w:rPr>
          <w:snapToGrid w:val="0"/>
          <w:szCs w:val="22"/>
          <w:lang w:eastAsia="en-US"/>
        </w:rPr>
        <w:t>.166 scripts per annum).</w:t>
      </w:r>
      <w:r w:rsidR="0082086C" w:rsidRPr="00D77963">
        <w:rPr>
          <w:snapToGrid w:val="0"/>
          <w:szCs w:val="22"/>
          <w:lang w:eastAsia="en-US"/>
        </w:rPr>
        <w:t xml:space="preserve"> </w:t>
      </w:r>
    </w:p>
    <w:p w:rsidR="00F42BE9" w:rsidRPr="00D77963" w:rsidRDefault="0086633A" w:rsidP="00471634">
      <w:pPr>
        <w:widowControl w:val="0"/>
        <w:numPr>
          <w:ilvl w:val="1"/>
          <w:numId w:val="1"/>
        </w:numPr>
        <w:spacing w:after="160"/>
        <w:rPr>
          <w:snapToGrid w:val="0"/>
          <w:szCs w:val="22"/>
          <w:lang w:eastAsia="en-US"/>
        </w:rPr>
      </w:pPr>
      <w:r w:rsidRPr="00D77963">
        <w:rPr>
          <w:snapToGrid w:val="0"/>
          <w:szCs w:val="22"/>
          <w:lang w:eastAsia="en-US"/>
        </w:rPr>
        <w:t xml:space="preserve">The submission applied the same cost of </w:t>
      </w:r>
      <w:proofErr w:type="spellStart"/>
      <w:r w:rsidRPr="00D77963">
        <w:rPr>
          <w:snapToGrid w:val="0"/>
          <w:szCs w:val="22"/>
          <w:lang w:eastAsia="en-US"/>
        </w:rPr>
        <w:t>galcanezumab</w:t>
      </w:r>
      <w:proofErr w:type="spellEnd"/>
      <w:r w:rsidRPr="00D77963">
        <w:rPr>
          <w:snapToGrid w:val="0"/>
          <w:szCs w:val="22"/>
          <w:lang w:eastAsia="en-US"/>
        </w:rPr>
        <w:t xml:space="preserve"> (4 initial scripts applied to 100% of the population; subsequent costs applied to responders only) in the economic and financial models. </w:t>
      </w:r>
    </w:p>
    <w:p w:rsidR="00B60939" w:rsidRPr="00D77963" w:rsidRDefault="00B60939" w:rsidP="002B05A1">
      <w:pPr>
        <w:pStyle w:val="3-SubsectionHeading"/>
      </w:pPr>
      <w:bookmarkStart w:id="38" w:name="_Toc22897647"/>
      <w:bookmarkStart w:id="39" w:name="_Toc51078509"/>
      <w:r w:rsidRPr="00D77963">
        <w:t>Estimated PBS usage &amp; financial implications</w:t>
      </w:r>
      <w:bookmarkEnd w:id="38"/>
      <w:bookmarkEnd w:id="39"/>
    </w:p>
    <w:p w:rsidR="00CB28B8" w:rsidRPr="00D77963" w:rsidRDefault="00CB28B8" w:rsidP="00CB28B8">
      <w:pPr>
        <w:widowControl w:val="0"/>
        <w:numPr>
          <w:ilvl w:val="1"/>
          <w:numId w:val="1"/>
        </w:numPr>
        <w:spacing w:after="160"/>
        <w:rPr>
          <w:snapToGrid w:val="0"/>
          <w:szCs w:val="22"/>
          <w:lang w:eastAsia="en-US"/>
        </w:rPr>
      </w:pPr>
      <w:r w:rsidRPr="00D77963">
        <w:rPr>
          <w:snapToGrid w:val="0"/>
          <w:szCs w:val="22"/>
          <w:lang w:eastAsia="en-US"/>
        </w:rPr>
        <w:t xml:space="preserve">The submission was considered by DUSC. The submission used an epidemiological approach to estimate the utilisation and financial impacts associated with the requested listing. </w:t>
      </w:r>
    </w:p>
    <w:p w:rsidR="00CB28B8" w:rsidRPr="00D77963" w:rsidRDefault="00CB28B8" w:rsidP="00CB28B8">
      <w:pPr>
        <w:pStyle w:val="TableFigureCaption"/>
      </w:pPr>
      <w:r w:rsidRPr="00D77963">
        <w:t xml:space="preserve">Table </w:t>
      </w:r>
      <w:r w:rsidR="00D5606A" w:rsidRPr="00D77963">
        <w:rPr>
          <w:noProof/>
        </w:rPr>
        <w:t>15</w:t>
      </w:r>
      <w:r w:rsidRPr="00D77963">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4094"/>
        <w:gridCol w:w="3210"/>
      </w:tblGrid>
      <w:tr w:rsidR="00CB28B8" w:rsidRPr="00D77963" w:rsidTr="00D77963">
        <w:trPr>
          <w:tblHeader/>
        </w:trPr>
        <w:tc>
          <w:tcPr>
            <w:tcW w:w="950" w:type="pct"/>
            <w:shd w:val="clear" w:color="auto" w:fill="auto"/>
            <w:vAlign w:val="center"/>
          </w:tcPr>
          <w:p w:rsidR="00CB28B8" w:rsidRPr="00D77963" w:rsidRDefault="00CB28B8" w:rsidP="003C6A8E">
            <w:pPr>
              <w:pStyle w:val="Tableheadingrow"/>
              <w:rPr>
                <w:lang w:val="en-AU"/>
              </w:rPr>
            </w:pPr>
            <w:r w:rsidRPr="00D77963">
              <w:rPr>
                <w:lang w:val="en-AU"/>
              </w:rPr>
              <w:t>Parameter</w:t>
            </w:r>
          </w:p>
        </w:tc>
        <w:tc>
          <w:tcPr>
            <w:tcW w:w="2270" w:type="pct"/>
            <w:shd w:val="clear" w:color="auto" w:fill="auto"/>
            <w:vAlign w:val="center"/>
          </w:tcPr>
          <w:p w:rsidR="00CB28B8" w:rsidRPr="00D77963" w:rsidRDefault="00CB28B8" w:rsidP="003C6A8E">
            <w:pPr>
              <w:pStyle w:val="Tableheadingrow"/>
              <w:rPr>
                <w:lang w:val="en-AU"/>
              </w:rPr>
            </w:pPr>
            <w:r w:rsidRPr="00D77963">
              <w:rPr>
                <w:lang w:val="en-AU"/>
              </w:rPr>
              <w:t>Value applied and source</w:t>
            </w:r>
          </w:p>
        </w:tc>
        <w:tc>
          <w:tcPr>
            <w:tcW w:w="1780" w:type="pct"/>
            <w:shd w:val="clear" w:color="auto" w:fill="auto"/>
            <w:vAlign w:val="center"/>
          </w:tcPr>
          <w:p w:rsidR="00CB28B8" w:rsidRPr="00D77963" w:rsidRDefault="00CB28B8" w:rsidP="003C6A8E">
            <w:pPr>
              <w:pStyle w:val="Tableheadingrow"/>
              <w:rPr>
                <w:lang w:val="en-AU"/>
              </w:rPr>
            </w:pPr>
            <w:r w:rsidRPr="00D77963">
              <w:rPr>
                <w:lang w:val="en-AU"/>
              </w:rPr>
              <w:t>Comment</w:t>
            </w: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t>Episodic migraine prevalence, diagnosed by physician</w:t>
            </w:r>
          </w:p>
        </w:tc>
        <w:tc>
          <w:tcPr>
            <w:tcW w:w="2270" w:type="pct"/>
            <w:shd w:val="clear" w:color="auto" w:fill="auto"/>
            <w:vAlign w:val="center"/>
          </w:tcPr>
          <w:p w:rsidR="00CB28B8" w:rsidRPr="00D77963" w:rsidRDefault="00CB28B8" w:rsidP="003C6A8E">
            <w:pPr>
              <w:pStyle w:val="TableText"/>
              <w:keepNext w:val="0"/>
            </w:pPr>
            <w:r w:rsidRPr="00D77963">
              <w:t>Migraine prevalence of 14.6% based on weighted average prevalence of presentations to GP with migraine from small patient survey (Stark 2007).</w:t>
            </w:r>
          </w:p>
          <w:p w:rsidR="00CB28B8" w:rsidRPr="00D77963" w:rsidRDefault="00CB28B8" w:rsidP="003C6A8E">
            <w:pPr>
              <w:pStyle w:val="TableText"/>
              <w:keepNext w:val="0"/>
            </w:pPr>
            <w:r w:rsidRPr="00D77963">
              <w:t xml:space="preserve">Episodic migraines estimated to be 90% of migraine patients based on reference in </w:t>
            </w:r>
            <w:proofErr w:type="spellStart"/>
            <w:r w:rsidRPr="00D77963">
              <w:t>erenumab</w:t>
            </w:r>
            <w:proofErr w:type="spellEnd"/>
            <w:r w:rsidRPr="00D77963">
              <w:t xml:space="preserve"> PSD (July 2019) that chronic migraine prevalence is approximately 1.4% of total population, which equates to 10% of Stark (2007) migraine patients.</w:t>
            </w:r>
          </w:p>
          <w:p w:rsidR="00CB28B8" w:rsidRPr="00D77963" w:rsidRDefault="00CB28B8" w:rsidP="003C6A8E">
            <w:pPr>
              <w:pStyle w:val="TableText"/>
              <w:keepNext w:val="0"/>
            </w:pPr>
            <w:r w:rsidRPr="00D77963">
              <w:t>45.9% of episodic migraine patients were assumed to be diagnosed by a physician based on random sample of patients from a European survey study.</w:t>
            </w:r>
          </w:p>
        </w:tc>
        <w:tc>
          <w:tcPr>
            <w:tcW w:w="1780" w:type="pct"/>
            <w:shd w:val="clear" w:color="auto" w:fill="auto"/>
            <w:vAlign w:val="center"/>
          </w:tcPr>
          <w:p w:rsidR="00CB28B8" w:rsidRPr="00D77963" w:rsidRDefault="00CB28B8" w:rsidP="003C6A8E">
            <w:pPr>
              <w:pStyle w:val="TableText"/>
              <w:keepNext w:val="0"/>
            </w:pPr>
            <w:r w:rsidRPr="00D77963">
              <w:t>Uncertain: prevalence calculated based on proportion of presentations to general practice that were applied to entire population; and episodic migraine prevalence based on the complement to an approximation of chronic migraine prevalence.</w:t>
            </w:r>
          </w:p>
          <w:p w:rsidR="00CB28B8" w:rsidRPr="00D77963" w:rsidRDefault="00CB28B8" w:rsidP="003C6A8E">
            <w:pPr>
              <w:pStyle w:val="TableText"/>
              <w:keepNext w:val="0"/>
            </w:pPr>
            <w:r w:rsidRPr="00D77963">
              <w:t xml:space="preserve">Assuming less than half of these patients were diagnosed by a physician reduces the eligible patient pool significantly, and was not reasonable given prevalent migraine patients were estimated based on presentations to general practice, which </w:t>
            </w:r>
            <w:r w:rsidRPr="00D77963">
              <w:lastRenderedPageBreak/>
              <w:t>implicitly captures the rate of diagnosed patients.</w:t>
            </w: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lastRenderedPageBreak/>
              <w:t>Proportion of patients meeting migraine severity criteria</w:t>
            </w:r>
          </w:p>
        </w:tc>
        <w:tc>
          <w:tcPr>
            <w:tcW w:w="2270" w:type="pct"/>
            <w:shd w:val="clear" w:color="auto" w:fill="auto"/>
            <w:vAlign w:val="center"/>
          </w:tcPr>
          <w:p w:rsidR="00CB28B8" w:rsidRPr="00D77963" w:rsidRDefault="00CB28B8" w:rsidP="003C6A8E">
            <w:pPr>
              <w:pStyle w:val="TableText"/>
              <w:keepNext w:val="0"/>
            </w:pPr>
            <w:r w:rsidRPr="00D77963">
              <w:rPr>
                <w:rFonts w:cs="Calibri"/>
                <w:color w:val="000000"/>
              </w:rPr>
              <w:t xml:space="preserve">Vo et </w:t>
            </w:r>
            <w:proofErr w:type="spellStart"/>
            <w:r w:rsidRPr="00D77963">
              <w:rPr>
                <w:rFonts w:cs="Calibri"/>
                <w:color w:val="000000"/>
              </w:rPr>
              <w:t>al’s</w:t>
            </w:r>
            <w:proofErr w:type="spellEnd"/>
            <w:r w:rsidRPr="00D77963">
              <w:rPr>
                <w:rFonts w:cs="Calibri"/>
                <w:color w:val="000000"/>
              </w:rPr>
              <w:t xml:space="preserve"> (2018b) study of users of the Migraine Buddy© smartphone application, of which 27,416 reported migraine headaches during the most recent 28-day period. The submission assumed 10% of these patients were chronic migraine sufferers. 54.9% of the remaining patients reported less than 4 migraine headache days, leaving 45.1% estimated to have experienced 4 to 14 migraine headache days during the most recent 28-day period.</w:t>
            </w:r>
          </w:p>
        </w:tc>
        <w:tc>
          <w:tcPr>
            <w:tcW w:w="1780" w:type="pct"/>
            <w:shd w:val="clear" w:color="auto" w:fill="auto"/>
            <w:vAlign w:val="center"/>
          </w:tcPr>
          <w:p w:rsidR="00CB28B8" w:rsidRPr="00D77963" w:rsidRDefault="00CB28B8" w:rsidP="003C6A8E">
            <w:pPr>
              <w:pStyle w:val="TableText"/>
              <w:keepNext w:val="0"/>
            </w:pPr>
            <w:r w:rsidRPr="00D77963">
              <w:t>European estimates over a single 28 day period. Assumption that 10% of sample could be classed as chronic migraine. Unclear whether these estimates are applicable to the Australian patient population. Estimate does not incorporate the proportion of these patients with &lt;15 overall headache days.</w:t>
            </w: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t xml:space="preserve">Proportion of patients who failed </w:t>
            </w:r>
            <w:r w:rsidRPr="00D77963">
              <w:rPr>
                <w:rFonts w:cs="Calibri"/>
              </w:rPr>
              <w:t>≥</w:t>
            </w:r>
            <w:r w:rsidRPr="00D77963">
              <w:t>3 preventive treatments</w:t>
            </w:r>
          </w:p>
        </w:tc>
        <w:tc>
          <w:tcPr>
            <w:tcW w:w="2270" w:type="pct"/>
            <w:shd w:val="clear" w:color="auto" w:fill="auto"/>
            <w:vAlign w:val="center"/>
          </w:tcPr>
          <w:p w:rsidR="00CB28B8" w:rsidRPr="00D77963" w:rsidRDefault="00CB28B8" w:rsidP="003C6A8E">
            <w:pPr>
              <w:pStyle w:val="TableText"/>
              <w:keepNext w:val="0"/>
            </w:pPr>
            <w:r w:rsidRPr="00D77963">
              <w:t>Based on proportion of patients (12%) who reported 3 lines of preventive treatment for chronic migraine from Ford (2017), with the submission arguing that the majority of episodic migraine patients would not be eligible for treatment under the proposed PBS restriction.</w:t>
            </w:r>
          </w:p>
        </w:tc>
        <w:tc>
          <w:tcPr>
            <w:tcW w:w="1780" w:type="pct"/>
            <w:shd w:val="clear" w:color="auto" w:fill="auto"/>
            <w:vAlign w:val="center"/>
          </w:tcPr>
          <w:p w:rsidR="00CB28B8" w:rsidRPr="00D77963" w:rsidRDefault="00CB28B8" w:rsidP="003C6A8E">
            <w:pPr>
              <w:pStyle w:val="TableText"/>
              <w:keepNext w:val="0"/>
            </w:pPr>
            <w:r w:rsidRPr="00D77963">
              <w:t xml:space="preserve">Based on a small US study. Estimates of the treatment failure population are highly uncertain. The applicability of this estimate to episodic migraine patients who have failed 3 lines of preventive treatment is unclear. </w:t>
            </w: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t>Growth in eligible population</w:t>
            </w:r>
          </w:p>
        </w:tc>
        <w:tc>
          <w:tcPr>
            <w:tcW w:w="2270" w:type="pct"/>
            <w:shd w:val="clear" w:color="auto" w:fill="auto"/>
            <w:vAlign w:val="center"/>
          </w:tcPr>
          <w:p w:rsidR="00CB28B8" w:rsidRPr="00D77963" w:rsidRDefault="00CB28B8" w:rsidP="003C6A8E">
            <w:pPr>
              <w:pStyle w:val="TableText"/>
              <w:keepNext w:val="0"/>
            </w:pPr>
            <w:r w:rsidRPr="00D77963">
              <w:t>9.39%, based on 10% Medicare Sample analysis, using the mean moving annual growth rate for October 2018-September 2019 for all unique patients with 3 or more treatment lines in a rolling 200 month window.</w:t>
            </w:r>
          </w:p>
        </w:tc>
        <w:tc>
          <w:tcPr>
            <w:tcW w:w="1780" w:type="pct"/>
            <w:shd w:val="clear" w:color="auto" w:fill="auto"/>
            <w:vAlign w:val="center"/>
          </w:tcPr>
          <w:p w:rsidR="00CB28B8" w:rsidRPr="00D77963" w:rsidRDefault="00CB28B8" w:rsidP="00160229">
            <w:pPr>
              <w:pStyle w:val="TableText"/>
              <w:keepNext w:val="0"/>
            </w:pPr>
            <w:r w:rsidRPr="00D77963">
              <w:t>Growth rate may be higher for the introduction of a therapy with a novel mechanism of action in a treatment failure population.</w:t>
            </w:r>
            <w:r w:rsidR="00CB4FAC" w:rsidRPr="00D77963">
              <w:t xml:space="preserve"> Growth may ref</w:t>
            </w:r>
            <w:r w:rsidR="00160229" w:rsidRPr="00D77963">
              <w:t>lect use in a population that has</w:t>
            </w:r>
            <w:r w:rsidR="00CB4FAC" w:rsidRPr="00D77963">
              <w:t xml:space="preserve"> less severe </w:t>
            </w:r>
            <w:r w:rsidR="00160229" w:rsidRPr="00D77963">
              <w:t xml:space="preserve">migraine </w:t>
            </w:r>
            <w:r w:rsidR="00CB4FAC" w:rsidRPr="00D77963">
              <w:t xml:space="preserve">and may not be cost-effective.  </w:t>
            </w: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t>Uptake rate</w:t>
            </w:r>
          </w:p>
        </w:tc>
        <w:tc>
          <w:tcPr>
            <w:tcW w:w="2270" w:type="pct"/>
            <w:shd w:val="clear" w:color="auto" w:fill="auto"/>
            <w:vAlign w:val="center"/>
          </w:tcPr>
          <w:p w:rsidR="00CB28B8" w:rsidRPr="00D77963" w:rsidRDefault="00CB28B8" w:rsidP="003C6A8E">
            <w:pPr>
              <w:pStyle w:val="TableText"/>
              <w:keepNext w:val="0"/>
            </w:pPr>
            <w:r w:rsidRPr="00D77963">
              <w:t>24% in Year 1 increasing to 48% in Year 6. Assumption based on unpublished sponsor data for CGRP inhibitors, based on burden of illness and lack of alternative treatments</w:t>
            </w:r>
          </w:p>
        </w:tc>
        <w:tc>
          <w:tcPr>
            <w:tcW w:w="1780" w:type="pct"/>
            <w:shd w:val="clear" w:color="auto" w:fill="auto"/>
            <w:vAlign w:val="center"/>
          </w:tcPr>
          <w:p w:rsidR="005166D2" w:rsidRPr="00D77963" w:rsidRDefault="005166D2" w:rsidP="005166D2">
            <w:pPr>
              <w:rPr>
                <w:rFonts w:ascii="Arial Narrow" w:eastAsiaTheme="majorEastAsia" w:hAnsi="Arial Narrow" w:cstheme="majorBidi"/>
                <w:bCs/>
                <w:sz w:val="20"/>
              </w:rPr>
            </w:pPr>
            <w:r w:rsidRPr="00D77963">
              <w:rPr>
                <w:rFonts w:ascii="Arial Narrow" w:eastAsiaTheme="majorEastAsia" w:hAnsi="Arial Narrow" w:cstheme="majorBidi"/>
                <w:bCs/>
                <w:sz w:val="20"/>
              </w:rPr>
              <w:t>The DUSC considered the annual uptake rates to be uncertain, as it would be unlikely for uptake rates of a novel therapy to be 24% in its first year, particularly when access is restricted by the requirement for a neurologist referral prior to initiation.</w:t>
            </w:r>
          </w:p>
          <w:p w:rsidR="00CB28B8" w:rsidRPr="00D77963" w:rsidRDefault="00CB28B8" w:rsidP="003C6A8E">
            <w:pPr>
              <w:pStyle w:val="TableText"/>
              <w:keepNext w:val="0"/>
            </w:pP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t>Continuing patients at month 3 (responders)</w:t>
            </w:r>
          </w:p>
        </w:tc>
        <w:tc>
          <w:tcPr>
            <w:tcW w:w="2270" w:type="pct"/>
            <w:shd w:val="clear" w:color="auto" w:fill="auto"/>
            <w:vAlign w:val="center"/>
          </w:tcPr>
          <w:p w:rsidR="00CB28B8" w:rsidRPr="00D77963" w:rsidRDefault="00CB28B8" w:rsidP="003C6A8E">
            <w:pPr>
              <w:pStyle w:val="TableText"/>
              <w:keepNext w:val="0"/>
            </w:pPr>
            <w:r w:rsidRPr="00D77963">
              <w:t xml:space="preserve">41.1%, based on proportion of patients with </w:t>
            </w:r>
            <w:r w:rsidRPr="00D77963">
              <w:rPr>
                <w:rFonts w:cs="Calibri"/>
                <w:szCs w:val="20"/>
              </w:rPr>
              <w:t>≥</w:t>
            </w:r>
            <w:r w:rsidRPr="00D77963">
              <w:rPr>
                <w:szCs w:val="20"/>
              </w:rPr>
              <w:t xml:space="preserve">50% reduction in migraine headache days during Month 3 in CONQUER (episodic subpopulation with </w:t>
            </w:r>
            <w:r w:rsidRPr="00D77963">
              <w:rPr>
                <w:rFonts w:cs="Calibri"/>
                <w:szCs w:val="20"/>
              </w:rPr>
              <w:t>≥3 prior preventive medication category failures)</w:t>
            </w:r>
            <w:r w:rsidRPr="00D77963">
              <w:t xml:space="preserve"> </w:t>
            </w:r>
          </w:p>
        </w:tc>
        <w:tc>
          <w:tcPr>
            <w:tcW w:w="1780" w:type="pct"/>
            <w:shd w:val="clear" w:color="auto" w:fill="auto"/>
            <w:vAlign w:val="center"/>
          </w:tcPr>
          <w:p w:rsidR="00CB28B8" w:rsidRPr="00D77963" w:rsidRDefault="00CB28B8" w:rsidP="00CB4FAC">
            <w:pPr>
              <w:pStyle w:val="TableText"/>
              <w:keepNext w:val="0"/>
            </w:pPr>
            <w:r w:rsidRPr="00D77963">
              <w:t>A higher rate may be realised in practice. It is likely that patients who achieve less than 50% reduction in migraine headache days may continue treatment</w:t>
            </w:r>
            <w:r w:rsidR="00CB4FAC" w:rsidRPr="00D77963">
              <w:t xml:space="preserve"> which may not represent cost-effective use</w:t>
            </w:r>
            <w:r w:rsidRPr="00D77963">
              <w:t>.</w:t>
            </w: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t>Discontinuations</w:t>
            </w:r>
          </w:p>
        </w:tc>
        <w:tc>
          <w:tcPr>
            <w:tcW w:w="2270" w:type="pct"/>
            <w:shd w:val="clear" w:color="auto" w:fill="auto"/>
            <w:vAlign w:val="center"/>
          </w:tcPr>
          <w:p w:rsidR="00CB28B8" w:rsidRPr="00D77963" w:rsidRDefault="00CB28B8" w:rsidP="003C6A8E">
            <w:pPr>
              <w:pStyle w:val="TableText"/>
              <w:keepNext w:val="0"/>
            </w:pPr>
            <w:r w:rsidRPr="00D77963">
              <w:t xml:space="preserve">0.43% in the second and subsequent years of listing, based on the proportion of discontinuations during the double-blind treatment period from the </w:t>
            </w:r>
            <w:proofErr w:type="spellStart"/>
            <w:r w:rsidRPr="00D77963">
              <w:t>galcanezumab</w:t>
            </w:r>
            <w:proofErr w:type="spellEnd"/>
            <w:r w:rsidRPr="00D77963">
              <w:t xml:space="preserve"> arm of the overall safety population in CONQUER trial.</w:t>
            </w:r>
          </w:p>
        </w:tc>
        <w:tc>
          <w:tcPr>
            <w:tcW w:w="1780" w:type="pct"/>
            <w:shd w:val="clear" w:color="auto" w:fill="auto"/>
            <w:vAlign w:val="center"/>
          </w:tcPr>
          <w:p w:rsidR="00CB28B8" w:rsidRPr="00D77963" w:rsidRDefault="00CB28B8" w:rsidP="003C6A8E">
            <w:pPr>
              <w:pStyle w:val="TableText"/>
              <w:keepNext w:val="0"/>
            </w:pPr>
            <w:r w:rsidRPr="00D77963">
              <w:t>Trial discontinuations may not be representative of discontinuations in practice, particularly relating to subsequent years of therapy. Inconsistent with approach in Section 3 of submission.</w:t>
            </w:r>
          </w:p>
        </w:tc>
      </w:tr>
      <w:tr w:rsidR="00CB28B8" w:rsidRPr="00D77963" w:rsidTr="00D77963">
        <w:tc>
          <w:tcPr>
            <w:tcW w:w="950" w:type="pct"/>
            <w:shd w:val="clear" w:color="auto" w:fill="auto"/>
            <w:vAlign w:val="center"/>
          </w:tcPr>
          <w:p w:rsidR="00CB28B8" w:rsidRPr="00D77963" w:rsidRDefault="00CB28B8" w:rsidP="003C6A8E">
            <w:pPr>
              <w:pStyle w:val="TableText"/>
              <w:keepNext w:val="0"/>
            </w:pPr>
            <w:r w:rsidRPr="00D77963">
              <w:t>Grandfathered patients</w:t>
            </w:r>
          </w:p>
        </w:tc>
        <w:tc>
          <w:tcPr>
            <w:tcW w:w="2270" w:type="pct"/>
            <w:shd w:val="clear" w:color="auto" w:fill="auto"/>
            <w:vAlign w:val="center"/>
          </w:tcPr>
          <w:p w:rsidR="00CB28B8" w:rsidRPr="00D77963" w:rsidRDefault="00CB28B8" w:rsidP="003C6A8E">
            <w:pPr>
              <w:pStyle w:val="TableText"/>
              <w:keepNext w:val="0"/>
            </w:pPr>
            <w:r w:rsidRPr="00D77963">
              <w:t xml:space="preserve">Patients already receiving </w:t>
            </w:r>
            <w:proofErr w:type="spellStart"/>
            <w:r w:rsidRPr="00D77963">
              <w:t>galcanezumab</w:t>
            </w:r>
            <w:proofErr w:type="spellEnd"/>
            <w:r w:rsidRPr="00D77963">
              <w:t xml:space="preserve"> through an alternative access program may be eligible for PBS subsidised treatment. Approximately 18% of grandfathered patients were considered eligible for the requested listing. The number of patients was based on current numbers of patients, with growth rate applied until 2023 (9.39%), then stabilising with a discontinuation rate applied (0.43%) to year 6.</w:t>
            </w:r>
          </w:p>
        </w:tc>
        <w:tc>
          <w:tcPr>
            <w:tcW w:w="1780" w:type="pct"/>
            <w:shd w:val="clear" w:color="auto" w:fill="auto"/>
            <w:vAlign w:val="center"/>
          </w:tcPr>
          <w:p w:rsidR="00CB28B8" w:rsidRPr="00D77963" w:rsidRDefault="00CB28B8" w:rsidP="003C6A8E">
            <w:pPr>
              <w:pStyle w:val="TableText"/>
              <w:keepNext w:val="0"/>
            </w:pPr>
            <w:r w:rsidRPr="00D77963">
              <w:t xml:space="preserve">The submission did not justify why grandfathered patients would be additional to prevalent patients, nor why the eligible grandfathered patient population would continue to grow after a PBS listing for </w:t>
            </w:r>
            <w:proofErr w:type="spellStart"/>
            <w:r w:rsidRPr="00D77963">
              <w:t>galcanezumab</w:t>
            </w:r>
            <w:proofErr w:type="spellEnd"/>
            <w:r w:rsidRPr="00D77963">
              <w:t>.</w:t>
            </w:r>
          </w:p>
        </w:tc>
      </w:tr>
      <w:tr w:rsidR="00CB28B8" w:rsidRPr="00D77963" w:rsidTr="00D77963">
        <w:tc>
          <w:tcPr>
            <w:tcW w:w="950" w:type="pct"/>
            <w:shd w:val="clear" w:color="auto" w:fill="auto"/>
            <w:vAlign w:val="center"/>
          </w:tcPr>
          <w:p w:rsidR="00CB28B8" w:rsidRPr="00D77963" w:rsidRDefault="00CB28B8" w:rsidP="003C6A8E">
            <w:pPr>
              <w:pStyle w:val="TableText"/>
            </w:pPr>
            <w:r w:rsidRPr="00D77963">
              <w:t>MBS costs</w:t>
            </w:r>
          </w:p>
        </w:tc>
        <w:tc>
          <w:tcPr>
            <w:tcW w:w="2270" w:type="pct"/>
            <w:shd w:val="clear" w:color="auto" w:fill="auto"/>
            <w:vAlign w:val="center"/>
          </w:tcPr>
          <w:p w:rsidR="00CB28B8" w:rsidRPr="00D77963" w:rsidRDefault="00CB28B8" w:rsidP="003C6A8E">
            <w:pPr>
              <w:pStyle w:val="TableText"/>
            </w:pPr>
            <w:r w:rsidRPr="00D77963">
              <w:t>Neurologist visits (MBS item 116), first visit, after 3 treatment cycles, then ongoing follow-up every 6 treatment cycles.</w:t>
            </w:r>
          </w:p>
        </w:tc>
        <w:tc>
          <w:tcPr>
            <w:tcW w:w="1780" w:type="pct"/>
            <w:shd w:val="clear" w:color="auto" w:fill="auto"/>
            <w:vAlign w:val="center"/>
          </w:tcPr>
          <w:p w:rsidR="00CB28B8" w:rsidRPr="00D77963" w:rsidRDefault="00CB28B8" w:rsidP="003C6A8E">
            <w:pPr>
              <w:pStyle w:val="TableText"/>
            </w:pPr>
            <w:r w:rsidRPr="00D77963">
              <w:t>Submission stated that assumption of continuing consultations with neurologists (rather than GP) was a likely overestimate.</w:t>
            </w:r>
          </w:p>
        </w:tc>
      </w:tr>
    </w:tbl>
    <w:p w:rsidR="00CB28B8" w:rsidRPr="00D77963" w:rsidRDefault="00CB28B8" w:rsidP="00CB28B8">
      <w:pPr>
        <w:pStyle w:val="TableFigureFooter"/>
      </w:pPr>
      <w:r w:rsidRPr="00D77963">
        <w:t>Source: Table 4.1.1; Table 4.1.2; Table 4.2.3 of the submission.</w:t>
      </w:r>
    </w:p>
    <w:p w:rsidR="00CB28B8" w:rsidRPr="00D77963" w:rsidRDefault="00CB28B8" w:rsidP="00CB28B8">
      <w:pPr>
        <w:pStyle w:val="TableFigureFooter"/>
      </w:pPr>
      <w:r w:rsidRPr="00D77963">
        <w:t>Abbreviations: PSD, Public Summary Document</w:t>
      </w:r>
    </w:p>
    <w:p w:rsidR="000A390A" w:rsidRDefault="000A390A">
      <w:pPr>
        <w:jc w:val="left"/>
        <w:rPr>
          <w:snapToGrid w:val="0"/>
          <w:szCs w:val="22"/>
          <w:lang w:eastAsia="en-US"/>
        </w:rPr>
      </w:pPr>
      <w:r>
        <w:rPr>
          <w:snapToGrid w:val="0"/>
          <w:szCs w:val="22"/>
          <w:lang w:eastAsia="en-US"/>
        </w:rPr>
        <w:br w:type="page"/>
      </w:r>
    </w:p>
    <w:p w:rsidR="00CB28B8" w:rsidRPr="00D77963" w:rsidRDefault="00CB28B8" w:rsidP="00CB28B8">
      <w:pPr>
        <w:widowControl w:val="0"/>
        <w:numPr>
          <w:ilvl w:val="1"/>
          <w:numId w:val="1"/>
        </w:numPr>
        <w:spacing w:after="160"/>
        <w:rPr>
          <w:snapToGrid w:val="0"/>
          <w:szCs w:val="22"/>
          <w:lang w:eastAsia="en-US"/>
        </w:rPr>
      </w:pPr>
      <w:r w:rsidRPr="00D77963">
        <w:rPr>
          <w:snapToGrid w:val="0"/>
          <w:szCs w:val="22"/>
          <w:lang w:eastAsia="en-US"/>
        </w:rPr>
        <w:lastRenderedPageBreak/>
        <w:t xml:space="preserve">The estimated utilisation and financial impact of a </w:t>
      </w:r>
      <w:proofErr w:type="spellStart"/>
      <w:r w:rsidRPr="00D77963">
        <w:rPr>
          <w:snapToGrid w:val="0"/>
          <w:szCs w:val="22"/>
          <w:lang w:eastAsia="en-US"/>
        </w:rPr>
        <w:t>galcanezumab</w:t>
      </w:r>
      <w:proofErr w:type="spellEnd"/>
      <w:r w:rsidRPr="00D77963">
        <w:rPr>
          <w:snapToGrid w:val="0"/>
          <w:szCs w:val="22"/>
          <w:lang w:eastAsia="en-US"/>
        </w:rPr>
        <w:t xml:space="preserve"> listing for episodic migraine is presented in Table </w:t>
      </w:r>
      <w:r w:rsidR="00D5606A" w:rsidRPr="00D77963">
        <w:rPr>
          <w:snapToGrid w:val="0"/>
          <w:szCs w:val="22"/>
          <w:lang w:eastAsia="en-US"/>
        </w:rPr>
        <w:t xml:space="preserve">16 </w:t>
      </w:r>
      <w:r w:rsidRPr="00D77963">
        <w:rPr>
          <w:snapToGrid w:val="0"/>
          <w:szCs w:val="22"/>
          <w:lang w:eastAsia="en-US"/>
        </w:rPr>
        <w:t>below.</w:t>
      </w:r>
    </w:p>
    <w:p w:rsidR="00CB28B8" w:rsidRPr="00D77963" w:rsidRDefault="00CB28B8" w:rsidP="00CB28B8">
      <w:pPr>
        <w:pStyle w:val="TableFigureCaption"/>
      </w:pPr>
      <w:r w:rsidRPr="00D77963">
        <w:t xml:space="preserve">Table </w:t>
      </w:r>
      <w:r w:rsidR="00D5606A" w:rsidRPr="00D77963">
        <w:rPr>
          <w:noProof/>
        </w:rPr>
        <w:t>16</w:t>
      </w:r>
      <w:r w:rsidRPr="00D77963">
        <w:t>: Estimated use and financial implications</w:t>
      </w:r>
    </w:p>
    <w:tbl>
      <w:tblPr>
        <w:tblStyle w:val="TableGrid"/>
        <w:tblpPr w:leftFromText="180" w:rightFromText="180" w:vertAnchor="text" w:tblpY="1"/>
        <w:tblOverlap w:val="never"/>
        <w:tblW w:w="5000" w:type="pct"/>
        <w:tblLayout w:type="fixed"/>
        <w:tblLook w:val="04A0" w:firstRow="1" w:lastRow="0" w:firstColumn="1" w:lastColumn="0" w:noHBand="0" w:noVBand="1"/>
        <w:tblCaption w:val="Table 16: Estimated use and financial implications"/>
      </w:tblPr>
      <w:tblGrid>
        <w:gridCol w:w="2547"/>
        <w:gridCol w:w="1134"/>
        <w:gridCol w:w="992"/>
        <w:gridCol w:w="1134"/>
        <w:gridCol w:w="1134"/>
        <w:gridCol w:w="992"/>
        <w:gridCol w:w="1084"/>
      </w:tblGrid>
      <w:tr w:rsidR="00145A83" w:rsidRPr="000C64EE" w:rsidTr="00145A83">
        <w:trPr>
          <w:trHeight w:val="274"/>
          <w:tblHeader/>
        </w:trPr>
        <w:tc>
          <w:tcPr>
            <w:tcW w:w="1412" w:type="pct"/>
          </w:tcPr>
          <w:p w:rsidR="00CB28B8" w:rsidRPr="000C64EE" w:rsidRDefault="00CB28B8" w:rsidP="003C6A8E">
            <w:pPr>
              <w:rPr>
                <w:rFonts w:ascii="Arial Narrow" w:hAnsi="Arial Narrow"/>
                <w:color w:val="3366FF"/>
                <w:sz w:val="20"/>
                <w:szCs w:val="20"/>
              </w:rPr>
            </w:pPr>
          </w:p>
        </w:tc>
        <w:tc>
          <w:tcPr>
            <w:tcW w:w="629" w:type="pct"/>
            <w:shd w:val="clear" w:color="auto" w:fill="FFFFFF" w:themeFill="background1"/>
          </w:tcPr>
          <w:p w:rsidR="00CB28B8" w:rsidRPr="000C64EE" w:rsidRDefault="00CB28B8" w:rsidP="003C6A8E">
            <w:pPr>
              <w:pStyle w:val="TableFigureCaption"/>
              <w:jc w:val="center"/>
              <w:rPr>
                <w:szCs w:val="20"/>
              </w:rPr>
            </w:pPr>
            <w:r w:rsidRPr="000C64EE">
              <w:rPr>
                <w:szCs w:val="20"/>
              </w:rPr>
              <w:t>2021</w:t>
            </w:r>
          </w:p>
        </w:tc>
        <w:tc>
          <w:tcPr>
            <w:tcW w:w="550" w:type="pct"/>
            <w:shd w:val="clear" w:color="auto" w:fill="FFFFFF" w:themeFill="background1"/>
          </w:tcPr>
          <w:p w:rsidR="00CB28B8" w:rsidRPr="000C64EE" w:rsidRDefault="00CB28B8" w:rsidP="003C6A8E">
            <w:pPr>
              <w:pStyle w:val="TableFigureCaption"/>
              <w:jc w:val="center"/>
              <w:rPr>
                <w:szCs w:val="20"/>
              </w:rPr>
            </w:pPr>
            <w:r w:rsidRPr="000C64EE">
              <w:rPr>
                <w:szCs w:val="20"/>
              </w:rPr>
              <w:t>2022</w:t>
            </w:r>
          </w:p>
        </w:tc>
        <w:tc>
          <w:tcPr>
            <w:tcW w:w="629" w:type="pct"/>
            <w:shd w:val="clear" w:color="auto" w:fill="FFFFFF" w:themeFill="background1"/>
          </w:tcPr>
          <w:p w:rsidR="00CB28B8" w:rsidRPr="000C64EE" w:rsidRDefault="00CB28B8" w:rsidP="003C6A8E">
            <w:pPr>
              <w:pStyle w:val="TableFigureCaption"/>
              <w:jc w:val="center"/>
              <w:rPr>
                <w:szCs w:val="20"/>
              </w:rPr>
            </w:pPr>
            <w:r w:rsidRPr="000C64EE">
              <w:rPr>
                <w:szCs w:val="20"/>
              </w:rPr>
              <w:t>2023</w:t>
            </w:r>
          </w:p>
        </w:tc>
        <w:tc>
          <w:tcPr>
            <w:tcW w:w="629" w:type="pct"/>
            <w:shd w:val="clear" w:color="auto" w:fill="FFFFFF" w:themeFill="background1"/>
          </w:tcPr>
          <w:p w:rsidR="00CB28B8" w:rsidRPr="000C64EE" w:rsidRDefault="00CB28B8" w:rsidP="003C6A8E">
            <w:pPr>
              <w:pStyle w:val="TableFigureCaption"/>
              <w:jc w:val="center"/>
              <w:rPr>
                <w:szCs w:val="20"/>
              </w:rPr>
            </w:pPr>
            <w:r w:rsidRPr="000C64EE">
              <w:rPr>
                <w:szCs w:val="20"/>
              </w:rPr>
              <w:t>2024</w:t>
            </w:r>
          </w:p>
        </w:tc>
        <w:tc>
          <w:tcPr>
            <w:tcW w:w="550" w:type="pct"/>
            <w:shd w:val="clear" w:color="auto" w:fill="FFFFFF" w:themeFill="background1"/>
          </w:tcPr>
          <w:p w:rsidR="00CB28B8" w:rsidRPr="000C64EE" w:rsidRDefault="00CB28B8" w:rsidP="003C6A8E">
            <w:pPr>
              <w:pStyle w:val="TableFigureCaption"/>
              <w:jc w:val="center"/>
              <w:rPr>
                <w:szCs w:val="20"/>
              </w:rPr>
            </w:pPr>
            <w:r w:rsidRPr="000C64EE">
              <w:rPr>
                <w:szCs w:val="20"/>
              </w:rPr>
              <w:t>2025</w:t>
            </w:r>
          </w:p>
        </w:tc>
        <w:tc>
          <w:tcPr>
            <w:tcW w:w="601" w:type="pct"/>
            <w:shd w:val="clear" w:color="auto" w:fill="FFFFFF" w:themeFill="background1"/>
          </w:tcPr>
          <w:p w:rsidR="00CB28B8" w:rsidRPr="000C64EE" w:rsidRDefault="00CB28B8" w:rsidP="003C6A8E">
            <w:pPr>
              <w:pStyle w:val="TableFigureCaption"/>
              <w:jc w:val="center"/>
              <w:rPr>
                <w:szCs w:val="20"/>
              </w:rPr>
            </w:pPr>
            <w:r w:rsidRPr="000C64EE">
              <w:rPr>
                <w:szCs w:val="20"/>
              </w:rPr>
              <w:t>2026</w:t>
            </w:r>
          </w:p>
        </w:tc>
      </w:tr>
      <w:tr w:rsidR="00145A83" w:rsidRPr="000C64EE" w:rsidTr="00145A83">
        <w:tc>
          <w:tcPr>
            <w:tcW w:w="1412" w:type="pct"/>
          </w:tcPr>
          <w:p w:rsidR="00CB28B8" w:rsidRPr="000C64EE" w:rsidRDefault="00CB28B8" w:rsidP="003C6A8E">
            <w:pPr>
              <w:pStyle w:val="TableText"/>
              <w:rPr>
                <w:szCs w:val="20"/>
              </w:rPr>
            </w:pPr>
            <w:r w:rsidRPr="000C64EE">
              <w:rPr>
                <w:rFonts w:cs="Calibri"/>
                <w:color w:val="000000"/>
                <w:szCs w:val="20"/>
              </w:rPr>
              <w:t>Australian population (≥18 years of age)</w:t>
            </w:r>
          </w:p>
        </w:tc>
        <w:tc>
          <w:tcPr>
            <w:tcW w:w="629" w:type="pct"/>
            <w:tcBorders>
              <w:top w:val="single" w:sz="4" w:space="0" w:color="auto"/>
              <w:left w:val="single" w:sz="4" w:space="0" w:color="auto"/>
              <w:bottom w:val="single" w:sz="4" w:space="0" w:color="auto"/>
              <w:right w:val="single" w:sz="4" w:space="0" w:color="auto"/>
            </w:tcBorders>
            <w:shd w:val="clear" w:color="000000" w:fill="FFFFFF"/>
            <w:vAlign w:val="center"/>
          </w:tcPr>
          <w:p w:rsidR="00CB28B8" w:rsidRPr="009654F9" w:rsidRDefault="00272C12" w:rsidP="003C6A8E">
            <w:pPr>
              <w:pStyle w:val="TableText"/>
              <w:jc w:val="center"/>
              <w:rPr>
                <w:szCs w:val="20"/>
                <w:vertAlign w:val="superscript"/>
              </w:rPr>
            </w:pPr>
            <w:r>
              <w:rPr>
                <w:noProof/>
                <w:color w:val="000000"/>
                <w:szCs w:val="20"/>
                <w:highlight w:val="black"/>
              </w:rPr>
              <w:t>'''''''''''''''''''''''''</w:t>
            </w:r>
            <w:r w:rsidR="009654F9">
              <w:rPr>
                <w:szCs w:val="20"/>
                <w:vertAlign w:val="superscript"/>
              </w:rPr>
              <w:t>1</w:t>
            </w:r>
          </w:p>
        </w:tc>
        <w:tc>
          <w:tcPr>
            <w:tcW w:w="550"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9654F9">
              <w:rPr>
                <w:szCs w:val="20"/>
                <w:vertAlign w:val="superscript"/>
              </w:rPr>
              <w:t>1</w:t>
            </w:r>
          </w:p>
        </w:tc>
        <w:tc>
          <w:tcPr>
            <w:tcW w:w="629"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9654F9">
              <w:rPr>
                <w:szCs w:val="20"/>
                <w:vertAlign w:val="superscript"/>
              </w:rPr>
              <w:t>1</w:t>
            </w:r>
          </w:p>
        </w:tc>
        <w:tc>
          <w:tcPr>
            <w:tcW w:w="629"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9654F9">
              <w:rPr>
                <w:szCs w:val="20"/>
                <w:vertAlign w:val="superscript"/>
              </w:rPr>
              <w:t>1</w:t>
            </w:r>
          </w:p>
        </w:tc>
        <w:tc>
          <w:tcPr>
            <w:tcW w:w="550"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9654F9">
              <w:rPr>
                <w:szCs w:val="20"/>
                <w:vertAlign w:val="superscript"/>
              </w:rPr>
              <w:t>1</w:t>
            </w:r>
          </w:p>
        </w:tc>
        <w:tc>
          <w:tcPr>
            <w:tcW w:w="601"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9654F9">
              <w:rPr>
                <w:szCs w:val="20"/>
                <w:vertAlign w:val="superscript"/>
              </w:rPr>
              <w:t>1</w:t>
            </w:r>
          </w:p>
        </w:tc>
      </w:tr>
      <w:tr w:rsidR="00145A83" w:rsidRPr="000C64EE" w:rsidTr="00145A83">
        <w:tc>
          <w:tcPr>
            <w:tcW w:w="1412" w:type="pct"/>
          </w:tcPr>
          <w:p w:rsidR="00CB28B8" w:rsidRPr="000C64EE" w:rsidRDefault="00CB28B8" w:rsidP="003C6A8E">
            <w:pPr>
              <w:pStyle w:val="TableText"/>
              <w:rPr>
                <w:szCs w:val="20"/>
              </w:rPr>
            </w:pPr>
            <w:r w:rsidRPr="000C64EE">
              <w:rPr>
                <w:rFonts w:cs="Calibri"/>
                <w:color w:val="000000"/>
                <w:szCs w:val="20"/>
              </w:rPr>
              <w:t>Migraine prevalence; 14.6%</w:t>
            </w:r>
          </w:p>
        </w:tc>
        <w:tc>
          <w:tcPr>
            <w:tcW w:w="629" w:type="pct"/>
            <w:tcBorders>
              <w:top w:val="nil"/>
              <w:left w:val="single" w:sz="4" w:space="0" w:color="auto"/>
              <w:bottom w:val="single" w:sz="4" w:space="0" w:color="auto"/>
              <w:right w:val="single" w:sz="4" w:space="0" w:color="auto"/>
            </w:tcBorders>
            <w:shd w:val="clear" w:color="000000" w:fill="FFFFFF"/>
            <w:vAlign w:val="center"/>
          </w:tcPr>
          <w:p w:rsidR="00CB28B8" w:rsidRPr="000C0073" w:rsidRDefault="00272C12" w:rsidP="003C6A8E">
            <w:pPr>
              <w:pStyle w:val="TableText"/>
              <w:jc w:val="center"/>
              <w:rPr>
                <w:szCs w:val="20"/>
                <w:vertAlign w:val="superscript"/>
              </w:rPr>
            </w:pPr>
            <w:r>
              <w:rPr>
                <w:noProof/>
                <w:color w:val="000000"/>
                <w:szCs w:val="20"/>
                <w:highlight w:val="black"/>
              </w:rPr>
              <w:t>''''''''''''''''''''''''</w:t>
            </w:r>
            <w:r w:rsidR="000C0073">
              <w:rPr>
                <w:szCs w:val="20"/>
                <w:vertAlign w:val="superscript"/>
              </w:rPr>
              <w:t>2</w:t>
            </w:r>
          </w:p>
        </w:tc>
        <w:tc>
          <w:tcPr>
            <w:tcW w:w="550" w:type="pct"/>
            <w:tcBorders>
              <w:top w:val="nil"/>
              <w:left w:val="nil"/>
              <w:bottom w:val="single" w:sz="4" w:space="0" w:color="auto"/>
              <w:right w:val="single" w:sz="4" w:space="0" w:color="auto"/>
            </w:tcBorders>
            <w:shd w:val="clear" w:color="000000" w:fill="FFFFFF"/>
            <w:vAlign w:val="center"/>
          </w:tcPr>
          <w:p w:rsidR="00CB28B8" w:rsidRPr="000C0073" w:rsidRDefault="00145A83" w:rsidP="003C6A8E">
            <w:pPr>
              <w:pStyle w:val="TableText"/>
              <w:jc w:val="center"/>
              <w:rPr>
                <w:szCs w:val="20"/>
                <w:vertAlign w:val="superscript"/>
              </w:rPr>
            </w:pPr>
            <w:r>
              <w:rPr>
                <w:noProof/>
                <w:color w:val="000000"/>
                <w:szCs w:val="20"/>
                <w:highlight w:val="black"/>
              </w:rPr>
              <w:t>''''''''''''''</w:t>
            </w:r>
            <w:r w:rsidR="00272C12">
              <w:rPr>
                <w:noProof/>
                <w:color w:val="000000"/>
                <w:szCs w:val="20"/>
                <w:highlight w:val="black"/>
              </w:rPr>
              <w:t>'''''''</w:t>
            </w:r>
            <w:r w:rsidR="000C0073">
              <w:rPr>
                <w:szCs w:val="20"/>
                <w:vertAlign w:val="superscript"/>
              </w:rPr>
              <w:t>3</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3</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3</w:t>
            </w:r>
          </w:p>
        </w:tc>
        <w:tc>
          <w:tcPr>
            <w:tcW w:w="550"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3</w:t>
            </w:r>
          </w:p>
        </w:tc>
        <w:tc>
          <w:tcPr>
            <w:tcW w:w="601"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3</w:t>
            </w:r>
          </w:p>
        </w:tc>
      </w:tr>
      <w:tr w:rsidR="00145A83" w:rsidRPr="000C64EE" w:rsidTr="00145A83">
        <w:tc>
          <w:tcPr>
            <w:tcW w:w="1412" w:type="pct"/>
          </w:tcPr>
          <w:p w:rsidR="00CB28B8" w:rsidRPr="000C64EE" w:rsidRDefault="00CB28B8" w:rsidP="003C6A8E">
            <w:pPr>
              <w:pStyle w:val="TableText"/>
              <w:rPr>
                <w:szCs w:val="20"/>
              </w:rPr>
            </w:pPr>
            <w:r w:rsidRPr="000C64EE">
              <w:rPr>
                <w:rFonts w:cs="Calibri"/>
                <w:color w:val="000000"/>
                <w:szCs w:val="20"/>
              </w:rPr>
              <w:t>Patients with EM; 90%</w:t>
            </w:r>
          </w:p>
        </w:tc>
        <w:tc>
          <w:tcPr>
            <w:tcW w:w="629" w:type="pct"/>
            <w:tcBorders>
              <w:top w:val="nil"/>
              <w:left w:val="single" w:sz="4" w:space="0" w:color="auto"/>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2</w:t>
            </w:r>
          </w:p>
        </w:tc>
        <w:tc>
          <w:tcPr>
            <w:tcW w:w="550" w:type="pct"/>
            <w:tcBorders>
              <w:top w:val="nil"/>
              <w:left w:val="nil"/>
              <w:bottom w:val="single" w:sz="4" w:space="0" w:color="auto"/>
              <w:right w:val="single" w:sz="4" w:space="0" w:color="auto"/>
            </w:tcBorders>
            <w:shd w:val="clear" w:color="000000" w:fill="FFFFFF"/>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0C0073">
              <w:rPr>
                <w:szCs w:val="20"/>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2</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2</w:t>
            </w:r>
          </w:p>
        </w:tc>
        <w:tc>
          <w:tcPr>
            <w:tcW w:w="550" w:type="pct"/>
            <w:tcBorders>
              <w:top w:val="nil"/>
              <w:left w:val="nil"/>
              <w:bottom w:val="single" w:sz="4" w:space="0" w:color="auto"/>
              <w:right w:val="single" w:sz="4" w:space="0" w:color="auto"/>
            </w:tcBorders>
            <w:shd w:val="clear" w:color="000000" w:fill="FFFFFF"/>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0C0073">
              <w:rPr>
                <w:szCs w:val="20"/>
                <w:vertAlign w:val="superscript"/>
              </w:rPr>
              <w:t>2</w:t>
            </w:r>
          </w:p>
        </w:tc>
        <w:tc>
          <w:tcPr>
            <w:tcW w:w="601"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2</w:t>
            </w:r>
          </w:p>
        </w:tc>
      </w:tr>
      <w:tr w:rsidR="00145A83" w:rsidRPr="000C64EE" w:rsidTr="00145A83">
        <w:tc>
          <w:tcPr>
            <w:tcW w:w="1412" w:type="pct"/>
          </w:tcPr>
          <w:p w:rsidR="00CB28B8" w:rsidRPr="000C64EE" w:rsidRDefault="00CB28B8" w:rsidP="003C6A8E">
            <w:pPr>
              <w:pStyle w:val="TableText"/>
              <w:rPr>
                <w:szCs w:val="20"/>
              </w:rPr>
            </w:pPr>
            <w:r w:rsidRPr="000C64EE">
              <w:rPr>
                <w:rFonts w:cs="Calibri"/>
                <w:color w:val="000000"/>
                <w:szCs w:val="20"/>
              </w:rPr>
              <w:t>EM diagnosed by physician; 45.9%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CB28B8" w:rsidRPr="000C0073" w:rsidRDefault="00272C12" w:rsidP="003C6A8E">
            <w:pPr>
              <w:pStyle w:val="TableText"/>
              <w:jc w:val="center"/>
              <w:rPr>
                <w:szCs w:val="20"/>
              </w:rPr>
            </w:pPr>
            <w:r>
              <w:rPr>
                <w:noProof/>
                <w:color w:val="000000"/>
                <w:szCs w:val="20"/>
                <w:highlight w:val="black"/>
              </w:rPr>
              <w:t>''''''''''''''''''''''''</w:t>
            </w:r>
            <w:r w:rsidR="000C0073">
              <w:rPr>
                <w:szCs w:val="20"/>
                <w:vertAlign w:val="superscript"/>
              </w:rPr>
              <w:t>4</w:t>
            </w:r>
          </w:p>
        </w:tc>
        <w:tc>
          <w:tcPr>
            <w:tcW w:w="550"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0C0073">
              <w:rPr>
                <w:szCs w:val="20"/>
                <w:vertAlign w:val="superscript"/>
              </w:rPr>
              <w:t>4</w:t>
            </w:r>
          </w:p>
        </w:tc>
        <w:tc>
          <w:tcPr>
            <w:tcW w:w="629"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4</w:t>
            </w:r>
          </w:p>
        </w:tc>
        <w:tc>
          <w:tcPr>
            <w:tcW w:w="629"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4</w:t>
            </w:r>
          </w:p>
        </w:tc>
        <w:tc>
          <w:tcPr>
            <w:tcW w:w="550"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145A83" w:rsidP="003C6A8E">
            <w:pPr>
              <w:pStyle w:val="TableText"/>
              <w:jc w:val="center"/>
              <w:rPr>
                <w:szCs w:val="20"/>
              </w:rPr>
            </w:pPr>
            <w:r>
              <w:rPr>
                <w:noProof/>
                <w:color w:val="000000"/>
                <w:szCs w:val="20"/>
                <w:highlight w:val="black"/>
              </w:rPr>
              <w:t>''''''''''''''''</w:t>
            </w:r>
            <w:r w:rsidR="00272C12">
              <w:rPr>
                <w:noProof/>
                <w:color w:val="000000"/>
                <w:szCs w:val="20"/>
                <w:highlight w:val="black"/>
              </w:rPr>
              <w:t>'''''</w:t>
            </w:r>
            <w:r w:rsidR="000C0073">
              <w:rPr>
                <w:szCs w:val="20"/>
                <w:vertAlign w:val="superscript"/>
              </w:rPr>
              <w:t>4</w:t>
            </w:r>
          </w:p>
        </w:tc>
        <w:tc>
          <w:tcPr>
            <w:tcW w:w="601"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272C12" w:rsidP="003C6A8E">
            <w:pPr>
              <w:pStyle w:val="TableText"/>
              <w:jc w:val="center"/>
              <w:rPr>
                <w:szCs w:val="20"/>
              </w:rPr>
            </w:pPr>
            <w:r>
              <w:rPr>
                <w:noProof/>
                <w:color w:val="000000"/>
                <w:szCs w:val="20"/>
                <w:highlight w:val="black"/>
              </w:rPr>
              <w:t>''''''''''''''''''''''</w:t>
            </w:r>
            <w:r w:rsidR="000C0073">
              <w:rPr>
                <w:szCs w:val="20"/>
                <w:vertAlign w:val="superscript"/>
              </w:rPr>
              <w:t>4</w:t>
            </w:r>
          </w:p>
        </w:tc>
      </w:tr>
      <w:tr w:rsidR="00145A83" w:rsidRPr="000C64EE" w:rsidTr="00145A83">
        <w:tc>
          <w:tcPr>
            <w:tcW w:w="1412" w:type="pct"/>
          </w:tcPr>
          <w:p w:rsidR="00CB28B8" w:rsidRPr="000C64EE" w:rsidRDefault="00CB28B8" w:rsidP="003C6A8E">
            <w:pPr>
              <w:pStyle w:val="TableText"/>
              <w:rPr>
                <w:szCs w:val="20"/>
              </w:rPr>
            </w:pPr>
            <w:r w:rsidRPr="000C64EE">
              <w:rPr>
                <w:rFonts w:cs="Calibri"/>
                <w:color w:val="000000"/>
                <w:szCs w:val="20"/>
              </w:rPr>
              <w:t>4-14 migraine headache days/month; 45.1%</w:t>
            </w:r>
          </w:p>
        </w:tc>
        <w:tc>
          <w:tcPr>
            <w:tcW w:w="629" w:type="pct"/>
            <w:tcBorders>
              <w:top w:val="nil"/>
              <w:left w:val="single" w:sz="4" w:space="0" w:color="auto"/>
              <w:bottom w:val="single" w:sz="4" w:space="0" w:color="auto"/>
              <w:right w:val="single" w:sz="4" w:space="0" w:color="auto"/>
            </w:tcBorders>
            <w:shd w:val="clear" w:color="000000" w:fill="FFFFFF"/>
            <w:vAlign w:val="center"/>
          </w:tcPr>
          <w:p w:rsidR="00CB28B8" w:rsidRPr="00BC7145" w:rsidRDefault="00272C12" w:rsidP="003C6A8E">
            <w:pPr>
              <w:pStyle w:val="TableText"/>
              <w:jc w:val="center"/>
              <w:rPr>
                <w:szCs w:val="20"/>
                <w:vertAlign w:val="superscript"/>
              </w:rPr>
            </w:pPr>
            <w:r>
              <w:rPr>
                <w:noProof/>
                <w:color w:val="000000"/>
                <w:szCs w:val="20"/>
                <w:highlight w:val="black"/>
              </w:rPr>
              <w:t>'''''''''''''''''</w:t>
            </w:r>
            <w:r w:rsidR="00BC7145">
              <w:rPr>
                <w:szCs w:val="20"/>
                <w:vertAlign w:val="superscript"/>
              </w:rPr>
              <w:t>5</w:t>
            </w:r>
          </w:p>
        </w:tc>
        <w:tc>
          <w:tcPr>
            <w:tcW w:w="550"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BC7145">
              <w:rPr>
                <w:szCs w:val="20"/>
                <w:vertAlign w:val="superscript"/>
              </w:rPr>
              <w:t>5</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BC7145">
              <w:rPr>
                <w:szCs w:val="20"/>
                <w:vertAlign w:val="superscript"/>
              </w:rPr>
              <w:t>5</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BC7145">
              <w:rPr>
                <w:szCs w:val="20"/>
                <w:vertAlign w:val="superscript"/>
              </w:rPr>
              <w:t>5</w:t>
            </w:r>
          </w:p>
        </w:tc>
        <w:tc>
          <w:tcPr>
            <w:tcW w:w="550"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BC7145">
              <w:rPr>
                <w:szCs w:val="20"/>
                <w:vertAlign w:val="superscript"/>
              </w:rPr>
              <w:t>5</w:t>
            </w:r>
          </w:p>
        </w:tc>
        <w:tc>
          <w:tcPr>
            <w:tcW w:w="601" w:type="pct"/>
            <w:tcBorders>
              <w:top w:val="nil"/>
              <w:left w:val="nil"/>
              <w:bottom w:val="single" w:sz="4" w:space="0" w:color="auto"/>
              <w:right w:val="single" w:sz="4" w:space="0" w:color="auto"/>
            </w:tcBorders>
            <w:shd w:val="clear" w:color="000000" w:fill="FFFFFF"/>
            <w:vAlign w:val="center"/>
          </w:tcPr>
          <w:p w:rsidR="00CB28B8" w:rsidRPr="00BC7145" w:rsidRDefault="00272C12" w:rsidP="003C6A8E">
            <w:pPr>
              <w:pStyle w:val="TableText"/>
              <w:jc w:val="center"/>
              <w:rPr>
                <w:szCs w:val="20"/>
                <w:vertAlign w:val="superscript"/>
              </w:rPr>
            </w:pPr>
            <w:r>
              <w:rPr>
                <w:noProof/>
                <w:color w:val="000000"/>
                <w:szCs w:val="20"/>
                <w:highlight w:val="black"/>
              </w:rPr>
              <w:t>'''''''''''''''''''</w:t>
            </w:r>
            <w:r w:rsidR="00BC7145">
              <w:rPr>
                <w:szCs w:val="20"/>
                <w:vertAlign w:val="superscript"/>
              </w:rPr>
              <w:t>6</w:t>
            </w:r>
          </w:p>
        </w:tc>
      </w:tr>
      <w:tr w:rsidR="00145A83" w:rsidRPr="000C64EE" w:rsidTr="00145A83">
        <w:tc>
          <w:tcPr>
            <w:tcW w:w="1412" w:type="pct"/>
          </w:tcPr>
          <w:p w:rsidR="00CB28B8" w:rsidRPr="000C64EE" w:rsidRDefault="00CB28B8" w:rsidP="003C6A8E">
            <w:pPr>
              <w:pStyle w:val="TableText"/>
              <w:rPr>
                <w:szCs w:val="20"/>
              </w:rPr>
            </w:pPr>
            <w:r w:rsidRPr="000C64EE">
              <w:rPr>
                <w:szCs w:val="20"/>
              </w:rPr>
              <w:t>Failed ≥3 preventive treatments; 12%</w:t>
            </w:r>
          </w:p>
        </w:tc>
        <w:tc>
          <w:tcPr>
            <w:tcW w:w="629" w:type="pct"/>
            <w:tcBorders>
              <w:top w:val="single" w:sz="4" w:space="0" w:color="auto"/>
              <w:left w:val="single" w:sz="4" w:space="0" w:color="auto"/>
              <w:bottom w:val="single" w:sz="4" w:space="0" w:color="auto"/>
              <w:right w:val="single" w:sz="4" w:space="0" w:color="auto"/>
            </w:tcBorders>
            <w:shd w:val="clear" w:color="000000" w:fill="FFFFFF"/>
            <w:vAlign w:val="center"/>
          </w:tcPr>
          <w:p w:rsidR="00CB28B8" w:rsidRPr="00BC7145" w:rsidRDefault="00272C12" w:rsidP="003C6A8E">
            <w:pPr>
              <w:pStyle w:val="TableText"/>
              <w:jc w:val="center"/>
              <w:rPr>
                <w:szCs w:val="20"/>
                <w:vertAlign w:val="superscript"/>
              </w:rPr>
            </w:pPr>
            <w:r>
              <w:rPr>
                <w:noProof/>
                <w:color w:val="000000"/>
                <w:szCs w:val="20"/>
                <w:highlight w:val="black"/>
              </w:rPr>
              <w:t>'''''''''''''''</w:t>
            </w:r>
            <w:r w:rsidR="00BC7145">
              <w:rPr>
                <w:szCs w:val="20"/>
                <w:vertAlign w:val="superscript"/>
              </w:rPr>
              <w:t>7</w:t>
            </w:r>
          </w:p>
        </w:tc>
        <w:tc>
          <w:tcPr>
            <w:tcW w:w="550"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BC7145">
              <w:rPr>
                <w:szCs w:val="20"/>
                <w:vertAlign w:val="superscript"/>
              </w:rPr>
              <w:t>7</w:t>
            </w:r>
          </w:p>
        </w:tc>
        <w:tc>
          <w:tcPr>
            <w:tcW w:w="629"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BC7145">
              <w:rPr>
                <w:szCs w:val="20"/>
                <w:vertAlign w:val="superscript"/>
              </w:rPr>
              <w:t>7</w:t>
            </w:r>
          </w:p>
        </w:tc>
        <w:tc>
          <w:tcPr>
            <w:tcW w:w="629" w:type="pct"/>
            <w:tcBorders>
              <w:top w:val="single" w:sz="4" w:space="0" w:color="auto"/>
              <w:left w:val="nil"/>
              <w:bottom w:val="single" w:sz="4" w:space="0" w:color="auto"/>
              <w:right w:val="single" w:sz="4" w:space="0" w:color="auto"/>
            </w:tcBorders>
            <w:shd w:val="clear" w:color="000000" w:fill="FFFFFF"/>
            <w:vAlign w:val="center"/>
          </w:tcPr>
          <w:p w:rsidR="00CB28B8" w:rsidRPr="00BC7145" w:rsidRDefault="00272C12" w:rsidP="003C6A8E">
            <w:pPr>
              <w:pStyle w:val="TableText"/>
              <w:jc w:val="center"/>
              <w:rPr>
                <w:szCs w:val="20"/>
                <w:vertAlign w:val="superscript"/>
              </w:rPr>
            </w:pPr>
            <w:r>
              <w:rPr>
                <w:noProof/>
                <w:color w:val="000000"/>
                <w:szCs w:val="20"/>
                <w:highlight w:val="black"/>
              </w:rPr>
              <w:t>'''''''''''''''''</w:t>
            </w:r>
            <w:r w:rsidR="00BC7145">
              <w:rPr>
                <w:szCs w:val="20"/>
                <w:vertAlign w:val="superscript"/>
              </w:rPr>
              <w:t>8</w:t>
            </w:r>
          </w:p>
        </w:tc>
        <w:tc>
          <w:tcPr>
            <w:tcW w:w="550"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8</w:t>
            </w:r>
          </w:p>
        </w:tc>
        <w:tc>
          <w:tcPr>
            <w:tcW w:w="601"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8</w:t>
            </w:r>
          </w:p>
        </w:tc>
      </w:tr>
      <w:tr w:rsidR="00145A83" w:rsidRPr="000C64EE" w:rsidTr="00145A83">
        <w:tc>
          <w:tcPr>
            <w:tcW w:w="1412" w:type="pct"/>
          </w:tcPr>
          <w:p w:rsidR="00CB28B8" w:rsidRPr="000C64EE" w:rsidRDefault="00CB28B8" w:rsidP="003C6A8E">
            <w:pPr>
              <w:pStyle w:val="TableText"/>
              <w:rPr>
                <w:szCs w:val="20"/>
              </w:rPr>
            </w:pPr>
            <w:r w:rsidRPr="000C64EE">
              <w:rPr>
                <w:szCs w:val="20"/>
              </w:rPr>
              <w:t>Annual growth in eligible patient population 9.39%</w:t>
            </w:r>
          </w:p>
        </w:tc>
        <w:tc>
          <w:tcPr>
            <w:tcW w:w="629" w:type="pct"/>
            <w:tcBorders>
              <w:top w:val="nil"/>
              <w:left w:val="single" w:sz="4" w:space="0" w:color="auto"/>
              <w:bottom w:val="single" w:sz="4" w:space="0" w:color="auto"/>
              <w:right w:val="single" w:sz="4" w:space="0" w:color="auto"/>
            </w:tcBorders>
            <w:shd w:val="clear" w:color="auto" w:fill="auto"/>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8</w:t>
            </w:r>
          </w:p>
        </w:tc>
        <w:tc>
          <w:tcPr>
            <w:tcW w:w="550" w:type="pct"/>
            <w:tcBorders>
              <w:top w:val="nil"/>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9</w:t>
            </w:r>
          </w:p>
        </w:tc>
        <w:tc>
          <w:tcPr>
            <w:tcW w:w="629" w:type="pct"/>
            <w:tcBorders>
              <w:top w:val="nil"/>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9</w:t>
            </w:r>
          </w:p>
        </w:tc>
        <w:tc>
          <w:tcPr>
            <w:tcW w:w="629" w:type="pct"/>
            <w:tcBorders>
              <w:top w:val="nil"/>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10</w:t>
            </w:r>
          </w:p>
        </w:tc>
        <w:tc>
          <w:tcPr>
            <w:tcW w:w="550" w:type="pct"/>
            <w:tcBorders>
              <w:top w:val="nil"/>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11</w:t>
            </w:r>
          </w:p>
        </w:tc>
        <w:tc>
          <w:tcPr>
            <w:tcW w:w="601" w:type="pct"/>
            <w:tcBorders>
              <w:top w:val="nil"/>
              <w:left w:val="nil"/>
              <w:bottom w:val="single" w:sz="4" w:space="0" w:color="auto"/>
              <w:right w:val="single" w:sz="4" w:space="0" w:color="auto"/>
            </w:tcBorders>
            <w:shd w:val="clear" w:color="auto" w:fill="auto"/>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11</w:t>
            </w:r>
          </w:p>
        </w:tc>
      </w:tr>
      <w:tr w:rsidR="00145A83" w:rsidRPr="000C64EE" w:rsidTr="00145A83">
        <w:tc>
          <w:tcPr>
            <w:tcW w:w="1412" w:type="pct"/>
            <w:tcBorders>
              <w:top w:val="nil"/>
              <w:left w:val="single" w:sz="4" w:space="0" w:color="auto"/>
              <w:bottom w:val="single" w:sz="4" w:space="0" w:color="auto"/>
              <w:right w:val="single" w:sz="4" w:space="0" w:color="auto"/>
            </w:tcBorders>
            <w:shd w:val="clear" w:color="auto" w:fill="FFFFFF" w:themeFill="background1"/>
            <w:vAlign w:val="bottom"/>
          </w:tcPr>
          <w:p w:rsidR="00CB28B8" w:rsidRPr="000C64EE" w:rsidRDefault="00CB28B8" w:rsidP="003C6A8E">
            <w:pPr>
              <w:pStyle w:val="TableText"/>
              <w:rPr>
                <w:szCs w:val="20"/>
              </w:rPr>
            </w:pPr>
            <w:r w:rsidRPr="000C64EE">
              <w:rPr>
                <w:szCs w:val="20"/>
              </w:rPr>
              <w:t xml:space="preserve">Uptake rates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CB28B8" w:rsidRPr="000C64EE" w:rsidRDefault="00CB28B8" w:rsidP="003C6A8E">
            <w:pPr>
              <w:pStyle w:val="TableText"/>
              <w:jc w:val="center"/>
              <w:rPr>
                <w:szCs w:val="20"/>
              </w:rPr>
            </w:pPr>
            <w:r w:rsidRPr="000C64EE">
              <w:rPr>
                <w:rFonts w:cstheme="minorHAnsi"/>
                <w:szCs w:val="20"/>
              </w:rPr>
              <w:t>24%</w:t>
            </w:r>
          </w:p>
        </w:tc>
        <w:tc>
          <w:tcPr>
            <w:tcW w:w="550"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CB28B8" w:rsidP="003C6A8E">
            <w:pPr>
              <w:pStyle w:val="TableText"/>
              <w:jc w:val="center"/>
              <w:rPr>
                <w:szCs w:val="20"/>
              </w:rPr>
            </w:pPr>
            <w:r w:rsidRPr="000C64EE">
              <w:rPr>
                <w:rFonts w:cstheme="minorHAnsi"/>
                <w:szCs w:val="20"/>
              </w:rPr>
              <w:t>32%</w:t>
            </w:r>
          </w:p>
        </w:tc>
        <w:tc>
          <w:tcPr>
            <w:tcW w:w="629"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CB28B8" w:rsidP="003C6A8E">
            <w:pPr>
              <w:pStyle w:val="TableText"/>
              <w:jc w:val="center"/>
              <w:rPr>
                <w:szCs w:val="20"/>
              </w:rPr>
            </w:pPr>
            <w:r w:rsidRPr="000C64EE">
              <w:rPr>
                <w:rFonts w:cstheme="minorHAnsi"/>
                <w:szCs w:val="20"/>
              </w:rPr>
              <w:t>36%</w:t>
            </w:r>
          </w:p>
        </w:tc>
        <w:tc>
          <w:tcPr>
            <w:tcW w:w="629"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CB28B8" w:rsidP="003C6A8E">
            <w:pPr>
              <w:pStyle w:val="TableText"/>
              <w:jc w:val="center"/>
              <w:rPr>
                <w:szCs w:val="20"/>
              </w:rPr>
            </w:pPr>
            <w:r w:rsidRPr="000C64EE">
              <w:rPr>
                <w:rFonts w:cstheme="minorHAnsi"/>
                <w:szCs w:val="20"/>
              </w:rPr>
              <w:t>40%</w:t>
            </w:r>
          </w:p>
        </w:tc>
        <w:tc>
          <w:tcPr>
            <w:tcW w:w="550"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CB28B8" w:rsidP="003C6A8E">
            <w:pPr>
              <w:pStyle w:val="TableText"/>
              <w:jc w:val="center"/>
              <w:rPr>
                <w:szCs w:val="20"/>
              </w:rPr>
            </w:pPr>
            <w:r w:rsidRPr="000C64EE">
              <w:rPr>
                <w:rFonts w:cstheme="minorHAnsi"/>
                <w:szCs w:val="20"/>
              </w:rPr>
              <w:t>44%</w:t>
            </w:r>
          </w:p>
        </w:tc>
        <w:tc>
          <w:tcPr>
            <w:tcW w:w="601" w:type="pct"/>
            <w:tcBorders>
              <w:top w:val="single" w:sz="4" w:space="0" w:color="auto"/>
              <w:left w:val="nil"/>
              <w:bottom w:val="single" w:sz="4" w:space="0" w:color="auto"/>
              <w:right w:val="single" w:sz="4" w:space="0" w:color="auto"/>
            </w:tcBorders>
            <w:shd w:val="clear" w:color="auto" w:fill="auto"/>
            <w:vAlign w:val="center"/>
          </w:tcPr>
          <w:p w:rsidR="00CB28B8" w:rsidRPr="000C64EE" w:rsidRDefault="00CB28B8" w:rsidP="003C6A8E">
            <w:pPr>
              <w:pStyle w:val="TableText"/>
              <w:jc w:val="center"/>
              <w:rPr>
                <w:szCs w:val="20"/>
              </w:rPr>
            </w:pPr>
            <w:r w:rsidRPr="000C64EE">
              <w:rPr>
                <w:rFonts w:cstheme="minorHAnsi"/>
                <w:szCs w:val="20"/>
              </w:rPr>
              <w:t>48%</w:t>
            </w:r>
          </w:p>
        </w:tc>
      </w:tr>
      <w:tr w:rsidR="00145A83" w:rsidRPr="000C64EE" w:rsidTr="00145A83">
        <w:tc>
          <w:tcPr>
            <w:tcW w:w="1412" w:type="pct"/>
            <w:tcBorders>
              <w:top w:val="nil"/>
              <w:left w:val="single" w:sz="4" w:space="0" w:color="auto"/>
              <w:bottom w:val="single" w:sz="4" w:space="0" w:color="auto"/>
              <w:right w:val="single" w:sz="4" w:space="0" w:color="auto"/>
            </w:tcBorders>
            <w:shd w:val="clear" w:color="auto" w:fill="FFFFFF" w:themeFill="background1"/>
            <w:vAlign w:val="bottom"/>
          </w:tcPr>
          <w:p w:rsidR="00CB28B8" w:rsidRPr="000C64EE" w:rsidRDefault="00CB28B8" w:rsidP="003C6A8E">
            <w:pPr>
              <w:pStyle w:val="TableText"/>
              <w:rPr>
                <w:szCs w:val="20"/>
              </w:rPr>
            </w:pPr>
            <w:r w:rsidRPr="000C64EE">
              <w:rPr>
                <w:szCs w:val="20"/>
              </w:rPr>
              <w:t>Patients initiating treatment (cumulative)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12</w:t>
            </w:r>
          </w:p>
        </w:tc>
        <w:tc>
          <w:tcPr>
            <w:tcW w:w="550" w:type="pct"/>
            <w:tcBorders>
              <w:top w:val="single" w:sz="4" w:space="0" w:color="auto"/>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13</w:t>
            </w:r>
          </w:p>
        </w:tc>
        <w:tc>
          <w:tcPr>
            <w:tcW w:w="629" w:type="pct"/>
            <w:tcBorders>
              <w:top w:val="single" w:sz="4" w:space="0" w:color="auto"/>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14</w:t>
            </w:r>
          </w:p>
        </w:tc>
        <w:tc>
          <w:tcPr>
            <w:tcW w:w="629" w:type="pct"/>
            <w:tcBorders>
              <w:top w:val="single" w:sz="4" w:space="0" w:color="auto"/>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14</w:t>
            </w:r>
          </w:p>
        </w:tc>
        <w:tc>
          <w:tcPr>
            <w:tcW w:w="550" w:type="pct"/>
            <w:tcBorders>
              <w:top w:val="single" w:sz="4" w:space="0" w:color="auto"/>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15</w:t>
            </w:r>
          </w:p>
        </w:tc>
        <w:tc>
          <w:tcPr>
            <w:tcW w:w="601" w:type="pct"/>
            <w:tcBorders>
              <w:top w:val="single" w:sz="4" w:space="0" w:color="auto"/>
              <w:left w:val="nil"/>
              <w:bottom w:val="single" w:sz="4" w:space="0" w:color="auto"/>
              <w:right w:val="single" w:sz="4" w:space="0" w:color="auto"/>
            </w:tcBorders>
            <w:shd w:val="clear" w:color="auto" w:fill="auto"/>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16</w:t>
            </w:r>
          </w:p>
        </w:tc>
      </w:tr>
      <w:tr w:rsidR="00145A83" w:rsidRPr="000C64EE" w:rsidTr="00145A83">
        <w:tc>
          <w:tcPr>
            <w:tcW w:w="1412" w:type="pct"/>
            <w:tcBorders>
              <w:top w:val="nil"/>
              <w:left w:val="single" w:sz="4" w:space="0" w:color="auto"/>
              <w:bottom w:val="single" w:sz="4" w:space="0" w:color="auto"/>
              <w:right w:val="single" w:sz="4" w:space="0" w:color="auto"/>
            </w:tcBorders>
            <w:shd w:val="clear" w:color="auto" w:fill="FFFFFF" w:themeFill="background1"/>
            <w:vAlign w:val="center"/>
          </w:tcPr>
          <w:p w:rsidR="00CB28B8" w:rsidRPr="000C64EE" w:rsidRDefault="00CB28B8" w:rsidP="003C6A8E">
            <w:pPr>
              <w:pStyle w:val="TableText"/>
              <w:rPr>
                <w:szCs w:val="20"/>
              </w:rPr>
            </w:pPr>
            <w:r w:rsidRPr="000C64EE">
              <w:rPr>
                <w:szCs w:val="20"/>
              </w:rPr>
              <w:t>New patients per year (estimated by subtracting patients from previous years)</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12</w:t>
            </w:r>
          </w:p>
        </w:tc>
        <w:tc>
          <w:tcPr>
            <w:tcW w:w="550" w:type="pct"/>
            <w:tcBorders>
              <w:top w:val="nil"/>
              <w:left w:val="nil"/>
              <w:bottom w:val="single" w:sz="4" w:space="0" w:color="auto"/>
              <w:right w:val="single" w:sz="4" w:space="0" w:color="auto"/>
            </w:tcBorders>
            <w:shd w:val="clear" w:color="auto" w:fill="FFFFFF" w:themeFill="background1"/>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17</w:t>
            </w:r>
          </w:p>
        </w:tc>
        <w:tc>
          <w:tcPr>
            <w:tcW w:w="629" w:type="pct"/>
            <w:tcBorders>
              <w:top w:val="nil"/>
              <w:left w:val="nil"/>
              <w:bottom w:val="single" w:sz="4" w:space="0" w:color="auto"/>
              <w:right w:val="single" w:sz="4" w:space="0" w:color="auto"/>
            </w:tcBorders>
            <w:shd w:val="clear" w:color="auto" w:fill="FFFFFF" w:themeFill="background1"/>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17</w:t>
            </w:r>
          </w:p>
        </w:tc>
        <w:tc>
          <w:tcPr>
            <w:tcW w:w="629" w:type="pct"/>
            <w:tcBorders>
              <w:top w:val="nil"/>
              <w:left w:val="nil"/>
              <w:bottom w:val="single" w:sz="4" w:space="0" w:color="auto"/>
              <w:right w:val="single" w:sz="4" w:space="0" w:color="auto"/>
            </w:tcBorders>
            <w:shd w:val="clear" w:color="auto" w:fill="FFFFFF" w:themeFill="background1"/>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17</w:t>
            </w:r>
          </w:p>
        </w:tc>
        <w:tc>
          <w:tcPr>
            <w:tcW w:w="550" w:type="pct"/>
            <w:tcBorders>
              <w:top w:val="nil"/>
              <w:left w:val="nil"/>
              <w:bottom w:val="single" w:sz="4" w:space="0" w:color="auto"/>
              <w:right w:val="single" w:sz="4" w:space="0" w:color="auto"/>
            </w:tcBorders>
            <w:shd w:val="clear" w:color="auto" w:fill="FFFFFF" w:themeFill="background1"/>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17</w:t>
            </w:r>
          </w:p>
        </w:tc>
        <w:tc>
          <w:tcPr>
            <w:tcW w:w="601" w:type="pct"/>
            <w:tcBorders>
              <w:top w:val="nil"/>
              <w:left w:val="nil"/>
              <w:bottom w:val="single" w:sz="4" w:space="0" w:color="auto"/>
              <w:right w:val="single" w:sz="4" w:space="0" w:color="auto"/>
            </w:tcBorders>
            <w:shd w:val="clear" w:color="auto" w:fill="FFFFFF" w:themeFill="background1"/>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17</w:t>
            </w:r>
          </w:p>
        </w:tc>
      </w:tr>
      <w:tr w:rsidR="00145A83" w:rsidRPr="000C64EE" w:rsidTr="00145A83">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CB28B8" w:rsidRPr="000C64EE" w:rsidRDefault="00CB28B8" w:rsidP="003C6A8E">
            <w:pPr>
              <w:pStyle w:val="TableText"/>
              <w:rPr>
                <w:szCs w:val="20"/>
              </w:rPr>
            </w:pPr>
            <w:r w:rsidRPr="000C64EE">
              <w:rPr>
                <w:szCs w:val="20"/>
              </w:rPr>
              <w:t>Continuing patients at month 3; 41.1%</w:t>
            </w:r>
          </w:p>
        </w:tc>
        <w:tc>
          <w:tcPr>
            <w:tcW w:w="629" w:type="pct"/>
            <w:tcBorders>
              <w:top w:val="nil"/>
              <w:left w:val="single" w:sz="4" w:space="0" w:color="auto"/>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17</w:t>
            </w:r>
          </w:p>
        </w:tc>
        <w:tc>
          <w:tcPr>
            <w:tcW w:w="550" w:type="pct"/>
            <w:tcBorders>
              <w:top w:val="nil"/>
              <w:left w:val="nil"/>
              <w:bottom w:val="single" w:sz="4" w:space="0" w:color="auto"/>
              <w:right w:val="single" w:sz="4" w:space="0" w:color="auto"/>
            </w:tcBorders>
            <w:shd w:val="clear" w:color="000000" w:fill="FFFFFF"/>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18</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18</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18</w:t>
            </w:r>
          </w:p>
        </w:tc>
        <w:tc>
          <w:tcPr>
            <w:tcW w:w="550"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18</w:t>
            </w:r>
          </w:p>
        </w:tc>
        <w:tc>
          <w:tcPr>
            <w:tcW w:w="601"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18</w:t>
            </w:r>
          </w:p>
        </w:tc>
      </w:tr>
      <w:tr w:rsidR="00145A83" w:rsidRPr="000C64EE" w:rsidTr="00145A83">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CB28B8" w:rsidRPr="000C64EE" w:rsidRDefault="00CB28B8" w:rsidP="003C6A8E">
            <w:pPr>
              <w:pStyle w:val="TableText"/>
              <w:rPr>
                <w:szCs w:val="20"/>
              </w:rPr>
            </w:pPr>
            <w:r w:rsidRPr="000C64EE">
              <w:rPr>
                <w:szCs w:val="20"/>
              </w:rPr>
              <w:t>Continuing patients (subsequent years)</w:t>
            </w:r>
          </w:p>
        </w:tc>
        <w:tc>
          <w:tcPr>
            <w:tcW w:w="629" w:type="pct"/>
            <w:tcBorders>
              <w:top w:val="nil"/>
              <w:left w:val="single" w:sz="4" w:space="0" w:color="auto"/>
              <w:bottom w:val="single" w:sz="4" w:space="0" w:color="auto"/>
              <w:right w:val="single" w:sz="4" w:space="0" w:color="auto"/>
            </w:tcBorders>
            <w:shd w:val="clear" w:color="000000" w:fill="FFFFFF"/>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19</w:t>
            </w:r>
          </w:p>
        </w:tc>
        <w:tc>
          <w:tcPr>
            <w:tcW w:w="550" w:type="pct"/>
            <w:tcBorders>
              <w:top w:val="nil"/>
              <w:left w:val="nil"/>
              <w:bottom w:val="single" w:sz="4" w:space="0" w:color="auto"/>
              <w:right w:val="single" w:sz="4" w:space="0" w:color="auto"/>
            </w:tcBorders>
            <w:shd w:val="clear" w:color="000000" w:fill="FFFFFF"/>
            <w:vAlign w:val="center"/>
          </w:tcPr>
          <w:p w:rsidR="00CB28B8" w:rsidRPr="000D3815" w:rsidRDefault="00272C12" w:rsidP="003C6A8E">
            <w:pPr>
              <w:pStyle w:val="TableText"/>
              <w:jc w:val="center"/>
              <w:rPr>
                <w:szCs w:val="20"/>
                <w:vertAlign w:val="superscript"/>
              </w:rPr>
            </w:pPr>
            <w:r>
              <w:rPr>
                <w:noProof/>
                <w:color w:val="000000"/>
                <w:szCs w:val="20"/>
                <w:highlight w:val="black"/>
              </w:rPr>
              <w:t>''''''''''''''</w:t>
            </w:r>
            <w:r w:rsidR="000D3815">
              <w:rPr>
                <w:szCs w:val="20"/>
                <w:vertAlign w:val="superscript"/>
              </w:rPr>
              <w:t>17</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12</w:t>
            </w:r>
          </w:p>
        </w:tc>
        <w:tc>
          <w:tcPr>
            <w:tcW w:w="629"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12</w:t>
            </w:r>
          </w:p>
        </w:tc>
        <w:tc>
          <w:tcPr>
            <w:tcW w:w="550"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12</w:t>
            </w:r>
          </w:p>
        </w:tc>
        <w:tc>
          <w:tcPr>
            <w:tcW w:w="601" w:type="pct"/>
            <w:tcBorders>
              <w:top w:val="nil"/>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noProof/>
                <w:color w:val="000000"/>
                <w:szCs w:val="20"/>
                <w:highlight w:val="black"/>
              </w:rPr>
              <w:t>''''''''''''''''</w:t>
            </w:r>
            <w:r w:rsidR="000D3815">
              <w:rPr>
                <w:szCs w:val="20"/>
                <w:vertAlign w:val="superscript"/>
              </w:rPr>
              <w:t>12</w:t>
            </w:r>
          </w:p>
        </w:tc>
      </w:tr>
      <w:tr w:rsidR="00145A83" w:rsidRPr="000C64EE" w:rsidTr="00145A83">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CB28B8" w:rsidRPr="000C64EE" w:rsidRDefault="00CB28B8" w:rsidP="003C6A8E">
            <w:pPr>
              <w:pStyle w:val="TableText"/>
              <w:rPr>
                <w:szCs w:val="20"/>
              </w:rPr>
            </w:pPr>
            <w:r w:rsidRPr="000C64EE">
              <w:rPr>
                <w:szCs w:val="20"/>
              </w:rPr>
              <w:t>Grandfathered patients</w:t>
            </w:r>
          </w:p>
        </w:tc>
        <w:tc>
          <w:tcPr>
            <w:tcW w:w="629" w:type="pct"/>
            <w:tcBorders>
              <w:top w:val="single" w:sz="4" w:space="0" w:color="auto"/>
              <w:left w:val="single" w:sz="4" w:space="0" w:color="auto"/>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rFonts w:cs="Calibri"/>
                <w:noProof/>
                <w:color w:val="000000"/>
                <w:szCs w:val="20"/>
                <w:highlight w:val="black"/>
              </w:rPr>
              <w:t>''''''''''</w:t>
            </w:r>
            <w:r w:rsidR="000D3815">
              <w:rPr>
                <w:szCs w:val="20"/>
                <w:vertAlign w:val="superscript"/>
              </w:rPr>
              <w:t>19</w:t>
            </w:r>
          </w:p>
        </w:tc>
        <w:tc>
          <w:tcPr>
            <w:tcW w:w="550"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rFonts w:cs="Calibri"/>
                <w:noProof/>
                <w:color w:val="000000"/>
                <w:szCs w:val="20"/>
                <w:highlight w:val="black"/>
              </w:rPr>
              <w:t>''''''''''</w:t>
            </w:r>
            <w:r w:rsidR="000D3815">
              <w:rPr>
                <w:szCs w:val="20"/>
                <w:vertAlign w:val="superscript"/>
              </w:rPr>
              <w:t>19</w:t>
            </w:r>
          </w:p>
        </w:tc>
        <w:tc>
          <w:tcPr>
            <w:tcW w:w="629"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rFonts w:cs="Calibri"/>
                <w:noProof/>
                <w:color w:val="000000"/>
                <w:szCs w:val="20"/>
                <w:highlight w:val="black"/>
              </w:rPr>
              <w:t>''''''''''</w:t>
            </w:r>
            <w:r w:rsidR="000D3815">
              <w:rPr>
                <w:szCs w:val="20"/>
                <w:vertAlign w:val="superscript"/>
              </w:rPr>
              <w:t>19</w:t>
            </w:r>
          </w:p>
        </w:tc>
        <w:tc>
          <w:tcPr>
            <w:tcW w:w="629"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rFonts w:cs="Calibri"/>
                <w:noProof/>
                <w:color w:val="000000"/>
                <w:szCs w:val="20"/>
                <w:highlight w:val="black"/>
              </w:rPr>
              <w:t>''''''''''</w:t>
            </w:r>
            <w:r w:rsidR="000D3815">
              <w:rPr>
                <w:szCs w:val="20"/>
                <w:vertAlign w:val="superscript"/>
              </w:rPr>
              <w:t>19</w:t>
            </w:r>
          </w:p>
        </w:tc>
        <w:tc>
          <w:tcPr>
            <w:tcW w:w="550"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rFonts w:cs="Calibri"/>
                <w:noProof/>
                <w:color w:val="000000"/>
                <w:szCs w:val="20"/>
                <w:highlight w:val="black"/>
              </w:rPr>
              <w:t>''''''''</w:t>
            </w:r>
            <w:r w:rsidR="000D3815">
              <w:rPr>
                <w:szCs w:val="20"/>
                <w:vertAlign w:val="superscript"/>
              </w:rPr>
              <w:t>19</w:t>
            </w:r>
          </w:p>
        </w:tc>
        <w:tc>
          <w:tcPr>
            <w:tcW w:w="601" w:type="pct"/>
            <w:tcBorders>
              <w:top w:val="single" w:sz="4" w:space="0" w:color="auto"/>
              <w:left w:val="nil"/>
              <w:bottom w:val="single" w:sz="4" w:space="0" w:color="auto"/>
              <w:right w:val="single" w:sz="4" w:space="0" w:color="auto"/>
            </w:tcBorders>
            <w:shd w:val="clear" w:color="000000" w:fill="FFFFFF"/>
            <w:vAlign w:val="center"/>
          </w:tcPr>
          <w:p w:rsidR="00CB28B8" w:rsidRPr="000C64EE" w:rsidRDefault="00272C12" w:rsidP="003C6A8E">
            <w:pPr>
              <w:pStyle w:val="TableText"/>
              <w:jc w:val="center"/>
              <w:rPr>
                <w:szCs w:val="20"/>
              </w:rPr>
            </w:pPr>
            <w:r>
              <w:rPr>
                <w:rFonts w:cs="Calibri"/>
                <w:noProof/>
                <w:color w:val="000000"/>
                <w:szCs w:val="20"/>
                <w:highlight w:val="black"/>
              </w:rPr>
              <w:t>''''''''''</w:t>
            </w:r>
            <w:r w:rsidR="000D3815">
              <w:rPr>
                <w:szCs w:val="20"/>
                <w:vertAlign w:val="superscript"/>
              </w:rPr>
              <w:t>19</w:t>
            </w:r>
          </w:p>
        </w:tc>
      </w:tr>
      <w:tr w:rsidR="00145A83" w:rsidRPr="000C64EE" w:rsidTr="00145A83">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5166D2" w:rsidRPr="000C64EE" w:rsidRDefault="005166D2" w:rsidP="005166D2">
            <w:pPr>
              <w:pStyle w:val="TableText"/>
              <w:rPr>
                <w:szCs w:val="20"/>
              </w:rPr>
            </w:pPr>
            <w:r w:rsidRPr="000C64EE">
              <w:rPr>
                <w:szCs w:val="20"/>
              </w:rPr>
              <w:t xml:space="preserve">Total scripts dispensed </w:t>
            </w:r>
          </w:p>
        </w:tc>
        <w:tc>
          <w:tcPr>
            <w:tcW w:w="629" w:type="pct"/>
          </w:tcPr>
          <w:p w:rsidR="005166D2" w:rsidRPr="000C64EE" w:rsidRDefault="00272C12" w:rsidP="005166D2">
            <w:pPr>
              <w:pStyle w:val="TableText"/>
              <w:jc w:val="center"/>
              <w:rPr>
                <w:b/>
                <w:szCs w:val="20"/>
              </w:rPr>
            </w:pPr>
            <w:r>
              <w:rPr>
                <w:noProof/>
                <w:color w:val="000000"/>
                <w:szCs w:val="20"/>
                <w:highlight w:val="black"/>
              </w:rPr>
              <w:t>'''''''''''''''''''''</w:t>
            </w:r>
            <w:r w:rsidR="000D3815">
              <w:rPr>
                <w:szCs w:val="20"/>
                <w:vertAlign w:val="superscript"/>
              </w:rPr>
              <w:t>11</w:t>
            </w:r>
          </w:p>
        </w:tc>
        <w:tc>
          <w:tcPr>
            <w:tcW w:w="550" w:type="pct"/>
          </w:tcPr>
          <w:p w:rsidR="005166D2" w:rsidRPr="000C64EE" w:rsidRDefault="00272C12" w:rsidP="005166D2">
            <w:pPr>
              <w:pStyle w:val="TableText"/>
              <w:jc w:val="center"/>
              <w:rPr>
                <w:b/>
                <w:szCs w:val="20"/>
              </w:rPr>
            </w:pPr>
            <w:r>
              <w:rPr>
                <w:noProof/>
                <w:color w:val="000000"/>
                <w:szCs w:val="20"/>
                <w:highlight w:val="black"/>
              </w:rPr>
              <w:t>'''''''''''''''''</w:t>
            </w:r>
            <w:r w:rsidR="000D3815">
              <w:rPr>
                <w:szCs w:val="20"/>
                <w:vertAlign w:val="superscript"/>
              </w:rPr>
              <w:t>11</w:t>
            </w:r>
          </w:p>
        </w:tc>
        <w:tc>
          <w:tcPr>
            <w:tcW w:w="629" w:type="pct"/>
          </w:tcPr>
          <w:p w:rsidR="005166D2" w:rsidRPr="000D3815" w:rsidRDefault="00272C12" w:rsidP="005166D2">
            <w:pPr>
              <w:pStyle w:val="TableText"/>
              <w:jc w:val="center"/>
              <w:rPr>
                <w:b/>
                <w:szCs w:val="20"/>
                <w:vertAlign w:val="superscript"/>
              </w:rPr>
            </w:pPr>
            <w:r>
              <w:rPr>
                <w:noProof/>
                <w:color w:val="000000"/>
                <w:szCs w:val="20"/>
                <w:highlight w:val="black"/>
              </w:rPr>
              <w:t>'''''''''''''''''''''</w:t>
            </w:r>
            <w:r w:rsidR="000D3815">
              <w:rPr>
                <w:szCs w:val="20"/>
                <w:vertAlign w:val="superscript"/>
              </w:rPr>
              <w:t>20</w:t>
            </w:r>
          </w:p>
        </w:tc>
        <w:tc>
          <w:tcPr>
            <w:tcW w:w="629" w:type="pct"/>
          </w:tcPr>
          <w:p w:rsidR="005166D2" w:rsidRPr="000D3815" w:rsidRDefault="00272C12" w:rsidP="005166D2">
            <w:pPr>
              <w:pStyle w:val="TableText"/>
              <w:jc w:val="center"/>
              <w:rPr>
                <w:b/>
                <w:szCs w:val="20"/>
                <w:vertAlign w:val="superscript"/>
              </w:rPr>
            </w:pPr>
            <w:r>
              <w:rPr>
                <w:noProof/>
                <w:color w:val="000000"/>
                <w:szCs w:val="20"/>
                <w:highlight w:val="black"/>
              </w:rPr>
              <w:t>'''''''''''''''''''''</w:t>
            </w:r>
            <w:r w:rsidR="000D3815">
              <w:rPr>
                <w:szCs w:val="20"/>
                <w:vertAlign w:val="superscript"/>
              </w:rPr>
              <w:t>20</w:t>
            </w:r>
          </w:p>
        </w:tc>
        <w:tc>
          <w:tcPr>
            <w:tcW w:w="550" w:type="pct"/>
          </w:tcPr>
          <w:p w:rsidR="005166D2" w:rsidRPr="000D3815" w:rsidRDefault="00145A83" w:rsidP="005166D2">
            <w:pPr>
              <w:pStyle w:val="TableText"/>
              <w:jc w:val="center"/>
              <w:rPr>
                <w:b/>
                <w:szCs w:val="20"/>
                <w:vertAlign w:val="superscript"/>
              </w:rPr>
            </w:pPr>
            <w:r>
              <w:rPr>
                <w:noProof/>
                <w:color w:val="000000"/>
                <w:szCs w:val="20"/>
                <w:highlight w:val="black"/>
              </w:rPr>
              <w:t>'''''''''''</w:t>
            </w:r>
            <w:r w:rsidR="00272C12">
              <w:rPr>
                <w:noProof/>
                <w:color w:val="000000"/>
                <w:szCs w:val="20"/>
                <w:highlight w:val="black"/>
              </w:rPr>
              <w:t>''''''''</w:t>
            </w:r>
            <w:r w:rsidR="000D3815">
              <w:rPr>
                <w:szCs w:val="20"/>
                <w:vertAlign w:val="superscript"/>
              </w:rPr>
              <w:t>20</w:t>
            </w:r>
          </w:p>
        </w:tc>
        <w:tc>
          <w:tcPr>
            <w:tcW w:w="601" w:type="pct"/>
          </w:tcPr>
          <w:p w:rsidR="005166D2" w:rsidRPr="000D3815" w:rsidRDefault="00272C12" w:rsidP="005166D2">
            <w:pPr>
              <w:pStyle w:val="TableText"/>
              <w:jc w:val="center"/>
              <w:rPr>
                <w:b/>
                <w:szCs w:val="20"/>
                <w:vertAlign w:val="superscript"/>
              </w:rPr>
            </w:pPr>
            <w:r>
              <w:rPr>
                <w:noProof/>
                <w:color w:val="000000"/>
                <w:szCs w:val="20"/>
                <w:highlight w:val="black"/>
              </w:rPr>
              <w:t>''''''''''''''''''''</w:t>
            </w:r>
            <w:r w:rsidR="000D3815">
              <w:rPr>
                <w:szCs w:val="20"/>
                <w:vertAlign w:val="superscript"/>
              </w:rPr>
              <w:t>21</w:t>
            </w:r>
          </w:p>
        </w:tc>
      </w:tr>
      <w:tr w:rsidR="00145A83" w:rsidRPr="000C64EE" w:rsidTr="00145A83">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5166D2" w:rsidRPr="000C64EE" w:rsidRDefault="005166D2" w:rsidP="005166D2">
            <w:pPr>
              <w:pStyle w:val="TableText"/>
              <w:rPr>
                <w:szCs w:val="20"/>
              </w:rPr>
            </w:pPr>
            <w:r w:rsidRPr="000C64EE">
              <w:rPr>
                <w:szCs w:val="20"/>
              </w:rPr>
              <w:t xml:space="preserve">Net cost to PBS/RPBS (less </w:t>
            </w:r>
            <w:r w:rsidR="004A0255" w:rsidRPr="000C64EE">
              <w:rPr>
                <w:szCs w:val="20"/>
              </w:rPr>
              <w:t>co-payments</w:t>
            </w:r>
            <w:r w:rsidRPr="000C64EE">
              <w:rPr>
                <w:szCs w:val="20"/>
              </w:rPr>
              <w:t>)</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66D2" w:rsidRPr="00863505" w:rsidRDefault="005166D2" w:rsidP="005166D2">
            <w:pPr>
              <w:pStyle w:val="TableText"/>
              <w:jc w:val="center"/>
              <w:rPr>
                <w:b/>
                <w:szCs w:val="20"/>
                <w:vertAlign w:val="superscript"/>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22</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3</w:t>
            </w:r>
          </w:p>
        </w:tc>
        <w:tc>
          <w:tcPr>
            <w:tcW w:w="629"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4</w:t>
            </w:r>
          </w:p>
        </w:tc>
        <w:tc>
          <w:tcPr>
            <w:tcW w:w="629"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5</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6</w:t>
            </w:r>
          </w:p>
        </w:tc>
        <w:tc>
          <w:tcPr>
            <w:tcW w:w="601"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8</w:t>
            </w:r>
            <w:r w:rsidRPr="000C64EE">
              <w:rPr>
                <w:b/>
                <w:szCs w:val="20"/>
              </w:rPr>
              <w:t xml:space="preserve"> </w:t>
            </w:r>
          </w:p>
        </w:tc>
      </w:tr>
      <w:tr w:rsidR="00145A83" w:rsidRPr="000C64EE" w:rsidTr="00145A83">
        <w:tc>
          <w:tcPr>
            <w:tcW w:w="1412" w:type="pct"/>
            <w:tcBorders>
              <w:top w:val="single" w:sz="4" w:space="0" w:color="auto"/>
              <w:left w:val="single" w:sz="4" w:space="0" w:color="auto"/>
              <w:bottom w:val="single" w:sz="4" w:space="0" w:color="auto"/>
              <w:right w:val="single" w:sz="4" w:space="0" w:color="auto"/>
            </w:tcBorders>
            <w:shd w:val="clear" w:color="auto" w:fill="auto"/>
          </w:tcPr>
          <w:p w:rsidR="005166D2" w:rsidRPr="000C64EE" w:rsidRDefault="005166D2" w:rsidP="005166D2">
            <w:pPr>
              <w:pStyle w:val="TableText"/>
              <w:rPr>
                <w:szCs w:val="20"/>
              </w:rPr>
            </w:pPr>
            <w:r w:rsidRPr="000C64EE">
              <w:rPr>
                <w:szCs w:val="20"/>
              </w:rPr>
              <w:t>Net cost to MBS</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szCs w:val="20"/>
              </w:rPr>
              <w:t>$</w:t>
            </w:r>
            <w:r w:rsidR="00145A83">
              <w:rPr>
                <w:noProof/>
                <w:color w:val="000000"/>
                <w:szCs w:val="20"/>
                <w:highlight w:val="black"/>
              </w:rPr>
              <w:t>''''''''''''''</w:t>
            </w:r>
            <w:r w:rsidR="00272C12">
              <w:rPr>
                <w:noProof/>
                <w:color w:val="000000"/>
                <w:szCs w:val="20"/>
                <w:highlight w:val="black"/>
              </w:rPr>
              <w:t>'''''''</w:t>
            </w:r>
            <w:r w:rsidR="00863505" w:rsidRPr="00863505">
              <w:rPr>
                <w:szCs w:val="20"/>
                <w:vertAlign w:val="superscript"/>
              </w:rPr>
              <w:t>2</w:t>
            </w:r>
            <w:r w:rsidR="00863505">
              <w:rPr>
                <w:szCs w:val="20"/>
                <w:vertAlign w:val="superscript"/>
              </w:rPr>
              <w:t>9</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szCs w:val="20"/>
              </w:rPr>
              <w:t>$</w:t>
            </w:r>
            <w:r w:rsidR="00145A83">
              <w:rPr>
                <w:noProof/>
                <w:color w:val="000000"/>
                <w:szCs w:val="20"/>
                <w:highlight w:val="black"/>
              </w:rPr>
              <w:t>'''''''''''</w:t>
            </w:r>
            <w:r w:rsidR="00272C12">
              <w:rPr>
                <w:noProof/>
                <w:color w:val="000000"/>
                <w:szCs w:val="20"/>
                <w:highlight w:val="black"/>
              </w:rPr>
              <w:t>'''''''</w:t>
            </w:r>
            <w:r w:rsidR="00863505" w:rsidRPr="00863505">
              <w:rPr>
                <w:szCs w:val="20"/>
                <w:vertAlign w:val="superscript"/>
              </w:rPr>
              <w:t>2</w:t>
            </w:r>
            <w:r w:rsidR="00863505">
              <w:rPr>
                <w:szCs w:val="20"/>
                <w:vertAlign w:val="superscript"/>
              </w:rPr>
              <w:t>9</w:t>
            </w:r>
          </w:p>
        </w:tc>
        <w:tc>
          <w:tcPr>
            <w:tcW w:w="629"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szCs w:val="20"/>
              </w:rPr>
              <w:t>$</w:t>
            </w:r>
            <w:r w:rsidR="00272C12">
              <w:rPr>
                <w:noProof/>
                <w:color w:val="000000"/>
                <w:szCs w:val="20"/>
                <w:highlight w:val="black"/>
              </w:rPr>
              <w:t>''''''''''''''''''''''</w:t>
            </w:r>
            <w:r w:rsidR="00863505" w:rsidRPr="00863505">
              <w:rPr>
                <w:szCs w:val="20"/>
                <w:vertAlign w:val="superscript"/>
              </w:rPr>
              <w:t>2</w:t>
            </w:r>
            <w:r w:rsidR="00863505">
              <w:rPr>
                <w:szCs w:val="20"/>
                <w:vertAlign w:val="superscript"/>
              </w:rPr>
              <w:t>9</w:t>
            </w:r>
          </w:p>
        </w:tc>
        <w:tc>
          <w:tcPr>
            <w:tcW w:w="629"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szCs w:val="20"/>
              </w:rPr>
              <w:t>$</w:t>
            </w:r>
            <w:r w:rsidR="00272C12">
              <w:rPr>
                <w:noProof/>
                <w:color w:val="000000"/>
                <w:szCs w:val="20"/>
                <w:highlight w:val="black"/>
              </w:rPr>
              <w:t>''''''''''''''''''''''</w:t>
            </w:r>
            <w:r w:rsidR="00863505" w:rsidRPr="00863505">
              <w:rPr>
                <w:szCs w:val="20"/>
                <w:vertAlign w:val="superscript"/>
              </w:rPr>
              <w:t>2</w:t>
            </w:r>
            <w:r w:rsidR="00863505">
              <w:rPr>
                <w:szCs w:val="20"/>
                <w:vertAlign w:val="superscript"/>
              </w:rPr>
              <w:t>9</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szCs w:val="20"/>
              </w:rPr>
              <w:t>$</w:t>
            </w:r>
            <w:r w:rsidR="00145A83">
              <w:rPr>
                <w:noProof/>
                <w:color w:val="000000"/>
                <w:szCs w:val="20"/>
                <w:highlight w:val="black"/>
              </w:rPr>
              <w:t>''''''''''</w:t>
            </w:r>
            <w:r w:rsidR="00272C12">
              <w:rPr>
                <w:noProof/>
                <w:color w:val="000000"/>
                <w:szCs w:val="20"/>
                <w:highlight w:val="black"/>
              </w:rPr>
              <w:t>''''''''</w:t>
            </w:r>
            <w:r w:rsidR="00863505" w:rsidRPr="00863505">
              <w:rPr>
                <w:szCs w:val="20"/>
                <w:vertAlign w:val="superscript"/>
              </w:rPr>
              <w:t>2</w:t>
            </w:r>
            <w:r w:rsidR="00863505">
              <w:rPr>
                <w:szCs w:val="20"/>
                <w:vertAlign w:val="superscript"/>
              </w:rPr>
              <w:t>9</w:t>
            </w:r>
          </w:p>
        </w:tc>
        <w:tc>
          <w:tcPr>
            <w:tcW w:w="601" w:type="pct"/>
            <w:tcBorders>
              <w:top w:val="single" w:sz="4" w:space="0" w:color="auto"/>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szCs w:val="20"/>
              </w:rPr>
              <w:t>$</w:t>
            </w:r>
            <w:r w:rsidR="00145A83">
              <w:rPr>
                <w:noProof/>
                <w:color w:val="000000"/>
                <w:szCs w:val="20"/>
                <w:highlight w:val="black"/>
              </w:rPr>
              <w:t>'''''''''''''''</w:t>
            </w:r>
            <w:r w:rsidR="00272C12">
              <w:rPr>
                <w:noProof/>
                <w:color w:val="000000"/>
                <w:szCs w:val="20"/>
                <w:highlight w:val="black"/>
              </w:rPr>
              <w:t>''''</w:t>
            </w:r>
            <w:r w:rsidR="00863505" w:rsidRPr="00863505">
              <w:rPr>
                <w:szCs w:val="20"/>
                <w:vertAlign w:val="superscript"/>
              </w:rPr>
              <w:t>2</w:t>
            </w:r>
            <w:r w:rsidR="00863505">
              <w:rPr>
                <w:szCs w:val="20"/>
                <w:vertAlign w:val="superscript"/>
              </w:rPr>
              <w:t>9</w:t>
            </w:r>
          </w:p>
        </w:tc>
      </w:tr>
      <w:tr w:rsidR="00145A83" w:rsidRPr="000C64EE" w:rsidTr="00145A83">
        <w:tc>
          <w:tcPr>
            <w:tcW w:w="1412" w:type="pct"/>
            <w:tcBorders>
              <w:top w:val="single" w:sz="4" w:space="0" w:color="auto"/>
              <w:left w:val="single" w:sz="4" w:space="0" w:color="auto"/>
              <w:bottom w:val="single" w:sz="4" w:space="0" w:color="auto"/>
              <w:right w:val="single" w:sz="4" w:space="0" w:color="auto"/>
            </w:tcBorders>
            <w:shd w:val="clear" w:color="auto" w:fill="auto"/>
          </w:tcPr>
          <w:p w:rsidR="005166D2" w:rsidRPr="000C64EE" w:rsidRDefault="005166D2" w:rsidP="005166D2">
            <w:pPr>
              <w:pStyle w:val="TableText"/>
              <w:rPr>
                <w:szCs w:val="20"/>
              </w:rPr>
            </w:pPr>
            <w:r w:rsidRPr="000C64EE">
              <w:rPr>
                <w:szCs w:val="20"/>
              </w:rPr>
              <w:t>Net cost to Government</w:t>
            </w:r>
          </w:p>
        </w:tc>
        <w:tc>
          <w:tcPr>
            <w:tcW w:w="629" w:type="pct"/>
            <w:tcBorders>
              <w:top w:val="nil"/>
              <w:left w:val="single" w:sz="4" w:space="0" w:color="auto"/>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3</w:t>
            </w:r>
          </w:p>
        </w:tc>
        <w:tc>
          <w:tcPr>
            <w:tcW w:w="550" w:type="pct"/>
            <w:tcBorders>
              <w:top w:val="nil"/>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3</w:t>
            </w:r>
          </w:p>
        </w:tc>
        <w:tc>
          <w:tcPr>
            <w:tcW w:w="629" w:type="pct"/>
            <w:tcBorders>
              <w:top w:val="nil"/>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4</w:t>
            </w:r>
          </w:p>
        </w:tc>
        <w:tc>
          <w:tcPr>
            <w:tcW w:w="629" w:type="pct"/>
            <w:tcBorders>
              <w:top w:val="nil"/>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5</w:t>
            </w:r>
          </w:p>
        </w:tc>
        <w:tc>
          <w:tcPr>
            <w:tcW w:w="550" w:type="pct"/>
            <w:tcBorders>
              <w:top w:val="nil"/>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7</w:t>
            </w:r>
          </w:p>
        </w:tc>
        <w:tc>
          <w:tcPr>
            <w:tcW w:w="601" w:type="pct"/>
            <w:tcBorders>
              <w:top w:val="nil"/>
              <w:left w:val="nil"/>
              <w:bottom w:val="single" w:sz="4" w:space="0" w:color="auto"/>
              <w:right w:val="single" w:sz="4" w:space="0" w:color="auto"/>
            </w:tcBorders>
            <w:shd w:val="clear" w:color="auto" w:fill="FFFFFF" w:themeFill="background1"/>
            <w:vAlign w:val="center"/>
          </w:tcPr>
          <w:p w:rsidR="005166D2" w:rsidRPr="000C64EE" w:rsidRDefault="005166D2" w:rsidP="005166D2">
            <w:pPr>
              <w:pStyle w:val="TableText"/>
              <w:jc w:val="center"/>
              <w:rPr>
                <w:b/>
                <w:szCs w:val="20"/>
              </w:rPr>
            </w:pPr>
            <w:r w:rsidRPr="000C64EE">
              <w:rPr>
                <w:b/>
                <w:szCs w:val="20"/>
              </w:rPr>
              <w:t>$</w:t>
            </w:r>
            <w:r w:rsidR="00145A83">
              <w:rPr>
                <w:b/>
                <w:noProof/>
                <w:color w:val="000000"/>
                <w:szCs w:val="20"/>
                <w:highlight w:val="black"/>
              </w:rPr>
              <w:t>''''''</w:t>
            </w:r>
            <w:r w:rsidR="00272C12">
              <w:rPr>
                <w:b/>
                <w:noProof/>
                <w:color w:val="000000"/>
                <w:szCs w:val="20"/>
                <w:highlight w:val="black"/>
              </w:rPr>
              <w:t>''''''''''</w:t>
            </w:r>
            <w:r w:rsidR="00863505" w:rsidRPr="00863505">
              <w:rPr>
                <w:szCs w:val="20"/>
                <w:vertAlign w:val="superscript"/>
              </w:rPr>
              <w:t>2</w:t>
            </w:r>
            <w:r w:rsidR="00863505">
              <w:rPr>
                <w:szCs w:val="20"/>
                <w:vertAlign w:val="superscript"/>
              </w:rPr>
              <w:t>8</w:t>
            </w:r>
          </w:p>
        </w:tc>
      </w:tr>
    </w:tbl>
    <w:p w:rsidR="00CB28B8" w:rsidRPr="00145A83" w:rsidRDefault="00CB28B8" w:rsidP="00CB28B8">
      <w:pPr>
        <w:pStyle w:val="TableFigureFooter"/>
        <w:rPr>
          <w:szCs w:val="18"/>
        </w:rPr>
      </w:pPr>
      <w:r w:rsidRPr="00145A83">
        <w:rPr>
          <w:szCs w:val="18"/>
        </w:rPr>
        <w:t>Source: Table 4.2.2; Table 4.2.3; Table 4.2.4; table 4.2.5; Table 4.2.6; Table 4.2.7; Table 4.5.5 of the submission</w:t>
      </w:r>
    </w:p>
    <w:p w:rsidR="00CB28B8" w:rsidRPr="00145A83" w:rsidRDefault="00CB28B8" w:rsidP="00CB28B8">
      <w:pPr>
        <w:pStyle w:val="TableFigureFooter"/>
        <w:rPr>
          <w:szCs w:val="18"/>
        </w:rPr>
      </w:pPr>
      <w:r w:rsidRPr="00145A83">
        <w:rPr>
          <w:szCs w:val="18"/>
        </w:rPr>
        <w:t>Abbreviations: EM, episodic migraine</w:t>
      </w:r>
    </w:p>
    <w:p w:rsidR="00CB28B8" w:rsidRPr="00145A83" w:rsidRDefault="00CB28B8" w:rsidP="000C64EE">
      <w:pPr>
        <w:pStyle w:val="TableFigureFooter"/>
        <w:rPr>
          <w:szCs w:val="18"/>
        </w:rPr>
      </w:pPr>
      <w:r w:rsidRPr="00145A83">
        <w:rPr>
          <w:szCs w:val="18"/>
        </w:rPr>
        <w:t>Note: Calculations assume 12.17 scripts/patient/year. Initial treatment (first 3 months) includes 4 scripts, with the remainder of Year 1 including 9.17 scripts per patient.</w:t>
      </w:r>
    </w:p>
    <w:p w:rsidR="00DC23B0" w:rsidRPr="00145A83" w:rsidRDefault="00DC23B0" w:rsidP="000C64EE">
      <w:pPr>
        <w:pStyle w:val="TableFigureFooter"/>
        <w:rPr>
          <w:i/>
          <w:szCs w:val="18"/>
        </w:rPr>
      </w:pPr>
      <w:r w:rsidRPr="00145A83">
        <w:rPr>
          <w:i/>
          <w:szCs w:val="18"/>
        </w:rPr>
        <w:t>The redacted values correspond to the following ranges:</w:t>
      </w:r>
    </w:p>
    <w:p w:rsidR="00DC23B0" w:rsidRPr="00145A83" w:rsidRDefault="00DC23B0" w:rsidP="000C64EE">
      <w:pPr>
        <w:pStyle w:val="TableFigureFooter"/>
        <w:rPr>
          <w:i/>
          <w:szCs w:val="18"/>
        </w:rPr>
      </w:pPr>
      <w:r w:rsidRPr="00145A83">
        <w:rPr>
          <w:i/>
          <w:szCs w:val="18"/>
          <w:vertAlign w:val="superscript"/>
        </w:rPr>
        <w:t>1</w:t>
      </w:r>
      <w:r w:rsidRPr="00145A83">
        <w:rPr>
          <w:i/>
          <w:szCs w:val="18"/>
        </w:rPr>
        <w:t xml:space="preserve"> &gt; 10,000,000</w:t>
      </w:r>
    </w:p>
    <w:p w:rsidR="00DC23B0" w:rsidRPr="00145A83" w:rsidRDefault="00DC23B0" w:rsidP="000C64EE">
      <w:pPr>
        <w:pStyle w:val="TableFigureFooter"/>
        <w:rPr>
          <w:i/>
          <w:szCs w:val="18"/>
        </w:rPr>
      </w:pPr>
      <w:r w:rsidRPr="00145A83">
        <w:rPr>
          <w:i/>
          <w:szCs w:val="18"/>
          <w:vertAlign w:val="superscript"/>
        </w:rPr>
        <w:t>2</w:t>
      </w:r>
      <w:r w:rsidRPr="00145A83">
        <w:rPr>
          <w:i/>
          <w:szCs w:val="18"/>
        </w:rPr>
        <w:t xml:space="preserve"> 2,000,000 to &lt; 3,000,000</w:t>
      </w:r>
    </w:p>
    <w:p w:rsidR="00DC23B0" w:rsidRPr="00145A83" w:rsidRDefault="00DC23B0" w:rsidP="000C64EE">
      <w:pPr>
        <w:pStyle w:val="TableFigureFooter"/>
        <w:rPr>
          <w:i/>
          <w:szCs w:val="18"/>
        </w:rPr>
      </w:pPr>
      <w:r w:rsidRPr="00145A83">
        <w:rPr>
          <w:i/>
          <w:szCs w:val="18"/>
          <w:vertAlign w:val="superscript"/>
        </w:rPr>
        <w:t>3</w:t>
      </w:r>
      <w:r w:rsidR="00A74ADD" w:rsidRPr="00145A83">
        <w:rPr>
          <w:i/>
          <w:szCs w:val="18"/>
        </w:rPr>
        <w:t xml:space="preserve"> 3,000,000 to &lt; 4,000,000</w:t>
      </w:r>
    </w:p>
    <w:p w:rsidR="00A74ADD" w:rsidRPr="00145A83" w:rsidRDefault="00A74ADD" w:rsidP="000C64EE">
      <w:pPr>
        <w:pStyle w:val="TableFigureFooter"/>
        <w:rPr>
          <w:i/>
          <w:szCs w:val="18"/>
        </w:rPr>
      </w:pPr>
      <w:r w:rsidRPr="00145A83">
        <w:rPr>
          <w:i/>
          <w:szCs w:val="18"/>
          <w:vertAlign w:val="superscript"/>
        </w:rPr>
        <w:t>4</w:t>
      </w:r>
      <w:r w:rsidRPr="00145A83">
        <w:rPr>
          <w:i/>
          <w:szCs w:val="18"/>
        </w:rPr>
        <w:t xml:space="preserve"> 1,000,000 to &lt; 2,000,000</w:t>
      </w:r>
    </w:p>
    <w:p w:rsidR="00A74ADD" w:rsidRPr="00145A83" w:rsidRDefault="00A74ADD" w:rsidP="000C64EE">
      <w:pPr>
        <w:pStyle w:val="TableFigureFooter"/>
        <w:rPr>
          <w:i/>
          <w:szCs w:val="18"/>
        </w:rPr>
      </w:pPr>
      <w:r w:rsidRPr="00145A83">
        <w:rPr>
          <w:i/>
          <w:szCs w:val="18"/>
          <w:vertAlign w:val="superscript"/>
        </w:rPr>
        <w:t>5</w:t>
      </w:r>
      <w:r w:rsidRPr="00145A83">
        <w:rPr>
          <w:i/>
          <w:szCs w:val="18"/>
        </w:rPr>
        <w:t xml:space="preserve"> 500,000 to &lt; 600,000</w:t>
      </w:r>
      <w:bookmarkStart w:id="40" w:name="_GoBack"/>
      <w:bookmarkEnd w:id="40"/>
    </w:p>
    <w:p w:rsidR="00A74ADD" w:rsidRPr="00145A83" w:rsidRDefault="00935D79" w:rsidP="000C64EE">
      <w:pPr>
        <w:pStyle w:val="TableFigureFooter"/>
        <w:rPr>
          <w:i/>
          <w:szCs w:val="18"/>
        </w:rPr>
      </w:pPr>
      <w:r w:rsidRPr="00145A83">
        <w:rPr>
          <w:i/>
          <w:szCs w:val="18"/>
          <w:vertAlign w:val="superscript"/>
        </w:rPr>
        <w:t>6</w:t>
      </w:r>
      <w:r w:rsidRPr="00145A83">
        <w:rPr>
          <w:i/>
          <w:szCs w:val="18"/>
        </w:rPr>
        <w:t xml:space="preserve"> 600,000 to &lt; 700,000</w:t>
      </w:r>
    </w:p>
    <w:p w:rsidR="00935D79" w:rsidRPr="00145A83" w:rsidRDefault="00935D79" w:rsidP="000C64EE">
      <w:pPr>
        <w:pStyle w:val="TableFigureFooter"/>
        <w:rPr>
          <w:i/>
          <w:szCs w:val="18"/>
        </w:rPr>
      </w:pPr>
      <w:r w:rsidRPr="00145A83">
        <w:rPr>
          <w:i/>
          <w:szCs w:val="18"/>
          <w:vertAlign w:val="superscript"/>
        </w:rPr>
        <w:t>7</w:t>
      </w:r>
      <w:r w:rsidRPr="00145A83">
        <w:rPr>
          <w:i/>
          <w:szCs w:val="18"/>
        </w:rPr>
        <w:t xml:space="preserve"> 60,000 to &lt; 70,000</w:t>
      </w:r>
    </w:p>
    <w:p w:rsidR="00935D79" w:rsidRPr="00145A83" w:rsidRDefault="00935D79" w:rsidP="000C64EE">
      <w:pPr>
        <w:pStyle w:val="TableFigureFooter"/>
        <w:rPr>
          <w:i/>
          <w:szCs w:val="18"/>
        </w:rPr>
      </w:pPr>
      <w:r w:rsidRPr="00145A83">
        <w:rPr>
          <w:i/>
          <w:szCs w:val="18"/>
          <w:vertAlign w:val="superscript"/>
        </w:rPr>
        <w:t>8</w:t>
      </w:r>
      <w:r w:rsidRPr="00145A83">
        <w:rPr>
          <w:i/>
          <w:szCs w:val="18"/>
        </w:rPr>
        <w:t xml:space="preserve"> 70,000 to &lt; 80,000</w:t>
      </w:r>
    </w:p>
    <w:p w:rsidR="00935D79" w:rsidRPr="00145A83" w:rsidRDefault="00935D79" w:rsidP="000C64EE">
      <w:pPr>
        <w:pStyle w:val="TableFigureFooter"/>
        <w:rPr>
          <w:i/>
          <w:szCs w:val="18"/>
        </w:rPr>
      </w:pPr>
      <w:r w:rsidRPr="00145A83">
        <w:rPr>
          <w:i/>
          <w:szCs w:val="18"/>
          <w:vertAlign w:val="superscript"/>
        </w:rPr>
        <w:t>9</w:t>
      </w:r>
      <w:r w:rsidRPr="00145A83">
        <w:rPr>
          <w:i/>
          <w:szCs w:val="18"/>
        </w:rPr>
        <w:t xml:space="preserve"> 80,000 to &lt; 90,000</w:t>
      </w:r>
    </w:p>
    <w:p w:rsidR="00935D79" w:rsidRPr="00145A83" w:rsidRDefault="00935D79" w:rsidP="000C64EE">
      <w:pPr>
        <w:pStyle w:val="TableFigureFooter"/>
        <w:rPr>
          <w:i/>
          <w:szCs w:val="18"/>
        </w:rPr>
      </w:pPr>
      <w:r w:rsidRPr="00145A83">
        <w:rPr>
          <w:i/>
          <w:szCs w:val="18"/>
          <w:vertAlign w:val="superscript"/>
        </w:rPr>
        <w:t>10</w:t>
      </w:r>
      <w:r w:rsidRPr="00145A83">
        <w:rPr>
          <w:i/>
          <w:szCs w:val="18"/>
        </w:rPr>
        <w:t xml:space="preserve"> 90,000 to &lt; 100,000</w:t>
      </w:r>
    </w:p>
    <w:p w:rsidR="00935D79" w:rsidRPr="00145A83" w:rsidRDefault="00935D79" w:rsidP="000C64EE">
      <w:pPr>
        <w:pStyle w:val="TableFigureFooter"/>
        <w:rPr>
          <w:i/>
          <w:szCs w:val="18"/>
        </w:rPr>
      </w:pPr>
      <w:r w:rsidRPr="00145A83">
        <w:rPr>
          <w:i/>
          <w:szCs w:val="18"/>
          <w:vertAlign w:val="superscript"/>
        </w:rPr>
        <w:t>11</w:t>
      </w:r>
      <w:r w:rsidRPr="00145A83">
        <w:rPr>
          <w:i/>
          <w:szCs w:val="18"/>
        </w:rPr>
        <w:t xml:space="preserve"> 100,000 to &lt; 200,000</w:t>
      </w:r>
    </w:p>
    <w:p w:rsidR="00935D79" w:rsidRPr="00145A83" w:rsidRDefault="00935D79" w:rsidP="000C64EE">
      <w:pPr>
        <w:pStyle w:val="TableFigureFooter"/>
        <w:rPr>
          <w:i/>
          <w:szCs w:val="18"/>
        </w:rPr>
      </w:pPr>
      <w:r w:rsidRPr="00145A83">
        <w:rPr>
          <w:i/>
          <w:szCs w:val="18"/>
          <w:vertAlign w:val="superscript"/>
        </w:rPr>
        <w:t>12</w:t>
      </w:r>
      <w:r w:rsidRPr="00145A83">
        <w:rPr>
          <w:i/>
          <w:szCs w:val="18"/>
        </w:rPr>
        <w:t xml:space="preserve"> 10,000 to &lt; 20,000</w:t>
      </w:r>
    </w:p>
    <w:p w:rsidR="00935D79" w:rsidRPr="00145A83" w:rsidRDefault="00935D79" w:rsidP="000C64EE">
      <w:pPr>
        <w:pStyle w:val="TableFigureFooter"/>
        <w:rPr>
          <w:i/>
          <w:szCs w:val="18"/>
        </w:rPr>
      </w:pPr>
      <w:r w:rsidRPr="00145A83">
        <w:rPr>
          <w:i/>
          <w:szCs w:val="18"/>
          <w:vertAlign w:val="superscript"/>
        </w:rPr>
        <w:t>13</w:t>
      </w:r>
      <w:r w:rsidRPr="00145A83">
        <w:rPr>
          <w:i/>
          <w:szCs w:val="18"/>
        </w:rPr>
        <w:t xml:space="preserve"> 20,000 to &lt; 30,000</w:t>
      </w:r>
    </w:p>
    <w:p w:rsidR="00935D79" w:rsidRPr="00145A83" w:rsidRDefault="00935D79" w:rsidP="000C64EE">
      <w:pPr>
        <w:pStyle w:val="TableFigureFooter"/>
        <w:rPr>
          <w:i/>
          <w:szCs w:val="18"/>
        </w:rPr>
      </w:pPr>
      <w:r w:rsidRPr="00145A83">
        <w:rPr>
          <w:i/>
          <w:szCs w:val="18"/>
          <w:vertAlign w:val="superscript"/>
        </w:rPr>
        <w:t>14</w:t>
      </w:r>
      <w:r w:rsidRPr="00145A83">
        <w:rPr>
          <w:i/>
          <w:szCs w:val="18"/>
        </w:rPr>
        <w:t xml:space="preserve"> </w:t>
      </w:r>
      <w:r w:rsidR="00657EF3" w:rsidRPr="00145A83">
        <w:rPr>
          <w:i/>
          <w:szCs w:val="18"/>
        </w:rPr>
        <w:t>30,000 to &lt; 40,000</w:t>
      </w:r>
    </w:p>
    <w:p w:rsidR="00A74ADD" w:rsidRPr="00145A83" w:rsidRDefault="00657EF3" w:rsidP="000C64EE">
      <w:pPr>
        <w:pStyle w:val="TableFigureFooter"/>
        <w:rPr>
          <w:i/>
          <w:szCs w:val="18"/>
        </w:rPr>
      </w:pPr>
      <w:r w:rsidRPr="00145A83">
        <w:rPr>
          <w:i/>
          <w:szCs w:val="18"/>
          <w:vertAlign w:val="superscript"/>
        </w:rPr>
        <w:t>15</w:t>
      </w:r>
      <w:r w:rsidRPr="00145A83">
        <w:rPr>
          <w:i/>
          <w:szCs w:val="18"/>
        </w:rPr>
        <w:t xml:space="preserve"> 40,000 to &lt; 50,000</w:t>
      </w:r>
    </w:p>
    <w:p w:rsidR="00657EF3" w:rsidRPr="00145A83" w:rsidRDefault="00657EF3" w:rsidP="000C64EE">
      <w:pPr>
        <w:pStyle w:val="TableFigureFooter"/>
        <w:rPr>
          <w:i/>
          <w:szCs w:val="18"/>
        </w:rPr>
      </w:pPr>
      <w:r w:rsidRPr="00145A83">
        <w:rPr>
          <w:i/>
          <w:szCs w:val="18"/>
          <w:vertAlign w:val="superscript"/>
        </w:rPr>
        <w:t>16</w:t>
      </w:r>
      <w:r w:rsidRPr="00145A83">
        <w:rPr>
          <w:i/>
          <w:szCs w:val="18"/>
        </w:rPr>
        <w:t xml:space="preserve"> 50,000 to &lt; 60,000</w:t>
      </w:r>
    </w:p>
    <w:p w:rsidR="00657EF3" w:rsidRPr="00145A83" w:rsidRDefault="00883F37" w:rsidP="000C64EE">
      <w:pPr>
        <w:pStyle w:val="TableFigureFooter"/>
        <w:rPr>
          <w:i/>
          <w:szCs w:val="18"/>
        </w:rPr>
      </w:pPr>
      <w:r w:rsidRPr="00145A83">
        <w:rPr>
          <w:i/>
          <w:szCs w:val="18"/>
          <w:vertAlign w:val="superscript"/>
        </w:rPr>
        <w:t>17</w:t>
      </w:r>
      <w:r w:rsidRPr="00145A83">
        <w:rPr>
          <w:i/>
          <w:szCs w:val="18"/>
        </w:rPr>
        <w:t xml:space="preserve"> 5,000 to &lt; 10,000</w:t>
      </w:r>
    </w:p>
    <w:p w:rsidR="00883F37" w:rsidRPr="00145A83" w:rsidRDefault="00883F37" w:rsidP="000C64EE">
      <w:pPr>
        <w:pStyle w:val="TableFigureFooter"/>
        <w:rPr>
          <w:i/>
          <w:szCs w:val="18"/>
        </w:rPr>
      </w:pPr>
      <w:r w:rsidRPr="00145A83">
        <w:rPr>
          <w:i/>
          <w:szCs w:val="18"/>
          <w:vertAlign w:val="superscript"/>
        </w:rPr>
        <w:t>18</w:t>
      </w:r>
      <w:r w:rsidRPr="00145A83">
        <w:rPr>
          <w:i/>
          <w:szCs w:val="18"/>
        </w:rPr>
        <w:t xml:space="preserve"> 500 to &lt; 5,000</w:t>
      </w:r>
    </w:p>
    <w:p w:rsidR="00883F37" w:rsidRPr="00145A83" w:rsidRDefault="00883F37" w:rsidP="000C64EE">
      <w:pPr>
        <w:pStyle w:val="TableFigureFooter"/>
        <w:rPr>
          <w:i/>
          <w:szCs w:val="18"/>
        </w:rPr>
      </w:pPr>
      <w:r w:rsidRPr="00145A83">
        <w:rPr>
          <w:i/>
          <w:szCs w:val="18"/>
          <w:vertAlign w:val="superscript"/>
        </w:rPr>
        <w:t>19</w:t>
      </w:r>
      <w:r w:rsidRPr="00145A83">
        <w:rPr>
          <w:i/>
          <w:szCs w:val="18"/>
        </w:rPr>
        <w:t xml:space="preserve"> &lt;500</w:t>
      </w:r>
    </w:p>
    <w:p w:rsidR="00883F37" w:rsidRPr="00145A83" w:rsidRDefault="00883F37" w:rsidP="000C64EE">
      <w:pPr>
        <w:pStyle w:val="TableFigureFooter"/>
        <w:rPr>
          <w:i/>
          <w:szCs w:val="18"/>
        </w:rPr>
      </w:pPr>
      <w:r w:rsidRPr="00145A83">
        <w:rPr>
          <w:i/>
          <w:szCs w:val="18"/>
          <w:vertAlign w:val="superscript"/>
        </w:rPr>
        <w:t>20</w:t>
      </w:r>
      <w:r w:rsidRPr="00145A83">
        <w:rPr>
          <w:i/>
          <w:szCs w:val="18"/>
        </w:rPr>
        <w:t xml:space="preserve"> </w:t>
      </w:r>
      <w:r w:rsidR="00AF78D1" w:rsidRPr="00145A83">
        <w:rPr>
          <w:i/>
          <w:szCs w:val="18"/>
        </w:rPr>
        <w:t xml:space="preserve">200,000 to &lt; 300,000 </w:t>
      </w:r>
    </w:p>
    <w:p w:rsidR="00AF78D1" w:rsidRPr="00145A83" w:rsidRDefault="00AF78D1" w:rsidP="000C64EE">
      <w:pPr>
        <w:pStyle w:val="TableFigureFooter"/>
        <w:rPr>
          <w:i/>
          <w:szCs w:val="18"/>
        </w:rPr>
      </w:pPr>
      <w:r w:rsidRPr="00145A83">
        <w:rPr>
          <w:i/>
          <w:szCs w:val="18"/>
          <w:vertAlign w:val="superscript"/>
        </w:rPr>
        <w:lastRenderedPageBreak/>
        <w:t>21</w:t>
      </w:r>
      <w:r w:rsidRPr="00145A83">
        <w:rPr>
          <w:i/>
          <w:szCs w:val="18"/>
        </w:rPr>
        <w:t xml:space="preserve"> 300,000 to &lt; 400,000</w:t>
      </w:r>
    </w:p>
    <w:p w:rsidR="00AF78D1" w:rsidRPr="00145A83" w:rsidRDefault="00AF78D1" w:rsidP="000C64EE">
      <w:pPr>
        <w:pStyle w:val="TableFigureFooter"/>
        <w:rPr>
          <w:i/>
          <w:szCs w:val="18"/>
        </w:rPr>
      </w:pPr>
      <w:r w:rsidRPr="00145A83">
        <w:rPr>
          <w:i/>
          <w:szCs w:val="18"/>
          <w:vertAlign w:val="superscript"/>
        </w:rPr>
        <w:t>22</w:t>
      </w:r>
      <w:r w:rsidRPr="00145A83">
        <w:rPr>
          <w:i/>
          <w:szCs w:val="18"/>
        </w:rPr>
        <w:t xml:space="preserve"> </w:t>
      </w:r>
      <w:r w:rsidR="00BA7623" w:rsidRPr="00145A83">
        <w:rPr>
          <w:i/>
          <w:szCs w:val="18"/>
        </w:rPr>
        <w:t>$40 million to &lt; $50 million</w:t>
      </w:r>
    </w:p>
    <w:p w:rsidR="00AF78D1" w:rsidRPr="00145A83" w:rsidRDefault="00AF78D1" w:rsidP="000C64EE">
      <w:pPr>
        <w:pStyle w:val="TableFigureFooter"/>
        <w:rPr>
          <w:i/>
          <w:szCs w:val="18"/>
        </w:rPr>
      </w:pPr>
      <w:r w:rsidRPr="00145A83">
        <w:rPr>
          <w:i/>
          <w:szCs w:val="18"/>
          <w:vertAlign w:val="superscript"/>
        </w:rPr>
        <w:t>23</w:t>
      </w:r>
      <w:r w:rsidRPr="00145A83">
        <w:rPr>
          <w:i/>
          <w:szCs w:val="18"/>
        </w:rPr>
        <w:t xml:space="preserve"> </w:t>
      </w:r>
      <w:r w:rsidR="00BA7623" w:rsidRPr="00145A83">
        <w:rPr>
          <w:i/>
          <w:szCs w:val="18"/>
        </w:rPr>
        <w:t>$50 million to &lt; $60 million</w:t>
      </w:r>
    </w:p>
    <w:p w:rsidR="00AF78D1" w:rsidRDefault="00AF78D1" w:rsidP="000C64EE">
      <w:pPr>
        <w:pStyle w:val="TableFigureFooter"/>
        <w:rPr>
          <w:i/>
        </w:rPr>
      </w:pPr>
      <w:r>
        <w:rPr>
          <w:i/>
          <w:vertAlign w:val="superscript"/>
        </w:rPr>
        <w:t>24</w:t>
      </w:r>
      <w:r w:rsidR="00BA7623">
        <w:rPr>
          <w:i/>
        </w:rPr>
        <w:t xml:space="preserve"> $60 million to &lt; $70 million</w:t>
      </w:r>
    </w:p>
    <w:p w:rsidR="00AF78D1" w:rsidRDefault="00AF78D1" w:rsidP="000C64EE">
      <w:pPr>
        <w:pStyle w:val="TableFigureFooter"/>
        <w:rPr>
          <w:i/>
        </w:rPr>
      </w:pPr>
      <w:r>
        <w:rPr>
          <w:i/>
          <w:vertAlign w:val="superscript"/>
        </w:rPr>
        <w:t>25</w:t>
      </w:r>
      <w:r>
        <w:rPr>
          <w:i/>
        </w:rPr>
        <w:t xml:space="preserve"> $</w:t>
      </w:r>
      <w:r w:rsidR="00BA7623">
        <w:rPr>
          <w:i/>
        </w:rPr>
        <w:t>70 million</w:t>
      </w:r>
      <w:r w:rsidR="00D1388D">
        <w:rPr>
          <w:i/>
        </w:rPr>
        <w:t xml:space="preserve"> to &lt; $</w:t>
      </w:r>
      <w:r w:rsidR="00BA7623">
        <w:rPr>
          <w:i/>
        </w:rPr>
        <w:t>80 million</w:t>
      </w:r>
    </w:p>
    <w:p w:rsidR="00D1388D" w:rsidRDefault="00D1388D" w:rsidP="000C64EE">
      <w:pPr>
        <w:pStyle w:val="TableFigureFooter"/>
        <w:rPr>
          <w:i/>
        </w:rPr>
      </w:pPr>
      <w:r>
        <w:rPr>
          <w:i/>
          <w:vertAlign w:val="superscript"/>
        </w:rPr>
        <w:t>26</w:t>
      </w:r>
      <w:r>
        <w:rPr>
          <w:i/>
        </w:rPr>
        <w:t xml:space="preserve"> $</w:t>
      </w:r>
      <w:r w:rsidR="00BA7623">
        <w:rPr>
          <w:i/>
        </w:rPr>
        <w:t>80 million</w:t>
      </w:r>
      <w:r>
        <w:rPr>
          <w:i/>
        </w:rPr>
        <w:t xml:space="preserve"> </w:t>
      </w:r>
      <w:r w:rsidR="00BA7623">
        <w:rPr>
          <w:i/>
        </w:rPr>
        <w:t>to &lt; $90 million</w:t>
      </w:r>
    </w:p>
    <w:p w:rsidR="00BA7623" w:rsidRDefault="00BA7623" w:rsidP="000C64EE">
      <w:pPr>
        <w:pStyle w:val="TableFigureFooter"/>
        <w:rPr>
          <w:i/>
        </w:rPr>
      </w:pPr>
      <w:r>
        <w:rPr>
          <w:i/>
          <w:vertAlign w:val="superscript"/>
        </w:rPr>
        <w:t>27</w:t>
      </w:r>
      <w:r>
        <w:rPr>
          <w:i/>
        </w:rPr>
        <w:t xml:space="preserve"> $90 million to &lt; $100 million</w:t>
      </w:r>
    </w:p>
    <w:p w:rsidR="00BA7623" w:rsidRDefault="00BA7623" w:rsidP="000C64EE">
      <w:pPr>
        <w:pStyle w:val="TableFigureFooter"/>
        <w:rPr>
          <w:i/>
        </w:rPr>
      </w:pPr>
      <w:r>
        <w:rPr>
          <w:i/>
          <w:vertAlign w:val="superscript"/>
        </w:rPr>
        <w:t>28</w:t>
      </w:r>
      <w:r>
        <w:rPr>
          <w:i/>
        </w:rPr>
        <w:t xml:space="preserve"> $100 million to &lt; $200 million</w:t>
      </w:r>
    </w:p>
    <w:p w:rsidR="00CC46EE" w:rsidRPr="00CC46EE" w:rsidRDefault="00CC46EE" w:rsidP="000C64EE">
      <w:pPr>
        <w:pStyle w:val="TableFigureFooter"/>
        <w:rPr>
          <w:i/>
        </w:rPr>
      </w:pPr>
      <w:r>
        <w:rPr>
          <w:i/>
          <w:vertAlign w:val="superscript"/>
        </w:rPr>
        <w:t>29</w:t>
      </w:r>
      <w:r>
        <w:rPr>
          <w:i/>
        </w:rPr>
        <w:t xml:space="preserve"> $0 to &lt; $10 million</w:t>
      </w:r>
    </w:p>
    <w:p w:rsidR="00BA7623" w:rsidRPr="00D1388D" w:rsidRDefault="00BA7623" w:rsidP="000C64EE">
      <w:pPr>
        <w:pStyle w:val="TableFigureFooter"/>
        <w:rPr>
          <w:i/>
        </w:rPr>
      </w:pPr>
    </w:p>
    <w:p w:rsidR="00CB28B8" w:rsidRPr="00D77963" w:rsidRDefault="00CB28B8" w:rsidP="00CB28B8">
      <w:pPr>
        <w:widowControl w:val="0"/>
        <w:numPr>
          <w:ilvl w:val="1"/>
          <w:numId w:val="1"/>
        </w:numPr>
        <w:spacing w:after="160"/>
        <w:rPr>
          <w:i/>
          <w:snapToGrid w:val="0"/>
          <w:szCs w:val="22"/>
          <w:lang w:eastAsia="en-US"/>
        </w:rPr>
      </w:pPr>
      <w:r w:rsidRPr="00D77963">
        <w:rPr>
          <w:snapToGrid w:val="0"/>
          <w:szCs w:val="22"/>
          <w:lang w:eastAsia="en-US"/>
        </w:rPr>
        <w:t xml:space="preserve">The total cost to the PBS/RPBS of listing </w:t>
      </w:r>
      <w:proofErr w:type="spellStart"/>
      <w:r w:rsidRPr="00D77963">
        <w:rPr>
          <w:snapToGrid w:val="0"/>
          <w:szCs w:val="22"/>
          <w:lang w:eastAsia="en-US"/>
        </w:rPr>
        <w:t>galcanezumab</w:t>
      </w:r>
      <w:proofErr w:type="spellEnd"/>
      <w:r w:rsidRPr="00D77963">
        <w:rPr>
          <w:snapToGrid w:val="0"/>
          <w:szCs w:val="22"/>
          <w:lang w:eastAsia="en-US"/>
        </w:rPr>
        <w:t xml:space="preserve"> was estimated to be </w:t>
      </w:r>
      <w:r w:rsidR="005D3E26">
        <w:rPr>
          <w:snapToGrid w:val="0"/>
          <w:szCs w:val="22"/>
          <w:lang w:eastAsia="en-US"/>
        </w:rPr>
        <w:t>$40 million to &lt; $50million</w:t>
      </w:r>
      <w:r w:rsidRPr="00D77963">
        <w:rPr>
          <w:snapToGrid w:val="0"/>
          <w:szCs w:val="22"/>
          <w:lang w:eastAsia="en-US"/>
        </w:rPr>
        <w:t xml:space="preserve"> in Year 1, increasing to </w:t>
      </w:r>
      <w:r w:rsidR="005D3E26">
        <w:rPr>
          <w:snapToGrid w:val="0"/>
          <w:szCs w:val="22"/>
          <w:lang w:eastAsia="en-US"/>
        </w:rPr>
        <w:t>$100 million to &lt; $200 million</w:t>
      </w:r>
      <w:r w:rsidRPr="00D77963">
        <w:rPr>
          <w:snapToGrid w:val="0"/>
          <w:szCs w:val="22"/>
          <w:lang w:eastAsia="en-US"/>
        </w:rPr>
        <w:t xml:space="preserve"> in Year 6, and a total of </w:t>
      </w:r>
      <w:r w:rsidR="005D3E26">
        <w:rPr>
          <w:snapToGrid w:val="0"/>
          <w:szCs w:val="22"/>
          <w:lang w:eastAsia="en-US"/>
        </w:rPr>
        <w:t>$400 million to &lt; $500 million</w:t>
      </w:r>
      <w:r w:rsidRPr="00D77963">
        <w:rPr>
          <w:snapToGrid w:val="0"/>
          <w:szCs w:val="22"/>
          <w:lang w:eastAsia="en-US"/>
        </w:rPr>
        <w:t xml:space="preserve"> in the first 6 years of listing. </w:t>
      </w:r>
    </w:p>
    <w:p w:rsidR="00CB28B8" w:rsidRPr="00D77963" w:rsidRDefault="00CB28B8" w:rsidP="00CB28B8">
      <w:pPr>
        <w:widowControl w:val="0"/>
        <w:numPr>
          <w:ilvl w:val="1"/>
          <w:numId w:val="1"/>
        </w:numPr>
        <w:spacing w:after="160"/>
        <w:rPr>
          <w:i/>
          <w:snapToGrid w:val="0"/>
          <w:szCs w:val="22"/>
          <w:lang w:eastAsia="en-US"/>
        </w:rPr>
      </w:pPr>
      <w:r w:rsidRPr="00D77963">
        <w:t xml:space="preserve">Inclusive of costs to the MBS, the total net cost to Government was estimated to be </w:t>
      </w:r>
      <w:r w:rsidR="00167D07">
        <w:t>$50 million to &lt; $60 million</w:t>
      </w:r>
      <w:r w:rsidRPr="00D77963">
        <w:t xml:space="preserve"> in Year 1, increasing to </w:t>
      </w:r>
      <w:r w:rsidR="00167D07">
        <w:t>$100 million to &lt; $</w:t>
      </w:r>
      <w:proofErr w:type="gramStart"/>
      <w:r w:rsidR="00167D07">
        <w:t xml:space="preserve">200 </w:t>
      </w:r>
      <w:r w:rsidRPr="00D77963">
        <w:t xml:space="preserve"> million</w:t>
      </w:r>
      <w:proofErr w:type="gramEnd"/>
      <w:r w:rsidRPr="00D77963">
        <w:t xml:space="preserve"> in Year 6, a cumulative total of </w:t>
      </w:r>
      <w:r w:rsidR="00167D07">
        <w:t>$400 million to $500</w:t>
      </w:r>
      <w:r w:rsidRPr="00D77963">
        <w:t xml:space="preserve"> million in the first 6 years of listing. </w:t>
      </w:r>
    </w:p>
    <w:p w:rsidR="00CB28B8" w:rsidRPr="00D77963" w:rsidRDefault="00CB28B8" w:rsidP="00CB28B8">
      <w:pPr>
        <w:widowControl w:val="0"/>
        <w:numPr>
          <w:ilvl w:val="1"/>
          <w:numId w:val="1"/>
        </w:numPr>
        <w:spacing w:after="160"/>
        <w:rPr>
          <w:snapToGrid w:val="0"/>
          <w:szCs w:val="22"/>
          <w:lang w:eastAsia="en-US"/>
        </w:rPr>
      </w:pPr>
      <w:r w:rsidRPr="00D77963">
        <w:t xml:space="preserve">Overall, the submission estimated that around 2.3% of patients (90% x 45.9% x 45.1% x 12%) with migraine would be eligible for treatment. The projected size of the eligible population was further reduced by the application of an uptake rate (24% to 48%). There is a risk that the population will be larger than the estimate provided in the submission. The submission’s estimates were highly uncertain due to a number of issues in estimating uptake and the eligible patient population: </w:t>
      </w:r>
    </w:p>
    <w:p w:rsidR="00CB28B8" w:rsidRPr="00D77963" w:rsidRDefault="00CB28B8" w:rsidP="00CB28B8">
      <w:pPr>
        <w:pStyle w:val="ExecSumBodyText"/>
        <w:numPr>
          <w:ilvl w:val="1"/>
          <w:numId w:val="29"/>
        </w:numPr>
        <w:ind w:left="1100" w:hanging="380"/>
      </w:pPr>
      <w:r w:rsidRPr="00D77963">
        <w:t>The prevalence of migraine in Australian adults (14.6%) was based on the proportion of migraine presentations to general practitioners, but were used in the submission to estimate the proportion of the overall population with migraine.</w:t>
      </w:r>
    </w:p>
    <w:p w:rsidR="00CB28B8" w:rsidRPr="00D77963" w:rsidRDefault="00CB28B8" w:rsidP="003E658D">
      <w:pPr>
        <w:pStyle w:val="ExecSumBodyText"/>
        <w:numPr>
          <w:ilvl w:val="1"/>
          <w:numId w:val="29"/>
        </w:numPr>
        <w:ind w:left="1100" w:hanging="380"/>
      </w:pPr>
      <w:r w:rsidRPr="00D77963">
        <w:t>The submission assumed that only 45% of potentially eligible episodic migraine patients had physician-diagnosed migraine, based on a random sample of 1680 respondents to a National Health and Wellness Survey from Europe and the UK (</w:t>
      </w:r>
      <w:proofErr w:type="gramStart"/>
      <w:r w:rsidRPr="00D77963">
        <w:t>Vo</w:t>
      </w:r>
      <w:proofErr w:type="gramEnd"/>
      <w:r w:rsidRPr="00D77963">
        <w:t xml:space="preserve"> 2018a).</w:t>
      </w:r>
      <w:r w:rsidR="003E658D" w:rsidRPr="00D77963">
        <w:t xml:space="preserve"> The DUSC considered it was unclear why the submission had ascertained episodic prevalence estimates from the </w:t>
      </w:r>
      <w:proofErr w:type="gramStart"/>
      <w:r w:rsidR="003E658D" w:rsidRPr="00D77963">
        <w:t>Vo et al</w:t>
      </w:r>
      <w:proofErr w:type="gramEnd"/>
      <w:r w:rsidR="003E658D" w:rsidRPr="00D77963">
        <w:t xml:space="preserve">. (2018a) study as it was not applicable. The prevalence was already ascertained based on the BEACH </w:t>
      </w:r>
      <w:proofErr w:type="spellStart"/>
      <w:r w:rsidR="003E658D" w:rsidRPr="00D77963">
        <w:t>substudy</w:t>
      </w:r>
      <w:proofErr w:type="spellEnd"/>
      <w:r w:rsidR="003E658D" w:rsidRPr="00D77963">
        <w:t xml:space="preserve"> and calculating prevalence estimates again would decrease the size of the eligible pool. </w:t>
      </w:r>
      <w:r w:rsidR="001C6D1B" w:rsidRPr="00D77963">
        <w:t xml:space="preserve">The </w:t>
      </w:r>
      <w:r w:rsidR="003E658D" w:rsidRPr="00D77963">
        <w:t xml:space="preserve">DUSC considered using the prevalence estimates from the </w:t>
      </w:r>
      <w:proofErr w:type="gramStart"/>
      <w:r w:rsidR="003E658D" w:rsidRPr="00D77963">
        <w:t>Vo et al</w:t>
      </w:r>
      <w:proofErr w:type="gramEnd"/>
      <w:r w:rsidR="003E658D" w:rsidRPr="00D77963">
        <w:t>. (2018a) study would under-estimate the size of the eligible pool.</w:t>
      </w:r>
    </w:p>
    <w:p w:rsidR="00CB28B8" w:rsidRPr="00D77963" w:rsidRDefault="00CB28B8" w:rsidP="00CB28B8">
      <w:pPr>
        <w:pStyle w:val="ExecSumBodyText"/>
        <w:numPr>
          <w:ilvl w:val="1"/>
          <w:numId w:val="29"/>
        </w:numPr>
        <w:ind w:left="1100" w:hanging="380"/>
      </w:pPr>
      <w:r w:rsidRPr="00D77963">
        <w:t xml:space="preserve">The proportion of patients experiencing 4-14 migraine headache days per month (45.1%) was based on self-reported data from one 28 day period for users of a smartphone application in Europe (Vo 2018b). </w:t>
      </w:r>
      <w:r w:rsidR="003E658D" w:rsidRPr="00D77963">
        <w:t>The DUSC considered e</w:t>
      </w:r>
      <w:r w:rsidRPr="00D77963">
        <w:t>stimates derived from this study were uncertain given the short time frame for data collection and the self-reported data, and are of unclear applicability to the Australian patient population. The publication was focussed on a stratified sample of episodic and chronic migraine patients and presented very limited detail on the overall patient population.</w:t>
      </w:r>
    </w:p>
    <w:p w:rsidR="00CB28B8" w:rsidRPr="00D77963" w:rsidRDefault="00CB28B8" w:rsidP="003E658D">
      <w:pPr>
        <w:pStyle w:val="ExecSumBodyText"/>
        <w:numPr>
          <w:ilvl w:val="1"/>
          <w:numId w:val="29"/>
        </w:numPr>
        <w:ind w:left="1100" w:hanging="380"/>
      </w:pPr>
      <w:r w:rsidRPr="00D77963">
        <w:t xml:space="preserve">The submission’s estimates of patients who had failed three or more lines of therapy (12%) was based on a chronic migraine population and may not be </w:t>
      </w:r>
      <w:r w:rsidRPr="00D77963">
        <w:lastRenderedPageBreak/>
        <w:t xml:space="preserve">applicable to episodic migraine patients. </w:t>
      </w:r>
      <w:r w:rsidR="005166D2" w:rsidRPr="00D77963">
        <w:t xml:space="preserve">The </w:t>
      </w:r>
      <w:r w:rsidR="003E658D" w:rsidRPr="00D77963">
        <w:t xml:space="preserve">DUSC considered it was unclear why 12% from the chronic migraine submission was used instead of 14.4% calculated </w:t>
      </w:r>
      <w:r w:rsidR="005166D2" w:rsidRPr="00D77963">
        <w:t xml:space="preserve">in the submission </w:t>
      </w:r>
      <w:r w:rsidR="003E658D" w:rsidRPr="00D77963">
        <w:t>using the 10% PBS data.</w:t>
      </w:r>
    </w:p>
    <w:p w:rsidR="00CB28B8" w:rsidRPr="00D77963" w:rsidRDefault="00CB28B8" w:rsidP="00CB4FAC">
      <w:pPr>
        <w:pStyle w:val="ExecSumBodyText"/>
        <w:numPr>
          <w:ilvl w:val="1"/>
          <w:numId w:val="29"/>
        </w:numPr>
        <w:ind w:left="1134" w:hanging="425"/>
      </w:pPr>
      <w:r w:rsidRPr="00D77963">
        <w:t xml:space="preserve">The annual growth rate in eligible patient numbers (9.39%), based on a 10% </w:t>
      </w:r>
      <w:r w:rsidR="001672FC" w:rsidRPr="00D77963">
        <w:t xml:space="preserve">PBS </w:t>
      </w:r>
      <w:r w:rsidRPr="00D77963">
        <w:t>sample analysis of migraine-specific treatments, may be higher for the introduction of a therapy with a novel mechanism of action in a treatment failure population</w:t>
      </w:r>
      <w:r w:rsidR="00CB4FAC" w:rsidRPr="00D77963">
        <w:t xml:space="preserve">. Growth may reflect use in a population with less severe migraine and </w:t>
      </w:r>
      <w:proofErr w:type="spellStart"/>
      <w:r w:rsidR="00CB4FAC" w:rsidRPr="00D77963">
        <w:t>galcanezumab</w:t>
      </w:r>
      <w:proofErr w:type="spellEnd"/>
      <w:r w:rsidR="00CB4FAC" w:rsidRPr="00D77963">
        <w:t xml:space="preserve"> may not be cost-effective in these patients</w:t>
      </w:r>
      <w:r w:rsidRPr="00D77963">
        <w:t xml:space="preserve">. </w:t>
      </w:r>
    </w:p>
    <w:p w:rsidR="00CB28B8" w:rsidRPr="00D77963" w:rsidRDefault="00CB28B8" w:rsidP="00CB28B8">
      <w:pPr>
        <w:pStyle w:val="ExecSumBodyText"/>
        <w:numPr>
          <w:ilvl w:val="1"/>
          <w:numId w:val="29"/>
        </w:numPr>
        <w:ind w:left="1100" w:hanging="380"/>
      </w:pPr>
      <w:r w:rsidRPr="00D77963">
        <w:t xml:space="preserve">The proportion of patients continuing with treatment from month 3 for the remainder of year 1 (41.1%) was based on the proportion of patients with a 50% or greater reduction in migraine headache days in month 3 of the CONQUER clinical trial. A higher proportion of patients may continue treatment with </w:t>
      </w:r>
      <w:proofErr w:type="spellStart"/>
      <w:r w:rsidRPr="00D77963">
        <w:t>galcanezumab</w:t>
      </w:r>
      <w:proofErr w:type="spellEnd"/>
      <w:r w:rsidRPr="00D77963">
        <w:t xml:space="preserve"> in practice. It is likely that some patients who achieve less than a 50% reduction in migraine headache days would continue treatment</w:t>
      </w:r>
      <w:r w:rsidR="00575AFB" w:rsidRPr="00D77963">
        <w:t xml:space="preserve"> which may not represent</w:t>
      </w:r>
      <w:r w:rsidR="00CB4FAC" w:rsidRPr="00D77963">
        <w:t xml:space="preserve"> cost-effective use</w:t>
      </w:r>
      <w:r w:rsidRPr="00D77963">
        <w:t xml:space="preserve">. </w:t>
      </w:r>
    </w:p>
    <w:p w:rsidR="00CB28B8" w:rsidRPr="00D77963" w:rsidRDefault="00F33AC6" w:rsidP="005166D2">
      <w:pPr>
        <w:widowControl w:val="0"/>
        <w:numPr>
          <w:ilvl w:val="1"/>
          <w:numId w:val="1"/>
        </w:numPr>
        <w:spacing w:after="160"/>
        <w:rPr>
          <w:snapToGrid w:val="0"/>
          <w:szCs w:val="22"/>
          <w:lang w:eastAsia="en-US"/>
        </w:rPr>
      </w:pPr>
      <w:r w:rsidRPr="00D77963">
        <w:rPr>
          <w:snapToGrid w:val="0"/>
          <w:szCs w:val="22"/>
          <w:lang w:eastAsia="en-US"/>
        </w:rPr>
        <w:t xml:space="preserve">The DUSC noted that </w:t>
      </w:r>
      <w:r w:rsidR="005166D2" w:rsidRPr="00D77963">
        <w:rPr>
          <w:snapToGrid w:val="0"/>
          <w:szCs w:val="22"/>
          <w:lang w:eastAsia="en-US"/>
        </w:rPr>
        <w:t xml:space="preserve">343,286 prescriptions for </w:t>
      </w:r>
      <w:proofErr w:type="spellStart"/>
      <w:r w:rsidR="005166D2" w:rsidRPr="00D77963">
        <w:rPr>
          <w:snapToGrid w:val="0"/>
          <w:szCs w:val="22"/>
          <w:lang w:eastAsia="en-US"/>
        </w:rPr>
        <w:t>triptans</w:t>
      </w:r>
      <w:proofErr w:type="spellEnd"/>
      <w:r w:rsidR="005166D2" w:rsidRPr="00D77963">
        <w:rPr>
          <w:snapToGrid w:val="0"/>
          <w:szCs w:val="22"/>
          <w:lang w:eastAsia="en-US"/>
        </w:rPr>
        <w:t xml:space="preserve"> were dispensed in 2019-20. </w:t>
      </w:r>
      <w:r w:rsidRPr="00D77963">
        <w:rPr>
          <w:snapToGrid w:val="0"/>
          <w:szCs w:val="22"/>
          <w:lang w:eastAsia="en-US"/>
        </w:rPr>
        <w:t>The DUSC noted that, i</w:t>
      </w:r>
      <w:r w:rsidR="005166D2" w:rsidRPr="00D77963">
        <w:rPr>
          <w:snapToGrid w:val="0"/>
          <w:szCs w:val="22"/>
          <w:lang w:eastAsia="en-US"/>
        </w:rPr>
        <w:t xml:space="preserve">n the first year of listing, an estimated </w:t>
      </w:r>
      <w:r w:rsidR="00052613">
        <w:rPr>
          <w:snapToGrid w:val="0"/>
          <w:szCs w:val="22"/>
          <w:lang w:eastAsia="en-US"/>
        </w:rPr>
        <w:t>100,000 to &lt; 200,000</w:t>
      </w:r>
      <w:r w:rsidR="005166D2" w:rsidRPr="00D77963">
        <w:rPr>
          <w:snapToGrid w:val="0"/>
          <w:szCs w:val="22"/>
          <w:lang w:eastAsia="en-US"/>
        </w:rPr>
        <w:t xml:space="preserve"> prescriptions for </w:t>
      </w:r>
      <w:proofErr w:type="spellStart"/>
      <w:r w:rsidR="005166D2" w:rsidRPr="00D77963">
        <w:rPr>
          <w:snapToGrid w:val="0"/>
          <w:szCs w:val="22"/>
          <w:lang w:eastAsia="en-US"/>
        </w:rPr>
        <w:t>galcanezumab</w:t>
      </w:r>
      <w:proofErr w:type="spellEnd"/>
      <w:r w:rsidR="005166D2" w:rsidRPr="00D77963">
        <w:rPr>
          <w:snapToGrid w:val="0"/>
          <w:szCs w:val="22"/>
          <w:lang w:eastAsia="en-US"/>
        </w:rPr>
        <w:t xml:space="preserve"> would be dispensed</w:t>
      </w:r>
      <w:r w:rsidRPr="00D77963">
        <w:rPr>
          <w:snapToGrid w:val="0"/>
          <w:szCs w:val="22"/>
          <w:lang w:eastAsia="en-US"/>
        </w:rPr>
        <w:t xml:space="preserve"> which suggested </w:t>
      </w:r>
      <w:r w:rsidR="005166D2" w:rsidRPr="00D77963">
        <w:rPr>
          <w:snapToGrid w:val="0"/>
          <w:szCs w:val="22"/>
          <w:lang w:eastAsia="en-US"/>
        </w:rPr>
        <w:t xml:space="preserve">that one third of the </w:t>
      </w:r>
      <w:proofErr w:type="spellStart"/>
      <w:r w:rsidR="005166D2" w:rsidRPr="00D77963">
        <w:rPr>
          <w:snapToGrid w:val="0"/>
          <w:szCs w:val="22"/>
          <w:lang w:eastAsia="en-US"/>
        </w:rPr>
        <w:t>triptan</w:t>
      </w:r>
      <w:proofErr w:type="spellEnd"/>
      <w:r w:rsidR="005166D2" w:rsidRPr="00D77963">
        <w:rPr>
          <w:snapToGrid w:val="0"/>
          <w:szCs w:val="22"/>
          <w:lang w:eastAsia="en-US"/>
        </w:rPr>
        <w:t xml:space="preserve"> market would be replaced by </w:t>
      </w:r>
      <w:proofErr w:type="spellStart"/>
      <w:r w:rsidR="005166D2" w:rsidRPr="00D77963">
        <w:rPr>
          <w:snapToGrid w:val="0"/>
          <w:szCs w:val="22"/>
          <w:lang w:eastAsia="en-US"/>
        </w:rPr>
        <w:t>galcanezumab</w:t>
      </w:r>
      <w:proofErr w:type="spellEnd"/>
      <w:r w:rsidR="005166D2" w:rsidRPr="00D77963">
        <w:rPr>
          <w:snapToGrid w:val="0"/>
          <w:szCs w:val="22"/>
          <w:lang w:eastAsia="en-US"/>
        </w:rPr>
        <w:t xml:space="preserve">. </w:t>
      </w:r>
      <w:r w:rsidRPr="00D77963">
        <w:rPr>
          <w:snapToGrid w:val="0"/>
          <w:szCs w:val="22"/>
          <w:lang w:eastAsia="en-US"/>
        </w:rPr>
        <w:t xml:space="preserve">The </w:t>
      </w:r>
      <w:r w:rsidR="005166D2" w:rsidRPr="00D77963">
        <w:rPr>
          <w:snapToGrid w:val="0"/>
          <w:szCs w:val="22"/>
          <w:lang w:eastAsia="en-US"/>
        </w:rPr>
        <w:t xml:space="preserve">DUSC considered it would be unlikely for </w:t>
      </w:r>
      <w:proofErr w:type="spellStart"/>
      <w:r w:rsidR="005166D2" w:rsidRPr="00D77963">
        <w:rPr>
          <w:snapToGrid w:val="0"/>
          <w:szCs w:val="22"/>
          <w:lang w:eastAsia="en-US"/>
        </w:rPr>
        <w:t>galcanezumab</w:t>
      </w:r>
      <w:proofErr w:type="spellEnd"/>
      <w:r w:rsidR="005166D2" w:rsidRPr="00D77963">
        <w:rPr>
          <w:snapToGrid w:val="0"/>
          <w:szCs w:val="22"/>
          <w:lang w:eastAsia="en-US"/>
        </w:rPr>
        <w:t xml:space="preserve"> to replace one third of the </w:t>
      </w:r>
      <w:proofErr w:type="spellStart"/>
      <w:r w:rsidR="005166D2" w:rsidRPr="00D77963">
        <w:rPr>
          <w:snapToGrid w:val="0"/>
          <w:szCs w:val="22"/>
          <w:lang w:eastAsia="en-US"/>
        </w:rPr>
        <w:t>triptan</w:t>
      </w:r>
      <w:proofErr w:type="spellEnd"/>
      <w:r w:rsidR="005166D2" w:rsidRPr="00D77963">
        <w:rPr>
          <w:snapToGrid w:val="0"/>
          <w:szCs w:val="22"/>
          <w:lang w:eastAsia="en-US"/>
        </w:rPr>
        <w:t xml:space="preserve"> market upon listing.</w:t>
      </w:r>
    </w:p>
    <w:p w:rsidR="00F33AC6" w:rsidRPr="00D77963" w:rsidRDefault="00F33AC6" w:rsidP="00F33AC6">
      <w:pPr>
        <w:widowControl w:val="0"/>
        <w:numPr>
          <w:ilvl w:val="1"/>
          <w:numId w:val="1"/>
        </w:numPr>
        <w:spacing w:after="160"/>
        <w:rPr>
          <w:snapToGrid w:val="0"/>
          <w:szCs w:val="22"/>
          <w:lang w:eastAsia="en-US"/>
        </w:rPr>
      </w:pPr>
      <w:r w:rsidRPr="00D77963">
        <w:rPr>
          <w:snapToGrid w:val="0"/>
          <w:szCs w:val="22"/>
          <w:lang w:eastAsia="en-US"/>
        </w:rPr>
        <w:t>Overall, the DUSC considered:</w:t>
      </w:r>
    </w:p>
    <w:p w:rsidR="00F33AC6" w:rsidRPr="00D77963" w:rsidRDefault="00F33AC6" w:rsidP="00F33AC6">
      <w:pPr>
        <w:pStyle w:val="ExecSumBodyText"/>
        <w:numPr>
          <w:ilvl w:val="1"/>
          <w:numId w:val="29"/>
        </w:numPr>
        <w:ind w:left="1100" w:hanging="380"/>
      </w:pPr>
      <w:r w:rsidRPr="00D77963">
        <w:t xml:space="preserve">The number of eligible patients is likely underestimated as a diagnosed population was used to estimate prevalence but were discounted for diagnosis. </w:t>
      </w:r>
    </w:p>
    <w:p w:rsidR="00F33AC6" w:rsidRPr="00D77963" w:rsidRDefault="001672FC" w:rsidP="00F33AC6">
      <w:pPr>
        <w:pStyle w:val="ExecSumBodyText"/>
        <w:numPr>
          <w:ilvl w:val="1"/>
          <w:numId w:val="29"/>
        </w:numPr>
        <w:ind w:left="1100" w:hanging="380"/>
      </w:pPr>
      <w:r w:rsidRPr="00D77963">
        <w:t>The high uptake rate is uncertain and the requirement for initiation with a neurologist may reduce uptake</w:t>
      </w:r>
      <w:r w:rsidR="00F33AC6" w:rsidRPr="00D77963">
        <w:t>.</w:t>
      </w:r>
    </w:p>
    <w:p w:rsidR="00F33AC6" w:rsidRPr="00D77963" w:rsidRDefault="00F33AC6" w:rsidP="00F33AC6">
      <w:pPr>
        <w:pStyle w:val="ExecSumBodyText"/>
        <w:numPr>
          <w:ilvl w:val="1"/>
          <w:numId w:val="29"/>
        </w:numPr>
        <w:ind w:left="1100" w:hanging="380"/>
      </w:pPr>
      <w:r w:rsidRPr="00D77963">
        <w:t xml:space="preserve">There were no offsets for reduced opioid or </w:t>
      </w:r>
      <w:proofErr w:type="spellStart"/>
      <w:r w:rsidRPr="00D77963">
        <w:t>triptan</w:t>
      </w:r>
      <w:proofErr w:type="spellEnd"/>
      <w:r w:rsidRPr="00D77963">
        <w:t xml:space="preserve"> use, suggesting the therapy is add on. The impact of the listing of </w:t>
      </w:r>
      <w:proofErr w:type="spellStart"/>
      <w:r w:rsidRPr="00D77963">
        <w:t>galcanezumab</w:t>
      </w:r>
      <w:proofErr w:type="spellEnd"/>
      <w:r w:rsidRPr="00D77963">
        <w:t xml:space="preserve"> on the overall analgesic market should be considered.</w:t>
      </w:r>
    </w:p>
    <w:p w:rsidR="00F33AC6" w:rsidRPr="00D77963" w:rsidRDefault="00F33AC6" w:rsidP="00F33AC6">
      <w:pPr>
        <w:pStyle w:val="ExecSumBodyText"/>
        <w:numPr>
          <w:ilvl w:val="1"/>
          <w:numId w:val="29"/>
        </w:numPr>
        <w:ind w:left="1100" w:hanging="380"/>
      </w:pPr>
      <w:r w:rsidRPr="00D77963">
        <w:t xml:space="preserve">The long term effectiveness and safety of </w:t>
      </w:r>
      <w:proofErr w:type="spellStart"/>
      <w:r w:rsidRPr="00D77963">
        <w:t>galcanezumab</w:t>
      </w:r>
      <w:proofErr w:type="spellEnd"/>
      <w:r w:rsidRPr="00D77963">
        <w:t xml:space="preserve"> is uncertain. </w:t>
      </w:r>
    </w:p>
    <w:p w:rsidR="00F33AC6" w:rsidRPr="00D77963" w:rsidRDefault="00F33AC6" w:rsidP="00F33AC6">
      <w:pPr>
        <w:pStyle w:val="ExecSumBodyText"/>
        <w:numPr>
          <w:ilvl w:val="1"/>
          <w:numId w:val="29"/>
        </w:numPr>
        <w:ind w:left="1100" w:hanging="380"/>
      </w:pPr>
      <w:r w:rsidRPr="00D77963">
        <w:t xml:space="preserve">In its PSCR, the sponsor </w:t>
      </w:r>
      <w:r w:rsidR="002E55F1" w:rsidRPr="00D77963">
        <w:t xml:space="preserve">reasoned </w:t>
      </w:r>
      <w:r w:rsidRPr="00D77963">
        <w:t xml:space="preserve">that its analysis of a 10% PBS sample supported its estimate of the utilisation of </w:t>
      </w:r>
      <w:proofErr w:type="spellStart"/>
      <w:r w:rsidRPr="00D77963">
        <w:t>galcanezumab</w:t>
      </w:r>
      <w:proofErr w:type="spellEnd"/>
      <w:r w:rsidRPr="00D77963">
        <w:t xml:space="preserve">. However the number of </w:t>
      </w:r>
      <w:proofErr w:type="spellStart"/>
      <w:r w:rsidRPr="00D77963">
        <w:t>triptan</w:t>
      </w:r>
      <w:proofErr w:type="spellEnd"/>
      <w:r w:rsidRPr="00D77963">
        <w:t xml:space="preserve"> users could not be verified in the sponsor’s report, and DUSC considered the sponsor’s estimate of </w:t>
      </w:r>
      <w:r w:rsidR="00052613">
        <w:t>200,000 to &lt; 300,000</w:t>
      </w:r>
      <w:r w:rsidRPr="00D77963">
        <w:t xml:space="preserve"> migraine medicine users was uncertain.</w:t>
      </w:r>
    </w:p>
    <w:p w:rsidR="00F33AC6" w:rsidRPr="00D77963" w:rsidRDefault="00F33AC6" w:rsidP="00F33AC6">
      <w:pPr>
        <w:pStyle w:val="ExecSumBodyText"/>
        <w:numPr>
          <w:ilvl w:val="1"/>
          <w:numId w:val="29"/>
        </w:numPr>
        <w:ind w:left="1100" w:hanging="380"/>
      </w:pPr>
      <w:r w:rsidRPr="00D77963">
        <w:t xml:space="preserve">The financial estimates were sensitive to a number of parameters affecting the size of the population, particularly migraine prevalence, the proportion of physician diagnosed migraines, and the proportion of continuing patients. Due to </w:t>
      </w:r>
      <w:r w:rsidRPr="00D77963">
        <w:lastRenderedPageBreak/>
        <w:t xml:space="preserve">the lack of available data to reliably inform these variables, the estimated financial impacts are associated with considerable uncertainty. </w:t>
      </w:r>
    </w:p>
    <w:p w:rsidR="00576972" w:rsidRPr="00D77963" w:rsidRDefault="00576972" w:rsidP="00606FBA">
      <w:pPr>
        <w:pStyle w:val="3-SubsectionHeading"/>
      </w:pPr>
      <w:bookmarkStart w:id="41" w:name="_Toc22897648"/>
      <w:bookmarkStart w:id="42" w:name="_Toc51078510"/>
      <w:r w:rsidRPr="00D77963">
        <w:t>Quality Use of Medicines</w:t>
      </w:r>
      <w:bookmarkEnd w:id="41"/>
      <w:bookmarkEnd w:id="42"/>
    </w:p>
    <w:p w:rsidR="0013604E" w:rsidRPr="00D77963" w:rsidRDefault="0013604E" w:rsidP="00471634">
      <w:pPr>
        <w:widowControl w:val="0"/>
        <w:numPr>
          <w:ilvl w:val="1"/>
          <w:numId w:val="1"/>
        </w:numPr>
        <w:spacing w:after="160"/>
      </w:pPr>
      <w:r w:rsidRPr="00D77963">
        <w:t xml:space="preserve">The submission described a range of activities to support the quality use of medicines in the treatment of migraine prevention and appropriate use of </w:t>
      </w:r>
      <w:proofErr w:type="spellStart"/>
      <w:r w:rsidRPr="00D77963">
        <w:t>galcanezumab</w:t>
      </w:r>
      <w:proofErr w:type="spellEnd"/>
      <w:r w:rsidRPr="00D77963">
        <w:t xml:space="preserve">, including online medical education modules, scientific meetings, and education of clinicians around the treatment paradigm in migraine prevention. The sponsor operates a Product Safety Group in Australia, which is responsible for designated local pharmacovigilance practices in Australia and New Zealand. Activities conducted by the group include receipt and follow-up of adverse event reports, training staff, submission of PSUR, and management of local pharmacovigilance quality systems.  </w:t>
      </w:r>
    </w:p>
    <w:p w:rsidR="004902DC" w:rsidRPr="00D77963" w:rsidRDefault="004902DC" w:rsidP="004902DC">
      <w:pPr>
        <w:pStyle w:val="2-SectionHeading"/>
      </w:pPr>
      <w:bookmarkStart w:id="43" w:name="_Toc380746195"/>
      <w:bookmarkStart w:id="44" w:name="_Toc380746321"/>
      <w:bookmarkStart w:id="45" w:name="_Toc380746602"/>
      <w:bookmarkStart w:id="46" w:name="_Toc51078514"/>
      <w:r w:rsidRPr="00D77963">
        <w:t xml:space="preserve">PBAC </w:t>
      </w:r>
      <w:r w:rsidR="00D5606A" w:rsidRPr="00D77963">
        <w:t>O</w:t>
      </w:r>
      <w:r w:rsidRPr="00D77963">
        <w:t>utcome</w:t>
      </w:r>
    </w:p>
    <w:p w:rsidR="004902DC" w:rsidRPr="00D77963" w:rsidRDefault="004902DC" w:rsidP="0078067A">
      <w:pPr>
        <w:widowControl w:val="0"/>
        <w:numPr>
          <w:ilvl w:val="1"/>
          <w:numId w:val="1"/>
        </w:numPr>
        <w:spacing w:after="160"/>
        <w:rPr>
          <w:b/>
          <w:snapToGrid w:val="0"/>
          <w:sz w:val="32"/>
          <w:szCs w:val="22"/>
          <w:lang w:eastAsia="en-US"/>
        </w:rPr>
      </w:pPr>
      <w:r w:rsidRPr="00D77963">
        <w:rPr>
          <w:snapToGrid w:val="0"/>
          <w:szCs w:val="22"/>
          <w:lang w:eastAsia="en-US"/>
        </w:rPr>
        <w:t>The PBAC</w:t>
      </w:r>
      <w:r w:rsidR="00120D4D" w:rsidRPr="00D77963">
        <w:rPr>
          <w:snapToGrid w:val="0"/>
          <w:szCs w:val="22"/>
          <w:lang w:eastAsia="en-US"/>
        </w:rPr>
        <w:t xml:space="preserve"> did not recommend </w:t>
      </w:r>
      <w:r w:rsidR="008C2D54" w:rsidRPr="00D77963">
        <w:rPr>
          <w:snapToGrid w:val="0"/>
          <w:szCs w:val="22"/>
          <w:lang w:eastAsia="en-US"/>
        </w:rPr>
        <w:t xml:space="preserve">the listing of </w:t>
      </w:r>
      <w:proofErr w:type="spellStart"/>
      <w:r w:rsidR="00120D4D" w:rsidRPr="00D77963">
        <w:rPr>
          <w:snapToGrid w:val="0"/>
          <w:szCs w:val="22"/>
          <w:lang w:eastAsia="en-US"/>
        </w:rPr>
        <w:t>galcanezumab</w:t>
      </w:r>
      <w:proofErr w:type="spellEnd"/>
      <w:r w:rsidR="00120D4D" w:rsidRPr="00D77963">
        <w:rPr>
          <w:snapToGrid w:val="0"/>
          <w:szCs w:val="22"/>
          <w:lang w:eastAsia="en-US"/>
        </w:rPr>
        <w:t xml:space="preserve"> for the treatment of </w:t>
      </w:r>
      <w:r w:rsidR="008C2D54" w:rsidRPr="00D77963">
        <w:rPr>
          <w:snapToGrid w:val="0"/>
          <w:szCs w:val="22"/>
          <w:lang w:eastAsia="en-US"/>
        </w:rPr>
        <w:t xml:space="preserve">episodic migraine in patients who have experienced an </w:t>
      </w:r>
      <w:r w:rsidR="007214C4" w:rsidRPr="00D77963">
        <w:rPr>
          <w:snapToGrid w:val="0"/>
          <w:szCs w:val="22"/>
          <w:lang w:eastAsia="en-US"/>
        </w:rPr>
        <w:t>in</w:t>
      </w:r>
      <w:r w:rsidR="008C2D54" w:rsidRPr="00D77963">
        <w:rPr>
          <w:snapToGrid w:val="0"/>
          <w:szCs w:val="22"/>
          <w:lang w:eastAsia="en-US"/>
        </w:rPr>
        <w:t xml:space="preserve">adequate response, intolerance, or a contraindication to at least three prophylactic migraine medications.  </w:t>
      </w:r>
      <w:r w:rsidR="0078067A" w:rsidRPr="00D77963">
        <w:rPr>
          <w:snapToGrid w:val="0"/>
          <w:szCs w:val="22"/>
          <w:lang w:eastAsia="en-US"/>
        </w:rPr>
        <w:t xml:space="preserve">The PBAC considered the magnitude of benefit in this population was uncertain and </w:t>
      </w:r>
      <w:proofErr w:type="spellStart"/>
      <w:r w:rsidR="0078067A" w:rsidRPr="00D77963">
        <w:rPr>
          <w:snapToGrid w:val="0"/>
          <w:szCs w:val="22"/>
          <w:lang w:eastAsia="en-US"/>
        </w:rPr>
        <w:t>galcanezumab</w:t>
      </w:r>
      <w:proofErr w:type="spellEnd"/>
      <w:r w:rsidR="0078067A" w:rsidRPr="00D77963">
        <w:rPr>
          <w:snapToGrid w:val="0"/>
          <w:szCs w:val="22"/>
          <w:lang w:eastAsia="en-US"/>
        </w:rPr>
        <w:t xml:space="preserve"> was not cost-effective at the price requested in the submission. </w:t>
      </w:r>
      <w:r w:rsidR="00030521" w:rsidRPr="00D77963">
        <w:t xml:space="preserve">The PBAC considered there is not a clear distinction between treatment-resistant chronic and episodic migraine with patients moving between these diagnoses. </w:t>
      </w:r>
      <w:r w:rsidR="007C1F84" w:rsidRPr="00D77963">
        <w:rPr>
          <w:snapToGrid w:val="0"/>
          <w:szCs w:val="22"/>
          <w:lang w:eastAsia="en-US"/>
        </w:rPr>
        <w:t>T</w:t>
      </w:r>
      <w:r w:rsidR="00030521" w:rsidRPr="00D77963">
        <w:rPr>
          <w:snapToGrid w:val="0"/>
          <w:szCs w:val="22"/>
          <w:lang w:eastAsia="en-US"/>
        </w:rPr>
        <w:t xml:space="preserve">he PBAC considered </w:t>
      </w:r>
      <w:r w:rsidR="007C1F84" w:rsidRPr="00D77963">
        <w:rPr>
          <w:snapToGrid w:val="0"/>
          <w:szCs w:val="22"/>
          <w:lang w:eastAsia="en-US"/>
        </w:rPr>
        <w:t xml:space="preserve">a listing for treatment-resistant migraine would be appropriate and </w:t>
      </w:r>
      <w:r w:rsidR="00030521" w:rsidRPr="00D77963">
        <w:rPr>
          <w:snapToGrid w:val="0"/>
          <w:szCs w:val="22"/>
          <w:lang w:eastAsia="en-US"/>
        </w:rPr>
        <w:t xml:space="preserve">that </w:t>
      </w:r>
      <w:r w:rsidR="007C1F84" w:rsidRPr="00D77963">
        <w:rPr>
          <w:snapToGrid w:val="0"/>
          <w:szCs w:val="22"/>
          <w:lang w:eastAsia="en-US"/>
        </w:rPr>
        <w:t xml:space="preserve">any resubmission would need to address </w:t>
      </w:r>
      <w:r w:rsidR="00030521" w:rsidRPr="00D77963">
        <w:rPr>
          <w:snapToGrid w:val="0"/>
          <w:szCs w:val="22"/>
          <w:lang w:eastAsia="en-US"/>
        </w:rPr>
        <w:t xml:space="preserve">offsets for </w:t>
      </w:r>
      <w:r w:rsidR="007C1F84" w:rsidRPr="00D77963">
        <w:rPr>
          <w:snapToGrid w:val="0"/>
          <w:szCs w:val="22"/>
          <w:lang w:eastAsia="en-US"/>
        </w:rPr>
        <w:t>p</w:t>
      </w:r>
      <w:r w:rsidR="00030521" w:rsidRPr="00D77963">
        <w:rPr>
          <w:snapToGrid w:val="0"/>
          <w:szCs w:val="22"/>
          <w:lang w:eastAsia="en-US"/>
        </w:rPr>
        <w:t>atients that might otherwise be attributed for in the chronic migraine population.</w:t>
      </w:r>
    </w:p>
    <w:p w:rsidR="00C67817" w:rsidRPr="00D77963" w:rsidRDefault="00CB28B8" w:rsidP="004902DC">
      <w:pPr>
        <w:widowControl w:val="0"/>
        <w:numPr>
          <w:ilvl w:val="1"/>
          <w:numId w:val="1"/>
        </w:numPr>
        <w:spacing w:after="160"/>
        <w:rPr>
          <w:snapToGrid w:val="0"/>
          <w:szCs w:val="22"/>
          <w:lang w:eastAsia="en-US"/>
        </w:rPr>
      </w:pPr>
      <w:r w:rsidRPr="00D77963">
        <w:rPr>
          <w:snapToGrid w:val="0"/>
          <w:szCs w:val="22"/>
          <w:lang w:eastAsia="en-US"/>
        </w:rPr>
        <w:t xml:space="preserve">The </w:t>
      </w:r>
      <w:r w:rsidR="00271315" w:rsidRPr="00D77963">
        <w:rPr>
          <w:snapToGrid w:val="0"/>
          <w:szCs w:val="22"/>
          <w:lang w:eastAsia="en-US"/>
        </w:rPr>
        <w:t xml:space="preserve">PBAC noted the consumer comments and acknowledged there was a clinical need for additional treatments for people with treatment-resistant migraine. </w:t>
      </w:r>
      <w:r w:rsidR="00135038" w:rsidRPr="00D77963">
        <w:rPr>
          <w:snapToGrid w:val="0"/>
          <w:szCs w:val="22"/>
          <w:lang w:eastAsia="en-US"/>
        </w:rPr>
        <w:t xml:space="preserve"> </w:t>
      </w:r>
    </w:p>
    <w:p w:rsidR="008C2D54" w:rsidRPr="00D77963" w:rsidRDefault="00A65C9D" w:rsidP="004902DC">
      <w:pPr>
        <w:widowControl w:val="0"/>
        <w:numPr>
          <w:ilvl w:val="1"/>
          <w:numId w:val="1"/>
        </w:numPr>
        <w:spacing w:after="160"/>
        <w:rPr>
          <w:b/>
          <w:snapToGrid w:val="0"/>
          <w:sz w:val="32"/>
          <w:szCs w:val="22"/>
          <w:lang w:eastAsia="en-US"/>
        </w:rPr>
      </w:pPr>
      <w:r w:rsidRPr="00D77963">
        <w:rPr>
          <w:snapToGrid w:val="0"/>
          <w:szCs w:val="22"/>
          <w:lang w:eastAsia="en-US"/>
        </w:rPr>
        <w:t xml:space="preserve">The PBAC considered episodic and chronic migraine are on a continuum, and patients may cycle between the two, rather than discrete clinical entities for the purpose of PBS listing. The PBAC considered a single listing for treatment-resistant migraine </w:t>
      </w:r>
      <w:r w:rsidR="00030521" w:rsidRPr="00D77963">
        <w:rPr>
          <w:snapToGrid w:val="0"/>
          <w:szCs w:val="22"/>
          <w:lang w:eastAsia="en-US"/>
        </w:rPr>
        <w:t>would be</w:t>
      </w:r>
      <w:r w:rsidRPr="00D77963">
        <w:rPr>
          <w:snapToGrid w:val="0"/>
          <w:szCs w:val="22"/>
          <w:lang w:eastAsia="en-US"/>
        </w:rPr>
        <w:t xml:space="preserve"> </w:t>
      </w:r>
      <w:r w:rsidR="0087780E" w:rsidRPr="00D77963">
        <w:rPr>
          <w:snapToGrid w:val="0"/>
          <w:szCs w:val="22"/>
          <w:lang w:eastAsia="en-US"/>
        </w:rPr>
        <w:t xml:space="preserve">a </w:t>
      </w:r>
      <w:r w:rsidRPr="00D77963">
        <w:rPr>
          <w:snapToGrid w:val="0"/>
          <w:szCs w:val="22"/>
          <w:lang w:eastAsia="en-US"/>
        </w:rPr>
        <w:t xml:space="preserve">more reasonable approach. The PBAC noted Migraine Australia was supportive of </w:t>
      </w:r>
      <w:r w:rsidR="00A322A7" w:rsidRPr="00D77963">
        <w:rPr>
          <w:snapToGrid w:val="0"/>
          <w:szCs w:val="22"/>
          <w:lang w:eastAsia="en-US"/>
        </w:rPr>
        <w:t>changing the terminology from episodic and chronic to ‘manageable’ and ‘difficult to manage’</w:t>
      </w:r>
      <w:r w:rsidRPr="00D77963">
        <w:rPr>
          <w:snapToGrid w:val="0"/>
          <w:szCs w:val="22"/>
          <w:lang w:eastAsia="en-US"/>
        </w:rPr>
        <w:t xml:space="preserve">. </w:t>
      </w:r>
      <w:r w:rsidR="008C2D54" w:rsidRPr="00D77963">
        <w:rPr>
          <w:snapToGrid w:val="0"/>
          <w:szCs w:val="22"/>
          <w:lang w:eastAsia="en-US"/>
        </w:rPr>
        <w:t xml:space="preserve"> </w:t>
      </w:r>
      <w:r w:rsidR="00030521" w:rsidRPr="00D77963">
        <w:rPr>
          <w:snapToGrid w:val="0"/>
          <w:szCs w:val="22"/>
          <w:lang w:eastAsia="en-US"/>
        </w:rPr>
        <w:t xml:space="preserve"> </w:t>
      </w:r>
    </w:p>
    <w:p w:rsidR="008C2D54" w:rsidRPr="00D77963" w:rsidRDefault="0078067A" w:rsidP="004902DC">
      <w:pPr>
        <w:widowControl w:val="0"/>
        <w:numPr>
          <w:ilvl w:val="1"/>
          <w:numId w:val="1"/>
        </w:numPr>
        <w:spacing w:after="160"/>
        <w:rPr>
          <w:snapToGrid w:val="0"/>
          <w:szCs w:val="22"/>
          <w:lang w:eastAsia="en-US"/>
        </w:rPr>
      </w:pPr>
      <w:r w:rsidRPr="00D77963">
        <w:rPr>
          <w:snapToGrid w:val="0"/>
          <w:szCs w:val="22"/>
          <w:lang w:eastAsia="en-US"/>
        </w:rPr>
        <w:t>The PBAC considered best supportive car</w:t>
      </w:r>
      <w:r w:rsidR="00C67817" w:rsidRPr="00D77963">
        <w:rPr>
          <w:snapToGrid w:val="0"/>
          <w:szCs w:val="22"/>
          <w:lang w:eastAsia="en-US"/>
        </w:rPr>
        <w:t xml:space="preserve">e was an </w:t>
      </w:r>
      <w:r w:rsidRPr="00D77963">
        <w:rPr>
          <w:snapToGrid w:val="0"/>
          <w:szCs w:val="22"/>
          <w:lang w:eastAsia="en-US"/>
        </w:rPr>
        <w:t>appropriate comparator for patients with episodic migraine who have failed at least three prophylactic migraine medications.</w:t>
      </w:r>
      <w:r w:rsidR="00C67817" w:rsidRPr="00D77963">
        <w:rPr>
          <w:snapToGrid w:val="0"/>
          <w:szCs w:val="22"/>
          <w:lang w:eastAsia="en-US"/>
        </w:rPr>
        <w:t xml:space="preserve"> </w:t>
      </w:r>
    </w:p>
    <w:p w:rsidR="00F60B95" w:rsidRPr="00D77963" w:rsidRDefault="00870971" w:rsidP="004902DC">
      <w:pPr>
        <w:widowControl w:val="0"/>
        <w:numPr>
          <w:ilvl w:val="1"/>
          <w:numId w:val="1"/>
        </w:numPr>
        <w:spacing w:after="160"/>
        <w:rPr>
          <w:snapToGrid w:val="0"/>
          <w:szCs w:val="22"/>
          <w:lang w:eastAsia="en-US"/>
        </w:rPr>
      </w:pPr>
      <w:r w:rsidRPr="00D77963">
        <w:rPr>
          <w:snapToGrid w:val="0"/>
          <w:szCs w:val="22"/>
          <w:lang w:eastAsia="en-US"/>
        </w:rPr>
        <w:t xml:space="preserve">The PBAC noted the submission was based on </w:t>
      </w:r>
      <w:r w:rsidR="00C67817" w:rsidRPr="00D77963">
        <w:rPr>
          <w:snapToGrid w:val="0"/>
          <w:szCs w:val="22"/>
          <w:lang w:eastAsia="en-US"/>
        </w:rPr>
        <w:t xml:space="preserve">the CONQUER study, a </w:t>
      </w:r>
      <w:r w:rsidR="00A2636B" w:rsidRPr="00D77963">
        <w:rPr>
          <w:snapToGrid w:val="0"/>
          <w:szCs w:val="22"/>
          <w:lang w:eastAsia="en-US"/>
        </w:rPr>
        <w:t xml:space="preserve">randomised controlled trial comparing </w:t>
      </w:r>
      <w:proofErr w:type="spellStart"/>
      <w:r w:rsidR="00A2636B" w:rsidRPr="00D77963">
        <w:rPr>
          <w:snapToGrid w:val="0"/>
          <w:szCs w:val="22"/>
          <w:lang w:eastAsia="en-US"/>
        </w:rPr>
        <w:t>galcanezumab</w:t>
      </w:r>
      <w:proofErr w:type="spellEnd"/>
      <w:r w:rsidR="00A2636B" w:rsidRPr="00D77963">
        <w:rPr>
          <w:snapToGrid w:val="0"/>
          <w:szCs w:val="22"/>
          <w:lang w:eastAsia="en-US"/>
        </w:rPr>
        <w:t xml:space="preserve"> </w:t>
      </w:r>
      <w:r w:rsidR="00C67817" w:rsidRPr="00D77963">
        <w:rPr>
          <w:snapToGrid w:val="0"/>
          <w:szCs w:val="22"/>
          <w:lang w:eastAsia="en-US"/>
        </w:rPr>
        <w:t xml:space="preserve"> 120 mg (with an additional 120 mg loading</w:t>
      </w:r>
      <w:r w:rsidR="00DD15CC" w:rsidRPr="00D77963">
        <w:rPr>
          <w:snapToGrid w:val="0"/>
          <w:szCs w:val="22"/>
          <w:lang w:eastAsia="en-US"/>
        </w:rPr>
        <w:t xml:space="preserve"> dose) to placebo (representing best supportive care)</w:t>
      </w:r>
      <w:r w:rsidR="00AE6CAF" w:rsidRPr="00D77963">
        <w:rPr>
          <w:snapToGrid w:val="0"/>
          <w:szCs w:val="22"/>
          <w:lang w:eastAsia="en-US"/>
        </w:rPr>
        <w:t xml:space="preserve"> </w:t>
      </w:r>
      <w:r w:rsidR="00C67817" w:rsidRPr="00D77963">
        <w:rPr>
          <w:snapToGrid w:val="0"/>
          <w:szCs w:val="22"/>
          <w:lang w:eastAsia="en-US"/>
        </w:rPr>
        <w:t xml:space="preserve">in patients with chronic and episodic migraine who have previously failed between 2 and 4 preventative treatments for migraine. </w:t>
      </w:r>
      <w:r w:rsidR="00AE6CAF" w:rsidRPr="00D77963">
        <w:rPr>
          <w:snapToGrid w:val="0"/>
          <w:szCs w:val="22"/>
          <w:lang w:eastAsia="en-US"/>
        </w:rPr>
        <w:t xml:space="preserve">The PBAC noted the clinical claim in the submission was based on patients with episodic migraine who had received </w:t>
      </w:r>
      <w:r w:rsidR="00DD15CC" w:rsidRPr="00D77963">
        <w:rPr>
          <w:rFonts w:cs="Calibri"/>
          <w:snapToGrid w:val="0"/>
          <w:szCs w:val="22"/>
          <w:lang w:eastAsia="en-US"/>
        </w:rPr>
        <w:t>3 or 4 prior</w:t>
      </w:r>
      <w:r w:rsidR="00AE6CAF" w:rsidRPr="00D77963">
        <w:rPr>
          <w:snapToGrid w:val="0"/>
          <w:szCs w:val="22"/>
          <w:lang w:eastAsia="en-US"/>
        </w:rPr>
        <w:t xml:space="preserve"> preventative </w:t>
      </w:r>
      <w:r w:rsidR="00AE6CAF" w:rsidRPr="00D77963">
        <w:rPr>
          <w:snapToGrid w:val="0"/>
          <w:szCs w:val="22"/>
          <w:lang w:eastAsia="en-US"/>
        </w:rPr>
        <w:lastRenderedPageBreak/>
        <w:t xml:space="preserve">medications (n=100) which was a subgroup of the ITT population (n=462).  </w:t>
      </w:r>
      <w:r w:rsidR="003B0747" w:rsidRPr="00D77963">
        <w:rPr>
          <w:snapToGrid w:val="0"/>
          <w:szCs w:val="22"/>
          <w:lang w:eastAsia="en-US"/>
        </w:rPr>
        <w:t xml:space="preserve">The PBAC noted the difference in the change from baseline in the number of migraine headache days </w:t>
      </w:r>
      <w:r w:rsidR="00445D59" w:rsidRPr="00D77963">
        <w:rPr>
          <w:snapToGrid w:val="0"/>
          <w:szCs w:val="22"/>
          <w:lang w:eastAsia="en-US"/>
        </w:rPr>
        <w:t xml:space="preserve">per month </w:t>
      </w:r>
      <w:r w:rsidR="003B0747" w:rsidRPr="00D77963">
        <w:rPr>
          <w:snapToGrid w:val="0"/>
          <w:szCs w:val="22"/>
          <w:lang w:eastAsia="en-US"/>
        </w:rPr>
        <w:t xml:space="preserve">for </w:t>
      </w:r>
      <w:proofErr w:type="spellStart"/>
      <w:r w:rsidR="003B0747" w:rsidRPr="00D77963">
        <w:rPr>
          <w:snapToGrid w:val="0"/>
          <w:szCs w:val="22"/>
          <w:lang w:eastAsia="en-US"/>
        </w:rPr>
        <w:t>galcanezumab</w:t>
      </w:r>
      <w:proofErr w:type="spellEnd"/>
      <w:r w:rsidR="003B0747" w:rsidRPr="00D77963">
        <w:rPr>
          <w:snapToGrid w:val="0"/>
          <w:szCs w:val="22"/>
          <w:lang w:eastAsia="en-US"/>
        </w:rPr>
        <w:t xml:space="preserve"> vs placebo </w:t>
      </w:r>
      <w:r w:rsidR="00A322A7" w:rsidRPr="00D77963">
        <w:rPr>
          <w:snapToGrid w:val="0"/>
          <w:szCs w:val="22"/>
          <w:lang w:eastAsia="en-US"/>
        </w:rPr>
        <w:t xml:space="preserve">at 12 weeks </w:t>
      </w:r>
      <w:r w:rsidR="003B0747" w:rsidRPr="00D77963">
        <w:rPr>
          <w:snapToGrid w:val="0"/>
          <w:szCs w:val="22"/>
          <w:lang w:eastAsia="en-US"/>
        </w:rPr>
        <w:t xml:space="preserve">was -2.99 (95%CI: -4.53, </w:t>
      </w:r>
      <w:r w:rsidR="007D4048" w:rsidRPr="00D77963">
        <w:br/>
      </w:r>
      <w:r w:rsidR="003B0747" w:rsidRPr="00D77963">
        <w:rPr>
          <w:snapToGrid w:val="0"/>
          <w:szCs w:val="22"/>
          <w:lang w:eastAsia="en-US"/>
        </w:rPr>
        <w:t xml:space="preserve">-1.45). </w:t>
      </w:r>
      <w:r w:rsidR="00445D59" w:rsidRPr="00D77963">
        <w:rPr>
          <w:snapToGrid w:val="0"/>
          <w:szCs w:val="22"/>
          <w:lang w:eastAsia="en-US"/>
        </w:rPr>
        <w:t xml:space="preserve">The PBAC </w:t>
      </w:r>
      <w:r w:rsidR="00676D1F" w:rsidRPr="00D77963">
        <w:rPr>
          <w:snapToGrid w:val="0"/>
          <w:szCs w:val="22"/>
          <w:lang w:eastAsia="en-US"/>
        </w:rPr>
        <w:t xml:space="preserve">considered that treatment with </w:t>
      </w:r>
      <w:proofErr w:type="spellStart"/>
      <w:r w:rsidR="00676D1F" w:rsidRPr="00D77963">
        <w:rPr>
          <w:snapToGrid w:val="0"/>
          <w:szCs w:val="22"/>
          <w:lang w:eastAsia="en-US"/>
        </w:rPr>
        <w:t>galcanezumab</w:t>
      </w:r>
      <w:proofErr w:type="spellEnd"/>
      <w:r w:rsidR="00676D1F" w:rsidRPr="00D77963">
        <w:rPr>
          <w:snapToGrid w:val="0"/>
          <w:szCs w:val="22"/>
          <w:lang w:eastAsia="en-US"/>
        </w:rPr>
        <w:t xml:space="preserve"> resulted in a modest reduction in the number of migraine headache days compared to placebo. </w:t>
      </w:r>
    </w:p>
    <w:p w:rsidR="00870971" w:rsidRPr="00D77963" w:rsidRDefault="00DD15CC" w:rsidP="004902DC">
      <w:pPr>
        <w:widowControl w:val="0"/>
        <w:numPr>
          <w:ilvl w:val="1"/>
          <w:numId w:val="1"/>
        </w:numPr>
        <w:spacing w:after="160"/>
        <w:rPr>
          <w:snapToGrid w:val="0"/>
          <w:szCs w:val="22"/>
          <w:lang w:eastAsia="en-US"/>
        </w:rPr>
      </w:pPr>
      <w:r w:rsidRPr="00D77963">
        <w:rPr>
          <w:snapToGrid w:val="0"/>
          <w:szCs w:val="22"/>
          <w:lang w:eastAsia="en-US"/>
        </w:rPr>
        <w:t xml:space="preserve">The PBAC noted the average number of migraine headache days </w:t>
      </w:r>
      <w:r w:rsidR="00F60B95" w:rsidRPr="00D77963">
        <w:rPr>
          <w:snapToGrid w:val="0"/>
          <w:szCs w:val="22"/>
          <w:lang w:eastAsia="en-US"/>
        </w:rPr>
        <w:t xml:space="preserve">per month </w:t>
      </w:r>
      <w:r w:rsidRPr="00D77963">
        <w:rPr>
          <w:snapToGrid w:val="0"/>
          <w:szCs w:val="22"/>
          <w:lang w:eastAsia="en-US"/>
        </w:rPr>
        <w:t>at baseline in the subgroup of patients with treatment-resistant episodic migraine was 10</w:t>
      </w:r>
      <w:r w:rsidR="00F60B95" w:rsidRPr="00D77963">
        <w:rPr>
          <w:snapToGrid w:val="0"/>
          <w:szCs w:val="22"/>
          <w:lang w:eastAsia="en-US"/>
        </w:rPr>
        <w:t xml:space="preserve"> and considered the</w:t>
      </w:r>
      <w:r w:rsidR="00227C65" w:rsidRPr="00D77963">
        <w:rPr>
          <w:snapToGrid w:val="0"/>
          <w:szCs w:val="22"/>
          <w:lang w:eastAsia="en-US"/>
        </w:rPr>
        <w:t xml:space="preserve"> magnitude of benefit observed in the</w:t>
      </w:r>
      <w:r w:rsidR="00F60B95" w:rsidRPr="00D77963">
        <w:rPr>
          <w:snapToGrid w:val="0"/>
          <w:szCs w:val="22"/>
          <w:lang w:eastAsia="en-US"/>
        </w:rPr>
        <w:t xml:space="preserve"> CONQUER </w:t>
      </w:r>
      <w:r w:rsidR="00227C65" w:rsidRPr="00D77963">
        <w:rPr>
          <w:snapToGrid w:val="0"/>
          <w:szCs w:val="22"/>
          <w:lang w:eastAsia="en-US"/>
        </w:rPr>
        <w:t xml:space="preserve">trial (i.e., reduction in migraine headache days per months of ~3) </w:t>
      </w:r>
      <w:r w:rsidR="00F60B95" w:rsidRPr="00D77963">
        <w:rPr>
          <w:snapToGrid w:val="0"/>
          <w:szCs w:val="22"/>
          <w:lang w:eastAsia="en-US"/>
        </w:rPr>
        <w:t>may not be</w:t>
      </w:r>
      <w:r w:rsidR="006F4DC9" w:rsidRPr="00D77963">
        <w:rPr>
          <w:snapToGrid w:val="0"/>
          <w:szCs w:val="22"/>
          <w:lang w:eastAsia="en-US"/>
        </w:rPr>
        <w:t xml:space="preserve"> achieved in </w:t>
      </w:r>
      <w:r w:rsidR="00F60B95" w:rsidRPr="00D77963">
        <w:rPr>
          <w:snapToGrid w:val="0"/>
          <w:szCs w:val="22"/>
          <w:lang w:eastAsia="en-US"/>
        </w:rPr>
        <w:t>the PBS population</w:t>
      </w:r>
      <w:r w:rsidR="00676D1F" w:rsidRPr="00D77963">
        <w:rPr>
          <w:snapToGrid w:val="0"/>
          <w:szCs w:val="22"/>
          <w:lang w:eastAsia="en-US"/>
        </w:rPr>
        <w:t xml:space="preserve"> who</w:t>
      </w:r>
      <w:r w:rsidR="00F60B95" w:rsidRPr="00D77963">
        <w:rPr>
          <w:snapToGrid w:val="0"/>
          <w:szCs w:val="22"/>
          <w:lang w:eastAsia="en-US"/>
        </w:rPr>
        <w:t xml:space="preserve"> are required to have 4 or more migraine headache days per month. </w:t>
      </w:r>
    </w:p>
    <w:p w:rsidR="008C2D54" w:rsidRPr="00D77963" w:rsidRDefault="00676D1F" w:rsidP="008C2D54">
      <w:pPr>
        <w:widowControl w:val="0"/>
        <w:numPr>
          <w:ilvl w:val="1"/>
          <w:numId w:val="1"/>
        </w:numPr>
        <w:spacing w:after="160"/>
        <w:rPr>
          <w:snapToGrid w:val="0"/>
          <w:szCs w:val="22"/>
          <w:lang w:eastAsia="en-US"/>
        </w:rPr>
      </w:pPr>
      <w:r w:rsidRPr="00D77963">
        <w:rPr>
          <w:snapToGrid w:val="0"/>
          <w:szCs w:val="22"/>
          <w:lang w:eastAsia="en-US"/>
        </w:rPr>
        <w:t xml:space="preserve">The PBAC noted the significant </w:t>
      </w:r>
      <w:r w:rsidR="003C4125" w:rsidRPr="00D77963">
        <w:rPr>
          <w:snapToGrid w:val="0"/>
          <w:szCs w:val="22"/>
          <w:lang w:eastAsia="en-US"/>
        </w:rPr>
        <w:t xml:space="preserve">issues </w:t>
      </w:r>
      <w:r w:rsidRPr="00D77963">
        <w:rPr>
          <w:snapToGrid w:val="0"/>
          <w:szCs w:val="22"/>
          <w:lang w:eastAsia="en-US"/>
        </w:rPr>
        <w:t xml:space="preserve">associated with the economic model (paragraph 6.60) but considered </w:t>
      </w:r>
      <w:proofErr w:type="spellStart"/>
      <w:r w:rsidRPr="00D77963">
        <w:rPr>
          <w:snapToGrid w:val="0"/>
          <w:szCs w:val="22"/>
          <w:lang w:eastAsia="en-US"/>
        </w:rPr>
        <w:t>galcanezumab</w:t>
      </w:r>
      <w:proofErr w:type="spellEnd"/>
      <w:r w:rsidRPr="00D77963">
        <w:rPr>
          <w:snapToGrid w:val="0"/>
          <w:szCs w:val="22"/>
          <w:lang w:eastAsia="en-US"/>
        </w:rPr>
        <w:t xml:space="preserve"> </w:t>
      </w:r>
      <w:r w:rsidR="00EE44D2" w:rsidRPr="00D77963">
        <w:rPr>
          <w:snapToGrid w:val="0"/>
          <w:szCs w:val="22"/>
          <w:lang w:eastAsia="en-US"/>
        </w:rPr>
        <w:t>i</w:t>
      </w:r>
      <w:r w:rsidRPr="00D77963">
        <w:rPr>
          <w:snapToGrid w:val="0"/>
          <w:szCs w:val="22"/>
          <w:lang w:eastAsia="en-US"/>
        </w:rPr>
        <w:t xml:space="preserve">s </w:t>
      </w:r>
      <w:r w:rsidR="00AB2FEC" w:rsidRPr="00D77963">
        <w:rPr>
          <w:snapToGrid w:val="0"/>
          <w:szCs w:val="22"/>
          <w:lang w:eastAsia="en-US"/>
        </w:rPr>
        <w:t xml:space="preserve">not </w:t>
      </w:r>
      <w:r w:rsidRPr="00D77963">
        <w:rPr>
          <w:snapToGrid w:val="0"/>
          <w:szCs w:val="22"/>
          <w:lang w:eastAsia="en-US"/>
        </w:rPr>
        <w:t>cost-</w:t>
      </w:r>
      <w:r w:rsidR="00CE0656" w:rsidRPr="00D77963">
        <w:rPr>
          <w:snapToGrid w:val="0"/>
          <w:szCs w:val="22"/>
          <w:lang w:eastAsia="en-US"/>
        </w:rPr>
        <w:t>effective</w:t>
      </w:r>
      <w:r w:rsidRPr="00D77963">
        <w:rPr>
          <w:snapToGrid w:val="0"/>
          <w:szCs w:val="22"/>
          <w:lang w:eastAsia="en-US"/>
        </w:rPr>
        <w:t xml:space="preserve"> for episodic migraine at the price requested in the submission. The PBAC noted the price requested for </w:t>
      </w:r>
      <w:r w:rsidR="00CE0656" w:rsidRPr="00D77963">
        <w:rPr>
          <w:snapToGrid w:val="0"/>
          <w:szCs w:val="22"/>
          <w:lang w:eastAsia="en-US"/>
        </w:rPr>
        <w:t xml:space="preserve">episodic migraine was higher than the price recommended by the PBAC for chronic migraine </w:t>
      </w:r>
      <w:r w:rsidR="003C031F" w:rsidRPr="00D77963">
        <w:rPr>
          <w:snapToGrid w:val="0"/>
          <w:szCs w:val="22"/>
          <w:lang w:eastAsia="en-US"/>
        </w:rPr>
        <w:t xml:space="preserve">in July 2019 </w:t>
      </w:r>
      <w:r w:rsidR="00CE0656" w:rsidRPr="00D77963">
        <w:rPr>
          <w:snapToGrid w:val="0"/>
          <w:szCs w:val="22"/>
          <w:lang w:eastAsia="en-US"/>
        </w:rPr>
        <w:t>and considered this was not adequately justified in the submission</w:t>
      </w:r>
      <w:r w:rsidR="00B1385B" w:rsidRPr="00D77963">
        <w:rPr>
          <w:snapToGrid w:val="0"/>
          <w:szCs w:val="22"/>
          <w:lang w:eastAsia="en-US"/>
        </w:rPr>
        <w:t xml:space="preserve">, </w:t>
      </w:r>
      <w:r w:rsidR="007D4048" w:rsidRPr="00D77963">
        <w:rPr>
          <w:snapToGrid w:val="0"/>
          <w:szCs w:val="22"/>
          <w:lang w:eastAsia="en-US"/>
        </w:rPr>
        <w:t xml:space="preserve">noting that </w:t>
      </w:r>
      <w:r w:rsidR="00B1385B" w:rsidRPr="00D77963">
        <w:rPr>
          <w:snapToGrid w:val="0"/>
          <w:szCs w:val="22"/>
          <w:lang w:eastAsia="en-US"/>
        </w:rPr>
        <w:t xml:space="preserve">the magnitude of benefit provided by </w:t>
      </w:r>
      <w:proofErr w:type="spellStart"/>
      <w:r w:rsidR="00B1385B" w:rsidRPr="00D77963">
        <w:rPr>
          <w:snapToGrid w:val="0"/>
          <w:szCs w:val="22"/>
          <w:lang w:eastAsia="en-US"/>
        </w:rPr>
        <w:t>galcanezumab</w:t>
      </w:r>
      <w:proofErr w:type="spellEnd"/>
      <w:r w:rsidR="00B1385B" w:rsidRPr="00D77963">
        <w:rPr>
          <w:snapToGrid w:val="0"/>
          <w:szCs w:val="22"/>
          <w:lang w:eastAsia="en-US"/>
        </w:rPr>
        <w:t xml:space="preserve"> is likely to be less for episodic migraine</w:t>
      </w:r>
      <w:r w:rsidR="0071398F" w:rsidRPr="00D77963">
        <w:rPr>
          <w:snapToGrid w:val="0"/>
          <w:szCs w:val="22"/>
          <w:lang w:eastAsia="en-US"/>
        </w:rPr>
        <w:t xml:space="preserve"> than for chronic migraine</w:t>
      </w:r>
      <w:r w:rsidR="00AB2FEC" w:rsidRPr="00D77963">
        <w:rPr>
          <w:snapToGrid w:val="0"/>
          <w:szCs w:val="22"/>
          <w:lang w:eastAsia="en-US"/>
        </w:rPr>
        <w:t>.</w:t>
      </w:r>
    </w:p>
    <w:p w:rsidR="008C2D54" w:rsidRPr="00D77963" w:rsidRDefault="00135038" w:rsidP="004902DC">
      <w:pPr>
        <w:widowControl w:val="0"/>
        <w:numPr>
          <w:ilvl w:val="1"/>
          <w:numId w:val="1"/>
        </w:numPr>
        <w:spacing w:after="160"/>
        <w:rPr>
          <w:snapToGrid w:val="0"/>
          <w:szCs w:val="22"/>
          <w:lang w:eastAsia="en-US"/>
        </w:rPr>
      </w:pPr>
      <w:r w:rsidRPr="00D77963">
        <w:rPr>
          <w:snapToGrid w:val="0"/>
          <w:szCs w:val="22"/>
          <w:lang w:eastAsia="en-US"/>
        </w:rPr>
        <w:t xml:space="preserve">The PBAC noted the estimated cost of listing </w:t>
      </w:r>
      <w:proofErr w:type="spellStart"/>
      <w:r w:rsidRPr="00D77963">
        <w:rPr>
          <w:snapToGrid w:val="0"/>
          <w:szCs w:val="22"/>
          <w:lang w:eastAsia="en-US"/>
        </w:rPr>
        <w:t>galcanezumab</w:t>
      </w:r>
      <w:proofErr w:type="spellEnd"/>
      <w:r w:rsidRPr="00D77963">
        <w:rPr>
          <w:snapToGrid w:val="0"/>
          <w:szCs w:val="22"/>
          <w:lang w:eastAsia="en-US"/>
        </w:rPr>
        <w:t xml:space="preserve"> on the PBS for episodic migraine was high and uncertain.</w:t>
      </w:r>
      <w:r w:rsidR="008C2D54" w:rsidRPr="00D77963">
        <w:rPr>
          <w:snapToGrid w:val="0"/>
          <w:szCs w:val="22"/>
          <w:lang w:eastAsia="en-US"/>
        </w:rPr>
        <w:t xml:space="preserve"> </w:t>
      </w:r>
      <w:r w:rsidR="0000338F" w:rsidRPr="00D77963">
        <w:rPr>
          <w:snapToGrid w:val="0"/>
          <w:szCs w:val="22"/>
          <w:lang w:eastAsia="en-US"/>
        </w:rPr>
        <w:t xml:space="preserve">The PBAC considered the estimate that 2.3% of patients with migraine would be eligible for treatment with </w:t>
      </w:r>
      <w:proofErr w:type="spellStart"/>
      <w:r w:rsidR="0000338F" w:rsidRPr="00D77963">
        <w:rPr>
          <w:snapToGrid w:val="0"/>
          <w:szCs w:val="22"/>
          <w:lang w:eastAsia="en-US"/>
        </w:rPr>
        <w:t>galcanezumab</w:t>
      </w:r>
      <w:proofErr w:type="spellEnd"/>
      <w:r w:rsidR="0000338F" w:rsidRPr="00D77963">
        <w:rPr>
          <w:snapToGrid w:val="0"/>
          <w:szCs w:val="22"/>
          <w:lang w:eastAsia="en-US"/>
        </w:rPr>
        <w:t xml:space="preserve"> if it was listed for episodic migraine was poorly supported and highly uncertain. </w:t>
      </w:r>
      <w:r w:rsidR="00DB1DF5" w:rsidRPr="00D77963">
        <w:rPr>
          <w:snapToGrid w:val="0"/>
          <w:szCs w:val="22"/>
          <w:lang w:eastAsia="en-US"/>
        </w:rPr>
        <w:t xml:space="preserve">The PBAC considered a proportion of patients </w:t>
      </w:r>
      <w:r w:rsidR="00D17F67" w:rsidRPr="00D77963">
        <w:rPr>
          <w:snapToGrid w:val="0"/>
          <w:szCs w:val="22"/>
          <w:lang w:eastAsia="en-US"/>
        </w:rPr>
        <w:t>with EM included in the</w:t>
      </w:r>
      <w:r w:rsidR="00160229" w:rsidRPr="00D77963">
        <w:rPr>
          <w:snapToGrid w:val="0"/>
          <w:szCs w:val="22"/>
          <w:lang w:eastAsia="en-US"/>
        </w:rPr>
        <w:t xml:space="preserve"> financial estimates</w:t>
      </w:r>
      <w:r w:rsidR="00D17F67" w:rsidRPr="00D77963">
        <w:rPr>
          <w:snapToGrid w:val="0"/>
          <w:szCs w:val="22"/>
          <w:lang w:eastAsia="en-US"/>
        </w:rPr>
        <w:t xml:space="preserve"> </w:t>
      </w:r>
      <w:r w:rsidR="00DB1DF5" w:rsidRPr="00D77963">
        <w:rPr>
          <w:snapToGrid w:val="0"/>
          <w:szCs w:val="22"/>
          <w:lang w:eastAsia="en-US"/>
        </w:rPr>
        <w:t xml:space="preserve">may already have been </w:t>
      </w:r>
      <w:r w:rsidR="00D17F67" w:rsidRPr="00D77963">
        <w:rPr>
          <w:snapToGrid w:val="0"/>
          <w:szCs w:val="22"/>
          <w:lang w:eastAsia="en-US"/>
        </w:rPr>
        <w:t>captured</w:t>
      </w:r>
      <w:r w:rsidR="00DB1DF5" w:rsidRPr="00D77963">
        <w:rPr>
          <w:snapToGrid w:val="0"/>
          <w:szCs w:val="22"/>
          <w:lang w:eastAsia="en-US"/>
        </w:rPr>
        <w:t xml:space="preserve"> in the CM submission</w:t>
      </w:r>
      <w:r w:rsidR="00D17F67" w:rsidRPr="00D77963">
        <w:rPr>
          <w:snapToGrid w:val="0"/>
          <w:szCs w:val="22"/>
          <w:lang w:eastAsia="en-US"/>
        </w:rPr>
        <w:t>, noting</w:t>
      </w:r>
      <w:r w:rsidR="00160229" w:rsidRPr="00D77963">
        <w:rPr>
          <w:snapToGrid w:val="0"/>
          <w:szCs w:val="22"/>
          <w:lang w:eastAsia="en-US"/>
        </w:rPr>
        <w:t xml:space="preserve"> that patients may cycle between the two definitions</w:t>
      </w:r>
      <w:r w:rsidR="00D17F67" w:rsidRPr="00D77963">
        <w:rPr>
          <w:snapToGrid w:val="0"/>
          <w:szCs w:val="22"/>
          <w:lang w:eastAsia="en-US"/>
        </w:rPr>
        <w:t xml:space="preserve">. </w:t>
      </w:r>
    </w:p>
    <w:p w:rsidR="00271315" w:rsidRPr="00D77963" w:rsidRDefault="00135038" w:rsidP="004902DC">
      <w:pPr>
        <w:widowControl w:val="0"/>
        <w:numPr>
          <w:ilvl w:val="1"/>
          <w:numId w:val="1"/>
        </w:numPr>
        <w:spacing w:after="160"/>
        <w:rPr>
          <w:snapToGrid w:val="0"/>
          <w:szCs w:val="22"/>
          <w:lang w:eastAsia="en-US"/>
        </w:rPr>
      </w:pPr>
      <w:r w:rsidRPr="00D77963">
        <w:rPr>
          <w:snapToGrid w:val="0"/>
          <w:szCs w:val="22"/>
          <w:lang w:eastAsia="en-US"/>
        </w:rPr>
        <w:t xml:space="preserve">The PBAC </w:t>
      </w:r>
      <w:r w:rsidR="004835A8" w:rsidRPr="00D77963">
        <w:rPr>
          <w:snapToGrid w:val="0"/>
          <w:szCs w:val="22"/>
          <w:lang w:eastAsia="en-US"/>
        </w:rPr>
        <w:t xml:space="preserve">advised </w:t>
      </w:r>
      <w:r w:rsidRPr="00D77963">
        <w:rPr>
          <w:snapToGrid w:val="0"/>
          <w:szCs w:val="22"/>
          <w:lang w:eastAsia="en-US"/>
        </w:rPr>
        <w:t>any resubmission for episodic migraine should</w:t>
      </w:r>
      <w:r w:rsidR="00271315" w:rsidRPr="00D77963">
        <w:rPr>
          <w:snapToGrid w:val="0"/>
          <w:szCs w:val="22"/>
          <w:lang w:eastAsia="en-US"/>
        </w:rPr>
        <w:t>:</w:t>
      </w:r>
    </w:p>
    <w:p w:rsidR="00271315" w:rsidRPr="00D77963" w:rsidRDefault="00135038" w:rsidP="00271315">
      <w:pPr>
        <w:pStyle w:val="ListParagraph"/>
        <w:widowControl w:val="0"/>
        <w:numPr>
          <w:ilvl w:val="0"/>
          <w:numId w:val="38"/>
        </w:numPr>
        <w:spacing w:after="160"/>
        <w:rPr>
          <w:snapToGrid w:val="0"/>
          <w:szCs w:val="22"/>
          <w:lang w:eastAsia="en-US"/>
        </w:rPr>
      </w:pPr>
      <w:r w:rsidRPr="00D77963">
        <w:rPr>
          <w:snapToGrid w:val="0"/>
          <w:szCs w:val="22"/>
          <w:lang w:eastAsia="en-US"/>
        </w:rPr>
        <w:t xml:space="preserve">be </w:t>
      </w:r>
      <w:r w:rsidR="00072885" w:rsidRPr="00D77963">
        <w:rPr>
          <w:snapToGrid w:val="0"/>
          <w:szCs w:val="22"/>
          <w:lang w:eastAsia="en-US"/>
        </w:rPr>
        <w:t xml:space="preserve">a </w:t>
      </w:r>
      <w:r w:rsidR="0014509A" w:rsidRPr="00D77963">
        <w:rPr>
          <w:snapToGrid w:val="0"/>
          <w:szCs w:val="22"/>
          <w:lang w:eastAsia="en-US"/>
        </w:rPr>
        <w:t>major submission</w:t>
      </w:r>
      <w:r w:rsidR="00B837EA" w:rsidRPr="00D77963">
        <w:rPr>
          <w:snapToGrid w:val="0"/>
          <w:szCs w:val="22"/>
          <w:lang w:eastAsia="en-US"/>
        </w:rPr>
        <w:t>;</w:t>
      </w:r>
      <w:r w:rsidR="0014509A" w:rsidRPr="00D77963">
        <w:rPr>
          <w:snapToGrid w:val="0"/>
          <w:szCs w:val="22"/>
          <w:lang w:eastAsia="en-US"/>
        </w:rPr>
        <w:t xml:space="preserve"> </w:t>
      </w:r>
    </w:p>
    <w:p w:rsidR="00271315" w:rsidRPr="00D77963" w:rsidRDefault="00135038" w:rsidP="00271315">
      <w:pPr>
        <w:pStyle w:val="ListParagraph"/>
        <w:widowControl w:val="0"/>
        <w:numPr>
          <w:ilvl w:val="0"/>
          <w:numId w:val="38"/>
        </w:numPr>
        <w:spacing w:after="160"/>
        <w:rPr>
          <w:snapToGrid w:val="0"/>
          <w:szCs w:val="22"/>
          <w:lang w:eastAsia="en-US"/>
        </w:rPr>
      </w:pPr>
      <w:r w:rsidRPr="00D77963">
        <w:rPr>
          <w:snapToGrid w:val="0"/>
          <w:szCs w:val="22"/>
          <w:lang w:eastAsia="en-US"/>
        </w:rPr>
        <w:t>propose a listing for people with treatment-resistant migraine</w:t>
      </w:r>
      <w:r w:rsidR="00B837EA" w:rsidRPr="00D77963">
        <w:rPr>
          <w:snapToGrid w:val="0"/>
          <w:szCs w:val="22"/>
          <w:lang w:eastAsia="en-US"/>
        </w:rPr>
        <w:t>;</w:t>
      </w:r>
    </w:p>
    <w:p w:rsidR="00271315" w:rsidRPr="00D77963" w:rsidRDefault="00072885" w:rsidP="00271315">
      <w:pPr>
        <w:pStyle w:val="ListParagraph"/>
        <w:widowControl w:val="0"/>
        <w:numPr>
          <w:ilvl w:val="0"/>
          <w:numId w:val="38"/>
        </w:numPr>
        <w:spacing w:after="160"/>
        <w:rPr>
          <w:snapToGrid w:val="0"/>
          <w:szCs w:val="22"/>
          <w:lang w:eastAsia="en-US"/>
        </w:rPr>
      </w:pPr>
      <w:r w:rsidRPr="00D77963">
        <w:rPr>
          <w:snapToGrid w:val="0"/>
          <w:szCs w:val="22"/>
          <w:lang w:eastAsia="en-US"/>
        </w:rPr>
        <w:t xml:space="preserve">demonstrate the cost-effectiveness of </w:t>
      </w:r>
      <w:proofErr w:type="spellStart"/>
      <w:r w:rsidRPr="00D77963">
        <w:rPr>
          <w:snapToGrid w:val="0"/>
          <w:szCs w:val="22"/>
          <w:lang w:eastAsia="en-US"/>
        </w:rPr>
        <w:t>galcanezumab</w:t>
      </w:r>
      <w:proofErr w:type="spellEnd"/>
      <w:r w:rsidRPr="00D77963">
        <w:rPr>
          <w:snapToGrid w:val="0"/>
          <w:szCs w:val="22"/>
          <w:lang w:eastAsia="en-US"/>
        </w:rPr>
        <w:t xml:space="preserve"> for the proposed listing</w:t>
      </w:r>
      <w:r w:rsidR="00B837EA" w:rsidRPr="00D77963">
        <w:rPr>
          <w:snapToGrid w:val="0"/>
          <w:szCs w:val="22"/>
          <w:lang w:eastAsia="en-US"/>
        </w:rPr>
        <w:t xml:space="preserve">; </w:t>
      </w:r>
      <w:r w:rsidRPr="00D77963">
        <w:rPr>
          <w:snapToGrid w:val="0"/>
          <w:szCs w:val="22"/>
          <w:lang w:eastAsia="en-US"/>
        </w:rPr>
        <w:t xml:space="preserve">and </w:t>
      </w:r>
    </w:p>
    <w:p w:rsidR="00707BD9" w:rsidRPr="00D77963" w:rsidRDefault="0014509A" w:rsidP="00271315">
      <w:pPr>
        <w:pStyle w:val="ListParagraph"/>
        <w:widowControl w:val="0"/>
        <w:numPr>
          <w:ilvl w:val="0"/>
          <w:numId w:val="38"/>
        </w:numPr>
        <w:spacing w:after="160"/>
        <w:rPr>
          <w:snapToGrid w:val="0"/>
          <w:szCs w:val="22"/>
          <w:lang w:eastAsia="en-US"/>
        </w:rPr>
      </w:pPr>
      <w:proofErr w:type="gramStart"/>
      <w:r w:rsidRPr="00D77963">
        <w:rPr>
          <w:snapToGrid w:val="0"/>
          <w:szCs w:val="22"/>
          <w:lang w:eastAsia="en-US"/>
        </w:rPr>
        <w:t>provide</w:t>
      </w:r>
      <w:proofErr w:type="gramEnd"/>
      <w:r w:rsidRPr="00D77963">
        <w:rPr>
          <w:snapToGrid w:val="0"/>
          <w:szCs w:val="22"/>
          <w:lang w:eastAsia="en-US"/>
        </w:rPr>
        <w:t xml:space="preserve"> revised </w:t>
      </w:r>
      <w:r w:rsidR="00072885" w:rsidRPr="00D77963">
        <w:rPr>
          <w:snapToGrid w:val="0"/>
          <w:szCs w:val="22"/>
          <w:lang w:eastAsia="en-US"/>
        </w:rPr>
        <w:t xml:space="preserve">financial </w:t>
      </w:r>
      <w:r w:rsidRPr="00D77963">
        <w:rPr>
          <w:snapToGrid w:val="0"/>
          <w:szCs w:val="22"/>
          <w:lang w:eastAsia="en-US"/>
        </w:rPr>
        <w:t>estimates</w:t>
      </w:r>
      <w:r w:rsidR="00830BAB" w:rsidRPr="00D77963">
        <w:rPr>
          <w:snapToGrid w:val="0"/>
          <w:szCs w:val="22"/>
          <w:lang w:eastAsia="en-US"/>
        </w:rPr>
        <w:t xml:space="preserve">, accounting for patients that may already have </w:t>
      </w:r>
      <w:r w:rsidR="00160229" w:rsidRPr="00D77963">
        <w:rPr>
          <w:snapToGrid w:val="0"/>
          <w:szCs w:val="22"/>
          <w:lang w:eastAsia="en-US"/>
        </w:rPr>
        <w:t>been attributed to the chronic migraine population</w:t>
      </w:r>
      <w:r w:rsidR="00135038" w:rsidRPr="00D77963">
        <w:rPr>
          <w:snapToGrid w:val="0"/>
          <w:szCs w:val="22"/>
          <w:lang w:eastAsia="en-US"/>
        </w:rPr>
        <w:t xml:space="preserve">. </w:t>
      </w:r>
    </w:p>
    <w:p w:rsidR="0087780E" w:rsidRPr="00D77963" w:rsidRDefault="0087780E" w:rsidP="0087780E">
      <w:pPr>
        <w:pStyle w:val="3Bodytext"/>
        <w:numPr>
          <w:ilvl w:val="1"/>
          <w:numId w:val="1"/>
        </w:numPr>
        <w:jc w:val="both"/>
        <w:rPr>
          <w:rFonts w:cs="Calibri"/>
          <w:iCs/>
        </w:rPr>
      </w:pPr>
      <w:r w:rsidRPr="00D77963">
        <w:rPr>
          <w:rFonts w:cs="Calibri"/>
          <w:iCs/>
        </w:rPr>
        <w:t xml:space="preserve">The PBAC noted that this submission is eligible for an Independent Review. </w:t>
      </w:r>
    </w:p>
    <w:p w:rsidR="004902DC" w:rsidRPr="00D77963" w:rsidRDefault="00382F20" w:rsidP="004902DC">
      <w:pPr>
        <w:widowControl w:val="0"/>
        <w:spacing w:after="160"/>
        <w:rPr>
          <w:b/>
          <w:snapToGrid w:val="0"/>
          <w:szCs w:val="22"/>
          <w:lang w:eastAsia="en-US"/>
        </w:rPr>
      </w:pPr>
      <w:r w:rsidRPr="00D77963">
        <w:rPr>
          <w:b/>
          <w:snapToGrid w:val="0"/>
          <w:szCs w:val="22"/>
          <w:lang w:eastAsia="en-US"/>
        </w:rPr>
        <w:t>Outcome:</w:t>
      </w:r>
    </w:p>
    <w:p w:rsidR="002C5099" w:rsidRDefault="00830BAB" w:rsidP="000C64EE">
      <w:pPr>
        <w:rPr>
          <w:snapToGrid w:val="0"/>
          <w:lang w:eastAsia="en-US"/>
        </w:rPr>
      </w:pPr>
      <w:r w:rsidRPr="00D77963">
        <w:rPr>
          <w:snapToGrid w:val="0"/>
          <w:lang w:eastAsia="en-US"/>
        </w:rPr>
        <w:t>Rejected</w:t>
      </w:r>
      <w:r w:rsidR="00382F20" w:rsidRPr="00D77963">
        <w:rPr>
          <w:snapToGrid w:val="0"/>
          <w:lang w:eastAsia="en-US"/>
        </w:rPr>
        <w:t>.</w:t>
      </w:r>
      <w:bookmarkEnd w:id="43"/>
      <w:bookmarkEnd w:id="44"/>
      <w:bookmarkEnd w:id="45"/>
      <w:bookmarkEnd w:id="46"/>
    </w:p>
    <w:p w:rsidR="001F005B" w:rsidRDefault="001F005B" w:rsidP="000C64EE">
      <w:pPr>
        <w:rPr>
          <w:snapToGrid w:val="0"/>
          <w:lang w:eastAsia="en-US"/>
        </w:rPr>
      </w:pPr>
    </w:p>
    <w:p w:rsidR="001F005B" w:rsidRDefault="001F005B" w:rsidP="001F005B">
      <w:pPr>
        <w:pStyle w:val="2-SectionHeading"/>
        <w:rPr>
          <w:bCs/>
          <w:lang w:val="en-GB"/>
        </w:rPr>
      </w:pPr>
      <w:r w:rsidRPr="00C07617">
        <w:t>Context for Decision</w:t>
      </w:r>
    </w:p>
    <w:p w:rsidR="001F005B" w:rsidRPr="007129F2" w:rsidRDefault="001F005B" w:rsidP="001F005B">
      <w:pPr>
        <w:spacing w:after="1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w:t>
      </w:r>
      <w:r w:rsidRPr="007129F2">
        <w:rPr>
          <w:rFonts w:asciiTheme="minorHAnsi" w:hAnsiTheme="minorHAnsi"/>
          <w:bCs/>
          <w:lang w:val="en-GB"/>
        </w:rPr>
        <w:lastRenderedPageBreak/>
        <w:t>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F005B" w:rsidRPr="00C07617" w:rsidRDefault="001F005B" w:rsidP="001F005B">
      <w:pPr>
        <w:pStyle w:val="2-SectionHeading"/>
      </w:pPr>
      <w:r>
        <w:t>Sponsor’s Comment</w:t>
      </w:r>
    </w:p>
    <w:p w:rsidR="001F005B" w:rsidRPr="001179AC" w:rsidRDefault="001F005B" w:rsidP="001F005B">
      <w:pPr>
        <w:spacing w:after="120"/>
        <w:rPr>
          <w:rFonts w:asciiTheme="minorHAnsi" w:hAnsiTheme="minorHAnsi"/>
          <w:bCs/>
        </w:rPr>
      </w:pPr>
      <w:r w:rsidRPr="00C07617">
        <w:rPr>
          <w:rFonts w:asciiTheme="minorHAnsi" w:hAnsiTheme="minorHAnsi"/>
          <w:bCs/>
        </w:rPr>
        <w:t>The sponsor had no comment.</w:t>
      </w:r>
    </w:p>
    <w:p w:rsidR="001F005B" w:rsidRPr="00D77963" w:rsidRDefault="001F005B" w:rsidP="000C64EE">
      <w:pPr>
        <w:rPr>
          <w:snapToGrid w:val="0"/>
          <w:lang w:eastAsia="en-US"/>
        </w:rPr>
      </w:pPr>
    </w:p>
    <w:sectPr w:rsidR="001F005B" w:rsidRPr="00D77963" w:rsidSect="00127C5E">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6FE45" w16cex:dateUtc="2020-10-18T06:47:00Z"/>
  <w16cex:commentExtensible w16cex:durableId="23370C2B" w16cex:dateUtc="2020-10-18T07:47:00Z"/>
  <w16cex:commentExtensible w16cex:durableId="2336FEE8" w16cex:dateUtc="2020-10-18T06:50:00Z"/>
  <w16cex:commentExtensible w16cex:durableId="23370E22" w16cex:dateUtc="2020-10-18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8E9007" w16cid:durableId="2336FD4F"/>
  <w16cid:commentId w16cid:paraId="40F48365" w16cid:durableId="2336FE45"/>
  <w16cid:commentId w16cid:paraId="1486F8DE" w16cid:durableId="23370C2B"/>
  <w16cid:commentId w16cid:paraId="5E23BF22" w16cid:durableId="2336FD50"/>
  <w16cid:commentId w16cid:paraId="65ABAA87" w16cid:durableId="2336FEE8"/>
  <w16cid:commentId w16cid:paraId="6AB0CA87" w16cid:durableId="2336FD51"/>
  <w16cid:commentId w16cid:paraId="10F500CA" w16cid:durableId="2336FD52"/>
  <w16cid:commentId w16cid:paraId="65A2B2F7" w16cid:durableId="23370E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B94" w:rsidRDefault="004C4B94" w:rsidP="00124A51">
      <w:r>
        <w:separator/>
      </w:r>
    </w:p>
    <w:p w:rsidR="004C4B94" w:rsidRDefault="004C4B94"/>
  </w:endnote>
  <w:endnote w:type="continuationSeparator" w:id="0">
    <w:p w:rsidR="004C4B94" w:rsidRDefault="004C4B94" w:rsidP="00124A51">
      <w:r>
        <w:continuationSeparator/>
      </w:r>
    </w:p>
    <w:p w:rsidR="004C4B94" w:rsidRDefault="004C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61" w:rsidRDefault="0053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94" w:rsidRPr="00D42101" w:rsidRDefault="004C4B94" w:rsidP="003D447D">
    <w:pPr>
      <w:pStyle w:val="Footer"/>
      <w:jc w:val="center"/>
      <w:rPr>
        <w:b/>
      </w:rPr>
    </w:pPr>
  </w:p>
  <w:p w:rsidR="004C4B94" w:rsidRDefault="004C4B94" w:rsidP="003D447D">
    <w:pPr>
      <w:pStyle w:val="Footer"/>
      <w:jc w:val="center"/>
    </w:pPr>
    <w:r w:rsidRPr="00D42101">
      <w:rPr>
        <w:b/>
      </w:rPr>
      <w:fldChar w:fldCharType="begin"/>
    </w:r>
    <w:r w:rsidRPr="00D42101">
      <w:rPr>
        <w:b/>
      </w:rPr>
      <w:instrText xml:space="preserve"> PAGE   \* MERGEFORMAT </w:instrText>
    </w:r>
    <w:r w:rsidRPr="00D42101">
      <w:rPr>
        <w:b/>
      </w:rPr>
      <w:fldChar w:fldCharType="separate"/>
    </w:r>
    <w:r w:rsidR="00145A83">
      <w:rPr>
        <w:b/>
        <w:noProof/>
      </w:rPr>
      <w:t>30</w:t>
    </w:r>
    <w:r w:rsidRPr="00D42101">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61" w:rsidRDefault="00531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B94" w:rsidRDefault="004C4B94" w:rsidP="00124A51">
      <w:r>
        <w:separator/>
      </w:r>
    </w:p>
    <w:p w:rsidR="004C4B94" w:rsidRDefault="004C4B94"/>
  </w:footnote>
  <w:footnote w:type="continuationSeparator" w:id="0">
    <w:p w:rsidR="004C4B94" w:rsidRDefault="004C4B94" w:rsidP="00124A51">
      <w:r>
        <w:continuationSeparator/>
      </w:r>
    </w:p>
    <w:p w:rsidR="004C4B94" w:rsidRDefault="004C4B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61" w:rsidRDefault="00531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94" w:rsidRPr="004C4B94" w:rsidRDefault="004C4B94" w:rsidP="004C4B94">
    <w:pPr>
      <w:pStyle w:val="Header"/>
      <w:jc w:val="center"/>
      <w:rPr>
        <w:rFonts w:asciiTheme="minorHAnsi" w:hAnsiTheme="minorHAnsi" w:cstheme="minorHAnsi"/>
        <w:i/>
        <w:color w:val="808080"/>
      </w:rPr>
    </w:pPr>
    <w:r>
      <w:rPr>
        <w:rFonts w:asciiTheme="minorHAnsi" w:hAnsiTheme="minorHAnsi" w:cstheme="minorHAnsi"/>
        <w:i/>
        <w:color w:val="808080"/>
      </w:rPr>
      <w:t>Public Summary Document</w:t>
    </w:r>
    <w:r w:rsidRPr="007C13CC">
      <w:rPr>
        <w:rFonts w:asciiTheme="minorHAnsi" w:hAnsiTheme="minorHAnsi" w:cstheme="minorHAnsi"/>
        <w:i/>
        <w:color w:val="808080"/>
      </w:rPr>
      <w:t xml:space="preserve"> – </w:t>
    </w:r>
    <w:r>
      <w:rPr>
        <w:rFonts w:asciiTheme="minorHAnsi" w:hAnsiTheme="minorHAnsi" w:cstheme="minorHAnsi"/>
        <w:i/>
        <w:color w:val="808080"/>
      </w:rPr>
      <w:t>November 2020</w:t>
    </w:r>
    <w:r w:rsidRPr="007C13CC">
      <w:rPr>
        <w:rFonts w:asciiTheme="minorHAnsi" w:hAnsiTheme="minorHAnsi" w:cstheme="minorHAnsi"/>
        <w:i/>
        <w:color w:val="808080"/>
      </w:rPr>
      <w:t xml:space="preserve"> PBAC Meeting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61" w:rsidRDefault="00531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37540"/>
    <w:multiLevelType w:val="hybridMultilevel"/>
    <w:tmpl w:val="CD188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862FB0"/>
    <w:multiLevelType w:val="hybridMultilevel"/>
    <w:tmpl w:val="3A96D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26DA5"/>
    <w:multiLevelType w:val="hybridMultilevel"/>
    <w:tmpl w:val="FB966136"/>
    <w:lvl w:ilvl="0" w:tplc="C42EC6E0">
      <w:start w:val="10"/>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4D6FAE"/>
    <w:multiLevelType w:val="hybridMultilevel"/>
    <w:tmpl w:val="7A64B0E8"/>
    <w:lvl w:ilvl="0" w:tplc="0C090001">
      <w:start w:val="1"/>
      <w:numFmt w:val="bullet"/>
      <w:lvlText w:val=""/>
      <w:lvlJc w:val="left"/>
      <w:pPr>
        <w:ind w:left="1495" w:hanging="360"/>
      </w:pPr>
      <w:rPr>
        <w:rFonts w:ascii="Symbol" w:hAnsi="Symbol" w:hint="default"/>
      </w:rPr>
    </w:lvl>
    <w:lvl w:ilvl="1" w:tplc="0C090003">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5" w15:restartNumberingAfterBreak="0">
    <w:nsid w:val="15F505A8"/>
    <w:multiLevelType w:val="hybridMultilevel"/>
    <w:tmpl w:val="8AD480A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4FAB"/>
    <w:multiLevelType w:val="hybridMultilevel"/>
    <w:tmpl w:val="0C50D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0579A"/>
    <w:multiLevelType w:val="hybridMultilevel"/>
    <w:tmpl w:val="AD62065C"/>
    <w:lvl w:ilvl="0" w:tplc="ADC027B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20189"/>
    <w:multiLevelType w:val="hybridMultilevel"/>
    <w:tmpl w:val="197E38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4D74EA6"/>
    <w:multiLevelType w:val="hybridMultilevel"/>
    <w:tmpl w:val="A5DC60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5C45660"/>
    <w:multiLevelType w:val="multilevel"/>
    <w:tmpl w:val="D44886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46AB0"/>
    <w:multiLevelType w:val="hybridMultilevel"/>
    <w:tmpl w:val="4202A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E07A92"/>
    <w:multiLevelType w:val="multilevel"/>
    <w:tmpl w:val="37E2277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01399F"/>
    <w:multiLevelType w:val="hybridMultilevel"/>
    <w:tmpl w:val="9B048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0430EC"/>
    <w:multiLevelType w:val="hybridMultilevel"/>
    <w:tmpl w:val="093CA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66B9F"/>
    <w:multiLevelType w:val="hybridMultilevel"/>
    <w:tmpl w:val="67409168"/>
    <w:lvl w:ilvl="0" w:tplc="7962101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AD51B56"/>
    <w:multiLevelType w:val="hybridMultilevel"/>
    <w:tmpl w:val="ADEE36BC"/>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BA2CF3"/>
    <w:multiLevelType w:val="hybridMultilevel"/>
    <w:tmpl w:val="9566D4EC"/>
    <w:lvl w:ilvl="0" w:tplc="007CEF6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1D1DFC"/>
    <w:multiLevelType w:val="hybridMultilevel"/>
    <w:tmpl w:val="F844F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C506A9"/>
    <w:multiLevelType w:val="hybridMultilevel"/>
    <w:tmpl w:val="77127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7D1987"/>
    <w:multiLevelType w:val="hybridMultilevel"/>
    <w:tmpl w:val="2B2CB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09008D"/>
    <w:multiLevelType w:val="hybridMultilevel"/>
    <w:tmpl w:val="4AAC3972"/>
    <w:lvl w:ilvl="0" w:tplc="724684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4A5445"/>
    <w:multiLevelType w:val="multilevel"/>
    <w:tmpl w:val="0E68E9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FC6EC4"/>
    <w:multiLevelType w:val="multilevel"/>
    <w:tmpl w:val="6458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A5F6E"/>
    <w:multiLevelType w:val="hybridMultilevel"/>
    <w:tmpl w:val="937A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001F13"/>
    <w:multiLevelType w:val="hybridMultilevel"/>
    <w:tmpl w:val="A9DA9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537695"/>
    <w:multiLevelType w:val="hybridMultilevel"/>
    <w:tmpl w:val="F7AC4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CB7230"/>
    <w:multiLevelType w:val="hybridMultilevel"/>
    <w:tmpl w:val="BC94F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8"/>
  </w:num>
  <w:num w:numId="3">
    <w:abstractNumId w:val="0"/>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23"/>
  </w:num>
  <w:num w:numId="9">
    <w:abstractNumId w:val="1"/>
  </w:num>
  <w:num w:numId="10">
    <w:abstractNumId w:val="26"/>
  </w:num>
  <w:num w:numId="11">
    <w:abstractNumId w:val="15"/>
  </w:num>
  <w:num w:numId="12">
    <w:abstractNumId w:val="31"/>
  </w:num>
  <w:num w:numId="13">
    <w:abstractNumId w:val="17"/>
  </w:num>
  <w:num w:numId="14">
    <w:abstractNumId w:val="32"/>
  </w:num>
  <w:num w:numId="15">
    <w:abstractNumId w:val="30"/>
  </w:num>
  <w:num w:numId="16">
    <w:abstractNumId w:val="9"/>
  </w:num>
  <w:num w:numId="1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3"/>
  </w:num>
  <w:num w:numId="22">
    <w:abstractNumId w:val="33"/>
  </w:num>
  <w:num w:numId="23">
    <w:abstractNumId w:val="2"/>
  </w:num>
  <w:num w:numId="24">
    <w:abstractNumId w:val="6"/>
  </w:num>
  <w:num w:numId="25">
    <w:abstractNumId w:val="27"/>
  </w:num>
  <w:num w:numId="26">
    <w:abstractNumId w:val="8"/>
  </w:num>
  <w:num w:numId="27">
    <w:abstractNumId w:val="10"/>
  </w:num>
  <w:num w:numId="28">
    <w:abstractNumId w:val="29"/>
  </w:num>
  <w:num w:numId="29">
    <w:abstractNumId w:val="14"/>
  </w:num>
  <w:num w:numId="30">
    <w:abstractNumId w:val="3"/>
  </w:num>
  <w:num w:numId="31">
    <w:abstractNumId w:val="19"/>
  </w:num>
  <w:num w:numId="32">
    <w:abstractNumId w:val="5"/>
  </w:num>
  <w:num w:numId="33">
    <w:abstractNumId w:val="22"/>
  </w:num>
  <w:num w:numId="34">
    <w:abstractNumId w:val="11"/>
  </w:num>
  <w:num w:numId="35">
    <w:abstractNumId w:val="20"/>
  </w:num>
  <w:num w:numId="36">
    <w:abstractNumId w:val="25"/>
  </w:num>
  <w:num w:numId="37">
    <w:abstractNumId w:val="12"/>
  </w:num>
  <w:num w:numId="38">
    <w:abstractNumId w:val="4"/>
  </w:num>
  <w:num w:numId="39">
    <w:abstractNumId w:val="24"/>
  </w:num>
  <w:num w:numId="4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50B"/>
    <w:rsid w:val="0000338F"/>
    <w:rsid w:val="00003499"/>
    <w:rsid w:val="000039B7"/>
    <w:rsid w:val="00003C82"/>
    <w:rsid w:val="0000639A"/>
    <w:rsid w:val="00013247"/>
    <w:rsid w:val="0001328F"/>
    <w:rsid w:val="00014CDB"/>
    <w:rsid w:val="00015886"/>
    <w:rsid w:val="000162EF"/>
    <w:rsid w:val="000207C9"/>
    <w:rsid w:val="00020AC0"/>
    <w:rsid w:val="0002225F"/>
    <w:rsid w:val="00023763"/>
    <w:rsid w:val="000274B8"/>
    <w:rsid w:val="00027BE6"/>
    <w:rsid w:val="00030521"/>
    <w:rsid w:val="00030C01"/>
    <w:rsid w:val="00031AE2"/>
    <w:rsid w:val="00033863"/>
    <w:rsid w:val="00035DC0"/>
    <w:rsid w:val="00036829"/>
    <w:rsid w:val="00040895"/>
    <w:rsid w:val="000435EE"/>
    <w:rsid w:val="00043C37"/>
    <w:rsid w:val="00045017"/>
    <w:rsid w:val="00045A2B"/>
    <w:rsid w:val="00046403"/>
    <w:rsid w:val="0004698F"/>
    <w:rsid w:val="000479B0"/>
    <w:rsid w:val="00052613"/>
    <w:rsid w:val="000539D0"/>
    <w:rsid w:val="00054542"/>
    <w:rsid w:val="00054621"/>
    <w:rsid w:val="000546D7"/>
    <w:rsid w:val="00056ECF"/>
    <w:rsid w:val="000604DF"/>
    <w:rsid w:val="00060A4D"/>
    <w:rsid w:val="000616EC"/>
    <w:rsid w:val="000633BA"/>
    <w:rsid w:val="000653B5"/>
    <w:rsid w:val="00066360"/>
    <w:rsid w:val="00066AF8"/>
    <w:rsid w:val="00066C85"/>
    <w:rsid w:val="00071052"/>
    <w:rsid w:val="00071248"/>
    <w:rsid w:val="000720B9"/>
    <w:rsid w:val="00072885"/>
    <w:rsid w:val="000737F7"/>
    <w:rsid w:val="00074646"/>
    <w:rsid w:val="0007672F"/>
    <w:rsid w:val="00076B24"/>
    <w:rsid w:val="00076B54"/>
    <w:rsid w:val="000774F0"/>
    <w:rsid w:val="00077F7E"/>
    <w:rsid w:val="00080909"/>
    <w:rsid w:val="000812CA"/>
    <w:rsid w:val="00081E63"/>
    <w:rsid w:val="00082256"/>
    <w:rsid w:val="0008258D"/>
    <w:rsid w:val="00083E99"/>
    <w:rsid w:val="0008430B"/>
    <w:rsid w:val="00084FA8"/>
    <w:rsid w:val="000856C5"/>
    <w:rsid w:val="00085C31"/>
    <w:rsid w:val="000902D9"/>
    <w:rsid w:val="00090C7E"/>
    <w:rsid w:val="00092600"/>
    <w:rsid w:val="0009262B"/>
    <w:rsid w:val="00093310"/>
    <w:rsid w:val="0009445C"/>
    <w:rsid w:val="00094F97"/>
    <w:rsid w:val="00095200"/>
    <w:rsid w:val="00095608"/>
    <w:rsid w:val="00095FE5"/>
    <w:rsid w:val="00096284"/>
    <w:rsid w:val="000A0687"/>
    <w:rsid w:val="000A1983"/>
    <w:rsid w:val="000A1BC0"/>
    <w:rsid w:val="000A390A"/>
    <w:rsid w:val="000A39F3"/>
    <w:rsid w:val="000A4862"/>
    <w:rsid w:val="000A6039"/>
    <w:rsid w:val="000A7453"/>
    <w:rsid w:val="000A7D08"/>
    <w:rsid w:val="000B0121"/>
    <w:rsid w:val="000B0670"/>
    <w:rsid w:val="000B0E75"/>
    <w:rsid w:val="000B1B4F"/>
    <w:rsid w:val="000B2DCB"/>
    <w:rsid w:val="000B302E"/>
    <w:rsid w:val="000B3D73"/>
    <w:rsid w:val="000B4DA0"/>
    <w:rsid w:val="000B4EF4"/>
    <w:rsid w:val="000B5CE0"/>
    <w:rsid w:val="000B6CAC"/>
    <w:rsid w:val="000B7612"/>
    <w:rsid w:val="000B78AE"/>
    <w:rsid w:val="000C0073"/>
    <w:rsid w:val="000C00C7"/>
    <w:rsid w:val="000C1A73"/>
    <w:rsid w:val="000C3DF9"/>
    <w:rsid w:val="000C49D5"/>
    <w:rsid w:val="000C64EE"/>
    <w:rsid w:val="000C6713"/>
    <w:rsid w:val="000D1BFC"/>
    <w:rsid w:val="000D1D5D"/>
    <w:rsid w:val="000D281A"/>
    <w:rsid w:val="000D2848"/>
    <w:rsid w:val="000D326A"/>
    <w:rsid w:val="000D3815"/>
    <w:rsid w:val="000D4B5C"/>
    <w:rsid w:val="000D51FB"/>
    <w:rsid w:val="000E0640"/>
    <w:rsid w:val="000E135D"/>
    <w:rsid w:val="000E13D4"/>
    <w:rsid w:val="000E228A"/>
    <w:rsid w:val="000E5857"/>
    <w:rsid w:val="000F00BA"/>
    <w:rsid w:val="000F316A"/>
    <w:rsid w:val="000F3914"/>
    <w:rsid w:val="000F3C74"/>
    <w:rsid w:val="000F4BB8"/>
    <w:rsid w:val="000F4E3E"/>
    <w:rsid w:val="000F4FA9"/>
    <w:rsid w:val="000F4FE4"/>
    <w:rsid w:val="000F53FB"/>
    <w:rsid w:val="000F7127"/>
    <w:rsid w:val="000F7B54"/>
    <w:rsid w:val="00100F8A"/>
    <w:rsid w:val="0010452E"/>
    <w:rsid w:val="00104C9C"/>
    <w:rsid w:val="00105AE2"/>
    <w:rsid w:val="001060C6"/>
    <w:rsid w:val="00106B80"/>
    <w:rsid w:val="0011032E"/>
    <w:rsid w:val="00113223"/>
    <w:rsid w:val="001133D8"/>
    <w:rsid w:val="0011348B"/>
    <w:rsid w:val="00115982"/>
    <w:rsid w:val="00116C53"/>
    <w:rsid w:val="00120D4D"/>
    <w:rsid w:val="00121799"/>
    <w:rsid w:val="001222FC"/>
    <w:rsid w:val="00123902"/>
    <w:rsid w:val="00124578"/>
    <w:rsid w:val="00124A51"/>
    <w:rsid w:val="00126621"/>
    <w:rsid w:val="00126B1D"/>
    <w:rsid w:val="00127C5E"/>
    <w:rsid w:val="001301E9"/>
    <w:rsid w:val="00130820"/>
    <w:rsid w:val="00131D82"/>
    <w:rsid w:val="00132B22"/>
    <w:rsid w:val="00133D36"/>
    <w:rsid w:val="00134AE5"/>
    <w:rsid w:val="00135038"/>
    <w:rsid w:val="001356E2"/>
    <w:rsid w:val="0013604E"/>
    <w:rsid w:val="00136641"/>
    <w:rsid w:val="001372FC"/>
    <w:rsid w:val="00137645"/>
    <w:rsid w:val="0014015A"/>
    <w:rsid w:val="001409F0"/>
    <w:rsid w:val="00140E99"/>
    <w:rsid w:val="00142DD5"/>
    <w:rsid w:val="00143F67"/>
    <w:rsid w:val="0014509A"/>
    <w:rsid w:val="00145540"/>
    <w:rsid w:val="001456B0"/>
    <w:rsid w:val="00145A83"/>
    <w:rsid w:val="00155CEA"/>
    <w:rsid w:val="00156F8F"/>
    <w:rsid w:val="00157130"/>
    <w:rsid w:val="001576B1"/>
    <w:rsid w:val="00160229"/>
    <w:rsid w:val="0016047B"/>
    <w:rsid w:val="00160A4C"/>
    <w:rsid w:val="00162913"/>
    <w:rsid w:val="00163EFF"/>
    <w:rsid w:val="00163F66"/>
    <w:rsid w:val="001661FB"/>
    <w:rsid w:val="001671A0"/>
    <w:rsid w:val="001672FC"/>
    <w:rsid w:val="0016767F"/>
    <w:rsid w:val="00167D07"/>
    <w:rsid w:val="00173170"/>
    <w:rsid w:val="00173565"/>
    <w:rsid w:val="00173B07"/>
    <w:rsid w:val="001751FA"/>
    <w:rsid w:val="00176169"/>
    <w:rsid w:val="00177031"/>
    <w:rsid w:val="00177113"/>
    <w:rsid w:val="00181A90"/>
    <w:rsid w:val="00181D9C"/>
    <w:rsid w:val="001849F7"/>
    <w:rsid w:val="00184B0E"/>
    <w:rsid w:val="0018752F"/>
    <w:rsid w:val="00193838"/>
    <w:rsid w:val="001947A4"/>
    <w:rsid w:val="00194AD8"/>
    <w:rsid w:val="00194E3A"/>
    <w:rsid w:val="00195222"/>
    <w:rsid w:val="00195A7C"/>
    <w:rsid w:val="001971F6"/>
    <w:rsid w:val="001975D8"/>
    <w:rsid w:val="001A0181"/>
    <w:rsid w:val="001A178E"/>
    <w:rsid w:val="001A43FA"/>
    <w:rsid w:val="001A47C5"/>
    <w:rsid w:val="001A48EC"/>
    <w:rsid w:val="001A59FB"/>
    <w:rsid w:val="001A5E9E"/>
    <w:rsid w:val="001A6354"/>
    <w:rsid w:val="001A6366"/>
    <w:rsid w:val="001A7AE8"/>
    <w:rsid w:val="001B0608"/>
    <w:rsid w:val="001B204E"/>
    <w:rsid w:val="001B2372"/>
    <w:rsid w:val="001B3443"/>
    <w:rsid w:val="001B3C38"/>
    <w:rsid w:val="001B3E9F"/>
    <w:rsid w:val="001B4D20"/>
    <w:rsid w:val="001B7DE2"/>
    <w:rsid w:val="001C2A9B"/>
    <w:rsid w:val="001C4299"/>
    <w:rsid w:val="001C4874"/>
    <w:rsid w:val="001C5F94"/>
    <w:rsid w:val="001C63C3"/>
    <w:rsid w:val="001C6D1B"/>
    <w:rsid w:val="001C6E66"/>
    <w:rsid w:val="001D1100"/>
    <w:rsid w:val="001D1391"/>
    <w:rsid w:val="001D25D7"/>
    <w:rsid w:val="001D44AF"/>
    <w:rsid w:val="001D451F"/>
    <w:rsid w:val="001D50B2"/>
    <w:rsid w:val="001D6E5B"/>
    <w:rsid w:val="001D7645"/>
    <w:rsid w:val="001E0363"/>
    <w:rsid w:val="001E1E86"/>
    <w:rsid w:val="001E238E"/>
    <w:rsid w:val="001E2483"/>
    <w:rsid w:val="001E2B1E"/>
    <w:rsid w:val="001E2CFF"/>
    <w:rsid w:val="001E2D65"/>
    <w:rsid w:val="001E2F24"/>
    <w:rsid w:val="001E30D4"/>
    <w:rsid w:val="001E34DF"/>
    <w:rsid w:val="001E4D0E"/>
    <w:rsid w:val="001E52EB"/>
    <w:rsid w:val="001E5686"/>
    <w:rsid w:val="001E61D2"/>
    <w:rsid w:val="001E6860"/>
    <w:rsid w:val="001E740C"/>
    <w:rsid w:val="001F005B"/>
    <w:rsid w:val="001F1235"/>
    <w:rsid w:val="001F1CB3"/>
    <w:rsid w:val="001F33C0"/>
    <w:rsid w:val="001F38B5"/>
    <w:rsid w:val="001F403D"/>
    <w:rsid w:val="001F4081"/>
    <w:rsid w:val="001F43FB"/>
    <w:rsid w:val="001F7361"/>
    <w:rsid w:val="00200508"/>
    <w:rsid w:val="00200EF8"/>
    <w:rsid w:val="002011B0"/>
    <w:rsid w:val="002012C9"/>
    <w:rsid w:val="00203181"/>
    <w:rsid w:val="00203783"/>
    <w:rsid w:val="0020385F"/>
    <w:rsid w:val="00203F11"/>
    <w:rsid w:val="00205476"/>
    <w:rsid w:val="00205B70"/>
    <w:rsid w:val="002068A0"/>
    <w:rsid w:val="00207021"/>
    <w:rsid w:val="0020732F"/>
    <w:rsid w:val="00207D00"/>
    <w:rsid w:val="002105C1"/>
    <w:rsid w:val="00211544"/>
    <w:rsid w:val="00213EF5"/>
    <w:rsid w:val="00216BF5"/>
    <w:rsid w:val="002221F4"/>
    <w:rsid w:val="00222A40"/>
    <w:rsid w:val="00223B49"/>
    <w:rsid w:val="00223D5A"/>
    <w:rsid w:val="00224DD4"/>
    <w:rsid w:val="0022563D"/>
    <w:rsid w:val="002278A0"/>
    <w:rsid w:val="00227C65"/>
    <w:rsid w:val="00230810"/>
    <w:rsid w:val="002309CC"/>
    <w:rsid w:val="00230DB1"/>
    <w:rsid w:val="00231663"/>
    <w:rsid w:val="0023209F"/>
    <w:rsid w:val="0023363F"/>
    <w:rsid w:val="00233C01"/>
    <w:rsid w:val="0023413C"/>
    <w:rsid w:val="002346AE"/>
    <w:rsid w:val="002346F0"/>
    <w:rsid w:val="0023629D"/>
    <w:rsid w:val="002367D3"/>
    <w:rsid w:val="00237255"/>
    <w:rsid w:val="00241344"/>
    <w:rsid w:val="002424AF"/>
    <w:rsid w:val="002439DC"/>
    <w:rsid w:val="00243C07"/>
    <w:rsid w:val="002441D2"/>
    <w:rsid w:val="00244DC8"/>
    <w:rsid w:val="00245007"/>
    <w:rsid w:val="002458BA"/>
    <w:rsid w:val="00245CE9"/>
    <w:rsid w:val="0024636C"/>
    <w:rsid w:val="00247925"/>
    <w:rsid w:val="002503F2"/>
    <w:rsid w:val="00251006"/>
    <w:rsid w:val="002513DB"/>
    <w:rsid w:val="002524D5"/>
    <w:rsid w:val="002533B3"/>
    <w:rsid w:val="00253B1D"/>
    <w:rsid w:val="00254DCF"/>
    <w:rsid w:val="0025534B"/>
    <w:rsid w:val="00255BB7"/>
    <w:rsid w:val="00257541"/>
    <w:rsid w:val="00257A39"/>
    <w:rsid w:val="00257AC4"/>
    <w:rsid w:val="00260D80"/>
    <w:rsid w:val="00261410"/>
    <w:rsid w:val="00261EEF"/>
    <w:rsid w:val="00261F6B"/>
    <w:rsid w:val="00262A1A"/>
    <w:rsid w:val="00262A87"/>
    <w:rsid w:val="00264679"/>
    <w:rsid w:val="00264D26"/>
    <w:rsid w:val="00265415"/>
    <w:rsid w:val="00267642"/>
    <w:rsid w:val="00267AEA"/>
    <w:rsid w:val="00267D0E"/>
    <w:rsid w:val="002700E6"/>
    <w:rsid w:val="00271315"/>
    <w:rsid w:val="00271FF9"/>
    <w:rsid w:val="0027294B"/>
    <w:rsid w:val="00272C12"/>
    <w:rsid w:val="00273EB4"/>
    <w:rsid w:val="00274682"/>
    <w:rsid w:val="00274FF7"/>
    <w:rsid w:val="00275C5A"/>
    <w:rsid w:val="0027658E"/>
    <w:rsid w:val="0027718C"/>
    <w:rsid w:val="002803BC"/>
    <w:rsid w:val="0028087D"/>
    <w:rsid w:val="00281014"/>
    <w:rsid w:val="002831A7"/>
    <w:rsid w:val="00283E74"/>
    <w:rsid w:val="002841D9"/>
    <w:rsid w:val="0028665D"/>
    <w:rsid w:val="00287470"/>
    <w:rsid w:val="00294557"/>
    <w:rsid w:val="002966C2"/>
    <w:rsid w:val="002A14AB"/>
    <w:rsid w:val="002A2ADE"/>
    <w:rsid w:val="002A2F50"/>
    <w:rsid w:val="002A42E5"/>
    <w:rsid w:val="002B05A1"/>
    <w:rsid w:val="002B09A4"/>
    <w:rsid w:val="002B1BF6"/>
    <w:rsid w:val="002B1C1F"/>
    <w:rsid w:val="002B3AB7"/>
    <w:rsid w:val="002B432F"/>
    <w:rsid w:val="002B62B3"/>
    <w:rsid w:val="002B6754"/>
    <w:rsid w:val="002B6CCE"/>
    <w:rsid w:val="002B7F5E"/>
    <w:rsid w:val="002C0598"/>
    <w:rsid w:val="002C2510"/>
    <w:rsid w:val="002C2775"/>
    <w:rsid w:val="002C27C1"/>
    <w:rsid w:val="002C28B4"/>
    <w:rsid w:val="002C2D31"/>
    <w:rsid w:val="002C2EA5"/>
    <w:rsid w:val="002C3058"/>
    <w:rsid w:val="002C5099"/>
    <w:rsid w:val="002C5889"/>
    <w:rsid w:val="002C71CE"/>
    <w:rsid w:val="002D08CA"/>
    <w:rsid w:val="002D08F8"/>
    <w:rsid w:val="002D0FCC"/>
    <w:rsid w:val="002D135C"/>
    <w:rsid w:val="002D25BE"/>
    <w:rsid w:val="002D2F32"/>
    <w:rsid w:val="002D424D"/>
    <w:rsid w:val="002D577C"/>
    <w:rsid w:val="002E1071"/>
    <w:rsid w:val="002E15B9"/>
    <w:rsid w:val="002E2158"/>
    <w:rsid w:val="002E2279"/>
    <w:rsid w:val="002E4F02"/>
    <w:rsid w:val="002E55F1"/>
    <w:rsid w:val="002E7722"/>
    <w:rsid w:val="002F07BA"/>
    <w:rsid w:val="002F0DA9"/>
    <w:rsid w:val="002F1014"/>
    <w:rsid w:val="002F4449"/>
    <w:rsid w:val="002F643C"/>
    <w:rsid w:val="002F6D5C"/>
    <w:rsid w:val="002F71C0"/>
    <w:rsid w:val="002F74F1"/>
    <w:rsid w:val="002F7B3B"/>
    <w:rsid w:val="00301017"/>
    <w:rsid w:val="0030155F"/>
    <w:rsid w:val="0030587B"/>
    <w:rsid w:val="00306648"/>
    <w:rsid w:val="00306D98"/>
    <w:rsid w:val="0030772F"/>
    <w:rsid w:val="0030786C"/>
    <w:rsid w:val="0031031A"/>
    <w:rsid w:val="00310981"/>
    <w:rsid w:val="003124D9"/>
    <w:rsid w:val="00312594"/>
    <w:rsid w:val="00312D44"/>
    <w:rsid w:val="00313607"/>
    <w:rsid w:val="00313E1F"/>
    <w:rsid w:val="00315498"/>
    <w:rsid w:val="00315FA9"/>
    <w:rsid w:val="00316075"/>
    <w:rsid w:val="00316474"/>
    <w:rsid w:val="003208BB"/>
    <w:rsid w:val="00322107"/>
    <w:rsid w:val="00322355"/>
    <w:rsid w:val="00322846"/>
    <w:rsid w:val="00322C1E"/>
    <w:rsid w:val="00326907"/>
    <w:rsid w:val="00326DA7"/>
    <w:rsid w:val="003270E4"/>
    <w:rsid w:val="00330DAA"/>
    <w:rsid w:val="00330F5C"/>
    <w:rsid w:val="0033478A"/>
    <w:rsid w:val="00335A6D"/>
    <w:rsid w:val="003366C9"/>
    <w:rsid w:val="003371B0"/>
    <w:rsid w:val="00337F62"/>
    <w:rsid w:val="00340DF1"/>
    <w:rsid w:val="00344A28"/>
    <w:rsid w:val="00344E80"/>
    <w:rsid w:val="00345B91"/>
    <w:rsid w:val="00350BAF"/>
    <w:rsid w:val="003517F9"/>
    <w:rsid w:val="00351B80"/>
    <w:rsid w:val="00351BA9"/>
    <w:rsid w:val="00353E61"/>
    <w:rsid w:val="003543B4"/>
    <w:rsid w:val="00354F64"/>
    <w:rsid w:val="0035620E"/>
    <w:rsid w:val="0035662D"/>
    <w:rsid w:val="00360345"/>
    <w:rsid w:val="00360379"/>
    <w:rsid w:val="003608FE"/>
    <w:rsid w:val="00361A05"/>
    <w:rsid w:val="003624C4"/>
    <w:rsid w:val="00363B00"/>
    <w:rsid w:val="003647D5"/>
    <w:rsid w:val="00364A42"/>
    <w:rsid w:val="003654AC"/>
    <w:rsid w:val="0036642C"/>
    <w:rsid w:val="0036781A"/>
    <w:rsid w:val="003710CF"/>
    <w:rsid w:val="00371423"/>
    <w:rsid w:val="00371ADA"/>
    <w:rsid w:val="00372DA8"/>
    <w:rsid w:val="0037358A"/>
    <w:rsid w:val="003750F6"/>
    <w:rsid w:val="003760FC"/>
    <w:rsid w:val="003811C5"/>
    <w:rsid w:val="00381B89"/>
    <w:rsid w:val="00382F20"/>
    <w:rsid w:val="0038365C"/>
    <w:rsid w:val="0038369B"/>
    <w:rsid w:val="00383B78"/>
    <w:rsid w:val="003850E7"/>
    <w:rsid w:val="00385A9D"/>
    <w:rsid w:val="0038744C"/>
    <w:rsid w:val="003902B1"/>
    <w:rsid w:val="0039179C"/>
    <w:rsid w:val="003922D7"/>
    <w:rsid w:val="00395EF5"/>
    <w:rsid w:val="00396896"/>
    <w:rsid w:val="00396FD0"/>
    <w:rsid w:val="003A1A7A"/>
    <w:rsid w:val="003A2392"/>
    <w:rsid w:val="003A2831"/>
    <w:rsid w:val="003A3CB6"/>
    <w:rsid w:val="003A3ED1"/>
    <w:rsid w:val="003A44DB"/>
    <w:rsid w:val="003A52C5"/>
    <w:rsid w:val="003B0747"/>
    <w:rsid w:val="003B2106"/>
    <w:rsid w:val="003B34AC"/>
    <w:rsid w:val="003B3971"/>
    <w:rsid w:val="003B42E1"/>
    <w:rsid w:val="003B55D1"/>
    <w:rsid w:val="003B5B61"/>
    <w:rsid w:val="003B6938"/>
    <w:rsid w:val="003C031F"/>
    <w:rsid w:val="003C1654"/>
    <w:rsid w:val="003C2C24"/>
    <w:rsid w:val="003C4125"/>
    <w:rsid w:val="003C5368"/>
    <w:rsid w:val="003C5542"/>
    <w:rsid w:val="003C6A8E"/>
    <w:rsid w:val="003C7D19"/>
    <w:rsid w:val="003C7D2F"/>
    <w:rsid w:val="003D1828"/>
    <w:rsid w:val="003D1DE4"/>
    <w:rsid w:val="003D1E9A"/>
    <w:rsid w:val="003D2422"/>
    <w:rsid w:val="003D39A1"/>
    <w:rsid w:val="003D3FBF"/>
    <w:rsid w:val="003D447D"/>
    <w:rsid w:val="003D4A30"/>
    <w:rsid w:val="003D6734"/>
    <w:rsid w:val="003D7452"/>
    <w:rsid w:val="003D79BB"/>
    <w:rsid w:val="003D7C98"/>
    <w:rsid w:val="003D7D9D"/>
    <w:rsid w:val="003E0543"/>
    <w:rsid w:val="003E06A1"/>
    <w:rsid w:val="003E120E"/>
    <w:rsid w:val="003E437F"/>
    <w:rsid w:val="003E4FBB"/>
    <w:rsid w:val="003E658D"/>
    <w:rsid w:val="003E749E"/>
    <w:rsid w:val="003E78CC"/>
    <w:rsid w:val="003F4156"/>
    <w:rsid w:val="003F5ADF"/>
    <w:rsid w:val="00400B29"/>
    <w:rsid w:val="0040504B"/>
    <w:rsid w:val="004059F4"/>
    <w:rsid w:val="00407FE5"/>
    <w:rsid w:val="004101B0"/>
    <w:rsid w:val="00410326"/>
    <w:rsid w:val="00410708"/>
    <w:rsid w:val="00410A2A"/>
    <w:rsid w:val="00410EC7"/>
    <w:rsid w:val="00411B39"/>
    <w:rsid w:val="004127A7"/>
    <w:rsid w:val="004138A3"/>
    <w:rsid w:val="00413A1E"/>
    <w:rsid w:val="00414476"/>
    <w:rsid w:val="00414C2E"/>
    <w:rsid w:val="004151CF"/>
    <w:rsid w:val="00416364"/>
    <w:rsid w:val="0042047F"/>
    <w:rsid w:val="00420AA6"/>
    <w:rsid w:val="00420B9F"/>
    <w:rsid w:val="0042192C"/>
    <w:rsid w:val="00422260"/>
    <w:rsid w:val="0042413F"/>
    <w:rsid w:val="00426EB4"/>
    <w:rsid w:val="004311A1"/>
    <w:rsid w:val="004319F8"/>
    <w:rsid w:val="00431E55"/>
    <w:rsid w:val="004321F6"/>
    <w:rsid w:val="00433044"/>
    <w:rsid w:val="00433E2F"/>
    <w:rsid w:val="00434088"/>
    <w:rsid w:val="00435C1A"/>
    <w:rsid w:val="004375B9"/>
    <w:rsid w:val="0044053B"/>
    <w:rsid w:val="004428D0"/>
    <w:rsid w:val="00444185"/>
    <w:rsid w:val="004443A7"/>
    <w:rsid w:val="0044442C"/>
    <w:rsid w:val="00445941"/>
    <w:rsid w:val="00445D59"/>
    <w:rsid w:val="004464EB"/>
    <w:rsid w:val="00447162"/>
    <w:rsid w:val="004474A2"/>
    <w:rsid w:val="00447D26"/>
    <w:rsid w:val="00447DFC"/>
    <w:rsid w:val="00451D57"/>
    <w:rsid w:val="00455D45"/>
    <w:rsid w:val="00457635"/>
    <w:rsid w:val="00461E6B"/>
    <w:rsid w:val="00464595"/>
    <w:rsid w:val="004658B5"/>
    <w:rsid w:val="004704F1"/>
    <w:rsid w:val="00471634"/>
    <w:rsid w:val="00471EA5"/>
    <w:rsid w:val="00472A79"/>
    <w:rsid w:val="00473F19"/>
    <w:rsid w:val="0047487E"/>
    <w:rsid w:val="00475E22"/>
    <w:rsid w:val="00477465"/>
    <w:rsid w:val="00480088"/>
    <w:rsid w:val="0048088E"/>
    <w:rsid w:val="00480F2B"/>
    <w:rsid w:val="00482720"/>
    <w:rsid w:val="004835A8"/>
    <w:rsid w:val="004835E7"/>
    <w:rsid w:val="00485DBF"/>
    <w:rsid w:val="004867E2"/>
    <w:rsid w:val="004902DC"/>
    <w:rsid w:val="00490B17"/>
    <w:rsid w:val="00491B3A"/>
    <w:rsid w:val="00492CFD"/>
    <w:rsid w:val="00494207"/>
    <w:rsid w:val="00494DD5"/>
    <w:rsid w:val="004962D2"/>
    <w:rsid w:val="004A00FD"/>
    <w:rsid w:val="004A0255"/>
    <w:rsid w:val="004A0DA1"/>
    <w:rsid w:val="004A0F1E"/>
    <w:rsid w:val="004A12C3"/>
    <w:rsid w:val="004A13D6"/>
    <w:rsid w:val="004A2CF7"/>
    <w:rsid w:val="004A52E9"/>
    <w:rsid w:val="004A56AA"/>
    <w:rsid w:val="004A6040"/>
    <w:rsid w:val="004A6597"/>
    <w:rsid w:val="004A7848"/>
    <w:rsid w:val="004B1CB4"/>
    <w:rsid w:val="004B2F18"/>
    <w:rsid w:val="004B3DDB"/>
    <w:rsid w:val="004B4466"/>
    <w:rsid w:val="004B44FD"/>
    <w:rsid w:val="004B5CFC"/>
    <w:rsid w:val="004B65A9"/>
    <w:rsid w:val="004B671B"/>
    <w:rsid w:val="004B6F79"/>
    <w:rsid w:val="004B774D"/>
    <w:rsid w:val="004C1E5D"/>
    <w:rsid w:val="004C4207"/>
    <w:rsid w:val="004C4AED"/>
    <w:rsid w:val="004C4B94"/>
    <w:rsid w:val="004D0829"/>
    <w:rsid w:val="004D1766"/>
    <w:rsid w:val="004D2C2D"/>
    <w:rsid w:val="004D69B5"/>
    <w:rsid w:val="004D6DBE"/>
    <w:rsid w:val="004D7227"/>
    <w:rsid w:val="004D72B6"/>
    <w:rsid w:val="004E0E7F"/>
    <w:rsid w:val="004E0EB8"/>
    <w:rsid w:val="004E15B4"/>
    <w:rsid w:val="004E18E9"/>
    <w:rsid w:val="004E2ADC"/>
    <w:rsid w:val="004E43B2"/>
    <w:rsid w:val="004E59AA"/>
    <w:rsid w:val="004E6FE6"/>
    <w:rsid w:val="004E761D"/>
    <w:rsid w:val="004F1D02"/>
    <w:rsid w:val="004F2679"/>
    <w:rsid w:val="004F2F21"/>
    <w:rsid w:val="004F3DE5"/>
    <w:rsid w:val="004F567E"/>
    <w:rsid w:val="004F6913"/>
    <w:rsid w:val="004F7865"/>
    <w:rsid w:val="005009D5"/>
    <w:rsid w:val="0050145C"/>
    <w:rsid w:val="0050174E"/>
    <w:rsid w:val="00501854"/>
    <w:rsid w:val="0050219B"/>
    <w:rsid w:val="005029E1"/>
    <w:rsid w:val="00503F17"/>
    <w:rsid w:val="00506928"/>
    <w:rsid w:val="005077EF"/>
    <w:rsid w:val="00511AD5"/>
    <w:rsid w:val="00511DC7"/>
    <w:rsid w:val="005142C5"/>
    <w:rsid w:val="0051501B"/>
    <w:rsid w:val="005152B5"/>
    <w:rsid w:val="005159DC"/>
    <w:rsid w:val="005166D2"/>
    <w:rsid w:val="0052123C"/>
    <w:rsid w:val="00521319"/>
    <w:rsid w:val="00521A07"/>
    <w:rsid w:val="00522BC8"/>
    <w:rsid w:val="005236C3"/>
    <w:rsid w:val="00523C28"/>
    <w:rsid w:val="0053176B"/>
    <w:rsid w:val="00531B61"/>
    <w:rsid w:val="00531F8E"/>
    <w:rsid w:val="00532D4E"/>
    <w:rsid w:val="00536A65"/>
    <w:rsid w:val="00536F42"/>
    <w:rsid w:val="00537182"/>
    <w:rsid w:val="00541217"/>
    <w:rsid w:val="00541EDD"/>
    <w:rsid w:val="00542743"/>
    <w:rsid w:val="00542C2D"/>
    <w:rsid w:val="00543525"/>
    <w:rsid w:val="00547849"/>
    <w:rsid w:val="005478BD"/>
    <w:rsid w:val="005478E9"/>
    <w:rsid w:val="005479E3"/>
    <w:rsid w:val="00551985"/>
    <w:rsid w:val="00552BD3"/>
    <w:rsid w:val="005532A0"/>
    <w:rsid w:val="00554D9A"/>
    <w:rsid w:val="00555109"/>
    <w:rsid w:val="005551DF"/>
    <w:rsid w:val="00555DD7"/>
    <w:rsid w:val="00556B35"/>
    <w:rsid w:val="0055741A"/>
    <w:rsid w:val="005611B7"/>
    <w:rsid w:val="005618D4"/>
    <w:rsid w:val="005647E9"/>
    <w:rsid w:val="00565538"/>
    <w:rsid w:val="00565DF0"/>
    <w:rsid w:val="0056696F"/>
    <w:rsid w:val="005701F1"/>
    <w:rsid w:val="00571482"/>
    <w:rsid w:val="00572269"/>
    <w:rsid w:val="0057244A"/>
    <w:rsid w:val="00572F26"/>
    <w:rsid w:val="0057398F"/>
    <w:rsid w:val="005750C5"/>
    <w:rsid w:val="005752DE"/>
    <w:rsid w:val="00575AFB"/>
    <w:rsid w:val="00575D8D"/>
    <w:rsid w:val="00576972"/>
    <w:rsid w:val="005825C6"/>
    <w:rsid w:val="00583699"/>
    <w:rsid w:val="00583A1D"/>
    <w:rsid w:val="00585CDD"/>
    <w:rsid w:val="00586722"/>
    <w:rsid w:val="00587058"/>
    <w:rsid w:val="00591957"/>
    <w:rsid w:val="0059217F"/>
    <w:rsid w:val="0059311E"/>
    <w:rsid w:val="00597B0E"/>
    <w:rsid w:val="00597BF9"/>
    <w:rsid w:val="005A309A"/>
    <w:rsid w:val="005A344E"/>
    <w:rsid w:val="005A373D"/>
    <w:rsid w:val="005A59FB"/>
    <w:rsid w:val="005B0B58"/>
    <w:rsid w:val="005B2AEA"/>
    <w:rsid w:val="005B47AE"/>
    <w:rsid w:val="005B4E53"/>
    <w:rsid w:val="005B5857"/>
    <w:rsid w:val="005C1B83"/>
    <w:rsid w:val="005C25FF"/>
    <w:rsid w:val="005C2D55"/>
    <w:rsid w:val="005C346B"/>
    <w:rsid w:val="005C4D72"/>
    <w:rsid w:val="005C75E2"/>
    <w:rsid w:val="005D044D"/>
    <w:rsid w:val="005D0ABD"/>
    <w:rsid w:val="005D0D0C"/>
    <w:rsid w:val="005D0DC6"/>
    <w:rsid w:val="005D0EC3"/>
    <w:rsid w:val="005D18AD"/>
    <w:rsid w:val="005D2525"/>
    <w:rsid w:val="005D26B4"/>
    <w:rsid w:val="005D3E26"/>
    <w:rsid w:val="005D4129"/>
    <w:rsid w:val="005D4615"/>
    <w:rsid w:val="005D595F"/>
    <w:rsid w:val="005E1E73"/>
    <w:rsid w:val="005E6C9A"/>
    <w:rsid w:val="005E6CBC"/>
    <w:rsid w:val="005E72FF"/>
    <w:rsid w:val="005E73C0"/>
    <w:rsid w:val="005F0890"/>
    <w:rsid w:val="005F17F9"/>
    <w:rsid w:val="005F2706"/>
    <w:rsid w:val="005F6A8F"/>
    <w:rsid w:val="005F6BB7"/>
    <w:rsid w:val="005F7588"/>
    <w:rsid w:val="0060028B"/>
    <w:rsid w:val="00603DB9"/>
    <w:rsid w:val="00606FBA"/>
    <w:rsid w:val="00607669"/>
    <w:rsid w:val="006076F4"/>
    <w:rsid w:val="00607AFD"/>
    <w:rsid w:val="00612F97"/>
    <w:rsid w:val="0061345D"/>
    <w:rsid w:val="00614D04"/>
    <w:rsid w:val="0061549B"/>
    <w:rsid w:val="00616802"/>
    <w:rsid w:val="00617E12"/>
    <w:rsid w:val="00620C25"/>
    <w:rsid w:val="00621477"/>
    <w:rsid w:val="0062170A"/>
    <w:rsid w:val="006217FB"/>
    <w:rsid w:val="00621ADA"/>
    <w:rsid w:val="00623F7B"/>
    <w:rsid w:val="00624DA8"/>
    <w:rsid w:val="0063158F"/>
    <w:rsid w:val="00631D6B"/>
    <w:rsid w:val="00632183"/>
    <w:rsid w:val="006330A1"/>
    <w:rsid w:val="0063479F"/>
    <w:rsid w:val="00634BDB"/>
    <w:rsid w:val="006353F0"/>
    <w:rsid w:val="006356D8"/>
    <w:rsid w:val="006357B5"/>
    <w:rsid w:val="006364A1"/>
    <w:rsid w:val="0063678E"/>
    <w:rsid w:val="00637BFD"/>
    <w:rsid w:val="00641C4E"/>
    <w:rsid w:val="00641FB3"/>
    <w:rsid w:val="00643C9B"/>
    <w:rsid w:val="0064434C"/>
    <w:rsid w:val="006458A8"/>
    <w:rsid w:val="006471CC"/>
    <w:rsid w:val="00647A29"/>
    <w:rsid w:val="0065079F"/>
    <w:rsid w:val="006511C5"/>
    <w:rsid w:val="00652A28"/>
    <w:rsid w:val="0065379F"/>
    <w:rsid w:val="00654B17"/>
    <w:rsid w:val="00656188"/>
    <w:rsid w:val="00656C60"/>
    <w:rsid w:val="0065715A"/>
    <w:rsid w:val="00657EF3"/>
    <w:rsid w:val="00660DB4"/>
    <w:rsid w:val="006610F1"/>
    <w:rsid w:val="00661C6B"/>
    <w:rsid w:val="0066287C"/>
    <w:rsid w:val="006636EB"/>
    <w:rsid w:val="00664BCC"/>
    <w:rsid w:val="00665CCC"/>
    <w:rsid w:val="00670591"/>
    <w:rsid w:val="00671004"/>
    <w:rsid w:val="00671C26"/>
    <w:rsid w:val="006720CD"/>
    <w:rsid w:val="006722D4"/>
    <w:rsid w:val="006724C8"/>
    <w:rsid w:val="00672646"/>
    <w:rsid w:val="00672814"/>
    <w:rsid w:val="00674E42"/>
    <w:rsid w:val="00674F12"/>
    <w:rsid w:val="00675C30"/>
    <w:rsid w:val="00676D1F"/>
    <w:rsid w:val="0067795E"/>
    <w:rsid w:val="006813F8"/>
    <w:rsid w:val="00682112"/>
    <w:rsid w:val="00682BA6"/>
    <w:rsid w:val="00683D65"/>
    <w:rsid w:val="00684E05"/>
    <w:rsid w:val="006852BB"/>
    <w:rsid w:val="00686957"/>
    <w:rsid w:val="00686E20"/>
    <w:rsid w:val="006872BA"/>
    <w:rsid w:val="0068795F"/>
    <w:rsid w:val="00690795"/>
    <w:rsid w:val="00691648"/>
    <w:rsid w:val="006917D7"/>
    <w:rsid w:val="00692214"/>
    <w:rsid w:val="0069434C"/>
    <w:rsid w:val="00694F44"/>
    <w:rsid w:val="0069580A"/>
    <w:rsid w:val="00695B98"/>
    <w:rsid w:val="00695D4A"/>
    <w:rsid w:val="00696F51"/>
    <w:rsid w:val="006979A5"/>
    <w:rsid w:val="006A031D"/>
    <w:rsid w:val="006A6B99"/>
    <w:rsid w:val="006A7E5F"/>
    <w:rsid w:val="006B261B"/>
    <w:rsid w:val="006B2C90"/>
    <w:rsid w:val="006B35E6"/>
    <w:rsid w:val="006B44A4"/>
    <w:rsid w:val="006B465A"/>
    <w:rsid w:val="006B672A"/>
    <w:rsid w:val="006B6DD0"/>
    <w:rsid w:val="006C0399"/>
    <w:rsid w:val="006C0B90"/>
    <w:rsid w:val="006C14F3"/>
    <w:rsid w:val="006C22F0"/>
    <w:rsid w:val="006C2A8E"/>
    <w:rsid w:val="006C3255"/>
    <w:rsid w:val="006C3F26"/>
    <w:rsid w:val="006C42C9"/>
    <w:rsid w:val="006C5BA7"/>
    <w:rsid w:val="006C6819"/>
    <w:rsid w:val="006D091F"/>
    <w:rsid w:val="006D0D17"/>
    <w:rsid w:val="006D1598"/>
    <w:rsid w:val="006D1737"/>
    <w:rsid w:val="006D21D3"/>
    <w:rsid w:val="006D3C7D"/>
    <w:rsid w:val="006D4659"/>
    <w:rsid w:val="006D5D5F"/>
    <w:rsid w:val="006D68FB"/>
    <w:rsid w:val="006D6A35"/>
    <w:rsid w:val="006D6EC3"/>
    <w:rsid w:val="006E24F0"/>
    <w:rsid w:val="006E2868"/>
    <w:rsid w:val="006E7443"/>
    <w:rsid w:val="006F27AE"/>
    <w:rsid w:val="006F306C"/>
    <w:rsid w:val="006F3D6C"/>
    <w:rsid w:val="006F3EFF"/>
    <w:rsid w:val="006F4DC9"/>
    <w:rsid w:val="006F5006"/>
    <w:rsid w:val="006F63A5"/>
    <w:rsid w:val="006F6F5A"/>
    <w:rsid w:val="006F785D"/>
    <w:rsid w:val="0070142B"/>
    <w:rsid w:val="0070276E"/>
    <w:rsid w:val="00702F8F"/>
    <w:rsid w:val="007079FC"/>
    <w:rsid w:val="00707BD9"/>
    <w:rsid w:val="00707E1D"/>
    <w:rsid w:val="00710B68"/>
    <w:rsid w:val="00711A36"/>
    <w:rsid w:val="0071398F"/>
    <w:rsid w:val="00714092"/>
    <w:rsid w:val="00714C26"/>
    <w:rsid w:val="0071529C"/>
    <w:rsid w:val="00716E66"/>
    <w:rsid w:val="007170DA"/>
    <w:rsid w:val="007172AD"/>
    <w:rsid w:val="00717AAE"/>
    <w:rsid w:val="00720801"/>
    <w:rsid w:val="007214C4"/>
    <w:rsid w:val="00722303"/>
    <w:rsid w:val="00722B1B"/>
    <w:rsid w:val="00723C84"/>
    <w:rsid w:val="0072416F"/>
    <w:rsid w:val="00727109"/>
    <w:rsid w:val="00727C94"/>
    <w:rsid w:val="00731B0A"/>
    <w:rsid w:val="00731EAE"/>
    <w:rsid w:val="00733073"/>
    <w:rsid w:val="00735033"/>
    <w:rsid w:val="00735328"/>
    <w:rsid w:val="00735E60"/>
    <w:rsid w:val="0073685B"/>
    <w:rsid w:val="00741680"/>
    <w:rsid w:val="007449BF"/>
    <w:rsid w:val="00746BC0"/>
    <w:rsid w:val="00747188"/>
    <w:rsid w:val="00747DB3"/>
    <w:rsid w:val="007503CC"/>
    <w:rsid w:val="007510B4"/>
    <w:rsid w:val="00752142"/>
    <w:rsid w:val="007523F9"/>
    <w:rsid w:val="00752D41"/>
    <w:rsid w:val="0075357E"/>
    <w:rsid w:val="007573E8"/>
    <w:rsid w:val="00757DFA"/>
    <w:rsid w:val="00760C4E"/>
    <w:rsid w:val="00760F9E"/>
    <w:rsid w:val="007627BE"/>
    <w:rsid w:val="00763BC9"/>
    <w:rsid w:val="00763D5A"/>
    <w:rsid w:val="00764F03"/>
    <w:rsid w:val="00765A67"/>
    <w:rsid w:val="00765B1A"/>
    <w:rsid w:val="0077671F"/>
    <w:rsid w:val="00777335"/>
    <w:rsid w:val="0077759F"/>
    <w:rsid w:val="0078067A"/>
    <w:rsid w:val="0078269C"/>
    <w:rsid w:val="00782898"/>
    <w:rsid w:val="007843F2"/>
    <w:rsid w:val="00784F43"/>
    <w:rsid w:val="00785A9F"/>
    <w:rsid w:val="007925DF"/>
    <w:rsid w:val="007937C3"/>
    <w:rsid w:val="007A08AA"/>
    <w:rsid w:val="007A0A12"/>
    <w:rsid w:val="007A103D"/>
    <w:rsid w:val="007A132D"/>
    <w:rsid w:val="007A1345"/>
    <w:rsid w:val="007A2DDB"/>
    <w:rsid w:val="007A3EFF"/>
    <w:rsid w:val="007A40E7"/>
    <w:rsid w:val="007A46D5"/>
    <w:rsid w:val="007A6F27"/>
    <w:rsid w:val="007A70BA"/>
    <w:rsid w:val="007B0D68"/>
    <w:rsid w:val="007B16E2"/>
    <w:rsid w:val="007B251D"/>
    <w:rsid w:val="007B4F58"/>
    <w:rsid w:val="007B528D"/>
    <w:rsid w:val="007B546F"/>
    <w:rsid w:val="007B5961"/>
    <w:rsid w:val="007B63CA"/>
    <w:rsid w:val="007B77D1"/>
    <w:rsid w:val="007C07C7"/>
    <w:rsid w:val="007C1CD9"/>
    <w:rsid w:val="007C1F84"/>
    <w:rsid w:val="007C32EF"/>
    <w:rsid w:val="007C361D"/>
    <w:rsid w:val="007C4B84"/>
    <w:rsid w:val="007C4BF1"/>
    <w:rsid w:val="007C70FF"/>
    <w:rsid w:val="007C7596"/>
    <w:rsid w:val="007C7C25"/>
    <w:rsid w:val="007D004F"/>
    <w:rsid w:val="007D0B38"/>
    <w:rsid w:val="007D1057"/>
    <w:rsid w:val="007D2891"/>
    <w:rsid w:val="007D4048"/>
    <w:rsid w:val="007D5440"/>
    <w:rsid w:val="007D688A"/>
    <w:rsid w:val="007D69EB"/>
    <w:rsid w:val="007D7D57"/>
    <w:rsid w:val="007E128F"/>
    <w:rsid w:val="007E1F32"/>
    <w:rsid w:val="007E24C3"/>
    <w:rsid w:val="007E2671"/>
    <w:rsid w:val="007E3225"/>
    <w:rsid w:val="007E4232"/>
    <w:rsid w:val="007E652A"/>
    <w:rsid w:val="007E6D45"/>
    <w:rsid w:val="007E72B3"/>
    <w:rsid w:val="007F1017"/>
    <w:rsid w:val="007F4A3F"/>
    <w:rsid w:val="007F4A61"/>
    <w:rsid w:val="007F5255"/>
    <w:rsid w:val="007F56CC"/>
    <w:rsid w:val="007F61C2"/>
    <w:rsid w:val="00805142"/>
    <w:rsid w:val="00805FCE"/>
    <w:rsid w:val="008075A2"/>
    <w:rsid w:val="00807A8B"/>
    <w:rsid w:val="00811383"/>
    <w:rsid w:val="00812149"/>
    <w:rsid w:val="00812438"/>
    <w:rsid w:val="00812784"/>
    <w:rsid w:val="00812CAC"/>
    <w:rsid w:val="008148E2"/>
    <w:rsid w:val="0081530A"/>
    <w:rsid w:val="00816361"/>
    <w:rsid w:val="008166EF"/>
    <w:rsid w:val="00816FEF"/>
    <w:rsid w:val="0082023E"/>
    <w:rsid w:val="0082086C"/>
    <w:rsid w:val="00820A8C"/>
    <w:rsid w:val="008215FB"/>
    <w:rsid w:val="00821ACD"/>
    <w:rsid w:val="00823174"/>
    <w:rsid w:val="00823480"/>
    <w:rsid w:val="00823DF1"/>
    <w:rsid w:val="00825751"/>
    <w:rsid w:val="00825971"/>
    <w:rsid w:val="008264EB"/>
    <w:rsid w:val="00827CC9"/>
    <w:rsid w:val="0083059E"/>
    <w:rsid w:val="00830BAB"/>
    <w:rsid w:val="00832C71"/>
    <w:rsid w:val="00833B05"/>
    <w:rsid w:val="00834EF3"/>
    <w:rsid w:val="00835880"/>
    <w:rsid w:val="008362B4"/>
    <w:rsid w:val="00840678"/>
    <w:rsid w:val="00840CA2"/>
    <w:rsid w:val="0084374F"/>
    <w:rsid w:val="00844A22"/>
    <w:rsid w:val="00846030"/>
    <w:rsid w:val="00847703"/>
    <w:rsid w:val="00847DF5"/>
    <w:rsid w:val="0085309D"/>
    <w:rsid w:val="00854387"/>
    <w:rsid w:val="00856897"/>
    <w:rsid w:val="00856CF7"/>
    <w:rsid w:val="00856E9A"/>
    <w:rsid w:val="008600A6"/>
    <w:rsid w:val="0086075D"/>
    <w:rsid w:val="008621F4"/>
    <w:rsid w:val="00862502"/>
    <w:rsid w:val="00862CC1"/>
    <w:rsid w:val="00862DE1"/>
    <w:rsid w:val="00863505"/>
    <w:rsid w:val="00863697"/>
    <w:rsid w:val="008638A8"/>
    <w:rsid w:val="00864EC7"/>
    <w:rsid w:val="00865B2A"/>
    <w:rsid w:val="008660D4"/>
    <w:rsid w:val="0086633A"/>
    <w:rsid w:val="00867324"/>
    <w:rsid w:val="008707D6"/>
    <w:rsid w:val="00870971"/>
    <w:rsid w:val="00871FA9"/>
    <w:rsid w:val="008728E9"/>
    <w:rsid w:val="008748CA"/>
    <w:rsid w:val="00877555"/>
    <w:rsid w:val="0087780E"/>
    <w:rsid w:val="00882874"/>
    <w:rsid w:val="00882E3C"/>
    <w:rsid w:val="00883787"/>
    <w:rsid w:val="00883F37"/>
    <w:rsid w:val="00884385"/>
    <w:rsid w:val="008855E4"/>
    <w:rsid w:val="00886CD2"/>
    <w:rsid w:val="00890502"/>
    <w:rsid w:val="00891E6F"/>
    <w:rsid w:val="0089275D"/>
    <w:rsid w:val="00892A36"/>
    <w:rsid w:val="00893239"/>
    <w:rsid w:val="00894489"/>
    <w:rsid w:val="00894DCB"/>
    <w:rsid w:val="008955DE"/>
    <w:rsid w:val="008963A5"/>
    <w:rsid w:val="008968F7"/>
    <w:rsid w:val="00896D5D"/>
    <w:rsid w:val="00896DBA"/>
    <w:rsid w:val="008A2189"/>
    <w:rsid w:val="008A3305"/>
    <w:rsid w:val="008A3363"/>
    <w:rsid w:val="008A3371"/>
    <w:rsid w:val="008A34C4"/>
    <w:rsid w:val="008A3C3E"/>
    <w:rsid w:val="008A79DE"/>
    <w:rsid w:val="008B1757"/>
    <w:rsid w:val="008B1A10"/>
    <w:rsid w:val="008B3CB7"/>
    <w:rsid w:val="008B76C8"/>
    <w:rsid w:val="008B7992"/>
    <w:rsid w:val="008B7D7E"/>
    <w:rsid w:val="008C1533"/>
    <w:rsid w:val="008C1E3C"/>
    <w:rsid w:val="008C1EFE"/>
    <w:rsid w:val="008C2384"/>
    <w:rsid w:val="008C2D54"/>
    <w:rsid w:val="008C5610"/>
    <w:rsid w:val="008C5739"/>
    <w:rsid w:val="008C5B9C"/>
    <w:rsid w:val="008C6B24"/>
    <w:rsid w:val="008C7ECB"/>
    <w:rsid w:val="008D2D1D"/>
    <w:rsid w:val="008D3B86"/>
    <w:rsid w:val="008D4755"/>
    <w:rsid w:val="008D4C3D"/>
    <w:rsid w:val="008D4CD7"/>
    <w:rsid w:val="008D743C"/>
    <w:rsid w:val="008E0D3C"/>
    <w:rsid w:val="008E12DC"/>
    <w:rsid w:val="008E1B9E"/>
    <w:rsid w:val="008E3A86"/>
    <w:rsid w:val="008E55AB"/>
    <w:rsid w:val="008E5DFB"/>
    <w:rsid w:val="008E6FEA"/>
    <w:rsid w:val="008F120A"/>
    <w:rsid w:val="008F27E0"/>
    <w:rsid w:val="008F48EB"/>
    <w:rsid w:val="008F4F0B"/>
    <w:rsid w:val="008F52A5"/>
    <w:rsid w:val="009012D7"/>
    <w:rsid w:val="009015E0"/>
    <w:rsid w:val="009046C4"/>
    <w:rsid w:val="009062A5"/>
    <w:rsid w:val="00906E7D"/>
    <w:rsid w:val="00910FA7"/>
    <w:rsid w:val="00911272"/>
    <w:rsid w:val="009135D6"/>
    <w:rsid w:val="00914C77"/>
    <w:rsid w:val="00914EDD"/>
    <w:rsid w:val="00915DC1"/>
    <w:rsid w:val="009168A3"/>
    <w:rsid w:val="00921ACB"/>
    <w:rsid w:val="00921B79"/>
    <w:rsid w:val="009228E1"/>
    <w:rsid w:val="0092369B"/>
    <w:rsid w:val="00924E4A"/>
    <w:rsid w:val="00925076"/>
    <w:rsid w:val="00926A0F"/>
    <w:rsid w:val="009270E2"/>
    <w:rsid w:val="009319B5"/>
    <w:rsid w:val="00934988"/>
    <w:rsid w:val="00935B5E"/>
    <w:rsid w:val="00935D79"/>
    <w:rsid w:val="00937089"/>
    <w:rsid w:val="00944F8A"/>
    <w:rsid w:val="00945804"/>
    <w:rsid w:val="00946119"/>
    <w:rsid w:val="009463A4"/>
    <w:rsid w:val="0094676F"/>
    <w:rsid w:val="00947845"/>
    <w:rsid w:val="009510A2"/>
    <w:rsid w:val="00953257"/>
    <w:rsid w:val="0095474C"/>
    <w:rsid w:val="0096027F"/>
    <w:rsid w:val="009628F4"/>
    <w:rsid w:val="00962CB9"/>
    <w:rsid w:val="00964312"/>
    <w:rsid w:val="009654F9"/>
    <w:rsid w:val="00965B8A"/>
    <w:rsid w:val="0096744D"/>
    <w:rsid w:val="0097071F"/>
    <w:rsid w:val="00970D7C"/>
    <w:rsid w:val="009717AC"/>
    <w:rsid w:val="009730F4"/>
    <w:rsid w:val="00973E6F"/>
    <w:rsid w:val="009751C1"/>
    <w:rsid w:val="009811F1"/>
    <w:rsid w:val="009821EB"/>
    <w:rsid w:val="00982C3A"/>
    <w:rsid w:val="009833B9"/>
    <w:rsid w:val="00983E57"/>
    <w:rsid w:val="00984BFE"/>
    <w:rsid w:val="00984EF4"/>
    <w:rsid w:val="00985DE2"/>
    <w:rsid w:val="0098675D"/>
    <w:rsid w:val="00991AF0"/>
    <w:rsid w:val="009926E0"/>
    <w:rsid w:val="0099451E"/>
    <w:rsid w:val="009951FA"/>
    <w:rsid w:val="0099548F"/>
    <w:rsid w:val="00996B1A"/>
    <w:rsid w:val="009A0898"/>
    <w:rsid w:val="009A2DCC"/>
    <w:rsid w:val="009A5ABC"/>
    <w:rsid w:val="009A66F5"/>
    <w:rsid w:val="009A706E"/>
    <w:rsid w:val="009A7500"/>
    <w:rsid w:val="009A7F10"/>
    <w:rsid w:val="009B3E26"/>
    <w:rsid w:val="009B5EA1"/>
    <w:rsid w:val="009C1FE6"/>
    <w:rsid w:val="009C2EC3"/>
    <w:rsid w:val="009C3706"/>
    <w:rsid w:val="009C39C4"/>
    <w:rsid w:val="009C3A3A"/>
    <w:rsid w:val="009C63C4"/>
    <w:rsid w:val="009C6CEA"/>
    <w:rsid w:val="009C7AC0"/>
    <w:rsid w:val="009C7B85"/>
    <w:rsid w:val="009D0254"/>
    <w:rsid w:val="009D1A64"/>
    <w:rsid w:val="009D5B91"/>
    <w:rsid w:val="009D792E"/>
    <w:rsid w:val="009E0DFE"/>
    <w:rsid w:val="009E2328"/>
    <w:rsid w:val="009E31F6"/>
    <w:rsid w:val="009E39D6"/>
    <w:rsid w:val="009E4C07"/>
    <w:rsid w:val="009F0A3A"/>
    <w:rsid w:val="009F1622"/>
    <w:rsid w:val="009F27D3"/>
    <w:rsid w:val="009F3F94"/>
    <w:rsid w:val="00A007E2"/>
    <w:rsid w:val="00A01184"/>
    <w:rsid w:val="00A037C2"/>
    <w:rsid w:val="00A03912"/>
    <w:rsid w:val="00A03D43"/>
    <w:rsid w:val="00A04380"/>
    <w:rsid w:val="00A05472"/>
    <w:rsid w:val="00A05C32"/>
    <w:rsid w:val="00A0653F"/>
    <w:rsid w:val="00A06828"/>
    <w:rsid w:val="00A11605"/>
    <w:rsid w:val="00A11CD0"/>
    <w:rsid w:val="00A11F94"/>
    <w:rsid w:val="00A134F4"/>
    <w:rsid w:val="00A13948"/>
    <w:rsid w:val="00A1555B"/>
    <w:rsid w:val="00A155C5"/>
    <w:rsid w:val="00A157AD"/>
    <w:rsid w:val="00A16AD8"/>
    <w:rsid w:val="00A20BA4"/>
    <w:rsid w:val="00A21C95"/>
    <w:rsid w:val="00A21CF3"/>
    <w:rsid w:val="00A228CE"/>
    <w:rsid w:val="00A22BE4"/>
    <w:rsid w:val="00A2380C"/>
    <w:rsid w:val="00A24813"/>
    <w:rsid w:val="00A2591E"/>
    <w:rsid w:val="00A2636B"/>
    <w:rsid w:val="00A27AEC"/>
    <w:rsid w:val="00A31FDE"/>
    <w:rsid w:val="00A320DB"/>
    <w:rsid w:val="00A322A7"/>
    <w:rsid w:val="00A32544"/>
    <w:rsid w:val="00A332C2"/>
    <w:rsid w:val="00A33584"/>
    <w:rsid w:val="00A34A4A"/>
    <w:rsid w:val="00A35D16"/>
    <w:rsid w:val="00A37BCD"/>
    <w:rsid w:val="00A37E57"/>
    <w:rsid w:val="00A41689"/>
    <w:rsid w:val="00A42592"/>
    <w:rsid w:val="00A43385"/>
    <w:rsid w:val="00A43C59"/>
    <w:rsid w:val="00A50ECD"/>
    <w:rsid w:val="00A518F3"/>
    <w:rsid w:val="00A524D9"/>
    <w:rsid w:val="00A52729"/>
    <w:rsid w:val="00A52C97"/>
    <w:rsid w:val="00A53675"/>
    <w:rsid w:val="00A54305"/>
    <w:rsid w:val="00A564D7"/>
    <w:rsid w:val="00A56B6A"/>
    <w:rsid w:val="00A578DC"/>
    <w:rsid w:val="00A57B56"/>
    <w:rsid w:val="00A6215C"/>
    <w:rsid w:val="00A640E2"/>
    <w:rsid w:val="00A64119"/>
    <w:rsid w:val="00A64D65"/>
    <w:rsid w:val="00A65B14"/>
    <w:rsid w:val="00A65C9D"/>
    <w:rsid w:val="00A6725B"/>
    <w:rsid w:val="00A70605"/>
    <w:rsid w:val="00A71682"/>
    <w:rsid w:val="00A726B6"/>
    <w:rsid w:val="00A73134"/>
    <w:rsid w:val="00A74ADD"/>
    <w:rsid w:val="00A75487"/>
    <w:rsid w:val="00A76001"/>
    <w:rsid w:val="00A777B2"/>
    <w:rsid w:val="00A81290"/>
    <w:rsid w:val="00A81EFA"/>
    <w:rsid w:val="00A82521"/>
    <w:rsid w:val="00A825D4"/>
    <w:rsid w:val="00A828F6"/>
    <w:rsid w:val="00A82B73"/>
    <w:rsid w:val="00A82DB6"/>
    <w:rsid w:val="00A850EE"/>
    <w:rsid w:val="00A86E8B"/>
    <w:rsid w:val="00A87164"/>
    <w:rsid w:val="00A9115B"/>
    <w:rsid w:val="00A93072"/>
    <w:rsid w:val="00A938BD"/>
    <w:rsid w:val="00A93953"/>
    <w:rsid w:val="00A959D8"/>
    <w:rsid w:val="00AA0C59"/>
    <w:rsid w:val="00AA0D7A"/>
    <w:rsid w:val="00AA113D"/>
    <w:rsid w:val="00AA6BD5"/>
    <w:rsid w:val="00AA6BD8"/>
    <w:rsid w:val="00AA6C7D"/>
    <w:rsid w:val="00AA76FF"/>
    <w:rsid w:val="00AA7FD6"/>
    <w:rsid w:val="00AB042A"/>
    <w:rsid w:val="00AB19EF"/>
    <w:rsid w:val="00AB2D34"/>
    <w:rsid w:val="00AB2FEC"/>
    <w:rsid w:val="00AB3430"/>
    <w:rsid w:val="00AB37B9"/>
    <w:rsid w:val="00AB4AD1"/>
    <w:rsid w:val="00AB5E07"/>
    <w:rsid w:val="00AB797D"/>
    <w:rsid w:val="00AB7CFA"/>
    <w:rsid w:val="00AB7FF5"/>
    <w:rsid w:val="00AC13B4"/>
    <w:rsid w:val="00AC1E5B"/>
    <w:rsid w:val="00AC36AD"/>
    <w:rsid w:val="00AC372D"/>
    <w:rsid w:val="00AC4C96"/>
    <w:rsid w:val="00AC518D"/>
    <w:rsid w:val="00AC5B48"/>
    <w:rsid w:val="00AD1111"/>
    <w:rsid w:val="00AD1450"/>
    <w:rsid w:val="00AD1BB4"/>
    <w:rsid w:val="00AD6502"/>
    <w:rsid w:val="00AD6BAF"/>
    <w:rsid w:val="00AE0695"/>
    <w:rsid w:val="00AE2B50"/>
    <w:rsid w:val="00AE334B"/>
    <w:rsid w:val="00AE3D84"/>
    <w:rsid w:val="00AE3E7E"/>
    <w:rsid w:val="00AE5A68"/>
    <w:rsid w:val="00AE6CAF"/>
    <w:rsid w:val="00AF043A"/>
    <w:rsid w:val="00AF1315"/>
    <w:rsid w:val="00AF19BF"/>
    <w:rsid w:val="00AF2DC3"/>
    <w:rsid w:val="00AF3196"/>
    <w:rsid w:val="00AF78D1"/>
    <w:rsid w:val="00AF79C1"/>
    <w:rsid w:val="00B00FFC"/>
    <w:rsid w:val="00B01240"/>
    <w:rsid w:val="00B01782"/>
    <w:rsid w:val="00B033E5"/>
    <w:rsid w:val="00B03A63"/>
    <w:rsid w:val="00B0708E"/>
    <w:rsid w:val="00B07DB1"/>
    <w:rsid w:val="00B132FB"/>
    <w:rsid w:val="00B1385B"/>
    <w:rsid w:val="00B201A4"/>
    <w:rsid w:val="00B201D1"/>
    <w:rsid w:val="00B213A6"/>
    <w:rsid w:val="00B219AF"/>
    <w:rsid w:val="00B23406"/>
    <w:rsid w:val="00B235B0"/>
    <w:rsid w:val="00B24DF6"/>
    <w:rsid w:val="00B265E0"/>
    <w:rsid w:val="00B266EC"/>
    <w:rsid w:val="00B275D3"/>
    <w:rsid w:val="00B34FE2"/>
    <w:rsid w:val="00B35166"/>
    <w:rsid w:val="00B357D8"/>
    <w:rsid w:val="00B360F4"/>
    <w:rsid w:val="00B36A00"/>
    <w:rsid w:val="00B36FD7"/>
    <w:rsid w:val="00B37BFC"/>
    <w:rsid w:val="00B40358"/>
    <w:rsid w:val="00B41614"/>
    <w:rsid w:val="00B42851"/>
    <w:rsid w:val="00B42F80"/>
    <w:rsid w:val="00B435CB"/>
    <w:rsid w:val="00B44478"/>
    <w:rsid w:val="00B46BCA"/>
    <w:rsid w:val="00B505C8"/>
    <w:rsid w:val="00B50D45"/>
    <w:rsid w:val="00B50DB8"/>
    <w:rsid w:val="00B53428"/>
    <w:rsid w:val="00B53654"/>
    <w:rsid w:val="00B53905"/>
    <w:rsid w:val="00B54B5B"/>
    <w:rsid w:val="00B5531C"/>
    <w:rsid w:val="00B5562E"/>
    <w:rsid w:val="00B55D65"/>
    <w:rsid w:val="00B57000"/>
    <w:rsid w:val="00B57119"/>
    <w:rsid w:val="00B60939"/>
    <w:rsid w:val="00B60AFD"/>
    <w:rsid w:val="00B62715"/>
    <w:rsid w:val="00B62ACA"/>
    <w:rsid w:val="00B63434"/>
    <w:rsid w:val="00B65611"/>
    <w:rsid w:val="00B70E8E"/>
    <w:rsid w:val="00B74C64"/>
    <w:rsid w:val="00B76C92"/>
    <w:rsid w:val="00B81787"/>
    <w:rsid w:val="00B818A4"/>
    <w:rsid w:val="00B8218C"/>
    <w:rsid w:val="00B827B0"/>
    <w:rsid w:val="00B837EA"/>
    <w:rsid w:val="00B84117"/>
    <w:rsid w:val="00B85381"/>
    <w:rsid w:val="00B858F0"/>
    <w:rsid w:val="00B85AA2"/>
    <w:rsid w:val="00B8649C"/>
    <w:rsid w:val="00B8695D"/>
    <w:rsid w:val="00B87F0A"/>
    <w:rsid w:val="00B91586"/>
    <w:rsid w:val="00B9274E"/>
    <w:rsid w:val="00B92D0B"/>
    <w:rsid w:val="00B94945"/>
    <w:rsid w:val="00B94DD6"/>
    <w:rsid w:val="00B96CE3"/>
    <w:rsid w:val="00BA2779"/>
    <w:rsid w:val="00BA322D"/>
    <w:rsid w:val="00BA38A8"/>
    <w:rsid w:val="00BA5DA9"/>
    <w:rsid w:val="00BA63FA"/>
    <w:rsid w:val="00BA7623"/>
    <w:rsid w:val="00BB00B3"/>
    <w:rsid w:val="00BB0BDD"/>
    <w:rsid w:val="00BB176C"/>
    <w:rsid w:val="00BB1DAB"/>
    <w:rsid w:val="00BB2A73"/>
    <w:rsid w:val="00BB3A45"/>
    <w:rsid w:val="00BB3DE4"/>
    <w:rsid w:val="00BB4ACC"/>
    <w:rsid w:val="00BB5588"/>
    <w:rsid w:val="00BB5B23"/>
    <w:rsid w:val="00BB6584"/>
    <w:rsid w:val="00BB703E"/>
    <w:rsid w:val="00BB732D"/>
    <w:rsid w:val="00BB7405"/>
    <w:rsid w:val="00BC3631"/>
    <w:rsid w:val="00BC591F"/>
    <w:rsid w:val="00BC7145"/>
    <w:rsid w:val="00BC7D6D"/>
    <w:rsid w:val="00BD2108"/>
    <w:rsid w:val="00BD4133"/>
    <w:rsid w:val="00BD60B4"/>
    <w:rsid w:val="00BD68A3"/>
    <w:rsid w:val="00BD6938"/>
    <w:rsid w:val="00BD6CF3"/>
    <w:rsid w:val="00BD755B"/>
    <w:rsid w:val="00BE04EC"/>
    <w:rsid w:val="00BE0ECA"/>
    <w:rsid w:val="00BE2180"/>
    <w:rsid w:val="00BE21F2"/>
    <w:rsid w:val="00BE4275"/>
    <w:rsid w:val="00BF06AE"/>
    <w:rsid w:val="00BF0E85"/>
    <w:rsid w:val="00BF0F95"/>
    <w:rsid w:val="00BF2433"/>
    <w:rsid w:val="00BF4C8A"/>
    <w:rsid w:val="00BF57BF"/>
    <w:rsid w:val="00BF61C9"/>
    <w:rsid w:val="00BF69C9"/>
    <w:rsid w:val="00BF6C94"/>
    <w:rsid w:val="00C00424"/>
    <w:rsid w:val="00C00485"/>
    <w:rsid w:val="00C039E7"/>
    <w:rsid w:val="00C06EFF"/>
    <w:rsid w:val="00C1179F"/>
    <w:rsid w:val="00C12C14"/>
    <w:rsid w:val="00C13487"/>
    <w:rsid w:val="00C156F0"/>
    <w:rsid w:val="00C15F04"/>
    <w:rsid w:val="00C16ECC"/>
    <w:rsid w:val="00C179B3"/>
    <w:rsid w:val="00C17E3F"/>
    <w:rsid w:val="00C200AA"/>
    <w:rsid w:val="00C237ED"/>
    <w:rsid w:val="00C24632"/>
    <w:rsid w:val="00C25418"/>
    <w:rsid w:val="00C25D9C"/>
    <w:rsid w:val="00C2778B"/>
    <w:rsid w:val="00C31649"/>
    <w:rsid w:val="00C3434C"/>
    <w:rsid w:val="00C3628A"/>
    <w:rsid w:val="00C37689"/>
    <w:rsid w:val="00C37F20"/>
    <w:rsid w:val="00C4002D"/>
    <w:rsid w:val="00C40385"/>
    <w:rsid w:val="00C4113D"/>
    <w:rsid w:val="00C41768"/>
    <w:rsid w:val="00C42011"/>
    <w:rsid w:val="00C44F44"/>
    <w:rsid w:val="00C475AA"/>
    <w:rsid w:val="00C50120"/>
    <w:rsid w:val="00C501EB"/>
    <w:rsid w:val="00C50A3A"/>
    <w:rsid w:val="00C53C98"/>
    <w:rsid w:val="00C54621"/>
    <w:rsid w:val="00C55BFC"/>
    <w:rsid w:val="00C56FCF"/>
    <w:rsid w:val="00C57B6C"/>
    <w:rsid w:val="00C61BAF"/>
    <w:rsid w:val="00C628A6"/>
    <w:rsid w:val="00C64344"/>
    <w:rsid w:val="00C65108"/>
    <w:rsid w:val="00C65576"/>
    <w:rsid w:val="00C66165"/>
    <w:rsid w:val="00C67817"/>
    <w:rsid w:val="00C7060A"/>
    <w:rsid w:val="00C70BDB"/>
    <w:rsid w:val="00C7151A"/>
    <w:rsid w:val="00C717E3"/>
    <w:rsid w:val="00C71F60"/>
    <w:rsid w:val="00C72241"/>
    <w:rsid w:val="00C750C8"/>
    <w:rsid w:val="00C7560F"/>
    <w:rsid w:val="00C75620"/>
    <w:rsid w:val="00C80A0E"/>
    <w:rsid w:val="00C8213F"/>
    <w:rsid w:val="00C82C14"/>
    <w:rsid w:val="00C85154"/>
    <w:rsid w:val="00C8797A"/>
    <w:rsid w:val="00C900B8"/>
    <w:rsid w:val="00C90C71"/>
    <w:rsid w:val="00C9185C"/>
    <w:rsid w:val="00C91FD1"/>
    <w:rsid w:val="00C931CF"/>
    <w:rsid w:val="00C93599"/>
    <w:rsid w:val="00C938CF"/>
    <w:rsid w:val="00C94053"/>
    <w:rsid w:val="00C9408C"/>
    <w:rsid w:val="00C94A56"/>
    <w:rsid w:val="00C9624D"/>
    <w:rsid w:val="00C969DA"/>
    <w:rsid w:val="00CA1EF7"/>
    <w:rsid w:val="00CA2819"/>
    <w:rsid w:val="00CA2C77"/>
    <w:rsid w:val="00CA444F"/>
    <w:rsid w:val="00CA5245"/>
    <w:rsid w:val="00CA543A"/>
    <w:rsid w:val="00CA71F4"/>
    <w:rsid w:val="00CA7B09"/>
    <w:rsid w:val="00CB12A5"/>
    <w:rsid w:val="00CB1CAC"/>
    <w:rsid w:val="00CB28B8"/>
    <w:rsid w:val="00CB2F2A"/>
    <w:rsid w:val="00CB44D5"/>
    <w:rsid w:val="00CB4FAC"/>
    <w:rsid w:val="00CB5B1A"/>
    <w:rsid w:val="00CB6B22"/>
    <w:rsid w:val="00CB7F5F"/>
    <w:rsid w:val="00CB7FA0"/>
    <w:rsid w:val="00CC06DF"/>
    <w:rsid w:val="00CC1B39"/>
    <w:rsid w:val="00CC252F"/>
    <w:rsid w:val="00CC35EA"/>
    <w:rsid w:val="00CC3848"/>
    <w:rsid w:val="00CC46EE"/>
    <w:rsid w:val="00CC52E1"/>
    <w:rsid w:val="00CD10BB"/>
    <w:rsid w:val="00CD12C3"/>
    <w:rsid w:val="00CD12DB"/>
    <w:rsid w:val="00CD3F77"/>
    <w:rsid w:val="00CD6ADC"/>
    <w:rsid w:val="00CD7193"/>
    <w:rsid w:val="00CE0656"/>
    <w:rsid w:val="00CE38C8"/>
    <w:rsid w:val="00CE6274"/>
    <w:rsid w:val="00CE6DB3"/>
    <w:rsid w:val="00CE77B6"/>
    <w:rsid w:val="00CF0618"/>
    <w:rsid w:val="00CF29C9"/>
    <w:rsid w:val="00CF2B8D"/>
    <w:rsid w:val="00CF42AE"/>
    <w:rsid w:val="00CF456B"/>
    <w:rsid w:val="00CF5A22"/>
    <w:rsid w:val="00CF65B1"/>
    <w:rsid w:val="00CF6CDB"/>
    <w:rsid w:val="00D0205A"/>
    <w:rsid w:val="00D0262E"/>
    <w:rsid w:val="00D0516D"/>
    <w:rsid w:val="00D05336"/>
    <w:rsid w:val="00D05B34"/>
    <w:rsid w:val="00D05E3D"/>
    <w:rsid w:val="00D06139"/>
    <w:rsid w:val="00D110BD"/>
    <w:rsid w:val="00D113A5"/>
    <w:rsid w:val="00D13675"/>
    <w:rsid w:val="00D1388D"/>
    <w:rsid w:val="00D141E1"/>
    <w:rsid w:val="00D15314"/>
    <w:rsid w:val="00D163FE"/>
    <w:rsid w:val="00D17D6C"/>
    <w:rsid w:val="00D17F67"/>
    <w:rsid w:val="00D2155B"/>
    <w:rsid w:val="00D232C0"/>
    <w:rsid w:val="00D23D11"/>
    <w:rsid w:val="00D23F99"/>
    <w:rsid w:val="00D2410D"/>
    <w:rsid w:val="00D244B6"/>
    <w:rsid w:val="00D248A0"/>
    <w:rsid w:val="00D2754D"/>
    <w:rsid w:val="00D27891"/>
    <w:rsid w:val="00D27B27"/>
    <w:rsid w:val="00D27B35"/>
    <w:rsid w:val="00D33BE9"/>
    <w:rsid w:val="00D33F93"/>
    <w:rsid w:val="00D34B29"/>
    <w:rsid w:val="00D34D2B"/>
    <w:rsid w:val="00D357A8"/>
    <w:rsid w:val="00D357FF"/>
    <w:rsid w:val="00D358BC"/>
    <w:rsid w:val="00D37C0B"/>
    <w:rsid w:val="00D42101"/>
    <w:rsid w:val="00D424C7"/>
    <w:rsid w:val="00D43B2A"/>
    <w:rsid w:val="00D43D83"/>
    <w:rsid w:val="00D460E4"/>
    <w:rsid w:val="00D47575"/>
    <w:rsid w:val="00D47A3D"/>
    <w:rsid w:val="00D505D6"/>
    <w:rsid w:val="00D516CD"/>
    <w:rsid w:val="00D5243B"/>
    <w:rsid w:val="00D533EC"/>
    <w:rsid w:val="00D5435E"/>
    <w:rsid w:val="00D55061"/>
    <w:rsid w:val="00D553DF"/>
    <w:rsid w:val="00D55738"/>
    <w:rsid w:val="00D5606A"/>
    <w:rsid w:val="00D56A95"/>
    <w:rsid w:val="00D57701"/>
    <w:rsid w:val="00D61FEF"/>
    <w:rsid w:val="00D62375"/>
    <w:rsid w:val="00D63FB7"/>
    <w:rsid w:val="00D65B1D"/>
    <w:rsid w:val="00D663CE"/>
    <w:rsid w:val="00D67F5C"/>
    <w:rsid w:val="00D70F16"/>
    <w:rsid w:val="00D72F57"/>
    <w:rsid w:val="00D76A44"/>
    <w:rsid w:val="00D77963"/>
    <w:rsid w:val="00D815EF"/>
    <w:rsid w:val="00D81ED5"/>
    <w:rsid w:val="00D81F26"/>
    <w:rsid w:val="00D86231"/>
    <w:rsid w:val="00D870E7"/>
    <w:rsid w:val="00D8780F"/>
    <w:rsid w:val="00D91923"/>
    <w:rsid w:val="00D92BA9"/>
    <w:rsid w:val="00D93753"/>
    <w:rsid w:val="00D94D5F"/>
    <w:rsid w:val="00D95D87"/>
    <w:rsid w:val="00DA179C"/>
    <w:rsid w:val="00DA3167"/>
    <w:rsid w:val="00DA3523"/>
    <w:rsid w:val="00DA3671"/>
    <w:rsid w:val="00DA4DC3"/>
    <w:rsid w:val="00DA4F48"/>
    <w:rsid w:val="00DA77A5"/>
    <w:rsid w:val="00DB1DF5"/>
    <w:rsid w:val="00DB3DBF"/>
    <w:rsid w:val="00DB484F"/>
    <w:rsid w:val="00DB4855"/>
    <w:rsid w:val="00DB4CF5"/>
    <w:rsid w:val="00DB632C"/>
    <w:rsid w:val="00DC04F6"/>
    <w:rsid w:val="00DC0690"/>
    <w:rsid w:val="00DC1D65"/>
    <w:rsid w:val="00DC23B0"/>
    <w:rsid w:val="00DC3C57"/>
    <w:rsid w:val="00DC5501"/>
    <w:rsid w:val="00DC5517"/>
    <w:rsid w:val="00DC56CC"/>
    <w:rsid w:val="00DC7154"/>
    <w:rsid w:val="00DC7E8A"/>
    <w:rsid w:val="00DD0F78"/>
    <w:rsid w:val="00DD15CC"/>
    <w:rsid w:val="00DD20A5"/>
    <w:rsid w:val="00DD273C"/>
    <w:rsid w:val="00DD3F28"/>
    <w:rsid w:val="00DD4411"/>
    <w:rsid w:val="00DD4537"/>
    <w:rsid w:val="00DD4E15"/>
    <w:rsid w:val="00DE0D53"/>
    <w:rsid w:val="00DE2304"/>
    <w:rsid w:val="00DE3138"/>
    <w:rsid w:val="00DE37F8"/>
    <w:rsid w:val="00DE440F"/>
    <w:rsid w:val="00DE4FCB"/>
    <w:rsid w:val="00DE5D07"/>
    <w:rsid w:val="00DE72A7"/>
    <w:rsid w:val="00DE7832"/>
    <w:rsid w:val="00DF16E6"/>
    <w:rsid w:val="00DF18FC"/>
    <w:rsid w:val="00DF41E5"/>
    <w:rsid w:val="00DF54CF"/>
    <w:rsid w:val="00DF5D2B"/>
    <w:rsid w:val="00E00E8E"/>
    <w:rsid w:val="00E01E9C"/>
    <w:rsid w:val="00E0454F"/>
    <w:rsid w:val="00E05630"/>
    <w:rsid w:val="00E06DBB"/>
    <w:rsid w:val="00E10149"/>
    <w:rsid w:val="00E11059"/>
    <w:rsid w:val="00E11340"/>
    <w:rsid w:val="00E122A1"/>
    <w:rsid w:val="00E13438"/>
    <w:rsid w:val="00E14EB8"/>
    <w:rsid w:val="00E1500C"/>
    <w:rsid w:val="00E16372"/>
    <w:rsid w:val="00E164D9"/>
    <w:rsid w:val="00E17BF9"/>
    <w:rsid w:val="00E204BA"/>
    <w:rsid w:val="00E20E4D"/>
    <w:rsid w:val="00E20ED6"/>
    <w:rsid w:val="00E21358"/>
    <w:rsid w:val="00E2178F"/>
    <w:rsid w:val="00E21DD1"/>
    <w:rsid w:val="00E2249B"/>
    <w:rsid w:val="00E22A0D"/>
    <w:rsid w:val="00E244F6"/>
    <w:rsid w:val="00E2746F"/>
    <w:rsid w:val="00E2771E"/>
    <w:rsid w:val="00E311EF"/>
    <w:rsid w:val="00E31FE7"/>
    <w:rsid w:val="00E32180"/>
    <w:rsid w:val="00E33107"/>
    <w:rsid w:val="00E33DF2"/>
    <w:rsid w:val="00E34948"/>
    <w:rsid w:val="00E37569"/>
    <w:rsid w:val="00E401B2"/>
    <w:rsid w:val="00E411A0"/>
    <w:rsid w:val="00E41464"/>
    <w:rsid w:val="00E41E30"/>
    <w:rsid w:val="00E423B8"/>
    <w:rsid w:val="00E42481"/>
    <w:rsid w:val="00E42F73"/>
    <w:rsid w:val="00E43D70"/>
    <w:rsid w:val="00E466F3"/>
    <w:rsid w:val="00E47B2C"/>
    <w:rsid w:val="00E5006F"/>
    <w:rsid w:val="00E51411"/>
    <w:rsid w:val="00E51560"/>
    <w:rsid w:val="00E520E4"/>
    <w:rsid w:val="00E53FC8"/>
    <w:rsid w:val="00E54347"/>
    <w:rsid w:val="00E55424"/>
    <w:rsid w:val="00E55762"/>
    <w:rsid w:val="00E55915"/>
    <w:rsid w:val="00E55BB5"/>
    <w:rsid w:val="00E6083C"/>
    <w:rsid w:val="00E618DF"/>
    <w:rsid w:val="00E63C55"/>
    <w:rsid w:val="00E65C00"/>
    <w:rsid w:val="00E65E79"/>
    <w:rsid w:val="00E6653C"/>
    <w:rsid w:val="00E666F9"/>
    <w:rsid w:val="00E66BA2"/>
    <w:rsid w:val="00E67416"/>
    <w:rsid w:val="00E718B6"/>
    <w:rsid w:val="00E723BA"/>
    <w:rsid w:val="00E73581"/>
    <w:rsid w:val="00E74170"/>
    <w:rsid w:val="00E760F3"/>
    <w:rsid w:val="00E833F7"/>
    <w:rsid w:val="00E83BDF"/>
    <w:rsid w:val="00E83C93"/>
    <w:rsid w:val="00E841F6"/>
    <w:rsid w:val="00E84639"/>
    <w:rsid w:val="00E84704"/>
    <w:rsid w:val="00E852A3"/>
    <w:rsid w:val="00E855D6"/>
    <w:rsid w:val="00E87A1D"/>
    <w:rsid w:val="00E9094A"/>
    <w:rsid w:val="00E91D35"/>
    <w:rsid w:val="00E926A5"/>
    <w:rsid w:val="00E93D64"/>
    <w:rsid w:val="00EA17C3"/>
    <w:rsid w:val="00EA2CAA"/>
    <w:rsid w:val="00EA3864"/>
    <w:rsid w:val="00EA416D"/>
    <w:rsid w:val="00EA4709"/>
    <w:rsid w:val="00EA7F1C"/>
    <w:rsid w:val="00EB15B6"/>
    <w:rsid w:val="00EB1E10"/>
    <w:rsid w:val="00EB251B"/>
    <w:rsid w:val="00EB3D06"/>
    <w:rsid w:val="00EB46F9"/>
    <w:rsid w:val="00EB4916"/>
    <w:rsid w:val="00EB5A58"/>
    <w:rsid w:val="00EB5C01"/>
    <w:rsid w:val="00EB673E"/>
    <w:rsid w:val="00EC00C9"/>
    <w:rsid w:val="00EC0C62"/>
    <w:rsid w:val="00EC0DD9"/>
    <w:rsid w:val="00EC2649"/>
    <w:rsid w:val="00EC28B5"/>
    <w:rsid w:val="00EC31ED"/>
    <w:rsid w:val="00EC4AB4"/>
    <w:rsid w:val="00EC5039"/>
    <w:rsid w:val="00EC5836"/>
    <w:rsid w:val="00EC688C"/>
    <w:rsid w:val="00EC7750"/>
    <w:rsid w:val="00ED075B"/>
    <w:rsid w:val="00ED0CF7"/>
    <w:rsid w:val="00ED0EC7"/>
    <w:rsid w:val="00ED57EA"/>
    <w:rsid w:val="00ED5BD4"/>
    <w:rsid w:val="00EE07D3"/>
    <w:rsid w:val="00EE1229"/>
    <w:rsid w:val="00EE1996"/>
    <w:rsid w:val="00EE1C01"/>
    <w:rsid w:val="00EE22AF"/>
    <w:rsid w:val="00EE3101"/>
    <w:rsid w:val="00EE44D2"/>
    <w:rsid w:val="00EF0171"/>
    <w:rsid w:val="00EF04D2"/>
    <w:rsid w:val="00EF1B25"/>
    <w:rsid w:val="00EF1DA0"/>
    <w:rsid w:val="00EF4747"/>
    <w:rsid w:val="00EF4BF8"/>
    <w:rsid w:val="00EF6C9E"/>
    <w:rsid w:val="00F006CC"/>
    <w:rsid w:val="00F02253"/>
    <w:rsid w:val="00F03C2E"/>
    <w:rsid w:val="00F04A66"/>
    <w:rsid w:val="00F04B4B"/>
    <w:rsid w:val="00F0516C"/>
    <w:rsid w:val="00F067A2"/>
    <w:rsid w:val="00F07B9E"/>
    <w:rsid w:val="00F1116F"/>
    <w:rsid w:val="00F1263A"/>
    <w:rsid w:val="00F15B77"/>
    <w:rsid w:val="00F21D67"/>
    <w:rsid w:val="00F235C3"/>
    <w:rsid w:val="00F24837"/>
    <w:rsid w:val="00F2575F"/>
    <w:rsid w:val="00F27565"/>
    <w:rsid w:val="00F27825"/>
    <w:rsid w:val="00F310D4"/>
    <w:rsid w:val="00F3122C"/>
    <w:rsid w:val="00F312E2"/>
    <w:rsid w:val="00F31D5A"/>
    <w:rsid w:val="00F31F96"/>
    <w:rsid w:val="00F32C6B"/>
    <w:rsid w:val="00F33975"/>
    <w:rsid w:val="00F33AC6"/>
    <w:rsid w:val="00F33DE9"/>
    <w:rsid w:val="00F35E6D"/>
    <w:rsid w:val="00F3619A"/>
    <w:rsid w:val="00F40AAA"/>
    <w:rsid w:val="00F40BA7"/>
    <w:rsid w:val="00F40F9D"/>
    <w:rsid w:val="00F41ACD"/>
    <w:rsid w:val="00F424E7"/>
    <w:rsid w:val="00F42BE9"/>
    <w:rsid w:val="00F4469C"/>
    <w:rsid w:val="00F4511F"/>
    <w:rsid w:val="00F46CB6"/>
    <w:rsid w:val="00F4756D"/>
    <w:rsid w:val="00F47DE8"/>
    <w:rsid w:val="00F51E0D"/>
    <w:rsid w:val="00F542C1"/>
    <w:rsid w:val="00F55E73"/>
    <w:rsid w:val="00F55EDA"/>
    <w:rsid w:val="00F56C80"/>
    <w:rsid w:val="00F60092"/>
    <w:rsid w:val="00F60B95"/>
    <w:rsid w:val="00F61C18"/>
    <w:rsid w:val="00F65F4B"/>
    <w:rsid w:val="00F67808"/>
    <w:rsid w:val="00F67A69"/>
    <w:rsid w:val="00F70BFF"/>
    <w:rsid w:val="00F70C9D"/>
    <w:rsid w:val="00F7156A"/>
    <w:rsid w:val="00F719E7"/>
    <w:rsid w:val="00F74CD9"/>
    <w:rsid w:val="00F80709"/>
    <w:rsid w:val="00F8090D"/>
    <w:rsid w:val="00F80A7B"/>
    <w:rsid w:val="00F80E5D"/>
    <w:rsid w:val="00F81224"/>
    <w:rsid w:val="00F81E78"/>
    <w:rsid w:val="00F82918"/>
    <w:rsid w:val="00F83832"/>
    <w:rsid w:val="00F851CE"/>
    <w:rsid w:val="00F853FB"/>
    <w:rsid w:val="00F91219"/>
    <w:rsid w:val="00F912C8"/>
    <w:rsid w:val="00F920A5"/>
    <w:rsid w:val="00F92444"/>
    <w:rsid w:val="00F9393E"/>
    <w:rsid w:val="00F941FF"/>
    <w:rsid w:val="00F946C9"/>
    <w:rsid w:val="00F96FD0"/>
    <w:rsid w:val="00F97A78"/>
    <w:rsid w:val="00FA0B20"/>
    <w:rsid w:val="00FA24E7"/>
    <w:rsid w:val="00FA5EE6"/>
    <w:rsid w:val="00FA766C"/>
    <w:rsid w:val="00FA7956"/>
    <w:rsid w:val="00FB052F"/>
    <w:rsid w:val="00FB2FCB"/>
    <w:rsid w:val="00FB57A9"/>
    <w:rsid w:val="00FB7808"/>
    <w:rsid w:val="00FB7C55"/>
    <w:rsid w:val="00FC0139"/>
    <w:rsid w:val="00FC1074"/>
    <w:rsid w:val="00FC12F6"/>
    <w:rsid w:val="00FC1422"/>
    <w:rsid w:val="00FC180F"/>
    <w:rsid w:val="00FC1884"/>
    <w:rsid w:val="00FC371D"/>
    <w:rsid w:val="00FC5F0B"/>
    <w:rsid w:val="00FC673A"/>
    <w:rsid w:val="00FC7C2D"/>
    <w:rsid w:val="00FD048B"/>
    <w:rsid w:val="00FD1826"/>
    <w:rsid w:val="00FD2100"/>
    <w:rsid w:val="00FD436C"/>
    <w:rsid w:val="00FD446D"/>
    <w:rsid w:val="00FD4DED"/>
    <w:rsid w:val="00FD4F2C"/>
    <w:rsid w:val="00FD61AD"/>
    <w:rsid w:val="00FD6394"/>
    <w:rsid w:val="00FE0E6C"/>
    <w:rsid w:val="00FE1143"/>
    <w:rsid w:val="00FE1CDC"/>
    <w:rsid w:val="00FE4AC0"/>
    <w:rsid w:val="00FE589E"/>
    <w:rsid w:val="00FE70C3"/>
    <w:rsid w:val="00FE7587"/>
    <w:rsid w:val="00FF2AD9"/>
    <w:rsid w:val="00FF359F"/>
    <w:rsid w:val="00FF3DCF"/>
    <w:rsid w:val="00FF492C"/>
    <w:rsid w:val="00FF4A21"/>
    <w:rsid w:val="00FF572A"/>
    <w:rsid w:val="00FF5AA3"/>
    <w:rsid w:val="00FF5AD8"/>
    <w:rsid w:val="00FF62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95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9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uiPriority w:val="99"/>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uiPriority w:val="99"/>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unhideWhenUsed/>
    <w:qFormat/>
    <w:rsid w:val="006C5BA7"/>
    <w:rPr>
      <w:sz w:val="16"/>
      <w:szCs w:val="16"/>
    </w:rPr>
  </w:style>
  <w:style w:type="paragraph" w:styleId="CommentText">
    <w:name w:val="annotation text"/>
    <w:basedOn w:val="Normal"/>
    <w:link w:val="CommentTextChar"/>
    <w:uiPriority w:val="99"/>
    <w:unhideWhenUsed/>
    <w:rsid w:val="006C5BA7"/>
    <w:rPr>
      <w:sz w:val="20"/>
      <w:szCs w:val="20"/>
    </w:rPr>
  </w:style>
  <w:style w:type="character" w:customStyle="1" w:styleId="CommentTextChar">
    <w:name w:val="Comment Text Char"/>
    <w:basedOn w:val="DefaultParagraphFont"/>
    <w:link w:val="CommentText"/>
    <w:uiPriority w:val="99"/>
    <w:rsid w:val="006C5BA7"/>
    <w:rPr>
      <w:rFonts w:ascii="Calibri" w:hAnsi="Calibri" w:cs="Arial"/>
    </w:rPr>
  </w:style>
  <w:style w:type="paragraph" w:styleId="CommentSubject">
    <w:name w:val="annotation subject"/>
    <w:basedOn w:val="CommentText"/>
    <w:next w:val="CommentText"/>
    <w:link w:val="CommentSubjectChar"/>
    <w:semiHidden/>
    <w:unhideWhenUsed/>
    <w:rsid w:val="006C5BA7"/>
    <w:rPr>
      <w:b/>
      <w:bCs/>
    </w:rPr>
  </w:style>
  <w:style w:type="character" w:customStyle="1" w:styleId="CommentSubjectChar">
    <w:name w:val="Comment Subject Char"/>
    <w:basedOn w:val="CommentTextChar"/>
    <w:link w:val="CommentSubject"/>
    <w:semiHidden/>
    <w:rsid w:val="006C5BA7"/>
    <w:rPr>
      <w:rFonts w:ascii="Calibri" w:hAnsi="Calibri" w:cs="Arial"/>
      <w:b/>
      <w:bCs/>
    </w:rPr>
  </w:style>
  <w:style w:type="paragraph" w:customStyle="1" w:styleId="Tabletextleft">
    <w:name w:val="Table text left"/>
    <w:basedOn w:val="Normal"/>
    <w:link w:val="TabletextleftChar"/>
    <w:qFormat/>
    <w:rsid w:val="00D92BA9"/>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D92BA9"/>
    <w:rPr>
      <w:rFonts w:asciiTheme="minorHAnsi" w:hAnsiTheme="minorHAnsi"/>
      <w:sz w:val="18"/>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 Q"/>
    <w:basedOn w:val="Normal"/>
    <w:next w:val="Normal"/>
    <w:link w:val="CaptionChar"/>
    <w:uiPriority w:val="99"/>
    <w:unhideWhenUsed/>
    <w:qFormat/>
    <w:rsid w:val="007A46D5"/>
    <w:pPr>
      <w:spacing w:after="120" w:line="360" w:lineRule="auto"/>
    </w:pPr>
    <w:rPr>
      <w:rFonts w:eastAsiaTheme="minorHAnsi" w:cstheme="minorBidi"/>
      <w:b/>
      <w:bCs/>
      <w:sz w:val="22"/>
      <w:szCs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 Char"/>
    <w:basedOn w:val="DefaultParagraphFont"/>
    <w:link w:val="Caption"/>
    <w:uiPriority w:val="99"/>
    <w:rsid w:val="007A46D5"/>
    <w:rPr>
      <w:rFonts w:ascii="Calibri" w:eastAsiaTheme="minorHAnsi" w:hAnsi="Calibri" w:cstheme="minorBidi"/>
      <w:b/>
      <w:bCs/>
      <w:sz w:val="22"/>
      <w:szCs w:val="18"/>
      <w:lang w:eastAsia="en-US"/>
    </w:rPr>
  </w:style>
  <w:style w:type="paragraph" w:styleId="ListParagraph">
    <w:name w:val="List Paragraph"/>
    <w:aliases w:val="Numbered para,BulletPoints,Styl moj,Akapit z listą11,Table Legend,Footnote,Bullet point,List Paragraph1,List Paragraph11,Recommendation,ES Paragraph,PBAC ES Paragraph,PBAC normal points,Bullet List"/>
    <w:basedOn w:val="Normal"/>
    <w:link w:val="ListParagraphChar"/>
    <w:uiPriority w:val="34"/>
    <w:qFormat/>
    <w:rsid w:val="00EA4709"/>
    <w:pPr>
      <w:ind w:left="720"/>
      <w:contextualSpacing/>
    </w:pPr>
  </w:style>
  <w:style w:type="paragraph" w:customStyle="1" w:styleId="Tabletext0">
    <w:name w:val="Table text"/>
    <w:basedOn w:val="Normal"/>
    <w:link w:val="TabletextChar0"/>
    <w:uiPriority w:val="99"/>
    <w:qFormat/>
    <w:rsid w:val="00812438"/>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812438"/>
    <w:rPr>
      <w:rFonts w:ascii="Arial Narrow" w:hAnsi="Arial Narrow"/>
      <w:szCs w:val="22"/>
      <w:lang w:eastAsia="en-US"/>
    </w:rPr>
  </w:style>
  <w:style w:type="paragraph" w:customStyle="1" w:styleId="PBACTableText">
    <w:name w:val="PBAC Table Text"/>
    <w:basedOn w:val="Normal"/>
    <w:link w:val="PBACTableTextChar"/>
    <w:qFormat/>
    <w:rsid w:val="00812438"/>
    <w:pPr>
      <w:spacing w:before="40" w:after="40"/>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812438"/>
    <w:rPr>
      <w:rFonts w:ascii="Arial Narrow" w:hAnsi="Arial Narrow"/>
      <w:lang w:eastAsia="en-US"/>
    </w:rPr>
  </w:style>
  <w:style w:type="paragraph" w:styleId="Header">
    <w:name w:val="header"/>
    <w:aliases w:val="Page Header,Header title,he=header,cntr/bld"/>
    <w:basedOn w:val="Normal"/>
    <w:link w:val="HeaderChar"/>
    <w:unhideWhenUsed/>
    <w:qFormat/>
    <w:rsid w:val="0081243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812438"/>
    <w:rPr>
      <w:rFonts w:ascii="Calibri" w:hAnsi="Calibri" w:cs="Arial"/>
      <w:sz w:val="24"/>
      <w:szCs w:val="24"/>
    </w:rPr>
  </w:style>
  <w:style w:type="paragraph" w:styleId="Footer">
    <w:name w:val="footer"/>
    <w:basedOn w:val="Normal"/>
    <w:link w:val="FooterChar"/>
    <w:uiPriority w:val="99"/>
    <w:unhideWhenUsed/>
    <w:rsid w:val="00812438"/>
    <w:pPr>
      <w:tabs>
        <w:tab w:val="center" w:pos="4513"/>
        <w:tab w:val="right" w:pos="9026"/>
      </w:tabs>
    </w:pPr>
  </w:style>
  <w:style w:type="character" w:customStyle="1" w:styleId="FooterChar">
    <w:name w:val="Footer Char"/>
    <w:basedOn w:val="DefaultParagraphFont"/>
    <w:link w:val="Footer"/>
    <w:uiPriority w:val="99"/>
    <w:rsid w:val="00812438"/>
    <w:rPr>
      <w:rFonts w:ascii="Calibri" w:hAnsi="Calibri" w:cs="Arial"/>
      <w:sz w:val="24"/>
      <w:szCs w:val="24"/>
    </w:rPr>
  </w:style>
  <w:style w:type="paragraph" w:customStyle="1" w:styleId="TableFooter">
    <w:name w:val="Table Footer"/>
    <w:basedOn w:val="Normal"/>
    <w:link w:val="TableFooterChar"/>
    <w:qFormat/>
    <w:rsid w:val="00812438"/>
    <w:pPr>
      <w:widowControl w:val="0"/>
    </w:pPr>
    <w:rPr>
      <w:rFonts w:ascii="Arial Narrow" w:hAnsi="Arial Narrow"/>
      <w:snapToGrid w:val="0"/>
      <w:sz w:val="18"/>
      <w:szCs w:val="22"/>
      <w:lang w:eastAsia="en-US"/>
    </w:rPr>
  </w:style>
  <w:style w:type="character" w:customStyle="1" w:styleId="TableFooterChar">
    <w:name w:val="Table Footer Char"/>
    <w:link w:val="TableFooter"/>
    <w:rsid w:val="00812438"/>
    <w:rPr>
      <w:rFonts w:ascii="Arial Narrow" w:hAnsi="Arial Narrow" w:cs="Arial"/>
      <w:snapToGrid w:val="0"/>
      <w:sz w:val="18"/>
      <w:szCs w:val="22"/>
      <w:lang w:eastAsia="en-US"/>
    </w:rPr>
  </w:style>
  <w:style w:type="paragraph" w:customStyle="1" w:styleId="Tabletextcent">
    <w:name w:val="Table text cent"/>
    <w:basedOn w:val="Tabletextleft"/>
    <w:qFormat/>
    <w:rsid w:val="005478E9"/>
    <w:pPr>
      <w:ind w:left="113" w:right="113"/>
      <w:jc w:val="center"/>
    </w:pPr>
    <w:rPr>
      <w:rFonts w:ascii="Calibri" w:hAnsi="Calibri"/>
      <w:sz w:val="20"/>
      <w:lang w:val="de-DE"/>
    </w:rPr>
  </w:style>
  <w:style w:type="paragraph" w:customStyle="1" w:styleId="TableHeading">
    <w:name w:val="Table Heading"/>
    <w:basedOn w:val="Normal"/>
    <w:link w:val="TableHeadingChar"/>
    <w:qFormat/>
    <w:rsid w:val="009A0898"/>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9A0898"/>
    <w:rPr>
      <w:rFonts w:ascii="Arial Narrow" w:eastAsiaTheme="minorHAnsi" w:hAnsi="Arial Narrow" w:cstheme="minorBidi"/>
      <w:b/>
      <w:szCs w:val="22"/>
      <w:lang w:eastAsia="en-US"/>
    </w:rPr>
  </w:style>
  <w:style w:type="paragraph" w:customStyle="1" w:styleId="V50Instructions">
    <w:name w:val="V5.0 Instructions"/>
    <w:basedOn w:val="Normal"/>
    <w:link w:val="V50InstructionsChar"/>
    <w:qFormat/>
    <w:rsid w:val="003608FE"/>
    <w:pPr>
      <w:spacing w:before="120" w:after="160"/>
    </w:pPr>
    <w:rPr>
      <w:rFonts w:asciiTheme="minorHAnsi" w:eastAsiaTheme="minorHAnsi" w:hAnsiTheme="minorHAnsi" w:cstheme="minorBidi"/>
      <w:snapToGrid w:val="0"/>
      <w:color w:val="4BACC6" w:themeColor="accent5"/>
      <w:lang w:eastAsia="en-US"/>
    </w:rPr>
  </w:style>
  <w:style w:type="character" w:customStyle="1" w:styleId="V50InstructionsChar">
    <w:name w:val="V5.0 Instructions Char"/>
    <w:basedOn w:val="DefaultParagraphFont"/>
    <w:link w:val="V50Instructions"/>
    <w:rsid w:val="003608FE"/>
    <w:rPr>
      <w:rFonts w:asciiTheme="minorHAnsi" w:eastAsiaTheme="minorHAnsi" w:hAnsiTheme="minorHAnsi" w:cstheme="minorBidi"/>
      <w:snapToGrid w:val="0"/>
      <w:color w:val="4BACC6" w:themeColor="accent5"/>
      <w:sz w:val="24"/>
      <w:szCs w:val="24"/>
      <w:lang w:eastAsia="en-US"/>
    </w:rPr>
  </w:style>
  <w:style w:type="paragraph" w:styleId="FootnoteText">
    <w:name w:val="footnote text"/>
    <w:basedOn w:val="Normal"/>
    <w:link w:val="FootnoteTextChar"/>
    <w:uiPriority w:val="99"/>
    <w:semiHidden/>
    <w:unhideWhenUsed/>
    <w:rsid w:val="00335A6D"/>
    <w:rPr>
      <w:sz w:val="20"/>
      <w:szCs w:val="20"/>
    </w:rPr>
  </w:style>
  <w:style w:type="character" w:customStyle="1" w:styleId="FootnoteTextChar">
    <w:name w:val="Footnote Text Char"/>
    <w:basedOn w:val="DefaultParagraphFont"/>
    <w:link w:val="FootnoteText"/>
    <w:rsid w:val="00335A6D"/>
    <w:rPr>
      <w:rFonts w:ascii="Calibri" w:hAnsi="Calibri" w:cs="Arial"/>
    </w:rPr>
  </w:style>
  <w:style w:type="character" w:styleId="FootnoteReference">
    <w:name w:val="footnote reference"/>
    <w:basedOn w:val="DefaultParagraphFont"/>
    <w:uiPriority w:val="99"/>
    <w:semiHidden/>
    <w:unhideWhenUsed/>
    <w:rsid w:val="00335A6D"/>
    <w:rPr>
      <w:vertAlign w:val="superscript"/>
    </w:rPr>
  </w:style>
  <w:style w:type="character" w:styleId="HTMLCite">
    <w:name w:val="HTML Cite"/>
    <w:basedOn w:val="DefaultParagraphFont"/>
    <w:uiPriority w:val="99"/>
    <w:semiHidden/>
    <w:unhideWhenUsed/>
    <w:rsid w:val="004E761D"/>
    <w:rPr>
      <w:i/>
      <w:iCs/>
    </w:rPr>
  </w:style>
  <w:style w:type="character" w:customStyle="1" w:styleId="highwire-access-icon">
    <w:name w:val="highwire-access-icon"/>
    <w:basedOn w:val="DefaultParagraphFont"/>
    <w:rsid w:val="004E761D"/>
  </w:style>
  <w:style w:type="character" w:customStyle="1" w:styleId="name">
    <w:name w:val="name"/>
    <w:basedOn w:val="DefaultParagraphFont"/>
    <w:rsid w:val="004E761D"/>
  </w:style>
  <w:style w:type="table" w:styleId="LightShading">
    <w:name w:val="Light Shading"/>
    <w:basedOn w:val="TableNormal"/>
    <w:uiPriority w:val="60"/>
    <w:rsid w:val="0086732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headingcent">
    <w:name w:val="Table heading cent"/>
    <w:basedOn w:val="Normal"/>
    <w:qFormat/>
    <w:rsid w:val="00867324"/>
    <w:pPr>
      <w:spacing w:before="40" w:after="40"/>
      <w:jc w:val="center"/>
    </w:pPr>
    <w:rPr>
      <w:rFonts w:asciiTheme="minorHAnsi" w:eastAsiaTheme="minorHAnsi" w:hAnsiTheme="minorHAnsi" w:cs="Tahoma"/>
      <w:b/>
      <w:sz w:val="20"/>
      <w:szCs w:val="18"/>
      <w:lang w:val="de-DE" w:eastAsia="en-US"/>
    </w:rPr>
  </w:style>
  <w:style w:type="table" w:customStyle="1" w:styleId="ELILILLYTABLE">
    <w:name w:val="ELI_LILLY TABLE"/>
    <w:basedOn w:val="TableNormal"/>
    <w:uiPriority w:val="99"/>
    <w:rsid w:val="00DA3523"/>
    <w:pPr>
      <w:spacing w:before="20" w:after="20"/>
      <w:ind w:left="113" w:right="113"/>
    </w:pPr>
    <w:rPr>
      <w:rFonts w:ascii="Calibri" w:eastAsiaTheme="minorHAnsi" w:hAnsi="Calibr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style>
  <w:style w:type="paragraph" w:customStyle="1" w:styleId="TableHeadingleft">
    <w:name w:val="Table Heading left"/>
    <w:basedOn w:val="Normal"/>
    <w:next w:val="Tabletextleft"/>
    <w:qFormat/>
    <w:rsid w:val="00DA3523"/>
    <w:pPr>
      <w:spacing w:before="40" w:after="40"/>
      <w:jc w:val="left"/>
    </w:pPr>
    <w:rPr>
      <w:rFonts w:asciiTheme="minorHAnsi" w:eastAsiaTheme="minorHAnsi" w:hAnsiTheme="minorHAnsi" w:cs="Tahoma"/>
      <w:b/>
      <w:sz w:val="20"/>
      <w:szCs w:val="18"/>
      <w:lang w:val="de-DE" w:eastAsia="en-US"/>
    </w:rPr>
  </w:style>
  <w:style w:type="table" w:customStyle="1" w:styleId="TableGridbeth2">
    <w:name w:val="Table Gridbeth2"/>
    <w:basedOn w:val="TableNormal"/>
    <w:next w:val="TableGrid"/>
    <w:uiPriority w:val="59"/>
    <w:rsid w:val="001B3E9F"/>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BodyText">
    <w:name w:val="Body Text"/>
    <w:basedOn w:val="Normal"/>
    <w:link w:val="BodyTextChar"/>
    <w:qFormat/>
    <w:rsid w:val="00D61FEF"/>
    <w:pPr>
      <w:widowControl w:val="0"/>
    </w:pPr>
    <w:rPr>
      <w:rFonts w:ascii="Arial" w:hAnsi="Arial"/>
      <w:snapToGrid w:val="0"/>
      <w:sz w:val="22"/>
      <w:szCs w:val="20"/>
      <w:lang w:eastAsia="en-US"/>
    </w:rPr>
  </w:style>
  <w:style w:type="character" w:customStyle="1" w:styleId="BodyTextChar">
    <w:name w:val="Body Text Char"/>
    <w:basedOn w:val="DefaultParagraphFont"/>
    <w:link w:val="BodyText"/>
    <w:rsid w:val="00D61FEF"/>
    <w:rPr>
      <w:rFonts w:ascii="Arial" w:hAnsi="Arial" w:cs="Arial"/>
      <w:snapToGrid w:val="0"/>
      <w:sz w:val="22"/>
      <w:lang w:eastAsia="en-US"/>
    </w:rPr>
  </w:style>
  <w:style w:type="numbering" w:customStyle="1" w:styleId="Lists">
    <w:name w:val="Lists"/>
    <w:uiPriority w:val="99"/>
    <w:rsid w:val="00BB5588"/>
    <w:pPr>
      <w:numPr>
        <w:numId w:val="18"/>
      </w:numPr>
    </w:pPr>
  </w:style>
  <w:style w:type="table" w:customStyle="1" w:styleId="TableGrid401">
    <w:name w:val="Table Grid401"/>
    <w:basedOn w:val="TableNormal"/>
    <w:next w:val="TableGrid"/>
    <w:uiPriority w:val="59"/>
    <w:rsid w:val="009250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39"/>
    <w:rsid w:val="00B36FD7"/>
    <w:pPr>
      <w:jc w:val="center"/>
    </w:pPr>
    <w:rPr>
      <w:rFonts w:ascii="Arial Narrow" w:eastAsia="Calibri" w:hAnsi="Arial Narrow"/>
      <w:szCs w:val="22"/>
      <w:lang w:val="en-US"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FF"/>
      <w:vAlign w:val="center"/>
    </w:tcPr>
    <w:tblStylePr w:type="firstRow">
      <w:rPr>
        <w:rFonts w:ascii="Times" w:hAnsi="Times"/>
        <w:b/>
        <w:sz w:val="20"/>
      </w:rPr>
    </w:tblStylePr>
  </w:style>
  <w:style w:type="character" w:customStyle="1" w:styleId="normaltextrun">
    <w:name w:val="normaltextrun"/>
    <w:basedOn w:val="DefaultParagraphFont"/>
    <w:rsid w:val="001D6E5B"/>
  </w:style>
  <w:style w:type="character" w:customStyle="1" w:styleId="ListParagraphChar">
    <w:name w:val="List Paragraph Char"/>
    <w:aliases w:val="Numbered para Char,BulletPoints Char,Styl moj Char,Akapit z listą11 Char,Table Legend Char,Footnote Char,Bullet point Char,List Paragraph1 Char,List Paragraph11 Char,Recommendation Char,ES Paragraph Char,PBAC ES Paragraph Char"/>
    <w:basedOn w:val="DefaultParagraphFont"/>
    <w:link w:val="ListParagraph"/>
    <w:uiPriority w:val="34"/>
    <w:qFormat/>
    <w:locked/>
    <w:rsid w:val="00E5006F"/>
    <w:rPr>
      <w:rFonts w:ascii="Calibri" w:hAnsi="Calibri" w:cs="Arial"/>
      <w:sz w:val="24"/>
      <w:szCs w:val="24"/>
    </w:rPr>
  </w:style>
  <w:style w:type="paragraph" w:customStyle="1" w:styleId="PBACHeading1">
    <w:name w:val="PBAC Heading 1"/>
    <w:qFormat/>
    <w:rsid w:val="00E5006F"/>
    <w:pPr>
      <w:ind w:left="720" w:hanging="720"/>
    </w:pPr>
    <w:rPr>
      <w:rFonts w:ascii="Calibri" w:hAnsi="Calibri" w:cs="Arial"/>
      <w:b/>
      <w:snapToGrid w:val="0"/>
      <w:sz w:val="32"/>
      <w:szCs w:val="22"/>
      <w:lang w:eastAsia="en-US"/>
    </w:rPr>
  </w:style>
  <w:style w:type="paragraph" w:customStyle="1" w:styleId="PbacTableHeading">
    <w:name w:val="Pbac Table Heading"/>
    <w:basedOn w:val="PBACTableText"/>
    <w:qFormat/>
    <w:rsid w:val="00E5006F"/>
    <w:pPr>
      <w:spacing w:before="0" w:after="80"/>
    </w:pPr>
    <w:rPr>
      <w:rFonts w:eastAsiaTheme="minorHAnsi" w:cs="Arial"/>
      <w:b/>
    </w:rPr>
  </w:style>
  <w:style w:type="numbering" w:customStyle="1" w:styleId="Headings">
    <w:name w:val="Headings"/>
    <w:uiPriority w:val="99"/>
    <w:rsid w:val="00230810"/>
    <w:pPr>
      <w:numPr>
        <w:numId w:val="26"/>
      </w:numPr>
    </w:pPr>
  </w:style>
  <w:style w:type="table" w:customStyle="1" w:styleId="ASDTable2">
    <w:name w:val="ASD Table2"/>
    <w:basedOn w:val="TableNormal"/>
    <w:next w:val="TableGrid"/>
    <w:uiPriority w:val="39"/>
    <w:rsid w:val="00D63FB7"/>
    <w:pPr>
      <w:jc w:val="center"/>
    </w:pPr>
    <w:rPr>
      <w:rFonts w:ascii="Arial Narrow" w:eastAsia="Calibri" w:hAnsi="Arial Narrow"/>
      <w:szCs w:val="22"/>
      <w:lang w:val="en-US"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FF"/>
      <w:vAlign w:val="center"/>
    </w:tcPr>
    <w:tblStylePr w:type="firstRow">
      <w:rPr>
        <w:rFonts w:ascii="Tahoma" w:hAnsi="Tahoma"/>
        <w:b/>
        <w:sz w:val="20"/>
      </w:rPr>
    </w:tblStylePr>
  </w:style>
  <w:style w:type="table" w:customStyle="1" w:styleId="MSDTableGrid1">
    <w:name w:val="MSD Table Grid1"/>
    <w:basedOn w:val="TableNormal"/>
    <w:next w:val="TableGrid"/>
    <w:uiPriority w:val="59"/>
    <w:rsid w:val="002966C2"/>
    <w:rPr>
      <w:rFonts w:ascii="Arial Narrow" w:eastAsia="Calibri" w:hAnsi="Arial Narrow" w:cs="Arial"/>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Segoe UI" w:hAnsi="Segoe UI"/>
        <w:b/>
        <w:sz w:val="20"/>
      </w:rPr>
      <w:tblPr/>
      <w:tcPr>
        <w:vAlign w:val="center"/>
      </w:tcPr>
    </w:tblStylePr>
    <w:tblStylePr w:type="firstCol">
      <w:pPr>
        <w:wordWrap/>
        <w:spacing w:beforeLines="0" w:before="0" w:beforeAutospacing="0" w:afterLines="0" w:after="0" w:afterAutospacing="0"/>
        <w:ind w:leftChars="0" w:left="0" w:rightChars="0" w:right="0"/>
        <w:jc w:val="left"/>
      </w:pPr>
      <w:rPr>
        <w:rFonts w:ascii="Segoe UI" w:hAnsi="Segoe UI"/>
        <w:b w:val="0"/>
        <w:sz w:val="20"/>
      </w:rPr>
      <w:tblPr/>
      <w:tcPr>
        <w:vAlign w:val="center"/>
      </w:tcPr>
    </w:tblStylePr>
  </w:style>
  <w:style w:type="paragraph" w:styleId="TOCHeading">
    <w:name w:val="TOC Heading"/>
    <w:basedOn w:val="Heading1"/>
    <w:next w:val="Normal"/>
    <w:uiPriority w:val="39"/>
    <w:unhideWhenUsed/>
    <w:qFormat/>
    <w:rsid w:val="00674F12"/>
    <w:pPr>
      <w:keepNext/>
      <w:keepLines/>
      <w:spacing w:before="240" w:line="259" w:lineRule="auto"/>
      <w:ind w:left="0" w:firstLine="0"/>
      <w:jc w:val="left"/>
      <w:outlineLvl w:val="9"/>
    </w:pPr>
    <w:rPr>
      <w:rFonts w:asciiTheme="majorHAnsi" w:eastAsiaTheme="majorEastAsia" w:hAnsiTheme="majorHAnsi" w:cstheme="majorBidi"/>
      <w:b w:val="0"/>
      <w:caps w:val="0"/>
      <w:color w:val="365F91" w:themeColor="accent1" w:themeShade="BF"/>
      <w:szCs w:val="32"/>
      <w:lang w:val="en-US" w:eastAsia="en-US"/>
    </w:rPr>
  </w:style>
  <w:style w:type="paragraph" w:styleId="TOC4">
    <w:name w:val="toc 4"/>
    <w:basedOn w:val="Normal"/>
    <w:next w:val="Normal"/>
    <w:autoRedefine/>
    <w:uiPriority w:val="39"/>
    <w:unhideWhenUsed/>
    <w:rsid w:val="00674F12"/>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74F12"/>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74F12"/>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74F12"/>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74F12"/>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74F12"/>
    <w:pPr>
      <w:spacing w:after="100" w:line="259" w:lineRule="auto"/>
      <w:ind w:left="1760"/>
      <w:jc w:val="left"/>
    </w:pPr>
    <w:rPr>
      <w:rFonts w:asciiTheme="minorHAnsi" w:eastAsiaTheme="minorEastAsia" w:hAnsiTheme="minorHAnsi" w:cstheme="minorBidi"/>
      <w:sz w:val="22"/>
      <w:szCs w:val="22"/>
    </w:rPr>
  </w:style>
  <w:style w:type="paragraph" w:customStyle="1" w:styleId="3Bodytext">
    <w:name w:val="3. Body text"/>
    <w:basedOn w:val="ListParagraph"/>
    <w:link w:val="3BodytextChar"/>
    <w:qFormat/>
    <w:rsid w:val="0087780E"/>
    <w:pPr>
      <w:spacing w:after="120"/>
      <w:ind w:hanging="720"/>
      <w:contextualSpacing w:val="0"/>
      <w:jc w:val="left"/>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87780E"/>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2470581">
      <w:bodyDiv w:val="1"/>
      <w:marLeft w:val="0"/>
      <w:marRight w:val="0"/>
      <w:marTop w:val="0"/>
      <w:marBottom w:val="0"/>
      <w:divBdr>
        <w:top w:val="none" w:sz="0" w:space="0" w:color="auto"/>
        <w:left w:val="none" w:sz="0" w:space="0" w:color="auto"/>
        <w:bottom w:val="none" w:sz="0" w:space="0" w:color="auto"/>
        <w:right w:val="none" w:sz="0" w:space="0" w:color="auto"/>
      </w:divBdr>
      <w:divsChild>
        <w:div w:id="245388004">
          <w:marLeft w:val="0"/>
          <w:marRight w:val="0"/>
          <w:marTop w:val="0"/>
          <w:marBottom w:val="0"/>
          <w:divBdr>
            <w:top w:val="none" w:sz="0" w:space="0" w:color="auto"/>
            <w:left w:val="none" w:sz="0" w:space="0" w:color="auto"/>
            <w:bottom w:val="none" w:sz="0" w:space="0" w:color="auto"/>
            <w:right w:val="none" w:sz="0" w:space="0" w:color="auto"/>
          </w:divBdr>
          <w:divsChild>
            <w:div w:id="603339490">
              <w:marLeft w:val="0"/>
              <w:marRight w:val="0"/>
              <w:marTop w:val="0"/>
              <w:marBottom w:val="0"/>
              <w:divBdr>
                <w:top w:val="none" w:sz="0" w:space="0" w:color="auto"/>
                <w:left w:val="none" w:sz="0" w:space="0" w:color="auto"/>
                <w:bottom w:val="none" w:sz="0" w:space="0" w:color="auto"/>
                <w:right w:val="none" w:sz="0" w:space="0" w:color="auto"/>
              </w:divBdr>
              <w:divsChild>
                <w:div w:id="826747891">
                  <w:marLeft w:val="0"/>
                  <w:marRight w:val="0"/>
                  <w:marTop w:val="0"/>
                  <w:marBottom w:val="0"/>
                  <w:divBdr>
                    <w:top w:val="none" w:sz="0" w:space="0" w:color="auto"/>
                    <w:left w:val="none" w:sz="0" w:space="0" w:color="auto"/>
                    <w:bottom w:val="none" w:sz="0" w:space="0" w:color="auto"/>
                    <w:right w:val="none" w:sz="0" w:space="0" w:color="auto"/>
                  </w:divBdr>
                  <w:divsChild>
                    <w:div w:id="1612399412">
                      <w:marLeft w:val="0"/>
                      <w:marRight w:val="0"/>
                      <w:marTop w:val="0"/>
                      <w:marBottom w:val="300"/>
                      <w:divBdr>
                        <w:top w:val="none" w:sz="0" w:space="0" w:color="auto"/>
                        <w:left w:val="none" w:sz="0" w:space="0" w:color="auto"/>
                        <w:bottom w:val="none" w:sz="0" w:space="0" w:color="auto"/>
                        <w:right w:val="none" w:sz="0" w:space="0" w:color="auto"/>
                      </w:divBdr>
                      <w:divsChild>
                        <w:div w:id="825627105">
                          <w:marLeft w:val="0"/>
                          <w:marRight w:val="0"/>
                          <w:marTop w:val="0"/>
                          <w:marBottom w:val="0"/>
                          <w:divBdr>
                            <w:top w:val="none" w:sz="0" w:space="0" w:color="auto"/>
                            <w:left w:val="none" w:sz="0" w:space="0" w:color="auto"/>
                            <w:bottom w:val="none" w:sz="0" w:space="0" w:color="auto"/>
                            <w:right w:val="none" w:sz="0" w:space="0" w:color="auto"/>
                          </w:divBdr>
                          <w:divsChild>
                            <w:div w:id="2063558768">
                              <w:marLeft w:val="0"/>
                              <w:marRight w:val="0"/>
                              <w:marTop w:val="0"/>
                              <w:marBottom w:val="0"/>
                              <w:divBdr>
                                <w:top w:val="none" w:sz="0" w:space="0" w:color="auto"/>
                                <w:left w:val="none" w:sz="0" w:space="0" w:color="auto"/>
                                <w:bottom w:val="none" w:sz="0" w:space="0" w:color="auto"/>
                                <w:right w:val="none" w:sz="0" w:space="0" w:color="auto"/>
                              </w:divBdr>
                              <w:divsChild>
                                <w:div w:id="1979451709">
                                  <w:marLeft w:val="0"/>
                                  <w:marRight w:val="0"/>
                                  <w:marTop w:val="0"/>
                                  <w:marBottom w:val="0"/>
                                  <w:divBdr>
                                    <w:top w:val="none" w:sz="0" w:space="0" w:color="auto"/>
                                    <w:left w:val="none" w:sz="0" w:space="0" w:color="auto"/>
                                    <w:bottom w:val="none" w:sz="0" w:space="0" w:color="auto"/>
                                    <w:right w:val="none" w:sz="0" w:space="0" w:color="auto"/>
                                  </w:divBdr>
                                  <w:divsChild>
                                    <w:div w:id="427232630">
                                      <w:marLeft w:val="0"/>
                                      <w:marRight w:val="0"/>
                                      <w:marTop w:val="0"/>
                                      <w:marBottom w:val="150"/>
                                      <w:divBdr>
                                        <w:top w:val="none" w:sz="0" w:space="0" w:color="auto"/>
                                        <w:left w:val="none" w:sz="0" w:space="0" w:color="auto"/>
                                        <w:bottom w:val="none" w:sz="0" w:space="0" w:color="auto"/>
                                        <w:right w:val="none" w:sz="0" w:space="0" w:color="auto"/>
                                      </w:divBdr>
                                      <w:divsChild>
                                        <w:div w:id="1931156950">
                                          <w:marLeft w:val="0"/>
                                          <w:marRight w:val="0"/>
                                          <w:marTop w:val="0"/>
                                          <w:marBottom w:val="0"/>
                                          <w:divBdr>
                                            <w:top w:val="none" w:sz="0" w:space="0" w:color="auto"/>
                                            <w:left w:val="none" w:sz="0" w:space="0" w:color="auto"/>
                                            <w:bottom w:val="none" w:sz="0" w:space="0" w:color="auto"/>
                                            <w:right w:val="none" w:sz="0" w:space="0" w:color="auto"/>
                                          </w:divBdr>
                                          <w:divsChild>
                                            <w:div w:id="238684293">
                                              <w:marLeft w:val="0"/>
                                              <w:marRight w:val="0"/>
                                              <w:marTop w:val="0"/>
                                              <w:marBottom w:val="0"/>
                                              <w:divBdr>
                                                <w:top w:val="none" w:sz="0" w:space="0" w:color="auto"/>
                                                <w:left w:val="none" w:sz="0" w:space="0" w:color="auto"/>
                                                <w:bottom w:val="none" w:sz="0" w:space="0" w:color="auto"/>
                                                <w:right w:val="none" w:sz="0" w:space="0" w:color="auto"/>
                                              </w:divBdr>
                                              <w:divsChild>
                                                <w:div w:id="9440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082758">
          <w:marLeft w:val="0"/>
          <w:marRight w:val="0"/>
          <w:marTop w:val="0"/>
          <w:marBottom w:val="0"/>
          <w:divBdr>
            <w:top w:val="none" w:sz="0" w:space="0" w:color="auto"/>
            <w:left w:val="none" w:sz="0" w:space="0" w:color="auto"/>
            <w:bottom w:val="none" w:sz="0" w:space="0" w:color="auto"/>
            <w:right w:val="none" w:sz="0" w:space="0" w:color="auto"/>
          </w:divBdr>
          <w:divsChild>
            <w:div w:id="1084763802">
              <w:marLeft w:val="0"/>
              <w:marRight w:val="0"/>
              <w:marTop w:val="0"/>
              <w:marBottom w:val="0"/>
              <w:divBdr>
                <w:top w:val="none" w:sz="0" w:space="0" w:color="auto"/>
                <w:left w:val="none" w:sz="0" w:space="0" w:color="auto"/>
                <w:bottom w:val="none" w:sz="0" w:space="0" w:color="auto"/>
                <w:right w:val="none" w:sz="0" w:space="0" w:color="auto"/>
              </w:divBdr>
              <w:divsChild>
                <w:div w:id="147015777">
                  <w:marLeft w:val="0"/>
                  <w:marRight w:val="0"/>
                  <w:marTop w:val="0"/>
                  <w:marBottom w:val="0"/>
                  <w:divBdr>
                    <w:top w:val="none" w:sz="0" w:space="0" w:color="auto"/>
                    <w:left w:val="none" w:sz="0" w:space="0" w:color="auto"/>
                    <w:bottom w:val="none" w:sz="0" w:space="0" w:color="auto"/>
                    <w:right w:val="none" w:sz="0" w:space="0" w:color="auto"/>
                  </w:divBdr>
                  <w:divsChild>
                    <w:div w:id="7759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0946">
          <w:marLeft w:val="0"/>
          <w:marRight w:val="0"/>
          <w:marTop w:val="0"/>
          <w:marBottom w:val="0"/>
          <w:divBdr>
            <w:top w:val="none" w:sz="0" w:space="0" w:color="auto"/>
            <w:left w:val="none" w:sz="0" w:space="0" w:color="auto"/>
            <w:bottom w:val="none" w:sz="0" w:space="0" w:color="auto"/>
            <w:right w:val="none" w:sz="0" w:space="0" w:color="auto"/>
          </w:divBdr>
          <w:divsChild>
            <w:div w:id="35588960">
              <w:marLeft w:val="0"/>
              <w:marRight w:val="0"/>
              <w:marTop w:val="0"/>
              <w:marBottom w:val="0"/>
              <w:divBdr>
                <w:top w:val="none" w:sz="0" w:space="0" w:color="auto"/>
                <w:left w:val="none" w:sz="0" w:space="0" w:color="auto"/>
                <w:bottom w:val="none" w:sz="0" w:space="0" w:color="auto"/>
                <w:right w:val="none" w:sz="0" w:space="0" w:color="auto"/>
              </w:divBdr>
              <w:divsChild>
                <w:div w:id="218975578">
                  <w:marLeft w:val="0"/>
                  <w:marRight w:val="0"/>
                  <w:marTop w:val="0"/>
                  <w:marBottom w:val="0"/>
                  <w:divBdr>
                    <w:top w:val="none" w:sz="0" w:space="0" w:color="auto"/>
                    <w:left w:val="none" w:sz="0" w:space="0" w:color="auto"/>
                    <w:bottom w:val="none" w:sz="0" w:space="0" w:color="auto"/>
                    <w:right w:val="none" w:sz="0" w:space="0" w:color="auto"/>
                  </w:divBdr>
                  <w:divsChild>
                    <w:div w:id="667947253">
                      <w:marLeft w:val="0"/>
                      <w:marRight w:val="0"/>
                      <w:marTop w:val="0"/>
                      <w:marBottom w:val="0"/>
                      <w:divBdr>
                        <w:top w:val="none" w:sz="0" w:space="0" w:color="auto"/>
                        <w:left w:val="none" w:sz="0" w:space="0" w:color="auto"/>
                        <w:bottom w:val="none" w:sz="0" w:space="0" w:color="auto"/>
                        <w:right w:val="none" w:sz="0" w:space="0" w:color="auto"/>
                      </w:divBdr>
                      <w:divsChild>
                        <w:div w:id="14037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3702359">
      <w:bodyDiv w:val="1"/>
      <w:marLeft w:val="0"/>
      <w:marRight w:val="0"/>
      <w:marTop w:val="0"/>
      <w:marBottom w:val="0"/>
      <w:divBdr>
        <w:top w:val="none" w:sz="0" w:space="0" w:color="auto"/>
        <w:left w:val="none" w:sz="0" w:space="0" w:color="auto"/>
        <w:bottom w:val="none" w:sz="0" w:space="0" w:color="auto"/>
        <w:right w:val="none" w:sz="0" w:space="0" w:color="auto"/>
      </w:divBdr>
    </w:div>
    <w:div w:id="62647059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90590">
      <w:bodyDiv w:val="1"/>
      <w:marLeft w:val="0"/>
      <w:marRight w:val="0"/>
      <w:marTop w:val="0"/>
      <w:marBottom w:val="0"/>
      <w:divBdr>
        <w:top w:val="none" w:sz="0" w:space="0" w:color="auto"/>
        <w:left w:val="none" w:sz="0" w:space="0" w:color="auto"/>
        <w:bottom w:val="none" w:sz="0" w:space="0" w:color="auto"/>
        <w:right w:val="none" w:sz="0" w:space="0" w:color="auto"/>
      </w:divBdr>
    </w:div>
    <w:div w:id="1310793574">
      <w:bodyDiv w:val="1"/>
      <w:marLeft w:val="0"/>
      <w:marRight w:val="0"/>
      <w:marTop w:val="0"/>
      <w:marBottom w:val="0"/>
      <w:divBdr>
        <w:top w:val="none" w:sz="0" w:space="0" w:color="auto"/>
        <w:left w:val="none" w:sz="0" w:space="0" w:color="auto"/>
        <w:bottom w:val="none" w:sz="0" w:space="0" w:color="auto"/>
        <w:right w:val="none" w:sz="0" w:space="0" w:color="auto"/>
      </w:divBdr>
    </w:div>
    <w:div w:id="15576230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820109">
      <w:bodyDiv w:val="1"/>
      <w:marLeft w:val="0"/>
      <w:marRight w:val="0"/>
      <w:marTop w:val="0"/>
      <w:marBottom w:val="0"/>
      <w:divBdr>
        <w:top w:val="none" w:sz="0" w:space="0" w:color="auto"/>
        <w:left w:val="none" w:sz="0" w:space="0" w:color="auto"/>
        <w:bottom w:val="none" w:sz="0" w:space="0" w:color="auto"/>
        <w:right w:val="none" w:sz="0" w:space="0" w:color="auto"/>
      </w:divBdr>
    </w:div>
    <w:div w:id="20885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5DCD2-A8E4-4FFC-A217-45679340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12404</Words>
  <Characters>70738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2021-03-04T02:25:00Z</dcterms:created>
  <dcterms:modified xsi:type="dcterms:W3CDTF">2021-03-16T00:22:00Z</dcterms:modified>
</cp:coreProperties>
</file>