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7A0" w:rsidRPr="008B26DE" w:rsidRDefault="003B6A39" w:rsidP="00E872BA">
      <w:pPr>
        <w:pStyle w:val="1MainTitle"/>
        <w:jc w:val="left"/>
        <w:rPr>
          <w:rFonts w:eastAsia="Calibri"/>
          <w:lang w:eastAsia="en-US"/>
        </w:rPr>
      </w:pPr>
      <w:r w:rsidRPr="008B26DE">
        <w:rPr>
          <w:rFonts w:eastAsia="Calibri"/>
          <w:lang w:eastAsia="en-US"/>
        </w:rPr>
        <w:t>7.08</w:t>
      </w:r>
      <w:r w:rsidRPr="008B26DE">
        <w:rPr>
          <w:rFonts w:eastAsia="Calibri"/>
          <w:lang w:eastAsia="en-US"/>
        </w:rPr>
        <w:tab/>
        <w:t>GALCANEZUMAB</w:t>
      </w:r>
      <w:r w:rsidR="00BF27A0" w:rsidRPr="008B26DE">
        <w:rPr>
          <w:rFonts w:eastAsia="Calibri"/>
          <w:lang w:eastAsia="en-US"/>
        </w:rPr>
        <w:t>,</w:t>
      </w:r>
      <w:r w:rsidR="00F82E5C" w:rsidRPr="008B26DE">
        <w:rPr>
          <w:rFonts w:eastAsia="Calibri"/>
          <w:lang w:eastAsia="en-US"/>
        </w:rPr>
        <w:t xml:space="preserve"> </w:t>
      </w:r>
      <w:r w:rsidR="005E0D82" w:rsidRPr="008B26DE">
        <w:rPr>
          <w:rFonts w:eastAsia="Calibri"/>
          <w:lang w:eastAsia="en-US"/>
        </w:rPr>
        <w:br/>
      </w:r>
      <w:r w:rsidRPr="008B26DE">
        <w:t>Injection 120 mg in 1 mL pre-filled pen</w:t>
      </w:r>
      <w:proofErr w:type="gramStart"/>
      <w:r w:rsidR="00BF27A0" w:rsidRPr="008B26DE">
        <w:rPr>
          <w:rFonts w:eastAsia="Calibri"/>
          <w:lang w:eastAsia="en-US"/>
        </w:rPr>
        <w:t>,</w:t>
      </w:r>
      <w:proofErr w:type="gramEnd"/>
      <w:r w:rsidR="005E0D82" w:rsidRPr="008B26DE">
        <w:rPr>
          <w:rFonts w:eastAsia="Calibri"/>
          <w:lang w:eastAsia="en-US"/>
        </w:rPr>
        <w:br/>
      </w:r>
      <w:proofErr w:type="spellStart"/>
      <w:r w:rsidRPr="008B26DE">
        <w:rPr>
          <w:rFonts w:eastAsia="Calibri"/>
          <w:lang w:eastAsia="en-US"/>
        </w:rPr>
        <w:t>Emgality</w:t>
      </w:r>
      <w:proofErr w:type="spellEnd"/>
      <w:r w:rsidRPr="008B26DE">
        <w:rPr>
          <w:rFonts w:eastAsia="Calibri"/>
          <w:lang w:eastAsia="en-US"/>
        </w:rPr>
        <w:t xml:space="preserve"> ®</w:t>
      </w:r>
      <w:r w:rsidR="00BF27A0" w:rsidRPr="008B26DE">
        <w:rPr>
          <w:rFonts w:eastAsia="Calibri"/>
          <w:lang w:eastAsia="en-US"/>
        </w:rPr>
        <w:t>,</w:t>
      </w:r>
      <w:r w:rsidR="005E0D82" w:rsidRPr="008B26DE">
        <w:rPr>
          <w:rFonts w:eastAsia="Calibri"/>
          <w:lang w:eastAsia="en-US"/>
        </w:rPr>
        <w:br/>
      </w:r>
      <w:r w:rsidRPr="008B26DE">
        <w:rPr>
          <w:rFonts w:eastAsia="Calibri"/>
          <w:lang w:eastAsia="en-US"/>
        </w:rPr>
        <w:t>Eli Lilly Australia Pty Ltd</w:t>
      </w:r>
    </w:p>
    <w:p w:rsidR="008A50F1" w:rsidRPr="008B26DE" w:rsidRDefault="00CE10C4" w:rsidP="008F0213">
      <w:pPr>
        <w:pStyle w:val="2-SectionHeading"/>
      </w:pPr>
      <w:r w:rsidRPr="008B26DE">
        <w:t xml:space="preserve">Purpose of </w:t>
      </w:r>
      <w:r w:rsidR="0004240E" w:rsidRPr="008B26DE">
        <w:t>Application</w:t>
      </w:r>
      <w:r w:rsidR="00034905" w:rsidRPr="008B26DE">
        <w:t xml:space="preserve"> </w:t>
      </w:r>
    </w:p>
    <w:p w:rsidR="00CF3B7C" w:rsidRPr="008B26DE" w:rsidRDefault="006C2FB3" w:rsidP="00D55F12">
      <w:pPr>
        <w:pStyle w:val="3Bodytext"/>
      </w:pPr>
      <w:r w:rsidRPr="008B26DE">
        <w:t xml:space="preserve">The minor resubmission proposed a number of </w:t>
      </w:r>
      <w:r w:rsidR="0039774B" w:rsidRPr="008B26DE">
        <w:t xml:space="preserve">amendments </w:t>
      </w:r>
      <w:r w:rsidRPr="008B26DE">
        <w:t>to</w:t>
      </w:r>
      <w:r w:rsidR="00B17ED3" w:rsidRPr="008B26DE">
        <w:t xml:space="preserve"> </w:t>
      </w:r>
      <w:r w:rsidRPr="008B26DE">
        <w:t xml:space="preserve">the PBAC recommendation </w:t>
      </w:r>
      <w:r w:rsidR="009632D8" w:rsidRPr="008B26DE">
        <w:t xml:space="preserve">in July 2019 </w:t>
      </w:r>
      <w:r w:rsidRPr="008B26DE">
        <w:t xml:space="preserve">to list </w:t>
      </w:r>
      <w:proofErr w:type="spellStart"/>
      <w:r w:rsidRPr="008B26DE">
        <w:t>galcanezumab</w:t>
      </w:r>
      <w:proofErr w:type="spellEnd"/>
      <w:r w:rsidRPr="008B26DE">
        <w:t xml:space="preserve"> for chronic migraine</w:t>
      </w:r>
      <w:r w:rsidR="008B26DE">
        <w:t xml:space="preserve">. </w:t>
      </w:r>
      <w:r w:rsidR="00821DEC" w:rsidRPr="000632EB">
        <w:t>The resubmission requested amendments to the cost-</w:t>
      </w:r>
      <w:r w:rsidR="00D728C7" w:rsidRPr="000632EB">
        <w:t>minimisation analysis (CMA), financial estimates and risk sharing arrangement (RSA).</w:t>
      </w:r>
      <w:r w:rsidR="00D728C7" w:rsidRPr="008B26DE" w:rsidDel="00D728C7">
        <w:t xml:space="preserve"> </w:t>
      </w:r>
    </w:p>
    <w:p w:rsidR="00A01432" w:rsidRPr="008B26DE" w:rsidRDefault="00A01432" w:rsidP="00D728C7">
      <w:pPr>
        <w:pStyle w:val="2-SectionHeading"/>
      </w:pPr>
      <w:r w:rsidRPr="008B26DE">
        <w:t xml:space="preserve">Background </w:t>
      </w:r>
    </w:p>
    <w:p w:rsidR="00A01432" w:rsidRPr="001452E2" w:rsidRDefault="00A01432" w:rsidP="00B16273">
      <w:pPr>
        <w:pStyle w:val="4-SubsectionHeading"/>
      </w:pPr>
      <w:r w:rsidRPr="001452E2">
        <w:t>Registration status</w:t>
      </w:r>
    </w:p>
    <w:p w:rsidR="00A01432" w:rsidRPr="008B26DE" w:rsidRDefault="009F094C" w:rsidP="00B16273">
      <w:pPr>
        <w:pStyle w:val="3Bodytext"/>
      </w:pPr>
      <w:proofErr w:type="spellStart"/>
      <w:r w:rsidRPr="008B26DE">
        <w:t>Galcanezumab</w:t>
      </w:r>
      <w:proofErr w:type="spellEnd"/>
      <w:r w:rsidR="00A01432" w:rsidRPr="008B26DE">
        <w:t xml:space="preserve"> was</w:t>
      </w:r>
      <w:r w:rsidRPr="008B26DE">
        <w:t xml:space="preserve"> registered by the TGA on 29 May 2019 for the prophylaxis of migraine in adults</w:t>
      </w:r>
      <w:r w:rsidR="00A01432" w:rsidRPr="008B26DE">
        <w:t xml:space="preserve">. </w:t>
      </w:r>
    </w:p>
    <w:p w:rsidR="00A01432" w:rsidRPr="008B26DE" w:rsidRDefault="00A01432" w:rsidP="00B16273">
      <w:pPr>
        <w:pStyle w:val="4-SubsectionHeading"/>
      </w:pPr>
      <w:r w:rsidRPr="008B26DE">
        <w:t xml:space="preserve">Previous PBAC consideration </w:t>
      </w:r>
      <w:r w:rsidR="00F927E4" w:rsidRPr="008B26DE">
        <w:t xml:space="preserve">of </w:t>
      </w:r>
      <w:proofErr w:type="spellStart"/>
      <w:r w:rsidR="00F927E4" w:rsidRPr="008B26DE">
        <w:t>galcanezumab</w:t>
      </w:r>
      <w:proofErr w:type="spellEnd"/>
    </w:p>
    <w:p w:rsidR="003D3207" w:rsidRPr="008B26DE" w:rsidRDefault="003D3207" w:rsidP="00674210">
      <w:pPr>
        <w:pStyle w:val="3Bodytext"/>
      </w:pPr>
      <w:r w:rsidRPr="008B26DE">
        <w:t xml:space="preserve">In July 2019, the PBAC recommended the Authority Required (Streamlined) listing of </w:t>
      </w:r>
      <w:proofErr w:type="spellStart"/>
      <w:r w:rsidRPr="008B26DE">
        <w:t>galcanezumab</w:t>
      </w:r>
      <w:proofErr w:type="spellEnd"/>
      <w:r w:rsidRPr="008B26DE">
        <w:t xml:space="preserve"> for the treatment of chronic migraine in patients who have experienced an inadequate response, intolerance or a contraindication to at least three prophylactic migraine medications.</w:t>
      </w:r>
      <w:r w:rsidR="00F927E4" w:rsidRPr="008B26DE">
        <w:t xml:space="preserve"> </w:t>
      </w:r>
      <w:r w:rsidR="00320E47" w:rsidRPr="008B26DE">
        <w:t xml:space="preserve">The PBAC considered </w:t>
      </w:r>
      <w:proofErr w:type="spellStart"/>
      <w:r w:rsidR="00320E47" w:rsidRPr="008B26DE">
        <w:t>galcanezumab</w:t>
      </w:r>
      <w:proofErr w:type="spellEnd"/>
      <w:r w:rsidR="00320E47" w:rsidRPr="008B26DE">
        <w:t xml:space="preserve"> was an alternative treatment to Botox for patients with chronic migraine </w:t>
      </w:r>
      <w:r w:rsidR="00674210" w:rsidRPr="008B26DE">
        <w:t xml:space="preserve">(defined as patients with </w:t>
      </w:r>
      <w:r w:rsidR="003220F9" w:rsidRPr="008B26DE">
        <w:t>≥</w:t>
      </w:r>
      <w:r w:rsidR="00674210" w:rsidRPr="008B26DE">
        <w:t xml:space="preserve">15 headache days and ≥ 8 migraine days per month) </w:t>
      </w:r>
      <w:r w:rsidR="00320E47" w:rsidRPr="008B26DE">
        <w:t xml:space="preserve">and provided a similar reduction in migraine headache days. The PBAC considered a </w:t>
      </w:r>
      <w:r w:rsidR="00674210" w:rsidRPr="008B26DE">
        <w:t xml:space="preserve">CMA </w:t>
      </w:r>
      <w:r w:rsidR="00320E47" w:rsidRPr="008B26DE">
        <w:t xml:space="preserve">versus Botox was appropriate and should be based on equi-effective doses of 120 mg </w:t>
      </w:r>
      <w:proofErr w:type="spellStart"/>
      <w:r w:rsidR="00320E47" w:rsidRPr="008B26DE">
        <w:t>galcanezu</w:t>
      </w:r>
      <w:r w:rsidR="00257347" w:rsidRPr="008B26DE">
        <w:t>mab</w:t>
      </w:r>
      <w:proofErr w:type="spellEnd"/>
      <w:r w:rsidR="00257347" w:rsidRPr="008B26DE">
        <w:t xml:space="preserve"> every 30 days and 164</w:t>
      </w:r>
      <w:r w:rsidR="00320E47" w:rsidRPr="008B26DE">
        <w:t xml:space="preserve">U of Botox every 12 weeks over 2 years of treatment. Additionally, the PBAC considered it would be appropriate for </w:t>
      </w:r>
      <w:proofErr w:type="spellStart"/>
      <w:r w:rsidR="00320E47" w:rsidRPr="008B26DE">
        <w:t>galcanezumab</w:t>
      </w:r>
      <w:proofErr w:type="spellEnd"/>
      <w:r w:rsidR="00320E47" w:rsidRPr="008B26DE">
        <w:t xml:space="preserve"> and Botox to be in the same </w:t>
      </w:r>
      <w:r w:rsidR="00674210" w:rsidRPr="008B26DE">
        <w:t xml:space="preserve">RSA </w:t>
      </w:r>
      <w:r w:rsidR="00320E47" w:rsidRPr="008B26DE">
        <w:t xml:space="preserve">to ensure the </w:t>
      </w:r>
      <w:proofErr w:type="spellStart"/>
      <w:r w:rsidR="00320E47" w:rsidRPr="008B26DE">
        <w:t>galcanezumab</w:t>
      </w:r>
      <w:proofErr w:type="spellEnd"/>
      <w:r w:rsidR="00320E47" w:rsidRPr="008B26DE">
        <w:t xml:space="preserve"> patient population is restricted to the same high need patient population as for Botox</w:t>
      </w:r>
      <w:r w:rsidR="00A1754E" w:rsidRPr="008B26DE">
        <w:t xml:space="preserve">. </w:t>
      </w:r>
      <w:r w:rsidR="00C70C5B" w:rsidRPr="008B26DE">
        <w:t xml:space="preserve">The PBAC advised an increase in the RSA expenditure caps would be appropriate to reflect the higher drug cost for </w:t>
      </w:r>
      <w:proofErr w:type="spellStart"/>
      <w:r w:rsidR="00C70C5B" w:rsidRPr="008B26DE">
        <w:t>galcanezumab</w:t>
      </w:r>
      <w:proofErr w:type="spellEnd"/>
      <w:r w:rsidR="00C70C5B" w:rsidRPr="008B26DE">
        <w:t xml:space="preserve"> (due to reduced administration costs compared with Botox).</w:t>
      </w:r>
    </w:p>
    <w:p w:rsidR="00CF3B7C" w:rsidRPr="008B26DE" w:rsidRDefault="00CF3B7C" w:rsidP="00674210">
      <w:pPr>
        <w:pStyle w:val="3Bodytext"/>
      </w:pPr>
      <w:r w:rsidRPr="008B26DE">
        <w:t xml:space="preserve">The resubmission stated that, under the conditions of the July 2019 PBAC recommendation (as outlined in paragraph 2.2), it was not </w:t>
      </w:r>
      <w:r w:rsidR="00EE061B" w:rsidRPr="008B26DE">
        <w:t xml:space="preserve">commercially </w:t>
      </w:r>
      <w:r w:rsidRPr="008B26DE">
        <w:t xml:space="preserve">viable to list </w:t>
      </w:r>
      <w:proofErr w:type="spellStart"/>
      <w:r w:rsidRPr="008B26DE">
        <w:t>galcanezumab</w:t>
      </w:r>
      <w:proofErr w:type="spellEnd"/>
      <w:r w:rsidRPr="008B26DE">
        <w:t xml:space="preserve"> on the PBS. </w:t>
      </w:r>
    </w:p>
    <w:p w:rsidR="00FE5515" w:rsidRPr="008B26DE" w:rsidRDefault="00FE5515" w:rsidP="00FE5515">
      <w:pPr>
        <w:pStyle w:val="4-SubsectionHeading"/>
      </w:pPr>
      <w:r w:rsidRPr="008B26DE">
        <w:lastRenderedPageBreak/>
        <w:t>Previous PBAC consideration of other CGRP inhibitors</w:t>
      </w:r>
    </w:p>
    <w:p w:rsidR="00F927E4" w:rsidRPr="008B26DE" w:rsidRDefault="00F927E4" w:rsidP="00F927E4">
      <w:pPr>
        <w:pStyle w:val="3Bodytext"/>
        <w:rPr>
          <w:lang w:eastAsia="en-US"/>
        </w:rPr>
      </w:pPr>
      <w:proofErr w:type="spellStart"/>
      <w:r w:rsidRPr="008B26DE">
        <w:rPr>
          <w:lang w:eastAsia="en-US"/>
        </w:rPr>
        <w:t>Galcanezumab</w:t>
      </w:r>
      <w:proofErr w:type="spellEnd"/>
      <w:r w:rsidRPr="008B26DE">
        <w:rPr>
          <w:lang w:eastAsia="en-US"/>
        </w:rPr>
        <w:t xml:space="preserve"> </w:t>
      </w:r>
      <w:r w:rsidR="00C72E17" w:rsidRPr="008B26DE">
        <w:rPr>
          <w:lang w:eastAsia="en-US"/>
        </w:rPr>
        <w:t xml:space="preserve">belongs to a new class of medicines called </w:t>
      </w:r>
      <w:r w:rsidR="00794B97" w:rsidRPr="008B26DE">
        <w:rPr>
          <w:lang w:eastAsia="en-US"/>
        </w:rPr>
        <w:t>calcitonin gene-related peptide (</w:t>
      </w:r>
      <w:r w:rsidRPr="008B26DE">
        <w:rPr>
          <w:lang w:eastAsia="en-US"/>
        </w:rPr>
        <w:t>CGRP</w:t>
      </w:r>
      <w:r w:rsidR="00794B97" w:rsidRPr="008B26DE">
        <w:rPr>
          <w:lang w:eastAsia="en-US"/>
        </w:rPr>
        <w:t>) inhibitor</w:t>
      </w:r>
      <w:r w:rsidR="00C72E17" w:rsidRPr="008B26DE">
        <w:rPr>
          <w:lang w:eastAsia="en-US"/>
        </w:rPr>
        <w:t>s</w:t>
      </w:r>
      <w:r w:rsidRPr="008B26DE">
        <w:rPr>
          <w:lang w:eastAsia="en-US"/>
        </w:rPr>
        <w:t xml:space="preserve">. </w:t>
      </w:r>
      <w:r w:rsidR="00C72E17" w:rsidRPr="008B26DE">
        <w:rPr>
          <w:lang w:eastAsia="en-US"/>
        </w:rPr>
        <w:t>Two other CGRP inhibitors</w:t>
      </w:r>
      <w:r w:rsidRPr="008B26DE">
        <w:rPr>
          <w:lang w:eastAsia="en-US"/>
        </w:rPr>
        <w:t xml:space="preserve"> </w:t>
      </w:r>
      <w:r w:rsidR="00F17754" w:rsidRPr="008B26DE">
        <w:rPr>
          <w:lang w:eastAsia="en-US"/>
        </w:rPr>
        <w:t>(</w:t>
      </w:r>
      <w:proofErr w:type="spellStart"/>
      <w:r w:rsidR="00F17754" w:rsidRPr="008B26DE">
        <w:rPr>
          <w:lang w:eastAsia="en-US"/>
        </w:rPr>
        <w:t>fremanezumab</w:t>
      </w:r>
      <w:proofErr w:type="spellEnd"/>
      <w:r w:rsidR="00F17754" w:rsidRPr="008B26DE">
        <w:rPr>
          <w:lang w:eastAsia="en-US"/>
        </w:rPr>
        <w:t xml:space="preserve"> and </w:t>
      </w:r>
      <w:proofErr w:type="spellStart"/>
      <w:r w:rsidR="00F17754" w:rsidRPr="008B26DE">
        <w:rPr>
          <w:lang w:eastAsia="en-US"/>
        </w:rPr>
        <w:t>erenumab</w:t>
      </w:r>
      <w:proofErr w:type="spellEnd"/>
      <w:r w:rsidR="00F17754" w:rsidRPr="008B26DE">
        <w:rPr>
          <w:lang w:eastAsia="en-US"/>
        </w:rPr>
        <w:t xml:space="preserve">) </w:t>
      </w:r>
      <w:proofErr w:type="gramStart"/>
      <w:r w:rsidRPr="008B26DE">
        <w:rPr>
          <w:lang w:eastAsia="en-US"/>
        </w:rPr>
        <w:t>have</w:t>
      </w:r>
      <w:proofErr w:type="gramEnd"/>
      <w:r w:rsidRPr="008B26DE">
        <w:rPr>
          <w:lang w:eastAsia="en-US"/>
        </w:rPr>
        <w:t xml:space="preserve"> been </w:t>
      </w:r>
      <w:r w:rsidR="00F17754" w:rsidRPr="008B26DE">
        <w:rPr>
          <w:lang w:eastAsia="en-US"/>
        </w:rPr>
        <w:t xml:space="preserve">previously </w:t>
      </w:r>
      <w:r w:rsidRPr="008B26DE">
        <w:rPr>
          <w:lang w:eastAsia="en-US"/>
        </w:rPr>
        <w:t xml:space="preserve">considered by </w:t>
      </w:r>
      <w:r w:rsidR="00F17754" w:rsidRPr="008B26DE">
        <w:rPr>
          <w:lang w:eastAsia="en-US"/>
        </w:rPr>
        <w:t xml:space="preserve">the </w:t>
      </w:r>
      <w:r w:rsidRPr="008B26DE">
        <w:rPr>
          <w:lang w:eastAsia="en-US"/>
        </w:rPr>
        <w:t>PBAC</w:t>
      </w:r>
      <w:r w:rsidR="00B17ED3" w:rsidRPr="008B26DE">
        <w:rPr>
          <w:lang w:eastAsia="en-US"/>
        </w:rPr>
        <w:t xml:space="preserve"> for chronic migraine</w:t>
      </w:r>
      <w:r w:rsidRPr="008B26DE">
        <w:rPr>
          <w:lang w:eastAsia="en-US"/>
        </w:rPr>
        <w:t>.</w:t>
      </w:r>
    </w:p>
    <w:p w:rsidR="00F927E4" w:rsidRPr="008B26DE" w:rsidRDefault="00F17754" w:rsidP="00414602">
      <w:pPr>
        <w:pStyle w:val="3Bodytext"/>
      </w:pPr>
      <w:r w:rsidRPr="008B26DE">
        <w:t xml:space="preserve">In March 2020, the PBAC recommended the Authority Required (Streamlined) listing of </w:t>
      </w:r>
      <w:proofErr w:type="spellStart"/>
      <w:r w:rsidRPr="008B26DE">
        <w:t>fremanezumab</w:t>
      </w:r>
      <w:proofErr w:type="spellEnd"/>
      <w:r w:rsidRPr="008B26DE">
        <w:t xml:space="preserve"> for the treatment of chronic migraine in patients who have experienced an inadequate response, intolerance or a contraindication to at least three prophylactic migraine medications</w:t>
      </w:r>
      <w:r w:rsidR="00FF6487" w:rsidRPr="008B26DE">
        <w:t xml:space="preserve"> (paragraph 6.1, </w:t>
      </w:r>
      <w:proofErr w:type="spellStart"/>
      <w:r w:rsidR="00FF6487" w:rsidRPr="008B26DE">
        <w:t>fremanezumab</w:t>
      </w:r>
      <w:proofErr w:type="spellEnd"/>
      <w:r w:rsidR="00FF6487" w:rsidRPr="008B26DE">
        <w:t xml:space="preserve"> </w:t>
      </w:r>
      <w:r w:rsidR="004D2F31">
        <w:t>Public Summary Document (</w:t>
      </w:r>
      <w:r w:rsidR="00FF6487" w:rsidRPr="008B26DE">
        <w:t>PSD</w:t>
      </w:r>
      <w:r w:rsidR="004D2F31">
        <w:t>)</w:t>
      </w:r>
      <w:r w:rsidR="00FF6487" w:rsidRPr="008B26DE">
        <w:t>, March 2020 PBAC meeting)</w:t>
      </w:r>
      <w:r w:rsidRPr="008B26DE">
        <w:t xml:space="preserve">. The PBAC </w:t>
      </w:r>
      <w:r w:rsidR="00414602" w:rsidRPr="008B26DE">
        <w:t>recommended</w:t>
      </w:r>
      <w:r w:rsidR="00E74011" w:rsidRPr="008B26DE">
        <w:t xml:space="preserve"> listing</w:t>
      </w:r>
      <w:r w:rsidR="00414602" w:rsidRPr="008B26DE">
        <w:t xml:space="preserve"> on the basis of a</w:t>
      </w:r>
      <w:r w:rsidR="00674210" w:rsidRPr="008B26DE">
        <w:t xml:space="preserve"> CMA</w:t>
      </w:r>
      <w:r w:rsidR="00414602" w:rsidRPr="008B26DE">
        <w:t xml:space="preserve"> compared to Botox with equi-effective doses of 225 mg </w:t>
      </w:r>
      <w:proofErr w:type="spellStart"/>
      <w:r w:rsidR="00414602" w:rsidRPr="008B26DE">
        <w:t>fremanezumab</w:t>
      </w:r>
      <w:proofErr w:type="spellEnd"/>
      <w:r w:rsidR="00414602" w:rsidRPr="008B26DE">
        <w:t xml:space="preserve"> every month and 164U of Botox every 12 weeks over 2 years of treatment. Additionally, the PBAC considered it would be appropriate for the use, and associated expenditure, of </w:t>
      </w:r>
      <w:proofErr w:type="spellStart"/>
      <w:r w:rsidR="00414602" w:rsidRPr="008B26DE">
        <w:t>fremanezumab</w:t>
      </w:r>
      <w:proofErr w:type="spellEnd"/>
      <w:r w:rsidR="00414602" w:rsidRPr="008B26DE">
        <w:t xml:space="preserve"> to be restricted to the same high need patient population as for Botox. </w:t>
      </w:r>
      <w:proofErr w:type="spellStart"/>
      <w:r w:rsidR="0033663D" w:rsidRPr="008B26DE">
        <w:t>Fremanezumab</w:t>
      </w:r>
      <w:proofErr w:type="spellEnd"/>
      <w:r w:rsidR="0033663D" w:rsidRPr="008B26DE">
        <w:t xml:space="preserve"> is not currently listed on the PBS. </w:t>
      </w:r>
    </w:p>
    <w:p w:rsidR="00F927E4" w:rsidRPr="008B26DE" w:rsidRDefault="00B17ED3" w:rsidP="00B17ED3">
      <w:pPr>
        <w:pStyle w:val="3Bodytext"/>
        <w:rPr>
          <w:lang w:eastAsia="en-US"/>
        </w:rPr>
      </w:pPr>
      <w:r w:rsidRPr="008B26DE">
        <w:rPr>
          <w:lang w:eastAsia="en-US"/>
        </w:rPr>
        <w:t xml:space="preserve">In July 2018 and March 2019, the PBAC did not recommend </w:t>
      </w:r>
      <w:proofErr w:type="spellStart"/>
      <w:r w:rsidRPr="008B26DE">
        <w:rPr>
          <w:lang w:eastAsia="en-US"/>
        </w:rPr>
        <w:t>erenumab</w:t>
      </w:r>
      <w:proofErr w:type="spellEnd"/>
      <w:r w:rsidRPr="008B26DE">
        <w:rPr>
          <w:lang w:eastAsia="en-US"/>
        </w:rPr>
        <w:t xml:space="preserve"> for the treatment of chronic migraine. A resubmission for </w:t>
      </w:r>
      <w:proofErr w:type="spellStart"/>
      <w:r w:rsidRPr="008B26DE">
        <w:rPr>
          <w:lang w:eastAsia="en-US"/>
        </w:rPr>
        <w:t>erenumab</w:t>
      </w:r>
      <w:proofErr w:type="spellEnd"/>
      <w:r w:rsidRPr="008B26DE">
        <w:rPr>
          <w:lang w:eastAsia="en-US"/>
        </w:rPr>
        <w:t xml:space="preserve"> for chronic migraine was submitted for consideration at the November 2019 PBAC meeting, however was withdrawn by the sponsor prior to PBAC consideration. </w:t>
      </w:r>
    </w:p>
    <w:p w:rsidR="002F1AD6" w:rsidRPr="008B26DE" w:rsidRDefault="002F1AD6" w:rsidP="00610258">
      <w:pPr>
        <w:pStyle w:val="4-SubsectionHeading"/>
      </w:pPr>
      <w:r w:rsidRPr="008B26DE">
        <w:t>Sponsor hearing</w:t>
      </w:r>
    </w:p>
    <w:p w:rsidR="002F1AD6" w:rsidRPr="008B26DE" w:rsidRDefault="00610258" w:rsidP="00610258">
      <w:pPr>
        <w:pStyle w:val="3Bodytext"/>
        <w:rPr>
          <w:lang w:eastAsia="en-US"/>
        </w:rPr>
      </w:pPr>
      <w:r w:rsidRPr="008B26DE">
        <w:rPr>
          <w:rFonts w:cs="Arial"/>
          <w:bCs/>
          <w:snapToGrid w:val="0"/>
        </w:rPr>
        <w:t>There was no hearing for this item as it was a minor submission.</w:t>
      </w:r>
    </w:p>
    <w:p w:rsidR="00610258" w:rsidRPr="008B26DE" w:rsidRDefault="00610258" w:rsidP="00610258">
      <w:pPr>
        <w:pStyle w:val="4-SubsectionHeading"/>
      </w:pPr>
      <w:r w:rsidRPr="008B26DE">
        <w:t>Consumer comments</w:t>
      </w:r>
    </w:p>
    <w:p w:rsidR="00CE1E8D" w:rsidRPr="00CE1E8D" w:rsidRDefault="00CE1E8D" w:rsidP="00CE1E8D">
      <w:pPr>
        <w:pStyle w:val="3Bodytext"/>
        <w:rPr>
          <w:rFonts w:cs="Arial"/>
          <w:bCs/>
          <w:snapToGrid w:val="0"/>
        </w:rPr>
      </w:pPr>
      <w:r w:rsidRPr="00CE1E8D">
        <w:rPr>
          <w:rFonts w:cs="Arial"/>
          <w:bCs/>
          <w:snapToGrid w:val="0"/>
        </w:rPr>
        <w:t xml:space="preserve">The PBAC noted and welcomed the input from individuals (186), health care professionals (2) and organisations (1) via the Consumer Comments facility on the PBS website. The comments described the debilitating physical, mental and social impact of chronic migraine and the range of potential benefits of treatment with </w:t>
      </w:r>
      <w:proofErr w:type="spellStart"/>
      <w:r w:rsidRPr="00CE1E8D">
        <w:rPr>
          <w:rFonts w:cs="Arial"/>
          <w:bCs/>
          <w:snapToGrid w:val="0"/>
        </w:rPr>
        <w:t>galcanezumab</w:t>
      </w:r>
      <w:proofErr w:type="spellEnd"/>
      <w:r w:rsidRPr="00CE1E8D">
        <w:rPr>
          <w:rFonts w:cs="Arial"/>
          <w:bCs/>
          <w:snapToGrid w:val="0"/>
        </w:rPr>
        <w:t xml:space="preserve"> and the other CGRP inhibitors.  Many patients expressed their concern at not being able to afford the medicine if it was not listed on the PBS, and many comments noted that their free access to the medicine on various programs had now ended. Benefits of treatment included a reduction in the number and severity of migraines, improvement in quality of life, the ability to return to work and easier administration compared to Botox. Many comments described immediate improvements after commencing treatment with a CGRP</w:t>
      </w:r>
      <w:r>
        <w:rPr>
          <w:rFonts w:cs="Arial"/>
          <w:bCs/>
          <w:snapToGrid w:val="0"/>
        </w:rPr>
        <w:t xml:space="preserve"> inhibitor</w:t>
      </w:r>
      <w:r w:rsidRPr="00CE1E8D">
        <w:rPr>
          <w:rFonts w:cs="Arial"/>
          <w:bCs/>
          <w:snapToGrid w:val="0"/>
        </w:rPr>
        <w:t xml:space="preserve">, but if treatment was stopped, then these improvements ceased. Quality of life improvements included pain relief, more functional capacity, and capacity to interact with others socially and in the workplace. Some of the comments outlined the large number of different medications patients have used to treat their migraines with little relief provided or unacceptable side effects. </w:t>
      </w:r>
    </w:p>
    <w:p w:rsidR="00673318" w:rsidRPr="00CE1E8D" w:rsidRDefault="00CE1E8D" w:rsidP="00CE1E8D">
      <w:pPr>
        <w:pStyle w:val="3Bodytext"/>
        <w:rPr>
          <w:lang w:eastAsia="en-US"/>
        </w:rPr>
      </w:pPr>
      <w:r w:rsidRPr="00CE1E8D">
        <w:rPr>
          <w:snapToGrid w:val="0"/>
        </w:rPr>
        <w:t xml:space="preserve">The PBAC noted the advice received from Migraine Australia that they believed that the terms ‘chronic’ and ‘episodic’ should be abandoned for general discussion of </w:t>
      </w:r>
      <w:r w:rsidRPr="00CE1E8D">
        <w:rPr>
          <w:snapToGrid w:val="0"/>
        </w:rPr>
        <w:lastRenderedPageBreak/>
        <w:t>migraine. They noted that these terms have conflicting meanings in the patient community, and believed that the terminology that should be used in place of episodic and chronic is ‘manageable’ and ‘difficult to manage’. Reductions in frequency of attacks by those who responded to the treatments was also noted, and affordability issues in regards to equity of access currently across Australia.</w:t>
      </w:r>
      <w:r w:rsidR="00673318" w:rsidRPr="00CE1E8D">
        <w:rPr>
          <w:snapToGrid w:val="0"/>
        </w:rPr>
        <w:t xml:space="preserve"> </w:t>
      </w:r>
    </w:p>
    <w:p w:rsidR="00B17EE5" w:rsidRPr="001452E2" w:rsidRDefault="00B17EE5" w:rsidP="00610258">
      <w:pPr>
        <w:pStyle w:val="2-SectionHeading"/>
      </w:pPr>
      <w:r w:rsidRPr="00CE1E8D">
        <w:t>Requested</w:t>
      </w:r>
      <w:r w:rsidRPr="001452E2">
        <w:t xml:space="preserve"> listing</w:t>
      </w:r>
    </w:p>
    <w:p w:rsidR="00B17EE5" w:rsidRPr="008B26DE" w:rsidRDefault="009632D8" w:rsidP="009E2E8E">
      <w:pPr>
        <w:pStyle w:val="3Bodytext"/>
      </w:pPr>
      <w:r w:rsidRPr="008B26DE">
        <w:t>The restriction criteria recommended by the PBAC in July 2019 is provided below with additions (italics) and deletions (strikethrough) proposed by the Secretariat</w:t>
      </w:r>
      <w:r w:rsidR="008B26DE">
        <w:t xml:space="preserve">. </w:t>
      </w:r>
    </w:p>
    <w:tbl>
      <w:tblPr>
        <w:tblW w:w="5001" w:type="pct"/>
        <w:tblBorders>
          <w:top w:val="single" w:sz="4" w:space="0" w:color="auto"/>
          <w:bottom w:val="single" w:sz="4" w:space="0" w:color="auto"/>
          <w:insideH w:val="single" w:sz="4" w:space="0" w:color="auto"/>
        </w:tblBorders>
        <w:tblLook w:val="04A0" w:firstRow="1" w:lastRow="0" w:firstColumn="1" w:lastColumn="0" w:noHBand="0" w:noVBand="1"/>
      </w:tblPr>
      <w:tblGrid>
        <w:gridCol w:w="2159"/>
        <w:gridCol w:w="1092"/>
        <w:gridCol w:w="985"/>
        <w:gridCol w:w="800"/>
        <w:gridCol w:w="875"/>
        <w:gridCol w:w="233"/>
        <w:gridCol w:w="2884"/>
      </w:tblGrid>
      <w:tr w:rsidR="009E7206" w:rsidRPr="008B26DE" w:rsidTr="00B27CB1">
        <w:tc>
          <w:tcPr>
            <w:tcW w:w="2200" w:type="dxa"/>
            <w:vAlign w:val="center"/>
          </w:tcPr>
          <w:p w:rsidR="009E7206" w:rsidRPr="001452E2" w:rsidRDefault="009E7206" w:rsidP="009E7206">
            <w:pPr>
              <w:pStyle w:val="2-SectionHeading"/>
              <w:numPr>
                <w:ilvl w:val="0"/>
                <w:numId w:val="0"/>
              </w:numPr>
              <w:rPr>
                <w:rFonts w:ascii="Arial Narrow" w:hAnsi="Arial Narrow"/>
                <w:bCs/>
              </w:rPr>
            </w:pPr>
            <w:r w:rsidRPr="001452E2">
              <w:rPr>
                <w:rFonts w:ascii="Arial Narrow" w:hAnsi="Arial Narrow" w:cs="Times New Roman"/>
                <w:snapToGrid/>
                <w:sz w:val="20"/>
                <w:szCs w:val="20"/>
              </w:rPr>
              <w:t>Name, restriction, manner of administration, form</w:t>
            </w:r>
          </w:p>
        </w:tc>
        <w:tc>
          <w:tcPr>
            <w:tcW w:w="1101" w:type="dxa"/>
            <w:vAlign w:val="center"/>
          </w:tcPr>
          <w:p w:rsidR="009E7206" w:rsidRPr="008B26DE" w:rsidRDefault="009E7206" w:rsidP="000F0C21">
            <w:pPr>
              <w:rPr>
                <w:rFonts w:ascii="Arial Narrow" w:hAnsi="Arial Narrow"/>
                <w:b/>
                <w:bCs/>
                <w:sz w:val="20"/>
                <w:szCs w:val="20"/>
              </w:rPr>
            </w:pPr>
            <w:r w:rsidRPr="008B26DE">
              <w:rPr>
                <w:rFonts w:ascii="Arial Narrow" w:hAnsi="Arial Narrow"/>
                <w:b/>
                <w:sz w:val="20"/>
                <w:szCs w:val="20"/>
              </w:rPr>
              <w:t>Maximum quantity (packs)</w:t>
            </w:r>
          </w:p>
        </w:tc>
        <w:tc>
          <w:tcPr>
            <w:tcW w:w="986" w:type="dxa"/>
            <w:vAlign w:val="center"/>
          </w:tcPr>
          <w:p w:rsidR="009E7206" w:rsidRPr="008B26DE" w:rsidRDefault="009E7206" w:rsidP="000F0C21">
            <w:pPr>
              <w:rPr>
                <w:rFonts w:ascii="Arial Narrow" w:hAnsi="Arial Narrow"/>
                <w:b/>
                <w:bCs/>
                <w:sz w:val="20"/>
                <w:szCs w:val="20"/>
              </w:rPr>
            </w:pPr>
            <w:r w:rsidRPr="008B26DE">
              <w:rPr>
                <w:rFonts w:ascii="Arial Narrow" w:hAnsi="Arial Narrow"/>
                <w:b/>
                <w:sz w:val="20"/>
                <w:szCs w:val="20"/>
              </w:rPr>
              <w:t>Maximum quantity (units)</w:t>
            </w:r>
          </w:p>
        </w:tc>
        <w:tc>
          <w:tcPr>
            <w:tcW w:w="800" w:type="dxa"/>
            <w:vAlign w:val="center"/>
          </w:tcPr>
          <w:p w:rsidR="009E7206" w:rsidRPr="008B26DE" w:rsidRDefault="009E7206" w:rsidP="000F0C21">
            <w:pPr>
              <w:rPr>
                <w:rFonts w:ascii="Arial Narrow" w:hAnsi="Arial Narrow"/>
                <w:b/>
                <w:bCs/>
                <w:sz w:val="20"/>
                <w:szCs w:val="20"/>
              </w:rPr>
            </w:pPr>
            <w:r w:rsidRPr="008B26DE">
              <w:rPr>
                <w:rFonts w:ascii="Arial Narrow" w:hAnsi="Arial Narrow"/>
                <w:b/>
                <w:sz w:val="20"/>
                <w:szCs w:val="20"/>
              </w:rPr>
              <w:t>No. of repeats</w:t>
            </w:r>
          </w:p>
        </w:tc>
        <w:tc>
          <w:tcPr>
            <w:tcW w:w="708" w:type="dxa"/>
            <w:vAlign w:val="center"/>
          </w:tcPr>
          <w:p w:rsidR="009E7206" w:rsidRPr="008B26DE" w:rsidRDefault="009E7206" w:rsidP="000F0C21">
            <w:pPr>
              <w:rPr>
                <w:rFonts w:ascii="Arial Narrow" w:hAnsi="Arial Narrow"/>
                <w:b/>
                <w:sz w:val="20"/>
                <w:szCs w:val="20"/>
              </w:rPr>
            </w:pPr>
            <w:r w:rsidRPr="008B26DE">
              <w:rPr>
                <w:rFonts w:ascii="Arial Narrow" w:hAnsi="Arial Narrow"/>
                <w:b/>
                <w:sz w:val="20"/>
                <w:szCs w:val="20"/>
              </w:rPr>
              <w:t>DPMQ</w:t>
            </w:r>
          </w:p>
        </w:tc>
        <w:tc>
          <w:tcPr>
            <w:tcW w:w="234" w:type="dxa"/>
            <w:tcBorders>
              <w:bottom w:val="single" w:sz="4" w:space="0" w:color="auto"/>
            </w:tcBorders>
            <w:vAlign w:val="center"/>
          </w:tcPr>
          <w:p w:rsidR="009E7206" w:rsidRPr="008B26DE" w:rsidRDefault="009E7206" w:rsidP="000F0C21">
            <w:pPr>
              <w:rPr>
                <w:rFonts w:ascii="Arial Narrow" w:hAnsi="Arial Narrow"/>
                <w:b/>
                <w:sz w:val="20"/>
                <w:szCs w:val="20"/>
              </w:rPr>
            </w:pPr>
          </w:p>
        </w:tc>
        <w:tc>
          <w:tcPr>
            <w:tcW w:w="2999" w:type="dxa"/>
            <w:vAlign w:val="center"/>
          </w:tcPr>
          <w:p w:rsidR="009E7206" w:rsidRPr="008B26DE" w:rsidRDefault="009E7206" w:rsidP="000F0C21">
            <w:pPr>
              <w:rPr>
                <w:rFonts w:ascii="Arial Narrow" w:hAnsi="Arial Narrow"/>
                <w:b/>
                <w:bCs/>
                <w:sz w:val="20"/>
                <w:szCs w:val="20"/>
              </w:rPr>
            </w:pPr>
            <w:r w:rsidRPr="008B26DE">
              <w:rPr>
                <w:rFonts w:ascii="Arial Narrow" w:hAnsi="Arial Narrow"/>
                <w:b/>
                <w:sz w:val="20"/>
                <w:szCs w:val="20"/>
              </w:rPr>
              <w:t>Proprietary name and manufacturer</w:t>
            </w:r>
          </w:p>
        </w:tc>
      </w:tr>
      <w:tr w:rsidR="009E7206" w:rsidRPr="008B26DE" w:rsidTr="007617B2">
        <w:tc>
          <w:tcPr>
            <w:tcW w:w="2200" w:type="dxa"/>
            <w:vAlign w:val="center"/>
          </w:tcPr>
          <w:p w:rsidR="009E7206" w:rsidRPr="008B26DE" w:rsidRDefault="009E7206" w:rsidP="000F0C21">
            <w:pPr>
              <w:pStyle w:val="Tabletext"/>
            </w:pPr>
            <w:r w:rsidRPr="008B26DE">
              <w:t>GALCANEZUMAB</w:t>
            </w:r>
          </w:p>
          <w:p w:rsidR="009E7206" w:rsidRPr="008B26DE" w:rsidRDefault="009E7206" w:rsidP="005C6C6C">
            <w:pPr>
              <w:pStyle w:val="Tabletext"/>
              <w:jc w:val="left"/>
              <w:rPr>
                <w:b/>
                <w:bCs/>
              </w:rPr>
            </w:pPr>
            <w:r w:rsidRPr="008B26DE">
              <w:t>120 mg/1 mL, pre-filled pen</w:t>
            </w:r>
          </w:p>
        </w:tc>
        <w:tc>
          <w:tcPr>
            <w:tcW w:w="1101" w:type="dxa"/>
            <w:vAlign w:val="center"/>
          </w:tcPr>
          <w:p w:rsidR="009E7206" w:rsidRPr="008B26DE" w:rsidRDefault="009E7206" w:rsidP="000F0C21">
            <w:pPr>
              <w:pStyle w:val="Tabletext"/>
              <w:jc w:val="center"/>
            </w:pPr>
            <w:r w:rsidRPr="008B26DE">
              <w:t>2</w:t>
            </w:r>
          </w:p>
        </w:tc>
        <w:tc>
          <w:tcPr>
            <w:tcW w:w="986" w:type="dxa"/>
            <w:vAlign w:val="center"/>
          </w:tcPr>
          <w:p w:rsidR="009E7206" w:rsidRPr="008B26DE" w:rsidRDefault="009E7206" w:rsidP="000F0C21">
            <w:pPr>
              <w:pStyle w:val="Tabletext"/>
              <w:jc w:val="center"/>
            </w:pPr>
            <w:r w:rsidRPr="008B26DE">
              <w:t>2</w:t>
            </w:r>
          </w:p>
        </w:tc>
        <w:tc>
          <w:tcPr>
            <w:tcW w:w="800" w:type="dxa"/>
            <w:vAlign w:val="center"/>
          </w:tcPr>
          <w:p w:rsidR="009E7206" w:rsidRPr="008B26DE" w:rsidRDefault="009E7206" w:rsidP="000F0C21">
            <w:pPr>
              <w:pStyle w:val="Tabletext"/>
              <w:jc w:val="center"/>
              <w:rPr>
                <w:strike/>
              </w:rPr>
            </w:pPr>
            <w:r w:rsidRPr="008B26DE">
              <w:rPr>
                <w:strike/>
              </w:rPr>
              <w:t>0</w:t>
            </w:r>
            <w:r w:rsidR="009632D8" w:rsidRPr="008B26DE">
              <w:rPr>
                <w:i/>
              </w:rPr>
              <w:t>1</w:t>
            </w:r>
          </w:p>
        </w:tc>
        <w:tc>
          <w:tcPr>
            <w:tcW w:w="708" w:type="dxa"/>
            <w:vAlign w:val="center"/>
          </w:tcPr>
          <w:p w:rsidR="009E7206" w:rsidRPr="008B26DE" w:rsidRDefault="009632D8" w:rsidP="000F0C21">
            <w:pPr>
              <w:pStyle w:val="Tabletext"/>
            </w:pPr>
            <w:r w:rsidRPr="008B26DE">
              <w:t>$</w:t>
            </w:r>
            <w:r w:rsidR="00913226">
              <w:rPr>
                <w:noProof/>
                <w:color w:val="000000"/>
                <w:highlight w:val="black"/>
              </w:rPr>
              <w:t>''''''''''''''''</w:t>
            </w:r>
            <w:r w:rsidRPr="008B26DE">
              <w:t>*</w:t>
            </w:r>
          </w:p>
        </w:tc>
        <w:tc>
          <w:tcPr>
            <w:tcW w:w="234" w:type="dxa"/>
            <w:tcBorders>
              <w:right w:val="nil"/>
            </w:tcBorders>
            <w:vAlign w:val="center"/>
          </w:tcPr>
          <w:p w:rsidR="009E7206" w:rsidRPr="008B26DE" w:rsidRDefault="009E7206" w:rsidP="000F0C21">
            <w:pPr>
              <w:pStyle w:val="Tabletext"/>
            </w:pPr>
          </w:p>
        </w:tc>
        <w:tc>
          <w:tcPr>
            <w:tcW w:w="2999" w:type="dxa"/>
            <w:tcBorders>
              <w:left w:val="nil"/>
            </w:tcBorders>
            <w:vAlign w:val="center"/>
          </w:tcPr>
          <w:p w:rsidR="009E7206" w:rsidRPr="008B26DE" w:rsidRDefault="009E7206" w:rsidP="000F0C21">
            <w:pPr>
              <w:pStyle w:val="Tabletext"/>
            </w:pPr>
            <w:proofErr w:type="spellStart"/>
            <w:r w:rsidRPr="008B26DE">
              <w:t>Emgality</w:t>
            </w:r>
            <w:proofErr w:type="spellEnd"/>
            <w:r w:rsidRPr="008B26DE">
              <w:rPr>
                <w:vertAlign w:val="superscript"/>
              </w:rPr>
              <w:sym w:font="Symbol" w:char="F0D2"/>
            </w:r>
            <w:r w:rsidRPr="008B26DE">
              <w:t xml:space="preserve"> Eli Lilly Australia Pty Ltd</w:t>
            </w:r>
          </w:p>
        </w:tc>
      </w:tr>
    </w:tbl>
    <w:p w:rsidR="009E7206" w:rsidRPr="008B26DE" w:rsidRDefault="009632D8" w:rsidP="009E7206">
      <w:pPr>
        <w:jc w:val="left"/>
        <w:rPr>
          <w:rFonts w:ascii="Arial Narrow" w:hAnsi="Arial Narrow"/>
          <w:sz w:val="20"/>
        </w:rPr>
      </w:pPr>
      <w:r w:rsidRPr="008B26DE">
        <w:rPr>
          <w:rFonts w:ascii="Arial Narrow" w:hAnsi="Arial Narrow"/>
          <w:sz w:val="20"/>
        </w:rPr>
        <w:t>* Based on AEMP of $</w:t>
      </w:r>
      <w:r w:rsidR="00913226">
        <w:rPr>
          <w:rFonts w:ascii="Arial Narrow" w:hAnsi="Arial Narrow"/>
          <w:noProof/>
          <w:color w:val="000000"/>
          <w:sz w:val="20"/>
          <w:highlight w:val="black"/>
        </w:rPr>
        <w:t>''''''''''''''''''</w:t>
      </w:r>
      <w:r w:rsidRPr="008B26DE">
        <w:rPr>
          <w:rFonts w:ascii="Arial Narrow" w:hAnsi="Arial Narrow"/>
          <w:sz w:val="20"/>
        </w:rPr>
        <w:t xml:space="preserve"> per injection</w:t>
      </w:r>
    </w:p>
    <w:p w:rsidR="009632D8" w:rsidRPr="008B26DE" w:rsidRDefault="009632D8" w:rsidP="009E7206">
      <w:pPr>
        <w:jc w:val="left"/>
        <w:rPr>
          <w:rFonts w:ascii="Arial Narrow" w:hAnsi="Arial Narrow"/>
        </w:rPr>
      </w:pPr>
    </w:p>
    <w:tbl>
      <w:tblPr>
        <w:tblW w:w="5000" w:type="pct"/>
        <w:tblLook w:val="0000" w:firstRow="0" w:lastRow="0" w:firstColumn="0" w:lastColumn="0" w:noHBand="0" w:noVBand="0"/>
      </w:tblPr>
      <w:tblGrid>
        <w:gridCol w:w="1980"/>
        <w:gridCol w:w="7036"/>
      </w:tblGrid>
      <w:tr w:rsidR="009E7206" w:rsidRPr="008B26DE" w:rsidTr="005C6C6C">
        <w:trPr>
          <w:cantSplit/>
          <w:trHeight w:val="163"/>
        </w:trPr>
        <w:tc>
          <w:tcPr>
            <w:tcW w:w="1098" w:type="pct"/>
            <w:tcBorders>
              <w:top w:val="single" w:sz="4" w:space="0" w:color="auto"/>
              <w:left w:val="single" w:sz="4" w:space="0" w:color="auto"/>
              <w:bottom w:val="single" w:sz="4" w:space="0" w:color="auto"/>
              <w:right w:val="single" w:sz="4" w:space="0" w:color="auto"/>
            </w:tcBorders>
            <w:vAlign w:val="center"/>
          </w:tcPr>
          <w:p w:rsidR="009E7206" w:rsidRPr="008B26DE" w:rsidRDefault="009E7206" w:rsidP="005C6C6C">
            <w:pPr>
              <w:pStyle w:val="Tabletext"/>
              <w:spacing w:after="0"/>
              <w:rPr>
                <w:b/>
              </w:rPr>
            </w:pPr>
            <w:r w:rsidRPr="008B26DE">
              <w:rPr>
                <w:b/>
              </w:rPr>
              <w:t>Category/Program:</w:t>
            </w:r>
          </w:p>
        </w:tc>
        <w:tc>
          <w:tcPr>
            <w:tcW w:w="3902" w:type="pct"/>
            <w:tcBorders>
              <w:top w:val="single" w:sz="4" w:space="0" w:color="auto"/>
              <w:left w:val="single" w:sz="4" w:space="0" w:color="auto"/>
              <w:bottom w:val="single" w:sz="4" w:space="0" w:color="auto"/>
              <w:right w:val="single" w:sz="4" w:space="0" w:color="auto"/>
            </w:tcBorders>
            <w:vAlign w:val="center"/>
          </w:tcPr>
          <w:p w:rsidR="009E7206" w:rsidRPr="008B26DE" w:rsidRDefault="009E7206" w:rsidP="005C6C6C">
            <w:pPr>
              <w:pStyle w:val="Tabletext"/>
              <w:spacing w:after="0"/>
            </w:pPr>
            <w:r w:rsidRPr="008B26DE">
              <w:t>General Schedule - Section 85</w:t>
            </w:r>
          </w:p>
        </w:tc>
      </w:tr>
      <w:tr w:rsidR="009E7206" w:rsidRPr="008B26DE" w:rsidTr="005C6C6C">
        <w:trPr>
          <w:cantSplit/>
        </w:trPr>
        <w:tc>
          <w:tcPr>
            <w:tcW w:w="1098" w:type="pct"/>
            <w:tcBorders>
              <w:top w:val="single" w:sz="4" w:space="0" w:color="auto"/>
              <w:left w:val="single" w:sz="4" w:space="0" w:color="auto"/>
              <w:bottom w:val="single" w:sz="4" w:space="0" w:color="auto"/>
              <w:right w:val="single" w:sz="4" w:space="0" w:color="auto"/>
            </w:tcBorders>
            <w:vAlign w:val="center"/>
          </w:tcPr>
          <w:p w:rsidR="009E7206" w:rsidRPr="008B26DE" w:rsidRDefault="009E7206" w:rsidP="005C6C6C">
            <w:pPr>
              <w:pStyle w:val="Tabletext"/>
              <w:spacing w:after="0"/>
              <w:rPr>
                <w:b/>
              </w:rPr>
            </w:pPr>
            <w:r w:rsidRPr="008B26DE">
              <w:rPr>
                <w:b/>
              </w:rPr>
              <w:t>Prescriber type:</w:t>
            </w:r>
          </w:p>
        </w:tc>
        <w:tc>
          <w:tcPr>
            <w:tcW w:w="3902" w:type="pct"/>
            <w:tcBorders>
              <w:top w:val="single" w:sz="4" w:space="0" w:color="auto"/>
              <w:left w:val="single" w:sz="4" w:space="0" w:color="auto"/>
              <w:bottom w:val="single" w:sz="4" w:space="0" w:color="auto"/>
              <w:right w:val="single" w:sz="4" w:space="0" w:color="auto"/>
            </w:tcBorders>
            <w:vAlign w:val="center"/>
          </w:tcPr>
          <w:p w:rsidR="009E7206" w:rsidRPr="008B26DE" w:rsidRDefault="009E7206" w:rsidP="005C6C6C">
            <w:pPr>
              <w:pStyle w:val="Tabletext"/>
              <w:spacing w:after="0"/>
            </w:pPr>
            <w:r w:rsidRPr="00CE1E8D">
              <w:fldChar w:fldCharType="begin">
                <w:ffData>
                  <w:name w:val="Check1"/>
                  <w:enabled/>
                  <w:calcOnExit w:val="0"/>
                  <w:checkBox>
                    <w:sizeAuto/>
                    <w:default w:val="0"/>
                  </w:checkBox>
                </w:ffData>
              </w:fldChar>
            </w:r>
            <w:r w:rsidRPr="008B26DE">
              <w:instrText xml:space="preserve"> FORMCHECKBOX </w:instrText>
            </w:r>
            <w:r w:rsidR="001936D5">
              <w:fldChar w:fldCharType="separate"/>
            </w:r>
            <w:r w:rsidRPr="00CE1E8D">
              <w:fldChar w:fldCharType="end"/>
            </w:r>
            <w:r w:rsidRPr="008B26DE">
              <w:t xml:space="preserve">Dental  </w:t>
            </w:r>
            <w:r w:rsidRPr="00CE1E8D">
              <w:fldChar w:fldCharType="begin">
                <w:ffData>
                  <w:name w:val=""/>
                  <w:enabled/>
                  <w:calcOnExit w:val="0"/>
                  <w:checkBox>
                    <w:sizeAuto/>
                    <w:default w:val="1"/>
                  </w:checkBox>
                </w:ffData>
              </w:fldChar>
            </w:r>
            <w:r w:rsidRPr="008B26DE">
              <w:instrText xml:space="preserve"> FORMCHECKBOX </w:instrText>
            </w:r>
            <w:r w:rsidR="001936D5">
              <w:fldChar w:fldCharType="separate"/>
            </w:r>
            <w:r w:rsidRPr="00CE1E8D">
              <w:fldChar w:fldCharType="end"/>
            </w:r>
            <w:r w:rsidRPr="008B26DE">
              <w:t xml:space="preserve">Medical Practitioners  </w:t>
            </w:r>
            <w:r w:rsidRPr="00CE1E8D">
              <w:fldChar w:fldCharType="begin">
                <w:ffData>
                  <w:name w:val="Check3"/>
                  <w:enabled/>
                  <w:calcOnExit w:val="0"/>
                  <w:checkBox>
                    <w:sizeAuto/>
                    <w:default w:val="0"/>
                  </w:checkBox>
                </w:ffData>
              </w:fldChar>
            </w:r>
            <w:r w:rsidRPr="008B26DE">
              <w:instrText xml:space="preserve"> FORMCHECKBOX </w:instrText>
            </w:r>
            <w:r w:rsidR="001936D5">
              <w:fldChar w:fldCharType="separate"/>
            </w:r>
            <w:r w:rsidRPr="00CE1E8D">
              <w:fldChar w:fldCharType="end"/>
            </w:r>
            <w:r w:rsidRPr="008B26DE">
              <w:t xml:space="preserve">Nurse practitioners  </w:t>
            </w:r>
            <w:r w:rsidRPr="00CE1E8D">
              <w:fldChar w:fldCharType="begin">
                <w:ffData>
                  <w:name w:val=""/>
                  <w:enabled/>
                  <w:calcOnExit w:val="0"/>
                  <w:checkBox>
                    <w:sizeAuto/>
                    <w:default w:val="0"/>
                  </w:checkBox>
                </w:ffData>
              </w:fldChar>
            </w:r>
            <w:r w:rsidRPr="008B26DE">
              <w:instrText xml:space="preserve"> FORMCHECKBOX </w:instrText>
            </w:r>
            <w:r w:rsidR="001936D5">
              <w:fldChar w:fldCharType="separate"/>
            </w:r>
            <w:r w:rsidRPr="00CE1E8D">
              <w:fldChar w:fldCharType="end"/>
            </w:r>
            <w:r w:rsidRPr="008B26DE">
              <w:t xml:space="preserve">Optometrists </w:t>
            </w:r>
            <w:r w:rsidRPr="00CE1E8D">
              <w:fldChar w:fldCharType="begin">
                <w:ffData>
                  <w:name w:val="Check5"/>
                  <w:enabled/>
                  <w:calcOnExit w:val="0"/>
                  <w:checkBox>
                    <w:sizeAuto/>
                    <w:default w:val="0"/>
                  </w:checkBox>
                </w:ffData>
              </w:fldChar>
            </w:r>
            <w:r w:rsidRPr="008B26DE">
              <w:instrText xml:space="preserve"> FORMCHECKBOX </w:instrText>
            </w:r>
            <w:r w:rsidR="001936D5">
              <w:fldChar w:fldCharType="separate"/>
            </w:r>
            <w:r w:rsidRPr="00CE1E8D">
              <w:fldChar w:fldCharType="end"/>
            </w:r>
            <w:r w:rsidRPr="008B26DE">
              <w:t>Midwives</w:t>
            </w:r>
          </w:p>
        </w:tc>
      </w:tr>
      <w:tr w:rsidR="009E7206" w:rsidRPr="008B26DE" w:rsidTr="005C6C6C">
        <w:trPr>
          <w:cantSplit/>
        </w:trPr>
        <w:tc>
          <w:tcPr>
            <w:tcW w:w="1098" w:type="pct"/>
            <w:tcBorders>
              <w:top w:val="single" w:sz="4" w:space="0" w:color="auto"/>
              <w:left w:val="single" w:sz="4" w:space="0" w:color="auto"/>
              <w:bottom w:val="single" w:sz="4" w:space="0" w:color="auto"/>
              <w:right w:val="single" w:sz="4" w:space="0" w:color="auto"/>
            </w:tcBorders>
            <w:vAlign w:val="center"/>
          </w:tcPr>
          <w:p w:rsidR="009E7206" w:rsidRPr="008B26DE" w:rsidRDefault="009E7206" w:rsidP="005C6C6C">
            <w:pPr>
              <w:pStyle w:val="Tabletext"/>
              <w:spacing w:after="0"/>
              <w:rPr>
                <w:b/>
              </w:rPr>
            </w:pPr>
            <w:r w:rsidRPr="008B26DE">
              <w:rPr>
                <w:b/>
              </w:rPr>
              <w:t>Condition:</w:t>
            </w:r>
          </w:p>
        </w:tc>
        <w:tc>
          <w:tcPr>
            <w:tcW w:w="3902" w:type="pct"/>
            <w:tcBorders>
              <w:top w:val="single" w:sz="4" w:space="0" w:color="auto"/>
              <w:left w:val="single" w:sz="4" w:space="0" w:color="auto"/>
              <w:bottom w:val="single" w:sz="4" w:space="0" w:color="auto"/>
              <w:right w:val="single" w:sz="4" w:space="0" w:color="auto"/>
            </w:tcBorders>
            <w:vAlign w:val="center"/>
          </w:tcPr>
          <w:p w:rsidR="009E7206" w:rsidRPr="008B26DE" w:rsidRDefault="009E7206" w:rsidP="005C6C6C">
            <w:pPr>
              <w:pStyle w:val="Tabletext"/>
              <w:spacing w:after="0"/>
            </w:pPr>
            <w:r w:rsidRPr="008B26DE">
              <w:t>Chronic migraine</w:t>
            </w:r>
          </w:p>
        </w:tc>
      </w:tr>
      <w:tr w:rsidR="009E7206" w:rsidRPr="008B26DE" w:rsidTr="005C6C6C">
        <w:trPr>
          <w:cantSplit/>
        </w:trPr>
        <w:tc>
          <w:tcPr>
            <w:tcW w:w="1098" w:type="pct"/>
            <w:tcBorders>
              <w:top w:val="single" w:sz="4" w:space="0" w:color="auto"/>
              <w:left w:val="single" w:sz="4" w:space="0" w:color="auto"/>
              <w:bottom w:val="single" w:sz="4" w:space="0" w:color="auto"/>
              <w:right w:val="single" w:sz="4" w:space="0" w:color="auto"/>
            </w:tcBorders>
            <w:vAlign w:val="center"/>
          </w:tcPr>
          <w:p w:rsidR="009E7206" w:rsidRPr="008B26DE" w:rsidRDefault="009E7206" w:rsidP="005C6C6C">
            <w:pPr>
              <w:pStyle w:val="Tabletext"/>
              <w:spacing w:after="0"/>
            </w:pPr>
            <w:r w:rsidRPr="008B26DE">
              <w:rPr>
                <w:b/>
              </w:rPr>
              <w:t>Treatment phase:</w:t>
            </w:r>
          </w:p>
        </w:tc>
        <w:tc>
          <w:tcPr>
            <w:tcW w:w="3902" w:type="pct"/>
            <w:tcBorders>
              <w:top w:val="single" w:sz="4" w:space="0" w:color="auto"/>
              <w:left w:val="single" w:sz="4" w:space="0" w:color="auto"/>
              <w:bottom w:val="single" w:sz="4" w:space="0" w:color="auto"/>
              <w:right w:val="single" w:sz="4" w:space="0" w:color="auto"/>
            </w:tcBorders>
            <w:vAlign w:val="center"/>
          </w:tcPr>
          <w:p w:rsidR="009E7206" w:rsidRPr="008B26DE" w:rsidRDefault="009E7206" w:rsidP="005C6C6C">
            <w:pPr>
              <w:pStyle w:val="Tabletext"/>
              <w:spacing w:after="0"/>
            </w:pPr>
            <w:r w:rsidRPr="008B26DE">
              <w:t xml:space="preserve">Initial </w:t>
            </w:r>
            <w:r w:rsidRPr="008B26DE">
              <w:rPr>
                <w:strike/>
              </w:rPr>
              <w:t>- loading dose</w:t>
            </w:r>
            <w:r w:rsidR="009632D8" w:rsidRPr="008B26DE">
              <w:rPr>
                <w:strike/>
              </w:rPr>
              <w:t xml:space="preserve">  </w:t>
            </w:r>
            <w:r w:rsidR="009632D8" w:rsidRPr="008B26DE">
              <w:rPr>
                <w:i/>
                <w:color w:val="333333"/>
                <w:szCs w:val="18"/>
              </w:rPr>
              <w:t>treatment covering the loading dose and doses at week 4 and week 8</w:t>
            </w:r>
          </w:p>
        </w:tc>
      </w:tr>
      <w:tr w:rsidR="009E7206" w:rsidRPr="008B26DE" w:rsidTr="005C6C6C">
        <w:trPr>
          <w:cantSplit/>
        </w:trPr>
        <w:tc>
          <w:tcPr>
            <w:tcW w:w="1098" w:type="pct"/>
            <w:tcBorders>
              <w:top w:val="single" w:sz="4" w:space="0" w:color="auto"/>
              <w:left w:val="single" w:sz="4" w:space="0" w:color="auto"/>
              <w:bottom w:val="single" w:sz="4" w:space="0" w:color="auto"/>
              <w:right w:val="single" w:sz="4" w:space="0" w:color="auto"/>
            </w:tcBorders>
            <w:vAlign w:val="center"/>
          </w:tcPr>
          <w:p w:rsidR="009E7206" w:rsidRPr="005C6C6C" w:rsidRDefault="009E7206" w:rsidP="005C6C6C">
            <w:pPr>
              <w:pStyle w:val="Tabletext"/>
              <w:spacing w:after="0"/>
              <w:rPr>
                <w:b/>
              </w:rPr>
            </w:pPr>
            <w:r w:rsidRPr="008B26DE">
              <w:rPr>
                <w:b/>
              </w:rPr>
              <w:t>Restriction:</w:t>
            </w:r>
          </w:p>
        </w:tc>
        <w:tc>
          <w:tcPr>
            <w:tcW w:w="3902" w:type="pct"/>
            <w:tcBorders>
              <w:top w:val="single" w:sz="4" w:space="0" w:color="auto"/>
              <w:left w:val="single" w:sz="4" w:space="0" w:color="auto"/>
              <w:bottom w:val="single" w:sz="4" w:space="0" w:color="auto"/>
              <w:right w:val="single" w:sz="4" w:space="0" w:color="auto"/>
            </w:tcBorders>
            <w:vAlign w:val="center"/>
          </w:tcPr>
          <w:p w:rsidR="009E7206" w:rsidRPr="008B26DE" w:rsidRDefault="009E7206" w:rsidP="005C6C6C">
            <w:pPr>
              <w:pStyle w:val="Tabletext"/>
              <w:spacing w:after="0"/>
              <w:rPr>
                <w:rFonts w:cs="Arial"/>
              </w:rPr>
            </w:pPr>
            <w:r w:rsidRPr="00CE1E8D">
              <w:fldChar w:fldCharType="begin">
                <w:ffData>
                  <w:name w:val=""/>
                  <w:enabled/>
                  <w:calcOnExit w:val="0"/>
                  <w:checkBox>
                    <w:sizeAuto/>
                    <w:default w:val="1"/>
                  </w:checkBox>
                </w:ffData>
              </w:fldChar>
            </w:r>
            <w:r w:rsidRPr="008B26DE">
              <w:instrText xml:space="preserve"> FORMCHECKBOX </w:instrText>
            </w:r>
            <w:r w:rsidR="001936D5">
              <w:fldChar w:fldCharType="separate"/>
            </w:r>
            <w:r w:rsidRPr="00CE1E8D">
              <w:fldChar w:fldCharType="end"/>
            </w:r>
            <w:r w:rsidRPr="008B26DE">
              <w:t>Streamlined</w:t>
            </w:r>
          </w:p>
        </w:tc>
      </w:tr>
      <w:tr w:rsidR="009E7206" w:rsidRPr="008B26DE" w:rsidTr="005C6C6C">
        <w:trPr>
          <w:cantSplit/>
        </w:trPr>
        <w:tc>
          <w:tcPr>
            <w:tcW w:w="1098" w:type="pct"/>
            <w:tcBorders>
              <w:top w:val="single" w:sz="4" w:space="0" w:color="auto"/>
              <w:left w:val="single" w:sz="4" w:space="0" w:color="auto"/>
              <w:bottom w:val="single" w:sz="4" w:space="0" w:color="auto"/>
              <w:right w:val="single" w:sz="4" w:space="0" w:color="auto"/>
            </w:tcBorders>
            <w:vAlign w:val="center"/>
          </w:tcPr>
          <w:p w:rsidR="009E7206" w:rsidRPr="008B26DE" w:rsidRDefault="009E7206" w:rsidP="005C6C6C">
            <w:pPr>
              <w:pStyle w:val="Tabletext"/>
              <w:spacing w:after="0"/>
            </w:pPr>
            <w:r w:rsidRPr="008B26DE">
              <w:rPr>
                <w:b/>
              </w:rPr>
              <w:t>Treatment criteria:</w:t>
            </w:r>
          </w:p>
        </w:tc>
        <w:tc>
          <w:tcPr>
            <w:tcW w:w="3902" w:type="pct"/>
            <w:tcBorders>
              <w:top w:val="single" w:sz="4" w:space="0" w:color="auto"/>
              <w:left w:val="single" w:sz="4" w:space="0" w:color="auto"/>
              <w:bottom w:val="single" w:sz="4" w:space="0" w:color="auto"/>
              <w:right w:val="single" w:sz="4" w:space="0" w:color="auto"/>
            </w:tcBorders>
            <w:vAlign w:val="center"/>
          </w:tcPr>
          <w:p w:rsidR="009E7206" w:rsidRPr="008B26DE" w:rsidRDefault="009E7206" w:rsidP="005C6C6C">
            <w:pPr>
              <w:pStyle w:val="Tabletext"/>
              <w:spacing w:after="0"/>
              <w:rPr>
                <w:rFonts w:cs="Arial"/>
              </w:rPr>
            </w:pPr>
            <w:r w:rsidRPr="008B26DE">
              <w:t xml:space="preserve">Must be treated by a neurologist </w:t>
            </w:r>
          </w:p>
        </w:tc>
      </w:tr>
      <w:tr w:rsidR="009E7206" w:rsidRPr="008B26DE" w:rsidTr="005C6C6C">
        <w:trPr>
          <w:cantSplit/>
        </w:trPr>
        <w:tc>
          <w:tcPr>
            <w:tcW w:w="1098" w:type="pct"/>
            <w:tcBorders>
              <w:top w:val="single" w:sz="4" w:space="0" w:color="auto"/>
              <w:left w:val="single" w:sz="4" w:space="0" w:color="auto"/>
              <w:bottom w:val="single" w:sz="4" w:space="0" w:color="auto"/>
              <w:right w:val="single" w:sz="4" w:space="0" w:color="auto"/>
            </w:tcBorders>
            <w:vAlign w:val="center"/>
          </w:tcPr>
          <w:p w:rsidR="009E7206" w:rsidRPr="008B26DE" w:rsidRDefault="009E7206" w:rsidP="005C6C6C">
            <w:pPr>
              <w:pStyle w:val="Tabletext"/>
              <w:spacing w:after="0"/>
            </w:pPr>
            <w:r w:rsidRPr="008B26DE">
              <w:rPr>
                <w:b/>
              </w:rPr>
              <w:t>Clinical criteria:</w:t>
            </w:r>
          </w:p>
        </w:tc>
        <w:tc>
          <w:tcPr>
            <w:tcW w:w="3902" w:type="pct"/>
            <w:tcBorders>
              <w:top w:val="single" w:sz="4" w:space="0" w:color="auto"/>
              <w:left w:val="single" w:sz="4" w:space="0" w:color="auto"/>
              <w:bottom w:val="single" w:sz="4" w:space="0" w:color="auto"/>
              <w:right w:val="single" w:sz="4" w:space="0" w:color="auto"/>
            </w:tcBorders>
            <w:vAlign w:val="center"/>
          </w:tcPr>
          <w:p w:rsidR="009E7206" w:rsidRPr="008B26DE" w:rsidRDefault="009E7206" w:rsidP="005C6C6C">
            <w:pPr>
              <w:pStyle w:val="Tabletext"/>
              <w:spacing w:after="0"/>
            </w:pPr>
            <w:r w:rsidRPr="008B26DE">
              <w:t xml:space="preserve">Patient must have experienced an average of 15 or more headache days per month, with at least 8 days of migraine, over a period of at least 6 months, prior to commencement of treatment with this drug for this condition </w:t>
            </w:r>
          </w:p>
          <w:p w:rsidR="009E7206" w:rsidRPr="008B26DE" w:rsidRDefault="009E7206" w:rsidP="005C6C6C">
            <w:pPr>
              <w:pStyle w:val="Tabletext"/>
              <w:spacing w:after="0"/>
            </w:pPr>
            <w:r w:rsidRPr="008B26DE">
              <w:t>AND</w:t>
            </w:r>
          </w:p>
          <w:p w:rsidR="009E7206" w:rsidRPr="008B26DE" w:rsidRDefault="009E7206" w:rsidP="005C6C6C">
            <w:pPr>
              <w:pStyle w:val="Tabletext"/>
              <w:spacing w:after="0"/>
            </w:pPr>
            <w:r w:rsidRPr="008B26DE">
              <w:t xml:space="preserve">Patient must have experienced an inadequate response, intolerance or a contraindication to at least three prophylactic migraine medications prior to commencement of treatment with this drug for this condition </w:t>
            </w:r>
          </w:p>
          <w:p w:rsidR="009E7206" w:rsidRPr="008B26DE" w:rsidRDefault="009E7206" w:rsidP="005C6C6C">
            <w:pPr>
              <w:pStyle w:val="Tabletext"/>
              <w:spacing w:after="0"/>
            </w:pPr>
            <w:r w:rsidRPr="008B26DE">
              <w:t>AND</w:t>
            </w:r>
          </w:p>
          <w:p w:rsidR="009E7206" w:rsidRPr="008B26DE" w:rsidRDefault="009E7206" w:rsidP="005C6C6C">
            <w:pPr>
              <w:pStyle w:val="Tabletext"/>
              <w:spacing w:after="0"/>
            </w:pPr>
            <w:r w:rsidRPr="008B26DE">
              <w:t>The treatment must not be in combination with botulinum toxin</w:t>
            </w:r>
          </w:p>
          <w:p w:rsidR="009E7206" w:rsidRPr="008B26DE" w:rsidRDefault="009E7206" w:rsidP="005C6C6C">
            <w:pPr>
              <w:pStyle w:val="Tabletext"/>
              <w:spacing w:after="0"/>
            </w:pPr>
            <w:r w:rsidRPr="008B26DE">
              <w:t>AND</w:t>
            </w:r>
          </w:p>
          <w:p w:rsidR="009E7206" w:rsidRPr="008B26DE" w:rsidRDefault="009E7206" w:rsidP="005C6C6C">
            <w:pPr>
              <w:pStyle w:val="Tabletext"/>
              <w:spacing w:after="0"/>
            </w:pPr>
            <w:r w:rsidRPr="008B26DE">
              <w:t xml:space="preserve">Patient must be appropriately managed for medication overuse headache, prior to initiation of treatment with this drug </w:t>
            </w:r>
          </w:p>
        </w:tc>
      </w:tr>
      <w:tr w:rsidR="009E7206" w:rsidRPr="008B26DE" w:rsidTr="005C6C6C">
        <w:trPr>
          <w:cantSplit/>
        </w:trPr>
        <w:tc>
          <w:tcPr>
            <w:tcW w:w="1098" w:type="pct"/>
            <w:tcBorders>
              <w:top w:val="single" w:sz="4" w:space="0" w:color="auto"/>
              <w:left w:val="single" w:sz="4" w:space="0" w:color="auto"/>
              <w:bottom w:val="single" w:sz="4" w:space="0" w:color="auto"/>
              <w:right w:val="single" w:sz="4" w:space="0" w:color="auto"/>
            </w:tcBorders>
            <w:vAlign w:val="center"/>
          </w:tcPr>
          <w:p w:rsidR="009E7206" w:rsidRPr="008B26DE" w:rsidRDefault="009E7206" w:rsidP="005C6C6C">
            <w:pPr>
              <w:pStyle w:val="Tabletext"/>
              <w:spacing w:after="0"/>
              <w:rPr>
                <w:b/>
              </w:rPr>
            </w:pPr>
            <w:r w:rsidRPr="008B26DE">
              <w:rPr>
                <w:b/>
              </w:rPr>
              <w:t>Population criteria:</w:t>
            </w:r>
          </w:p>
        </w:tc>
        <w:tc>
          <w:tcPr>
            <w:tcW w:w="3902" w:type="pct"/>
            <w:tcBorders>
              <w:top w:val="single" w:sz="4" w:space="0" w:color="auto"/>
              <w:left w:val="single" w:sz="4" w:space="0" w:color="auto"/>
              <w:bottom w:val="single" w:sz="4" w:space="0" w:color="auto"/>
              <w:right w:val="single" w:sz="4" w:space="0" w:color="auto"/>
            </w:tcBorders>
            <w:vAlign w:val="center"/>
          </w:tcPr>
          <w:p w:rsidR="009E7206" w:rsidRPr="008B26DE" w:rsidRDefault="009E7206" w:rsidP="005C6C6C">
            <w:pPr>
              <w:pStyle w:val="Tabletext"/>
              <w:spacing w:after="0"/>
            </w:pPr>
            <w:r w:rsidRPr="008B26DE">
              <w:t>Patient must be aged 18 years or older</w:t>
            </w:r>
          </w:p>
        </w:tc>
      </w:tr>
      <w:tr w:rsidR="009E7206" w:rsidRPr="008B26DE" w:rsidTr="005C6C6C">
        <w:trPr>
          <w:cantSplit/>
          <w:trHeight w:val="296"/>
        </w:trPr>
        <w:tc>
          <w:tcPr>
            <w:tcW w:w="1098" w:type="pct"/>
            <w:tcBorders>
              <w:top w:val="single" w:sz="4" w:space="0" w:color="auto"/>
              <w:left w:val="single" w:sz="4" w:space="0" w:color="auto"/>
              <w:bottom w:val="single" w:sz="4" w:space="0" w:color="auto"/>
              <w:right w:val="single" w:sz="4" w:space="0" w:color="auto"/>
            </w:tcBorders>
            <w:vAlign w:val="center"/>
          </w:tcPr>
          <w:p w:rsidR="009E7206" w:rsidRPr="008B26DE" w:rsidRDefault="009E7206" w:rsidP="005C6C6C">
            <w:pPr>
              <w:pStyle w:val="Tabletext"/>
              <w:spacing w:after="0"/>
              <w:rPr>
                <w:b/>
              </w:rPr>
            </w:pPr>
            <w:r w:rsidRPr="008B26DE">
              <w:rPr>
                <w:b/>
              </w:rPr>
              <w:t>Prescriber Instructions:</w:t>
            </w:r>
          </w:p>
        </w:tc>
        <w:tc>
          <w:tcPr>
            <w:tcW w:w="3902" w:type="pct"/>
            <w:tcBorders>
              <w:top w:val="single" w:sz="4" w:space="0" w:color="auto"/>
              <w:left w:val="single" w:sz="4" w:space="0" w:color="auto"/>
              <w:bottom w:val="single" w:sz="4" w:space="0" w:color="auto"/>
              <w:right w:val="single" w:sz="4" w:space="0" w:color="auto"/>
            </w:tcBorders>
            <w:vAlign w:val="center"/>
          </w:tcPr>
          <w:p w:rsidR="009E7206" w:rsidRPr="008B26DE" w:rsidRDefault="009E7206" w:rsidP="005C6C6C">
            <w:pPr>
              <w:pStyle w:val="Tabletext"/>
              <w:spacing w:after="0"/>
            </w:pPr>
            <w:r w:rsidRPr="008B26DE">
              <w:t xml:space="preserve">Prophylactic migraine medications are propranolol, amitriptyline, </w:t>
            </w:r>
            <w:proofErr w:type="spellStart"/>
            <w:r w:rsidRPr="008B26DE">
              <w:t>pizotifen</w:t>
            </w:r>
            <w:proofErr w:type="spellEnd"/>
            <w:r w:rsidRPr="008B26DE">
              <w:t xml:space="preserve">, candesartan, verapamil, nortriptyline, sodium valproate or </w:t>
            </w:r>
            <w:proofErr w:type="spellStart"/>
            <w:r w:rsidRPr="008B26DE">
              <w:t>topiramate</w:t>
            </w:r>
            <w:proofErr w:type="spellEnd"/>
            <w:r w:rsidRPr="008B26DE">
              <w:t>.</w:t>
            </w:r>
          </w:p>
        </w:tc>
      </w:tr>
    </w:tbl>
    <w:p w:rsidR="00B71A7C" w:rsidRDefault="00B71A7C" w:rsidP="009E7206">
      <w:pPr>
        <w:rPr>
          <w:rFonts w:ascii="Arial Narrow" w:hAnsi="Arial Narrow"/>
        </w:rPr>
      </w:pPr>
    </w:p>
    <w:p w:rsidR="009632D8" w:rsidRPr="008B26DE" w:rsidRDefault="00B71A7C" w:rsidP="00602B72">
      <w:pPr>
        <w:jc w:val="left"/>
        <w:rPr>
          <w:rFonts w:ascii="Arial Narrow" w:hAnsi="Arial Narrow"/>
        </w:rPr>
      </w:pPr>
      <w:r>
        <w:rPr>
          <w:rFonts w:ascii="Arial Narrow" w:hAnsi="Arial Narrow"/>
        </w:rPr>
        <w:br w:type="page"/>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945"/>
        <w:gridCol w:w="1049"/>
        <w:gridCol w:w="981"/>
        <w:gridCol w:w="800"/>
        <w:gridCol w:w="228"/>
        <w:gridCol w:w="1731"/>
        <w:gridCol w:w="2292"/>
      </w:tblGrid>
      <w:tr w:rsidR="009632D8" w:rsidRPr="008B26DE" w:rsidTr="009632D8">
        <w:tc>
          <w:tcPr>
            <w:tcW w:w="1945" w:type="dxa"/>
            <w:vAlign w:val="center"/>
          </w:tcPr>
          <w:p w:rsidR="009632D8" w:rsidRPr="008B26DE" w:rsidRDefault="009632D8" w:rsidP="000F0C21">
            <w:pPr>
              <w:rPr>
                <w:rFonts w:ascii="Arial Narrow" w:hAnsi="Arial Narrow"/>
                <w:b/>
                <w:bCs/>
                <w:sz w:val="20"/>
                <w:szCs w:val="20"/>
              </w:rPr>
            </w:pPr>
            <w:r w:rsidRPr="008B26DE">
              <w:rPr>
                <w:rFonts w:ascii="Arial Narrow" w:hAnsi="Arial Narrow"/>
                <w:b/>
                <w:sz w:val="20"/>
                <w:szCs w:val="20"/>
              </w:rPr>
              <w:lastRenderedPageBreak/>
              <w:t>Name, restriction, manner of administration, form</w:t>
            </w:r>
          </w:p>
        </w:tc>
        <w:tc>
          <w:tcPr>
            <w:tcW w:w="1049" w:type="dxa"/>
            <w:vAlign w:val="center"/>
          </w:tcPr>
          <w:p w:rsidR="009632D8" w:rsidRPr="008B26DE" w:rsidRDefault="009632D8" w:rsidP="000F0C21">
            <w:pPr>
              <w:rPr>
                <w:rFonts w:ascii="Arial Narrow" w:hAnsi="Arial Narrow"/>
                <w:b/>
                <w:bCs/>
                <w:sz w:val="20"/>
                <w:szCs w:val="20"/>
              </w:rPr>
            </w:pPr>
            <w:r w:rsidRPr="008B26DE">
              <w:rPr>
                <w:rFonts w:ascii="Arial Narrow" w:hAnsi="Arial Narrow"/>
                <w:b/>
                <w:sz w:val="20"/>
                <w:szCs w:val="20"/>
              </w:rPr>
              <w:t>Maximum quantity (packs)</w:t>
            </w:r>
          </w:p>
        </w:tc>
        <w:tc>
          <w:tcPr>
            <w:tcW w:w="981" w:type="dxa"/>
            <w:vAlign w:val="center"/>
          </w:tcPr>
          <w:p w:rsidR="009632D8" w:rsidRPr="008B26DE" w:rsidRDefault="009632D8" w:rsidP="000F0C21">
            <w:pPr>
              <w:rPr>
                <w:rFonts w:ascii="Arial Narrow" w:hAnsi="Arial Narrow"/>
                <w:b/>
                <w:bCs/>
                <w:sz w:val="20"/>
                <w:szCs w:val="20"/>
              </w:rPr>
            </w:pPr>
            <w:r w:rsidRPr="008B26DE">
              <w:rPr>
                <w:rFonts w:ascii="Arial Narrow" w:hAnsi="Arial Narrow"/>
                <w:b/>
                <w:sz w:val="20"/>
                <w:szCs w:val="20"/>
              </w:rPr>
              <w:t>Maximum quantity (units)</w:t>
            </w:r>
          </w:p>
        </w:tc>
        <w:tc>
          <w:tcPr>
            <w:tcW w:w="800" w:type="dxa"/>
            <w:vAlign w:val="center"/>
          </w:tcPr>
          <w:p w:rsidR="009632D8" w:rsidRPr="008B26DE" w:rsidRDefault="009632D8" w:rsidP="000F0C21">
            <w:pPr>
              <w:rPr>
                <w:rFonts w:ascii="Arial Narrow" w:hAnsi="Arial Narrow"/>
                <w:b/>
                <w:bCs/>
                <w:sz w:val="20"/>
                <w:szCs w:val="20"/>
              </w:rPr>
            </w:pPr>
            <w:r w:rsidRPr="008B26DE">
              <w:rPr>
                <w:rFonts w:ascii="Arial Narrow" w:hAnsi="Arial Narrow"/>
                <w:b/>
                <w:sz w:val="20"/>
                <w:szCs w:val="20"/>
              </w:rPr>
              <w:t>No. of repeats</w:t>
            </w:r>
          </w:p>
        </w:tc>
        <w:tc>
          <w:tcPr>
            <w:tcW w:w="228" w:type="dxa"/>
            <w:tcBorders>
              <w:bottom w:val="single" w:sz="4" w:space="0" w:color="auto"/>
            </w:tcBorders>
            <w:vAlign w:val="center"/>
          </w:tcPr>
          <w:p w:rsidR="009632D8" w:rsidRPr="008B26DE" w:rsidRDefault="009632D8" w:rsidP="000F0C21">
            <w:pPr>
              <w:rPr>
                <w:rFonts w:ascii="Arial Narrow" w:hAnsi="Arial Narrow"/>
                <w:b/>
                <w:bCs/>
                <w:sz w:val="20"/>
                <w:szCs w:val="20"/>
              </w:rPr>
            </w:pPr>
          </w:p>
        </w:tc>
        <w:tc>
          <w:tcPr>
            <w:tcW w:w="1731" w:type="dxa"/>
            <w:vAlign w:val="center"/>
          </w:tcPr>
          <w:p w:rsidR="009632D8" w:rsidRPr="008B26DE" w:rsidRDefault="009632D8" w:rsidP="000F0C21">
            <w:pPr>
              <w:rPr>
                <w:rFonts w:ascii="Arial Narrow" w:hAnsi="Arial Narrow"/>
                <w:b/>
                <w:sz w:val="20"/>
                <w:szCs w:val="20"/>
              </w:rPr>
            </w:pPr>
            <w:r w:rsidRPr="008B26DE">
              <w:rPr>
                <w:rFonts w:ascii="Arial Narrow" w:hAnsi="Arial Narrow"/>
                <w:b/>
                <w:sz w:val="20"/>
                <w:szCs w:val="20"/>
              </w:rPr>
              <w:t>DPMQ</w:t>
            </w:r>
          </w:p>
        </w:tc>
        <w:tc>
          <w:tcPr>
            <w:tcW w:w="2292" w:type="dxa"/>
            <w:vAlign w:val="center"/>
          </w:tcPr>
          <w:p w:rsidR="009632D8" w:rsidRPr="008B26DE" w:rsidRDefault="009632D8" w:rsidP="000F0C21">
            <w:pPr>
              <w:rPr>
                <w:rFonts w:ascii="Arial Narrow" w:hAnsi="Arial Narrow"/>
                <w:b/>
                <w:bCs/>
                <w:sz w:val="20"/>
                <w:szCs w:val="20"/>
              </w:rPr>
            </w:pPr>
            <w:r w:rsidRPr="008B26DE">
              <w:rPr>
                <w:rFonts w:ascii="Arial Narrow" w:hAnsi="Arial Narrow"/>
                <w:b/>
                <w:sz w:val="20"/>
                <w:szCs w:val="20"/>
              </w:rPr>
              <w:t>Proprietary name and manufacturer</w:t>
            </w:r>
          </w:p>
        </w:tc>
      </w:tr>
      <w:tr w:rsidR="009632D8" w:rsidRPr="008B26DE" w:rsidTr="007617B2">
        <w:tc>
          <w:tcPr>
            <w:tcW w:w="1945" w:type="dxa"/>
            <w:vAlign w:val="center"/>
          </w:tcPr>
          <w:p w:rsidR="009632D8" w:rsidRPr="008B26DE" w:rsidRDefault="009632D8" w:rsidP="000F0C21">
            <w:pPr>
              <w:pStyle w:val="Tabletext"/>
            </w:pPr>
            <w:r w:rsidRPr="008B26DE">
              <w:t>GALCANEZUMAB</w:t>
            </w:r>
          </w:p>
          <w:p w:rsidR="009632D8" w:rsidRPr="008B26DE" w:rsidRDefault="009632D8" w:rsidP="005C6C6C">
            <w:pPr>
              <w:pStyle w:val="Tabletext"/>
              <w:jc w:val="left"/>
            </w:pPr>
            <w:r w:rsidRPr="008B26DE">
              <w:t>120 mg/1 mL, pre-filled pen</w:t>
            </w:r>
          </w:p>
        </w:tc>
        <w:tc>
          <w:tcPr>
            <w:tcW w:w="1049" w:type="dxa"/>
            <w:vAlign w:val="center"/>
          </w:tcPr>
          <w:p w:rsidR="009632D8" w:rsidRPr="008B26DE" w:rsidRDefault="009632D8" w:rsidP="000F0C21">
            <w:pPr>
              <w:pStyle w:val="Tabletext"/>
              <w:jc w:val="center"/>
            </w:pPr>
            <w:r w:rsidRPr="008B26DE">
              <w:t>1</w:t>
            </w:r>
          </w:p>
        </w:tc>
        <w:tc>
          <w:tcPr>
            <w:tcW w:w="981" w:type="dxa"/>
            <w:vAlign w:val="center"/>
          </w:tcPr>
          <w:p w:rsidR="009632D8" w:rsidRPr="008B26DE" w:rsidRDefault="009632D8" w:rsidP="000F0C21">
            <w:pPr>
              <w:pStyle w:val="Tabletext"/>
              <w:jc w:val="center"/>
            </w:pPr>
            <w:r w:rsidRPr="008B26DE">
              <w:t>1</w:t>
            </w:r>
          </w:p>
        </w:tc>
        <w:tc>
          <w:tcPr>
            <w:tcW w:w="800" w:type="dxa"/>
            <w:vAlign w:val="center"/>
          </w:tcPr>
          <w:p w:rsidR="009632D8" w:rsidRPr="008B26DE" w:rsidRDefault="009632D8" w:rsidP="000F0C21">
            <w:pPr>
              <w:pStyle w:val="Tabletext"/>
              <w:jc w:val="center"/>
            </w:pPr>
            <w:r w:rsidRPr="008B26DE">
              <w:t>5</w:t>
            </w:r>
          </w:p>
        </w:tc>
        <w:tc>
          <w:tcPr>
            <w:tcW w:w="228" w:type="dxa"/>
            <w:tcBorders>
              <w:right w:val="nil"/>
            </w:tcBorders>
            <w:vAlign w:val="center"/>
          </w:tcPr>
          <w:p w:rsidR="009632D8" w:rsidRPr="008B26DE" w:rsidRDefault="009632D8" w:rsidP="000F0C21">
            <w:pPr>
              <w:pStyle w:val="Tabletext"/>
            </w:pPr>
          </w:p>
        </w:tc>
        <w:tc>
          <w:tcPr>
            <w:tcW w:w="1731" w:type="dxa"/>
            <w:tcBorders>
              <w:left w:val="nil"/>
              <w:right w:val="nil"/>
            </w:tcBorders>
          </w:tcPr>
          <w:p w:rsidR="009632D8" w:rsidRPr="008B26DE" w:rsidRDefault="009632D8" w:rsidP="000F0C21">
            <w:pPr>
              <w:pStyle w:val="Tabletext"/>
            </w:pPr>
          </w:p>
          <w:p w:rsidR="009632D8" w:rsidRPr="008B26DE" w:rsidRDefault="009632D8" w:rsidP="000F0C21">
            <w:pPr>
              <w:pStyle w:val="Tabletext"/>
            </w:pPr>
            <w:r w:rsidRPr="008B26DE">
              <w:t>$</w:t>
            </w:r>
            <w:r w:rsidR="00913226">
              <w:rPr>
                <w:noProof/>
                <w:color w:val="000000"/>
                <w:highlight w:val="black"/>
              </w:rPr>
              <w:t>'''''''''''''''''</w:t>
            </w:r>
          </w:p>
        </w:tc>
        <w:tc>
          <w:tcPr>
            <w:tcW w:w="2292" w:type="dxa"/>
            <w:tcBorders>
              <w:left w:val="nil"/>
            </w:tcBorders>
            <w:vAlign w:val="center"/>
          </w:tcPr>
          <w:p w:rsidR="009632D8" w:rsidRPr="008B26DE" w:rsidRDefault="009632D8" w:rsidP="000F0C21">
            <w:pPr>
              <w:pStyle w:val="Tabletext"/>
            </w:pPr>
            <w:proofErr w:type="spellStart"/>
            <w:r w:rsidRPr="008B26DE">
              <w:t>Emgality</w:t>
            </w:r>
            <w:proofErr w:type="spellEnd"/>
            <w:r w:rsidRPr="008B26DE">
              <w:rPr>
                <w:vertAlign w:val="superscript"/>
              </w:rPr>
              <w:sym w:font="Symbol" w:char="F0D2"/>
            </w:r>
            <w:r w:rsidRPr="008B26DE">
              <w:t xml:space="preserve"> Eli Lilly Australia Pty Ltd</w:t>
            </w:r>
          </w:p>
        </w:tc>
      </w:tr>
    </w:tbl>
    <w:p w:rsidR="009E7206" w:rsidRPr="008B26DE" w:rsidRDefault="009E7206" w:rsidP="009E7206"/>
    <w:tbl>
      <w:tblPr>
        <w:tblW w:w="5000" w:type="pct"/>
        <w:tblLook w:val="0000" w:firstRow="0" w:lastRow="0" w:firstColumn="0" w:lastColumn="0" w:noHBand="0" w:noVBand="0"/>
      </w:tblPr>
      <w:tblGrid>
        <w:gridCol w:w="1980"/>
        <w:gridCol w:w="7036"/>
      </w:tblGrid>
      <w:tr w:rsidR="009E7206" w:rsidRPr="008B26DE" w:rsidTr="005C6C6C">
        <w:trPr>
          <w:cantSplit/>
        </w:trPr>
        <w:tc>
          <w:tcPr>
            <w:tcW w:w="1098" w:type="pct"/>
            <w:tcBorders>
              <w:top w:val="single" w:sz="4" w:space="0" w:color="auto"/>
              <w:left w:val="single" w:sz="4" w:space="0" w:color="auto"/>
              <w:bottom w:val="single" w:sz="4" w:space="0" w:color="auto"/>
              <w:right w:val="single" w:sz="4" w:space="0" w:color="auto"/>
            </w:tcBorders>
            <w:vAlign w:val="center"/>
          </w:tcPr>
          <w:p w:rsidR="009E7206" w:rsidRPr="008B26DE" w:rsidRDefault="009E7206" w:rsidP="005C6C6C">
            <w:pPr>
              <w:pStyle w:val="Tabletext"/>
              <w:spacing w:after="0"/>
              <w:rPr>
                <w:b/>
              </w:rPr>
            </w:pPr>
            <w:r w:rsidRPr="008B26DE">
              <w:rPr>
                <w:b/>
              </w:rPr>
              <w:t>Treatment phase:</w:t>
            </w:r>
          </w:p>
        </w:tc>
        <w:tc>
          <w:tcPr>
            <w:tcW w:w="3902" w:type="pct"/>
            <w:tcBorders>
              <w:top w:val="single" w:sz="4" w:space="0" w:color="auto"/>
              <w:left w:val="single" w:sz="4" w:space="0" w:color="auto"/>
              <w:bottom w:val="single" w:sz="4" w:space="0" w:color="auto"/>
              <w:right w:val="single" w:sz="4" w:space="0" w:color="auto"/>
            </w:tcBorders>
            <w:vAlign w:val="center"/>
          </w:tcPr>
          <w:p w:rsidR="009E7206" w:rsidRPr="008B26DE" w:rsidRDefault="009E7206" w:rsidP="005C6C6C">
            <w:pPr>
              <w:pStyle w:val="Tabletext"/>
              <w:spacing w:after="0"/>
            </w:pPr>
            <w:r w:rsidRPr="008B26DE">
              <w:t>Continuing</w:t>
            </w:r>
          </w:p>
        </w:tc>
      </w:tr>
      <w:tr w:rsidR="009E7206" w:rsidRPr="008B26DE" w:rsidTr="005C6C6C">
        <w:trPr>
          <w:cantSplit/>
        </w:trPr>
        <w:tc>
          <w:tcPr>
            <w:tcW w:w="1098" w:type="pct"/>
            <w:tcBorders>
              <w:top w:val="single" w:sz="4" w:space="0" w:color="auto"/>
              <w:left w:val="single" w:sz="4" w:space="0" w:color="auto"/>
              <w:bottom w:val="single" w:sz="4" w:space="0" w:color="auto"/>
              <w:right w:val="single" w:sz="4" w:space="0" w:color="auto"/>
            </w:tcBorders>
            <w:vAlign w:val="center"/>
          </w:tcPr>
          <w:p w:rsidR="009E7206" w:rsidRPr="008B26DE" w:rsidRDefault="009E7206" w:rsidP="005C6C6C">
            <w:pPr>
              <w:pStyle w:val="Tabletext"/>
              <w:spacing w:after="0"/>
              <w:rPr>
                <w:b/>
              </w:rPr>
            </w:pPr>
            <w:r w:rsidRPr="008B26DE">
              <w:rPr>
                <w:b/>
              </w:rPr>
              <w:t>Treatment criteria:</w:t>
            </w:r>
          </w:p>
        </w:tc>
        <w:tc>
          <w:tcPr>
            <w:tcW w:w="3902" w:type="pct"/>
            <w:tcBorders>
              <w:top w:val="single" w:sz="4" w:space="0" w:color="auto"/>
              <w:left w:val="single" w:sz="4" w:space="0" w:color="auto"/>
              <w:bottom w:val="single" w:sz="4" w:space="0" w:color="auto"/>
              <w:right w:val="single" w:sz="4" w:space="0" w:color="auto"/>
            </w:tcBorders>
            <w:vAlign w:val="center"/>
          </w:tcPr>
          <w:p w:rsidR="009E7206" w:rsidRPr="008B26DE" w:rsidRDefault="009E7206" w:rsidP="005C6C6C">
            <w:pPr>
              <w:pStyle w:val="Tabletext"/>
              <w:spacing w:after="0"/>
            </w:pPr>
            <w:r w:rsidRPr="008B26DE">
              <w:t xml:space="preserve">Must be treated by or in consultation with a neurologist </w:t>
            </w:r>
          </w:p>
        </w:tc>
      </w:tr>
      <w:tr w:rsidR="009E7206" w:rsidRPr="008B26DE" w:rsidTr="005C6C6C">
        <w:trPr>
          <w:cantSplit/>
        </w:trPr>
        <w:tc>
          <w:tcPr>
            <w:tcW w:w="1098" w:type="pct"/>
            <w:tcBorders>
              <w:top w:val="single" w:sz="4" w:space="0" w:color="auto"/>
              <w:left w:val="single" w:sz="4" w:space="0" w:color="auto"/>
              <w:bottom w:val="single" w:sz="4" w:space="0" w:color="auto"/>
              <w:right w:val="single" w:sz="4" w:space="0" w:color="auto"/>
            </w:tcBorders>
            <w:vAlign w:val="center"/>
          </w:tcPr>
          <w:p w:rsidR="009E7206" w:rsidRPr="008B26DE" w:rsidRDefault="009E7206" w:rsidP="005C6C6C">
            <w:pPr>
              <w:pStyle w:val="Tabletext"/>
              <w:spacing w:after="0"/>
              <w:rPr>
                <w:b/>
              </w:rPr>
            </w:pPr>
            <w:r w:rsidRPr="008B26DE">
              <w:rPr>
                <w:b/>
              </w:rPr>
              <w:t>Clinical criteria:</w:t>
            </w:r>
          </w:p>
        </w:tc>
        <w:tc>
          <w:tcPr>
            <w:tcW w:w="3902" w:type="pct"/>
            <w:tcBorders>
              <w:top w:val="single" w:sz="4" w:space="0" w:color="auto"/>
              <w:left w:val="single" w:sz="4" w:space="0" w:color="auto"/>
              <w:bottom w:val="single" w:sz="4" w:space="0" w:color="auto"/>
              <w:right w:val="single" w:sz="4" w:space="0" w:color="auto"/>
            </w:tcBorders>
            <w:vAlign w:val="center"/>
          </w:tcPr>
          <w:p w:rsidR="009E7206" w:rsidRPr="008B26DE" w:rsidRDefault="009E7206" w:rsidP="005C6C6C">
            <w:pPr>
              <w:pStyle w:val="Tabletext"/>
              <w:spacing w:after="0"/>
            </w:pPr>
            <w:r w:rsidRPr="008B26DE">
              <w:t>Patient must have previously received PBS-subsidised treatment with this drug for this condition</w:t>
            </w:r>
          </w:p>
          <w:p w:rsidR="009E7206" w:rsidRPr="008B26DE" w:rsidRDefault="009E7206" w:rsidP="005C6C6C">
            <w:pPr>
              <w:pStyle w:val="Tabletext"/>
              <w:spacing w:after="0"/>
            </w:pPr>
            <w:r w:rsidRPr="008B26DE">
              <w:t>AND</w:t>
            </w:r>
          </w:p>
          <w:p w:rsidR="009E7206" w:rsidRPr="008B26DE" w:rsidRDefault="009E7206" w:rsidP="005C6C6C">
            <w:pPr>
              <w:pStyle w:val="Tabletext"/>
              <w:spacing w:after="0"/>
            </w:pPr>
            <w:r w:rsidRPr="008B26DE">
              <w:t>Patient must have achieved and maintained a 50% or greater reduction from baseline in the number of migraine headache days per month in order to be eligible for continuing PBS-subsidised treatment</w:t>
            </w:r>
          </w:p>
          <w:p w:rsidR="009E7206" w:rsidRPr="008B26DE" w:rsidRDefault="009E7206" w:rsidP="005C6C6C">
            <w:pPr>
              <w:pStyle w:val="Tabletext"/>
              <w:spacing w:after="0"/>
            </w:pPr>
            <w:r w:rsidRPr="008B26DE">
              <w:t>AND</w:t>
            </w:r>
          </w:p>
          <w:p w:rsidR="009E7206" w:rsidRPr="008B26DE" w:rsidRDefault="009E7206" w:rsidP="005C6C6C">
            <w:pPr>
              <w:pStyle w:val="Tabletext"/>
              <w:spacing w:after="0"/>
            </w:pPr>
            <w:r w:rsidRPr="008B26DE">
              <w:t>The treatment must not be in combination with botulinum toxin</w:t>
            </w:r>
          </w:p>
          <w:p w:rsidR="009E7206" w:rsidRPr="008B26DE" w:rsidRDefault="009E7206" w:rsidP="005C6C6C">
            <w:pPr>
              <w:pStyle w:val="Tabletext"/>
              <w:spacing w:after="0"/>
            </w:pPr>
            <w:r w:rsidRPr="008B26DE">
              <w:t>AND</w:t>
            </w:r>
          </w:p>
          <w:p w:rsidR="009E7206" w:rsidRPr="008B26DE" w:rsidRDefault="009E7206" w:rsidP="005C6C6C">
            <w:pPr>
              <w:pStyle w:val="Tabletext"/>
              <w:spacing w:after="0"/>
            </w:pPr>
            <w:r w:rsidRPr="008B26DE">
              <w:t>Patient must continue to be appropriately managed for medication overuse headache</w:t>
            </w:r>
          </w:p>
        </w:tc>
      </w:tr>
    </w:tbl>
    <w:p w:rsidR="0063699F" w:rsidRPr="008B26DE" w:rsidRDefault="0063699F" w:rsidP="0063699F">
      <w:pPr>
        <w:pStyle w:val="3Bodytext"/>
        <w:numPr>
          <w:ilvl w:val="0"/>
          <w:numId w:val="0"/>
        </w:numPr>
        <w:ind w:left="720" w:hanging="720"/>
        <w:rPr>
          <w:rFonts w:cstheme="minorHAnsi"/>
          <w:szCs w:val="24"/>
        </w:rPr>
      </w:pPr>
    </w:p>
    <w:p w:rsidR="007743DD" w:rsidRPr="008B26DE" w:rsidRDefault="00B415BF" w:rsidP="00C822DC">
      <w:pPr>
        <w:pStyle w:val="3Bodytext"/>
        <w:rPr>
          <w:i/>
        </w:rPr>
      </w:pPr>
      <w:r w:rsidRPr="008B26DE">
        <w:t>In July 2019 the PBAC recommended two initial restriction criteria, one with a maximum quantity of 2 with 0 repeats for the induction dose an</w:t>
      </w:r>
      <w:r w:rsidR="00257347" w:rsidRPr="008B26DE">
        <w:t>d another with a maximum quantit</w:t>
      </w:r>
      <w:r w:rsidRPr="008B26DE">
        <w:t>y of 1 with 1 repeat to provide a total of 12 week</w:t>
      </w:r>
      <w:r w:rsidR="00024C60" w:rsidRPr="008B26DE">
        <w:t>s</w:t>
      </w:r>
      <w:r w:rsidRPr="008B26DE">
        <w:t xml:space="preserve"> initial treatment. The Secretariat proposed a single initial restriction criteria with a maximum quantity of 2 and 1 repeat </w:t>
      </w:r>
      <w:r w:rsidR="0063699F" w:rsidRPr="008B26DE">
        <w:t>(4 injections in total)</w:t>
      </w:r>
      <w:r w:rsidRPr="008B26DE">
        <w:t xml:space="preserve"> to provide 12 weeks of initial treatment</w:t>
      </w:r>
      <w:r w:rsidR="0063699F" w:rsidRPr="008B26DE">
        <w:t xml:space="preserve">. </w:t>
      </w:r>
      <w:r w:rsidRPr="008B26DE">
        <w:t>The financial estimates</w:t>
      </w:r>
      <w:r w:rsidR="00257347" w:rsidRPr="008B26DE">
        <w:t xml:space="preserve"> below are based on a maximum </w:t>
      </w:r>
      <w:r w:rsidR="00650DEE" w:rsidRPr="008B26DE">
        <w:t xml:space="preserve">quantity </w:t>
      </w:r>
      <w:r w:rsidR="00257347" w:rsidRPr="008B26DE">
        <w:t>of 1</w:t>
      </w:r>
      <w:r w:rsidR="008B26DE">
        <w:t xml:space="preserve">. </w:t>
      </w:r>
      <w:r w:rsidR="0063699F" w:rsidRPr="008B26DE">
        <w:rPr>
          <w:i/>
        </w:rPr>
        <w:t xml:space="preserve"> </w:t>
      </w:r>
    </w:p>
    <w:p w:rsidR="000B558D" w:rsidRPr="001452E2" w:rsidRDefault="00075D22" w:rsidP="000E7017">
      <w:pPr>
        <w:pStyle w:val="Heading1"/>
        <w:keepLines/>
        <w:numPr>
          <w:ilvl w:val="0"/>
          <w:numId w:val="3"/>
        </w:numPr>
        <w:spacing w:before="240"/>
        <w:ind w:left="709" w:hanging="709"/>
        <w:rPr>
          <w:sz w:val="32"/>
          <w:szCs w:val="32"/>
        </w:rPr>
      </w:pPr>
      <w:r w:rsidRPr="001452E2">
        <w:rPr>
          <w:sz w:val="32"/>
          <w:szCs w:val="32"/>
        </w:rPr>
        <w:t xml:space="preserve">Key concerns addressed by the resubmission </w:t>
      </w:r>
    </w:p>
    <w:p w:rsidR="00D405E2" w:rsidRPr="008B26DE" w:rsidRDefault="00D405E2" w:rsidP="00917D69">
      <w:pPr>
        <w:pStyle w:val="3Bodytext"/>
        <w:rPr>
          <w:rFonts w:cstheme="minorHAnsi"/>
          <w:szCs w:val="24"/>
        </w:rPr>
      </w:pPr>
      <w:r w:rsidRPr="008B26DE">
        <w:t xml:space="preserve">The minor resubmission addressed four key </w:t>
      </w:r>
      <w:r w:rsidR="00553B12" w:rsidRPr="008B26DE">
        <w:t xml:space="preserve">concerns </w:t>
      </w:r>
      <w:r w:rsidRPr="008B26DE">
        <w:t>regarding the previous PBAC recommendation:</w:t>
      </w:r>
    </w:p>
    <w:p w:rsidR="00D405E2" w:rsidRPr="008B26DE" w:rsidRDefault="000E7017" w:rsidP="005C6C6C">
      <w:pPr>
        <w:pStyle w:val="3Bodytext"/>
        <w:numPr>
          <w:ilvl w:val="0"/>
          <w:numId w:val="14"/>
        </w:numPr>
        <w:ind w:left="1077" w:hanging="357"/>
        <w:rPr>
          <w:rFonts w:cstheme="minorHAnsi"/>
          <w:szCs w:val="24"/>
        </w:rPr>
      </w:pPr>
      <w:r w:rsidRPr="008B26DE">
        <w:rPr>
          <w:rFonts w:cstheme="minorHAnsi"/>
          <w:szCs w:val="24"/>
        </w:rPr>
        <w:t xml:space="preserve">Equi-effective doses and </w:t>
      </w:r>
      <w:r w:rsidR="00650DEE" w:rsidRPr="008B26DE">
        <w:rPr>
          <w:rFonts w:cstheme="minorHAnsi"/>
          <w:szCs w:val="24"/>
        </w:rPr>
        <w:t xml:space="preserve">time horizon of </w:t>
      </w:r>
      <w:r w:rsidR="00103B15" w:rsidRPr="008B26DE">
        <w:rPr>
          <w:rFonts w:cstheme="minorHAnsi"/>
          <w:szCs w:val="24"/>
        </w:rPr>
        <w:t>the CMA</w:t>
      </w:r>
      <w:r w:rsidR="00650DEE" w:rsidRPr="008B26DE">
        <w:rPr>
          <w:rFonts w:cstheme="minorHAnsi"/>
          <w:szCs w:val="24"/>
        </w:rPr>
        <w:t>.</w:t>
      </w:r>
    </w:p>
    <w:p w:rsidR="009854E9" w:rsidRPr="008B26DE" w:rsidRDefault="009854E9" w:rsidP="005C6C6C">
      <w:pPr>
        <w:pStyle w:val="3Bodytext"/>
        <w:numPr>
          <w:ilvl w:val="0"/>
          <w:numId w:val="14"/>
        </w:numPr>
        <w:ind w:left="1077" w:hanging="357"/>
        <w:rPr>
          <w:rFonts w:cstheme="minorHAnsi"/>
          <w:szCs w:val="24"/>
        </w:rPr>
      </w:pPr>
      <w:r w:rsidRPr="008B26DE">
        <w:rPr>
          <w:rFonts w:cstheme="minorHAnsi"/>
          <w:szCs w:val="24"/>
        </w:rPr>
        <w:t xml:space="preserve">Estimated number of treated patients </w:t>
      </w:r>
      <w:r w:rsidR="004F277D" w:rsidRPr="008B26DE">
        <w:rPr>
          <w:rFonts w:cstheme="minorHAnsi"/>
          <w:szCs w:val="24"/>
        </w:rPr>
        <w:t xml:space="preserve">and financial implications of listing </w:t>
      </w:r>
      <w:proofErr w:type="spellStart"/>
      <w:r w:rsidR="004F277D" w:rsidRPr="008B26DE">
        <w:rPr>
          <w:rFonts w:cstheme="minorHAnsi"/>
          <w:szCs w:val="24"/>
        </w:rPr>
        <w:t>galcanezumab</w:t>
      </w:r>
      <w:proofErr w:type="spellEnd"/>
      <w:r w:rsidR="00650DEE" w:rsidRPr="008B26DE">
        <w:rPr>
          <w:rFonts w:cstheme="minorHAnsi"/>
          <w:szCs w:val="24"/>
        </w:rPr>
        <w:t>.</w:t>
      </w:r>
    </w:p>
    <w:p w:rsidR="00D405E2" w:rsidRPr="008B26DE" w:rsidRDefault="000E7017" w:rsidP="005C6C6C">
      <w:pPr>
        <w:pStyle w:val="3Bodytext"/>
        <w:numPr>
          <w:ilvl w:val="0"/>
          <w:numId w:val="14"/>
        </w:numPr>
        <w:ind w:left="1077" w:hanging="357"/>
        <w:rPr>
          <w:rFonts w:cstheme="minorHAnsi"/>
          <w:szCs w:val="24"/>
        </w:rPr>
      </w:pPr>
      <w:r w:rsidRPr="008B26DE">
        <w:rPr>
          <w:rFonts w:cstheme="minorHAnsi"/>
          <w:szCs w:val="24"/>
        </w:rPr>
        <w:t xml:space="preserve">Appropriateness of including </w:t>
      </w:r>
      <w:proofErr w:type="spellStart"/>
      <w:r w:rsidRPr="008B26DE">
        <w:rPr>
          <w:rFonts w:cstheme="minorHAnsi"/>
          <w:szCs w:val="24"/>
        </w:rPr>
        <w:t>galcanezumab</w:t>
      </w:r>
      <w:proofErr w:type="spellEnd"/>
      <w:r w:rsidRPr="008B26DE">
        <w:rPr>
          <w:rFonts w:cstheme="minorHAnsi"/>
          <w:szCs w:val="24"/>
        </w:rPr>
        <w:t xml:space="preserve"> in the Botox RSA</w:t>
      </w:r>
      <w:r w:rsidR="004F277D" w:rsidRPr="008B26DE">
        <w:rPr>
          <w:rFonts w:cstheme="minorHAnsi"/>
          <w:szCs w:val="24"/>
        </w:rPr>
        <w:t xml:space="preserve"> and expenditure caps</w:t>
      </w:r>
      <w:r w:rsidR="00650DEE" w:rsidRPr="008B26DE">
        <w:rPr>
          <w:rFonts w:cstheme="minorHAnsi"/>
          <w:szCs w:val="24"/>
        </w:rPr>
        <w:t>.</w:t>
      </w:r>
    </w:p>
    <w:p w:rsidR="00D405E2" w:rsidRPr="008B26DE" w:rsidRDefault="00650DEE" w:rsidP="005C6C6C">
      <w:pPr>
        <w:pStyle w:val="3Bodytext"/>
        <w:numPr>
          <w:ilvl w:val="0"/>
          <w:numId w:val="14"/>
        </w:numPr>
        <w:ind w:left="1077" w:hanging="357"/>
        <w:rPr>
          <w:rFonts w:cstheme="minorHAnsi"/>
          <w:szCs w:val="24"/>
        </w:rPr>
      </w:pPr>
      <w:r w:rsidRPr="008B26DE">
        <w:rPr>
          <w:rFonts w:cstheme="minorHAnsi"/>
          <w:szCs w:val="24"/>
        </w:rPr>
        <w:t xml:space="preserve">Time period covered by </w:t>
      </w:r>
      <w:r w:rsidR="000E7017" w:rsidRPr="008B26DE">
        <w:rPr>
          <w:rFonts w:cstheme="minorHAnsi"/>
          <w:szCs w:val="24"/>
        </w:rPr>
        <w:t>RSA</w:t>
      </w:r>
      <w:r w:rsidRPr="008B26DE">
        <w:rPr>
          <w:rFonts w:cstheme="minorHAnsi"/>
          <w:szCs w:val="24"/>
        </w:rPr>
        <w:t>.</w:t>
      </w:r>
    </w:p>
    <w:p w:rsidR="002E0B49" w:rsidRPr="008B26DE" w:rsidRDefault="000E7017" w:rsidP="000E7017">
      <w:pPr>
        <w:pStyle w:val="3Bodytext"/>
      </w:pPr>
      <w:r w:rsidRPr="008B26DE">
        <w:t>Each of the four key</w:t>
      </w:r>
      <w:r w:rsidR="00CB2B67" w:rsidRPr="008B26DE">
        <w:t xml:space="preserve"> concerns</w:t>
      </w:r>
      <w:r w:rsidR="00C0418D" w:rsidRPr="008B26DE">
        <w:t xml:space="preserve"> are summarised in </w:t>
      </w:r>
      <w:r w:rsidR="009908B3" w:rsidRPr="008B26DE">
        <w:t xml:space="preserve">Table </w:t>
      </w:r>
      <w:r w:rsidR="009908B3" w:rsidRPr="00320593">
        <w:t>1</w:t>
      </w:r>
      <w:r w:rsidR="00CB2B67" w:rsidRPr="008B26DE">
        <w:t xml:space="preserve"> </w:t>
      </w:r>
      <w:r w:rsidR="00C0418D" w:rsidRPr="008B26DE">
        <w:t>and discussed in further detail below</w:t>
      </w:r>
      <w:r w:rsidR="008B26DE">
        <w:t xml:space="preserve">. </w:t>
      </w:r>
    </w:p>
    <w:p w:rsidR="00602B72" w:rsidRDefault="00602B72">
      <w:pPr>
        <w:jc w:val="left"/>
        <w:rPr>
          <w:rFonts w:ascii="Arial Narrow" w:hAnsi="Arial Narrow"/>
          <w:b/>
          <w:iCs/>
          <w:color w:val="000000" w:themeColor="text1"/>
          <w:sz w:val="20"/>
          <w:szCs w:val="18"/>
        </w:rPr>
      </w:pPr>
      <w:bookmarkStart w:id="0" w:name="_Ref51595967"/>
      <w:r>
        <w:br w:type="page"/>
      </w:r>
    </w:p>
    <w:p w:rsidR="000E7017" w:rsidRPr="001452E2" w:rsidRDefault="00510397" w:rsidP="00510397">
      <w:pPr>
        <w:pStyle w:val="Caption"/>
        <w:keepNext/>
        <w:jc w:val="left"/>
      </w:pPr>
      <w:r w:rsidRPr="008B26DE">
        <w:lastRenderedPageBreak/>
        <w:t xml:space="preserve">Table </w:t>
      </w:r>
      <w:r w:rsidR="009908B3" w:rsidRPr="00320593">
        <w:t>1</w:t>
      </w:r>
      <w:bookmarkEnd w:id="0"/>
      <w:r w:rsidRPr="008B26DE">
        <w:t xml:space="preserve">: </w:t>
      </w:r>
      <w:r w:rsidR="000E7017" w:rsidRPr="008B26DE">
        <w:rPr>
          <w:rStyle w:val="CommentReference"/>
          <w:sz w:val="20"/>
          <w:szCs w:val="22"/>
        </w:rPr>
        <w:t xml:space="preserve">Key </w:t>
      </w:r>
      <w:r w:rsidR="00553B12" w:rsidRPr="008B26DE">
        <w:rPr>
          <w:rStyle w:val="CommentReference"/>
          <w:sz w:val="20"/>
          <w:szCs w:val="22"/>
        </w:rPr>
        <w:t xml:space="preserve">concerns </w:t>
      </w:r>
      <w:r w:rsidR="000E7017" w:rsidRPr="008B26DE">
        <w:rPr>
          <w:rStyle w:val="CommentReference"/>
          <w:sz w:val="20"/>
          <w:szCs w:val="22"/>
        </w:rPr>
        <w:t xml:space="preserve">addressed in the minor </w:t>
      </w:r>
      <w:r w:rsidRPr="008B26DE">
        <w:rPr>
          <w:rStyle w:val="CommentReference"/>
          <w:sz w:val="20"/>
          <w:szCs w:val="22"/>
        </w:rPr>
        <w:t>resubmission</w:t>
      </w:r>
    </w:p>
    <w:tbl>
      <w:tblPr>
        <w:tblStyle w:val="TableGrid"/>
        <w:tblW w:w="5000" w:type="pct"/>
        <w:tblLook w:val="04A0" w:firstRow="1" w:lastRow="0" w:firstColumn="1" w:lastColumn="0" w:noHBand="0" w:noVBand="1"/>
        <w:tblCaption w:val="Table 1: Key concerns addressed in the minor resubmission"/>
      </w:tblPr>
      <w:tblGrid>
        <w:gridCol w:w="2546"/>
        <w:gridCol w:w="3120"/>
        <w:gridCol w:w="3350"/>
      </w:tblGrid>
      <w:tr w:rsidR="002F2E97" w:rsidRPr="008B26DE" w:rsidTr="005C6C6C">
        <w:trPr>
          <w:tblHeader/>
        </w:trPr>
        <w:tc>
          <w:tcPr>
            <w:tcW w:w="1412" w:type="pct"/>
          </w:tcPr>
          <w:p w:rsidR="002F2E97" w:rsidRPr="008B26DE" w:rsidRDefault="002F2E97" w:rsidP="005C6C6C">
            <w:pPr>
              <w:pStyle w:val="3Bodytext"/>
              <w:numPr>
                <w:ilvl w:val="0"/>
                <w:numId w:val="0"/>
              </w:numPr>
              <w:spacing w:after="0"/>
              <w:jc w:val="left"/>
              <w:rPr>
                <w:rFonts w:ascii="Arial Narrow" w:hAnsi="Arial Narrow"/>
                <w:b/>
                <w:sz w:val="20"/>
                <w:szCs w:val="20"/>
              </w:rPr>
            </w:pPr>
            <w:r w:rsidRPr="008B26DE">
              <w:rPr>
                <w:rFonts w:ascii="Arial Narrow" w:hAnsi="Arial Narrow"/>
                <w:b/>
                <w:sz w:val="20"/>
                <w:szCs w:val="20"/>
              </w:rPr>
              <w:t>Key concern as identified by resubmission</w:t>
            </w:r>
          </w:p>
        </w:tc>
        <w:tc>
          <w:tcPr>
            <w:tcW w:w="1730" w:type="pct"/>
          </w:tcPr>
          <w:p w:rsidR="002F2E97" w:rsidRPr="008B26DE" w:rsidRDefault="002F2E97" w:rsidP="005C6C6C">
            <w:pPr>
              <w:pStyle w:val="3Bodytext"/>
              <w:numPr>
                <w:ilvl w:val="0"/>
                <w:numId w:val="0"/>
              </w:numPr>
              <w:spacing w:after="0"/>
              <w:jc w:val="left"/>
              <w:rPr>
                <w:rFonts w:ascii="Arial Narrow" w:hAnsi="Arial Narrow"/>
                <w:b/>
                <w:sz w:val="20"/>
                <w:szCs w:val="20"/>
              </w:rPr>
            </w:pPr>
            <w:r w:rsidRPr="008B26DE">
              <w:rPr>
                <w:rFonts w:ascii="Arial Narrow" w:hAnsi="Arial Narrow"/>
                <w:b/>
                <w:sz w:val="20"/>
                <w:szCs w:val="20"/>
              </w:rPr>
              <w:t>PBAC recommendation (July 2019)</w:t>
            </w:r>
          </w:p>
        </w:tc>
        <w:tc>
          <w:tcPr>
            <w:tcW w:w="1858" w:type="pct"/>
          </w:tcPr>
          <w:p w:rsidR="002F2E97" w:rsidRPr="008B26DE" w:rsidRDefault="002F2E97" w:rsidP="005C6C6C">
            <w:pPr>
              <w:pStyle w:val="3Bodytext"/>
              <w:numPr>
                <w:ilvl w:val="0"/>
                <w:numId w:val="0"/>
              </w:numPr>
              <w:spacing w:after="0"/>
              <w:jc w:val="left"/>
              <w:rPr>
                <w:rFonts w:ascii="Arial Narrow" w:hAnsi="Arial Narrow"/>
                <w:b/>
                <w:sz w:val="20"/>
                <w:szCs w:val="20"/>
              </w:rPr>
            </w:pPr>
            <w:r w:rsidRPr="008B26DE">
              <w:rPr>
                <w:rFonts w:ascii="Arial Narrow" w:hAnsi="Arial Narrow"/>
                <w:b/>
                <w:sz w:val="20"/>
                <w:szCs w:val="20"/>
              </w:rPr>
              <w:t>Sponsor’s proposal to address</w:t>
            </w:r>
          </w:p>
        </w:tc>
      </w:tr>
      <w:tr w:rsidR="002F2E97" w:rsidRPr="008B26DE" w:rsidTr="005C6C6C">
        <w:tc>
          <w:tcPr>
            <w:tcW w:w="1412" w:type="pct"/>
            <w:vMerge w:val="restart"/>
          </w:tcPr>
          <w:p w:rsidR="002F2E97" w:rsidRPr="008B26DE" w:rsidRDefault="002F2E97" w:rsidP="005C6C6C">
            <w:pPr>
              <w:pStyle w:val="3Bodytext"/>
              <w:numPr>
                <w:ilvl w:val="0"/>
                <w:numId w:val="0"/>
              </w:numPr>
              <w:spacing w:after="0"/>
              <w:ind w:left="34"/>
              <w:jc w:val="left"/>
              <w:rPr>
                <w:rFonts w:ascii="Arial Narrow" w:hAnsi="Arial Narrow" w:cstheme="minorHAnsi"/>
                <w:sz w:val="20"/>
                <w:szCs w:val="20"/>
              </w:rPr>
            </w:pPr>
            <w:r w:rsidRPr="008B26DE">
              <w:rPr>
                <w:rFonts w:ascii="Arial Narrow" w:hAnsi="Arial Narrow" w:cstheme="minorHAnsi"/>
                <w:sz w:val="20"/>
                <w:szCs w:val="20"/>
              </w:rPr>
              <w:t>Equi-effective doses and cost minimisation analysis</w:t>
            </w:r>
          </w:p>
        </w:tc>
        <w:tc>
          <w:tcPr>
            <w:tcW w:w="1730" w:type="pct"/>
            <w:tcBorders>
              <w:bottom w:val="nil"/>
            </w:tcBorders>
          </w:tcPr>
          <w:p w:rsidR="002F2E97" w:rsidRPr="008B26DE" w:rsidRDefault="002F2E97" w:rsidP="005C6C6C">
            <w:pPr>
              <w:pStyle w:val="3Bodytext"/>
              <w:numPr>
                <w:ilvl w:val="0"/>
                <w:numId w:val="0"/>
              </w:numPr>
              <w:spacing w:after="0"/>
              <w:jc w:val="left"/>
              <w:rPr>
                <w:rFonts w:ascii="Arial Narrow" w:hAnsi="Arial Narrow"/>
                <w:sz w:val="20"/>
                <w:szCs w:val="20"/>
              </w:rPr>
            </w:pPr>
            <w:r w:rsidRPr="008B26DE">
              <w:rPr>
                <w:rFonts w:ascii="Arial Narrow" w:hAnsi="Arial Narrow"/>
                <w:sz w:val="20"/>
                <w:szCs w:val="20"/>
              </w:rPr>
              <w:t xml:space="preserve">Equi-effective doses </w:t>
            </w:r>
            <w:proofErr w:type="spellStart"/>
            <w:r w:rsidRPr="008B26DE">
              <w:rPr>
                <w:rFonts w:ascii="Arial Narrow" w:hAnsi="Arial Narrow"/>
                <w:sz w:val="20"/>
                <w:szCs w:val="20"/>
              </w:rPr>
              <w:t>galcanezumab</w:t>
            </w:r>
            <w:proofErr w:type="spellEnd"/>
            <w:r w:rsidRPr="008B26DE">
              <w:rPr>
                <w:rFonts w:ascii="Arial Narrow" w:hAnsi="Arial Narrow"/>
                <w:sz w:val="20"/>
                <w:szCs w:val="20"/>
              </w:rPr>
              <w:t xml:space="preserve"> 120 mg every 30 days and 164 U Botox every 12 weeks. </w:t>
            </w:r>
          </w:p>
        </w:tc>
        <w:tc>
          <w:tcPr>
            <w:tcW w:w="1858" w:type="pct"/>
            <w:tcBorders>
              <w:bottom w:val="nil"/>
            </w:tcBorders>
          </w:tcPr>
          <w:p w:rsidR="002F2E97" w:rsidRPr="008B26DE" w:rsidRDefault="002F2E97" w:rsidP="005C6C6C">
            <w:pPr>
              <w:pStyle w:val="3Bodytext"/>
              <w:numPr>
                <w:ilvl w:val="0"/>
                <w:numId w:val="0"/>
              </w:numPr>
              <w:spacing w:after="0"/>
              <w:jc w:val="left"/>
              <w:rPr>
                <w:rFonts w:ascii="Arial Narrow" w:hAnsi="Arial Narrow"/>
                <w:sz w:val="20"/>
                <w:szCs w:val="20"/>
              </w:rPr>
            </w:pPr>
            <w:r w:rsidRPr="008B26DE">
              <w:rPr>
                <w:rFonts w:ascii="Arial Narrow" w:hAnsi="Arial Narrow"/>
                <w:sz w:val="20"/>
                <w:szCs w:val="20"/>
              </w:rPr>
              <w:t xml:space="preserve">Equi-effective doses </w:t>
            </w:r>
            <w:proofErr w:type="spellStart"/>
            <w:r w:rsidRPr="008B26DE">
              <w:rPr>
                <w:rFonts w:ascii="Arial Narrow" w:hAnsi="Arial Narrow"/>
                <w:sz w:val="20"/>
                <w:szCs w:val="20"/>
              </w:rPr>
              <w:t>galcanezumab</w:t>
            </w:r>
            <w:proofErr w:type="spellEnd"/>
            <w:r w:rsidRPr="008B26DE">
              <w:rPr>
                <w:rFonts w:ascii="Arial Narrow" w:hAnsi="Arial Narrow"/>
                <w:sz w:val="20"/>
                <w:szCs w:val="20"/>
              </w:rPr>
              <w:t xml:space="preserve"> 120 mg every 30 days and </w:t>
            </w:r>
            <w:r w:rsidRPr="008B26DE">
              <w:rPr>
                <w:rFonts w:ascii="Arial Narrow" w:hAnsi="Arial Narrow"/>
                <w:sz w:val="20"/>
                <w:szCs w:val="20"/>
                <w:u w:val="single"/>
              </w:rPr>
              <w:t>194 U</w:t>
            </w:r>
            <w:r w:rsidRPr="008B26DE">
              <w:rPr>
                <w:rFonts w:ascii="Arial Narrow" w:hAnsi="Arial Narrow"/>
                <w:sz w:val="20"/>
                <w:szCs w:val="20"/>
              </w:rPr>
              <w:t xml:space="preserve"> Botox every 12 weeks.</w:t>
            </w:r>
          </w:p>
        </w:tc>
      </w:tr>
      <w:tr w:rsidR="002F2E97" w:rsidRPr="008B26DE" w:rsidTr="005C6C6C">
        <w:tc>
          <w:tcPr>
            <w:tcW w:w="1412" w:type="pct"/>
            <w:vMerge/>
          </w:tcPr>
          <w:p w:rsidR="002F2E97" w:rsidRPr="008B26DE" w:rsidRDefault="002F2E97" w:rsidP="005C6C6C">
            <w:pPr>
              <w:pStyle w:val="3Bodytext"/>
              <w:numPr>
                <w:ilvl w:val="0"/>
                <w:numId w:val="0"/>
              </w:numPr>
              <w:spacing w:after="0"/>
              <w:ind w:left="34"/>
              <w:jc w:val="left"/>
              <w:rPr>
                <w:rFonts w:ascii="Arial Narrow" w:hAnsi="Arial Narrow" w:cstheme="minorHAnsi"/>
                <w:sz w:val="20"/>
                <w:szCs w:val="20"/>
              </w:rPr>
            </w:pPr>
          </w:p>
        </w:tc>
        <w:tc>
          <w:tcPr>
            <w:tcW w:w="1730" w:type="pct"/>
            <w:tcBorders>
              <w:top w:val="nil"/>
              <w:bottom w:val="nil"/>
            </w:tcBorders>
          </w:tcPr>
          <w:p w:rsidR="002F2E97" w:rsidRPr="008B26DE" w:rsidRDefault="002F2E97" w:rsidP="005C6C6C">
            <w:pPr>
              <w:pStyle w:val="3Bodytext"/>
              <w:numPr>
                <w:ilvl w:val="0"/>
                <w:numId w:val="0"/>
              </w:numPr>
              <w:spacing w:after="0"/>
              <w:jc w:val="left"/>
              <w:rPr>
                <w:rFonts w:ascii="Arial Narrow" w:hAnsi="Arial Narrow"/>
                <w:sz w:val="20"/>
                <w:szCs w:val="20"/>
              </w:rPr>
            </w:pPr>
            <w:r w:rsidRPr="008B26DE">
              <w:rPr>
                <w:rFonts w:ascii="Arial Narrow" w:hAnsi="Arial Narrow"/>
                <w:sz w:val="20"/>
                <w:szCs w:val="20"/>
              </w:rPr>
              <w:t xml:space="preserve">CMA to be conducted over 2 years. </w:t>
            </w:r>
          </w:p>
        </w:tc>
        <w:tc>
          <w:tcPr>
            <w:tcW w:w="1858" w:type="pct"/>
            <w:tcBorders>
              <w:top w:val="nil"/>
              <w:bottom w:val="nil"/>
            </w:tcBorders>
          </w:tcPr>
          <w:p w:rsidR="002F2E97" w:rsidRPr="008B26DE" w:rsidRDefault="002F2E97" w:rsidP="005C6C6C">
            <w:pPr>
              <w:pStyle w:val="3Bodytext"/>
              <w:numPr>
                <w:ilvl w:val="0"/>
                <w:numId w:val="0"/>
              </w:numPr>
              <w:spacing w:after="0"/>
              <w:jc w:val="left"/>
              <w:rPr>
                <w:rFonts w:ascii="Arial Narrow" w:hAnsi="Arial Narrow"/>
                <w:sz w:val="20"/>
                <w:szCs w:val="20"/>
              </w:rPr>
            </w:pPr>
            <w:r w:rsidRPr="008B26DE">
              <w:rPr>
                <w:rFonts w:ascii="Arial Narrow" w:hAnsi="Arial Narrow"/>
                <w:sz w:val="20"/>
                <w:szCs w:val="20"/>
              </w:rPr>
              <w:t xml:space="preserve">CMA to be conducted over </w:t>
            </w:r>
            <w:r w:rsidRPr="008B26DE">
              <w:rPr>
                <w:rFonts w:ascii="Arial Narrow" w:hAnsi="Arial Narrow"/>
                <w:sz w:val="20"/>
                <w:szCs w:val="20"/>
                <w:u w:val="single"/>
              </w:rPr>
              <w:t>3 years</w:t>
            </w:r>
          </w:p>
        </w:tc>
      </w:tr>
      <w:tr w:rsidR="002F2E97" w:rsidRPr="008B26DE" w:rsidTr="005C6C6C">
        <w:tc>
          <w:tcPr>
            <w:tcW w:w="1412" w:type="pct"/>
            <w:vMerge/>
            <w:tcBorders>
              <w:top w:val="nil"/>
            </w:tcBorders>
          </w:tcPr>
          <w:p w:rsidR="002F2E97" w:rsidRPr="008B26DE" w:rsidRDefault="002F2E97" w:rsidP="005C6C6C">
            <w:pPr>
              <w:pStyle w:val="3Bodytext"/>
              <w:numPr>
                <w:ilvl w:val="0"/>
                <w:numId w:val="0"/>
              </w:numPr>
              <w:spacing w:after="0"/>
              <w:jc w:val="left"/>
              <w:rPr>
                <w:rFonts w:ascii="Arial Narrow" w:hAnsi="Arial Narrow" w:cstheme="minorHAnsi"/>
                <w:sz w:val="20"/>
                <w:szCs w:val="20"/>
              </w:rPr>
            </w:pPr>
          </w:p>
        </w:tc>
        <w:tc>
          <w:tcPr>
            <w:tcW w:w="1730" w:type="pct"/>
            <w:tcBorders>
              <w:top w:val="nil"/>
              <w:bottom w:val="nil"/>
            </w:tcBorders>
          </w:tcPr>
          <w:p w:rsidR="002F2E97" w:rsidRPr="008B26DE" w:rsidRDefault="0082151C" w:rsidP="005C6C6C">
            <w:pPr>
              <w:pStyle w:val="3Bodytext"/>
              <w:numPr>
                <w:ilvl w:val="0"/>
                <w:numId w:val="0"/>
              </w:numPr>
              <w:spacing w:after="0"/>
              <w:jc w:val="left"/>
              <w:rPr>
                <w:rFonts w:ascii="Arial Narrow" w:hAnsi="Arial Narrow"/>
                <w:sz w:val="20"/>
                <w:szCs w:val="20"/>
              </w:rPr>
            </w:pPr>
            <w:r>
              <w:rPr>
                <w:rFonts w:ascii="Arial Narrow" w:hAnsi="Arial Narrow"/>
                <w:sz w:val="20"/>
                <w:szCs w:val="20"/>
              </w:rPr>
              <w:t xml:space="preserve">Effective </w:t>
            </w:r>
            <w:r w:rsidR="002F2E97" w:rsidRPr="008B26DE">
              <w:rPr>
                <w:rFonts w:ascii="Arial Narrow" w:hAnsi="Arial Narrow"/>
                <w:sz w:val="20"/>
                <w:szCs w:val="20"/>
              </w:rPr>
              <w:t>AEMP $</w:t>
            </w:r>
            <w:r w:rsidR="00913226">
              <w:rPr>
                <w:rFonts w:ascii="Arial Narrow" w:hAnsi="Arial Narrow"/>
                <w:noProof/>
                <w:color w:val="000000"/>
                <w:sz w:val="20"/>
                <w:szCs w:val="20"/>
                <w:highlight w:val="black"/>
              </w:rPr>
              <w:t>'''''''''''''''''</w:t>
            </w:r>
          </w:p>
        </w:tc>
        <w:tc>
          <w:tcPr>
            <w:tcW w:w="1858" w:type="pct"/>
            <w:tcBorders>
              <w:top w:val="nil"/>
              <w:bottom w:val="nil"/>
            </w:tcBorders>
          </w:tcPr>
          <w:p w:rsidR="002F2E97" w:rsidRPr="008B26DE" w:rsidRDefault="0082151C" w:rsidP="005C6C6C">
            <w:pPr>
              <w:pStyle w:val="3Bodytext"/>
              <w:numPr>
                <w:ilvl w:val="0"/>
                <w:numId w:val="0"/>
              </w:numPr>
              <w:spacing w:after="0"/>
              <w:jc w:val="left"/>
              <w:rPr>
                <w:rFonts w:ascii="Arial Narrow" w:hAnsi="Arial Narrow"/>
                <w:sz w:val="20"/>
                <w:szCs w:val="20"/>
              </w:rPr>
            </w:pPr>
            <w:r>
              <w:rPr>
                <w:rFonts w:ascii="Arial Narrow" w:hAnsi="Arial Narrow"/>
                <w:sz w:val="20"/>
                <w:szCs w:val="20"/>
              </w:rPr>
              <w:t xml:space="preserve">Effective </w:t>
            </w:r>
            <w:r w:rsidR="002F2E97" w:rsidRPr="008B26DE">
              <w:rPr>
                <w:rFonts w:ascii="Arial Narrow" w:hAnsi="Arial Narrow"/>
                <w:sz w:val="20"/>
                <w:szCs w:val="20"/>
              </w:rPr>
              <w:t>AEMP $</w:t>
            </w:r>
            <w:r w:rsidR="00913226">
              <w:rPr>
                <w:rFonts w:ascii="Arial Narrow" w:hAnsi="Arial Narrow"/>
                <w:noProof/>
                <w:color w:val="000000"/>
                <w:sz w:val="20"/>
                <w:szCs w:val="20"/>
                <w:highlight w:val="black"/>
              </w:rPr>
              <w:t>'''''''''''''''''</w:t>
            </w:r>
          </w:p>
        </w:tc>
      </w:tr>
      <w:tr w:rsidR="002F2E97" w:rsidRPr="008B26DE" w:rsidTr="005C6C6C">
        <w:tc>
          <w:tcPr>
            <w:tcW w:w="1412" w:type="pct"/>
            <w:vMerge/>
          </w:tcPr>
          <w:p w:rsidR="002F2E97" w:rsidRPr="008B26DE" w:rsidRDefault="002F2E97" w:rsidP="005C6C6C">
            <w:pPr>
              <w:pStyle w:val="3Bodytext"/>
              <w:numPr>
                <w:ilvl w:val="0"/>
                <w:numId w:val="0"/>
              </w:numPr>
              <w:spacing w:after="0"/>
              <w:jc w:val="left"/>
              <w:rPr>
                <w:rFonts w:ascii="Arial Narrow" w:hAnsi="Arial Narrow" w:cstheme="minorHAnsi"/>
                <w:sz w:val="20"/>
                <w:szCs w:val="20"/>
              </w:rPr>
            </w:pPr>
          </w:p>
        </w:tc>
        <w:tc>
          <w:tcPr>
            <w:tcW w:w="1730" w:type="pct"/>
            <w:tcBorders>
              <w:top w:val="nil"/>
            </w:tcBorders>
          </w:tcPr>
          <w:p w:rsidR="002F2E97" w:rsidRPr="008B26DE" w:rsidRDefault="002F2E97" w:rsidP="005C6C6C">
            <w:pPr>
              <w:pStyle w:val="3Bodytext"/>
              <w:numPr>
                <w:ilvl w:val="0"/>
                <w:numId w:val="0"/>
              </w:numPr>
              <w:spacing w:after="0"/>
              <w:jc w:val="left"/>
              <w:rPr>
                <w:rFonts w:ascii="Arial Narrow" w:hAnsi="Arial Narrow"/>
                <w:sz w:val="20"/>
                <w:szCs w:val="20"/>
              </w:rPr>
            </w:pPr>
            <w:r w:rsidRPr="008B26DE">
              <w:rPr>
                <w:rFonts w:ascii="Arial Narrow" w:hAnsi="Arial Narrow"/>
                <w:sz w:val="20"/>
                <w:szCs w:val="20"/>
              </w:rPr>
              <w:t>(</w:t>
            </w:r>
            <w:proofErr w:type="gramStart"/>
            <w:r w:rsidRPr="008B26DE">
              <w:rPr>
                <w:rFonts w:ascii="Arial Narrow" w:hAnsi="Arial Narrow"/>
                <w:sz w:val="20"/>
                <w:szCs w:val="20"/>
              </w:rPr>
              <w:t>paragraph</w:t>
            </w:r>
            <w:proofErr w:type="gramEnd"/>
            <w:r w:rsidRPr="008B26DE">
              <w:rPr>
                <w:rFonts w:ascii="Arial Narrow" w:hAnsi="Arial Narrow"/>
                <w:sz w:val="20"/>
                <w:szCs w:val="20"/>
              </w:rPr>
              <w:t xml:space="preserve"> 7.6, </w:t>
            </w:r>
            <w:proofErr w:type="spellStart"/>
            <w:r w:rsidRPr="008B26DE">
              <w:rPr>
                <w:rFonts w:ascii="Arial Narrow" w:hAnsi="Arial Narrow"/>
                <w:sz w:val="20"/>
                <w:szCs w:val="20"/>
              </w:rPr>
              <w:t>galcanezumab</w:t>
            </w:r>
            <w:proofErr w:type="spellEnd"/>
            <w:r w:rsidRPr="008B26DE">
              <w:rPr>
                <w:rFonts w:ascii="Arial Narrow" w:hAnsi="Arial Narrow"/>
                <w:sz w:val="20"/>
                <w:szCs w:val="20"/>
              </w:rPr>
              <w:t xml:space="preserve"> PSD, July 2019 PBAC meeting).</w:t>
            </w:r>
          </w:p>
        </w:tc>
        <w:tc>
          <w:tcPr>
            <w:tcW w:w="1858" w:type="pct"/>
            <w:tcBorders>
              <w:top w:val="nil"/>
            </w:tcBorders>
          </w:tcPr>
          <w:p w:rsidR="002F2E97" w:rsidRPr="008B26DE" w:rsidRDefault="002F2E97" w:rsidP="005C6C6C">
            <w:pPr>
              <w:pStyle w:val="3Bodytext"/>
              <w:numPr>
                <w:ilvl w:val="0"/>
                <w:numId w:val="0"/>
              </w:numPr>
              <w:spacing w:after="0"/>
              <w:jc w:val="left"/>
              <w:rPr>
                <w:rFonts w:ascii="Arial Narrow" w:hAnsi="Arial Narrow"/>
                <w:sz w:val="20"/>
                <w:szCs w:val="20"/>
              </w:rPr>
            </w:pPr>
            <w:r w:rsidRPr="008B26DE">
              <w:rPr>
                <w:rFonts w:ascii="Arial Narrow" w:hAnsi="Arial Narrow"/>
                <w:sz w:val="20"/>
                <w:szCs w:val="20"/>
              </w:rPr>
              <w:t>An adjustment of price at the conclusion of any RSA based clinical outcomes  in the TRIUMPH study</w:t>
            </w:r>
          </w:p>
        </w:tc>
      </w:tr>
      <w:tr w:rsidR="002F2E97" w:rsidRPr="008B26DE" w:rsidTr="005C6C6C">
        <w:tc>
          <w:tcPr>
            <w:tcW w:w="1412" w:type="pct"/>
          </w:tcPr>
          <w:p w:rsidR="002F2E97" w:rsidRPr="008B26DE" w:rsidRDefault="002F2E97" w:rsidP="005C6C6C">
            <w:pPr>
              <w:pStyle w:val="3Bodytext"/>
              <w:numPr>
                <w:ilvl w:val="0"/>
                <w:numId w:val="0"/>
              </w:numPr>
              <w:spacing w:after="0"/>
              <w:jc w:val="left"/>
              <w:rPr>
                <w:rFonts w:ascii="Arial Narrow" w:hAnsi="Arial Narrow" w:cstheme="minorHAnsi"/>
                <w:sz w:val="20"/>
                <w:szCs w:val="20"/>
              </w:rPr>
            </w:pPr>
            <w:r w:rsidRPr="008B26DE">
              <w:rPr>
                <w:rFonts w:ascii="Arial Narrow" w:hAnsi="Arial Narrow" w:cstheme="minorHAnsi"/>
                <w:sz w:val="20"/>
                <w:szCs w:val="20"/>
              </w:rPr>
              <w:t xml:space="preserve">Estimated number of treated patients and financial implications of listing </w:t>
            </w:r>
            <w:proofErr w:type="spellStart"/>
            <w:r w:rsidRPr="008B26DE">
              <w:rPr>
                <w:rFonts w:ascii="Arial Narrow" w:hAnsi="Arial Narrow" w:cstheme="minorHAnsi"/>
                <w:sz w:val="20"/>
                <w:szCs w:val="20"/>
              </w:rPr>
              <w:t>galcanezumab</w:t>
            </w:r>
            <w:proofErr w:type="spellEnd"/>
          </w:p>
        </w:tc>
        <w:tc>
          <w:tcPr>
            <w:tcW w:w="1730" w:type="pct"/>
          </w:tcPr>
          <w:p w:rsidR="002F2E97" w:rsidRPr="008B26DE" w:rsidRDefault="002F2E97" w:rsidP="005C6C6C">
            <w:pPr>
              <w:pStyle w:val="3Bodytext"/>
              <w:numPr>
                <w:ilvl w:val="0"/>
                <w:numId w:val="0"/>
              </w:numPr>
              <w:spacing w:after="0"/>
              <w:jc w:val="left"/>
              <w:rPr>
                <w:rFonts w:ascii="Arial Narrow" w:hAnsi="Arial Narrow"/>
                <w:sz w:val="20"/>
                <w:szCs w:val="20"/>
              </w:rPr>
            </w:pPr>
            <w:proofErr w:type="spellStart"/>
            <w:r w:rsidRPr="008B26DE">
              <w:rPr>
                <w:rFonts w:ascii="Arial Narrow" w:hAnsi="Arial Narrow"/>
                <w:sz w:val="20"/>
                <w:szCs w:val="20"/>
              </w:rPr>
              <w:t>Galcanezumab</w:t>
            </w:r>
            <w:proofErr w:type="spellEnd"/>
            <w:r w:rsidRPr="008B26DE">
              <w:rPr>
                <w:rFonts w:ascii="Arial Narrow" w:hAnsi="Arial Narrow"/>
                <w:sz w:val="20"/>
                <w:szCs w:val="20"/>
              </w:rPr>
              <w:t xml:space="preserve"> and Botox to be in the same RSA to ensure the </w:t>
            </w:r>
            <w:proofErr w:type="spellStart"/>
            <w:r w:rsidRPr="008B26DE">
              <w:rPr>
                <w:rFonts w:ascii="Arial Narrow" w:hAnsi="Arial Narrow"/>
                <w:sz w:val="20"/>
                <w:szCs w:val="20"/>
              </w:rPr>
              <w:t>galcanezumab</w:t>
            </w:r>
            <w:proofErr w:type="spellEnd"/>
            <w:r w:rsidRPr="008B26DE">
              <w:rPr>
                <w:rFonts w:ascii="Arial Narrow" w:hAnsi="Arial Narrow"/>
                <w:sz w:val="20"/>
                <w:szCs w:val="20"/>
              </w:rPr>
              <w:t xml:space="preserve"> patient population is restricted to the same high need patient population as for Botox</w:t>
            </w:r>
            <w:r w:rsidR="008B26DE">
              <w:rPr>
                <w:rFonts w:ascii="Arial Narrow" w:hAnsi="Arial Narrow"/>
                <w:sz w:val="20"/>
                <w:szCs w:val="20"/>
              </w:rPr>
              <w:t xml:space="preserve">. </w:t>
            </w:r>
            <w:r w:rsidRPr="008B26DE">
              <w:rPr>
                <w:rFonts w:ascii="Arial Narrow" w:hAnsi="Arial Narrow"/>
                <w:sz w:val="20"/>
                <w:szCs w:val="20"/>
              </w:rPr>
              <w:t xml:space="preserve"> </w:t>
            </w:r>
          </w:p>
          <w:p w:rsidR="002F2E97" w:rsidRPr="001452E2" w:rsidRDefault="002F2E97" w:rsidP="005C6C6C">
            <w:pPr>
              <w:pStyle w:val="3Bodytext"/>
              <w:numPr>
                <w:ilvl w:val="0"/>
                <w:numId w:val="0"/>
              </w:numPr>
              <w:spacing w:after="0"/>
              <w:jc w:val="left"/>
              <w:rPr>
                <w:rFonts w:ascii="Arial Narrow" w:hAnsi="Arial Narrow"/>
                <w:sz w:val="20"/>
                <w:szCs w:val="20"/>
              </w:rPr>
            </w:pPr>
            <w:r w:rsidRPr="001452E2">
              <w:rPr>
                <w:rFonts w:ascii="Arial Narrow" w:hAnsi="Arial Narrow"/>
                <w:sz w:val="20"/>
                <w:szCs w:val="20"/>
              </w:rPr>
              <w:t xml:space="preserve">(paragraph 7.1, </w:t>
            </w:r>
            <w:proofErr w:type="spellStart"/>
            <w:r w:rsidRPr="001452E2">
              <w:rPr>
                <w:rFonts w:ascii="Arial Narrow" w:hAnsi="Arial Narrow"/>
                <w:sz w:val="20"/>
                <w:szCs w:val="20"/>
              </w:rPr>
              <w:t>galcanezumab</w:t>
            </w:r>
            <w:proofErr w:type="spellEnd"/>
            <w:r w:rsidRPr="001452E2">
              <w:rPr>
                <w:rFonts w:ascii="Arial Narrow" w:hAnsi="Arial Narrow"/>
                <w:sz w:val="20"/>
                <w:szCs w:val="20"/>
              </w:rPr>
              <w:t xml:space="preserve"> PSD, July 2019 PBAC meeting)</w:t>
            </w:r>
          </w:p>
        </w:tc>
        <w:tc>
          <w:tcPr>
            <w:tcW w:w="1858" w:type="pct"/>
          </w:tcPr>
          <w:p w:rsidR="002F2E97" w:rsidRPr="008B26DE" w:rsidRDefault="002F2E97" w:rsidP="005C6C6C">
            <w:pPr>
              <w:pStyle w:val="3Bodytext"/>
              <w:numPr>
                <w:ilvl w:val="0"/>
                <w:numId w:val="0"/>
              </w:numPr>
              <w:spacing w:after="0"/>
              <w:jc w:val="left"/>
              <w:rPr>
                <w:rFonts w:ascii="Arial Narrow" w:hAnsi="Arial Narrow"/>
                <w:sz w:val="20"/>
                <w:szCs w:val="20"/>
              </w:rPr>
            </w:pPr>
            <w:r w:rsidRPr="008B26DE">
              <w:rPr>
                <w:rFonts w:ascii="Arial Narrow" w:hAnsi="Arial Narrow"/>
                <w:sz w:val="20"/>
                <w:szCs w:val="20"/>
              </w:rPr>
              <w:t xml:space="preserve">Proposed a revised estimate of the number of patients expected to be treated with </w:t>
            </w:r>
            <w:proofErr w:type="spellStart"/>
            <w:r w:rsidRPr="008B26DE">
              <w:rPr>
                <w:rFonts w:ascii="Arial Narrow" w:hAnsi="Arial Narrow"/>
                <w:sz w:val="20"/>
                <w:szCs w:val="20"/>
              </w:rPr>
              <w:t>galcanezumab</w:t>
            </w:r>
            <w:proofErr w:type="spellEnd"/>
            <w:r w:rsidRPr="008B26DE">
              <w:rPr>
                <w:rFonts w:ascii="Arial Narrow" w:hAnsi="Arial Narrow"/>
                <w:sz w:val="20"/>
                <w:szCs w:val="20"/>
              </w:rPr>
              <w:t xml:space="preserve"> to account for significant number of eligible patients that are not currently treated with Botox. </w:t>
            </w:r>
          </w:p>
        </w:tc>
      </w:tr>
      <w:tr w:rsidR="002F2E97" w:rsidRPr="008B26DE" w:rsidTr="005C6C6C">
        <w:tc>
          <w:tcPr>
            <w:tcW w:w="1412" w:type="pct"/>
          </w:tcPr>
          <w:p w:rsidR="002F2E97" w:rsidRPr="008B26DE" w:rsidRDefault="002F2E97" w:rsidP="005C6C6C">
            <w:pPr>
              <w:pStyle w:val="3Bodytext"/>
              <w:numPr>
                <w:ilvl w:val="0"/>
                <w:numId w:val="0"/>
              </w:numPr>
              <w:spacing w:after="0"/>
              <w:ind w:left="34"/>
              <w:jc w:val="left"/>
              <w:rPr>
                <w:rFonts w:ascii="Arial Narrow" w:hAnsi="Arial Narrow" w:cstheme="minorHAnsi"/>
                <w:sz w:val="20"/>
                <w:szCs w:val="20"/>
              </w:rPr>
            </w:pPr>
            <w:r w:rsidRPr="008B26DE">
              <w:rPr>
                <w:rFonts w:ascii="Arial Narrow" w:hAnsi="Arial Narrow" w:cstheme="minorHAnsi"/>
                <w:sz w:val="20"/>
                <w:szCs w:val="20"/>
              </w:rPr>
              <w:t xml:space="preserve">Appropriateness of including </w:t>
            </w:r>
            <w:proofErr w:type="spellStart"/>
            <w:r w:rsidRPr="008B26DE">
              <w:rPr>
                <w:rFonts w:ascii="Arial Narrow" w:hAnsi="Arial Narrow" w:cstheme="minorHAnsi"/>
                <w:sz w:val="20"/>
                <w:szCs w:val="20"/>
              </w:rPr>
              <w:t>galcanezumab</w:t>
            </w:r>
            <w:proofErr w:type="spellEnd"/>
            <w:r w:rsidRPr="008B26DE">
              <w:rPr>
                <w:rFonts w:ascii="Arial Narrow" w:hAnsi="Arial Narrow" w:cstheme="minorHAnsi"/>
                <w:sz w:val="20"/>
                <w:szCs w:val="20"/>
              </w:rPr>
              <w:t xml:space="preserve"> in the Botox RSA and expenditure caps</w:t>
            </w:r>
          </w:p>
          <w:p w:rsidR="002F2E97" w:rsidRPr="008B26DE" w:rsidRDefault="002F2E97" w:rsidP="005C6C6C">
            <w:pPr>
              <w:pStyle w:val="3Bodytext"/>
              <w:numPr>
                <w:ilvl w:val="0"/>
                <w:numId w:val="0"/>
              </w:numPr>
              <w:spacing w:after="0"/>
              <w:ind w:left="34" w:hanging="34"/>
              <w:jc w:val="left"/>
              <w:rPr>
                <w:rFonts w:ascii="Arial Narrow" w:hAnsi="Arial Narrow" w:cstheme="minorHAnsi"/>
                <w:sz w:val="20"/>
                <w:szCs w:val="20"/>
              </w:rPr>
            </w:pPr>
          </w:p>
        </w:tc>
        <w:tc>
          <w:tcPr>
            <w:tcW w:w="1730" w:type="pct"/>
          </w:tcPr>
          <w:p w:rsidR="002F2E97" w:rsidRPr="008B26DE" w:rsidRDefault="002F2E97" w:rsidP="005C6C6C">
            <w:pPr>
              <w:pStyle w:val="3Bodytext"/>
              <w:numPr>
                <w:ilvl w:val="0"/>
                <w:numId w:val="0"/>
              </w:numPr>
              <w:spacing w:after="0"/>
              <w:jc w:val="left"/>
              <w:rPr>
                <w:rFonts w:ascii="Arial Narrow" w:hAnsi="Arial Narrow"/>
                <w:sz w:val="20"/>
                <w:szCs w:val="20"/>
              </w:rPr>
            </w:pPr>
            <w:proofErr w:type="spellStart"/>
            <w:r w:rsidRPr="008B26DE">
              <w:rPr>
                <w:rFonts w:ascii="Arial Narrow" w:hAnsi="Arial Narrow"/>
                <w:sz w:val="20"/>
                <w:szCs w:val="20"/>
              </w:rPr>
              <w:t>Galcanezumab</w:t>
            </w:r>
            <w:proofErr w:type="spellEnd"/>
            <w:r w:rsidRPr="008B26DE">
              <w:rPr>
                <w:rFonts w:ascii="Arial Narrow" w:hAnsi="Arial Narrow"/>
                <w:sz w:val="20"/>
                <w:szCs w:val="20"/>
              </w:rPr>
              <w:t xml:space="preserve"> and Botox to be encompassed in the same risk share arrangement with an increase in expenditure caps to allow for higher drug cost for </w:t>
            </w:r>
            <w:proofErr w:type="spellStart"/>
            <w:r w:rsidRPr="008B26DE">
              <w:rPr>
                <w:rFonts w:ascii="Arial Narrow" w:hAnsi="Arial Narrow"/>
                <w:sz w:val="20"/>
                <w:szCs w:val="20"/>
              </w:rPr>
              <w:t>galcanezumab</w:t>
            </w:r>
            <w:proofErr w:type="spellEnd"/>
            <w:r w:rsidRPr="008B26DE">
              <w:rPr>
                <w:rFonts w:ascii="Arial Narrow" w:hAnsi="Arial Narrow"/>
                <w:sz w:val="20"/>
                <w:szCs w:val="20"/>
              </w:rPr>
              <w:t xml:space="preserve">. </w:t>
            </w:r>
          </w:p>
          <w:p w:rsidR="002F2E97" w:rsidRPr="008B26DE" w:rsidRDefault="002F2E97" w:rsidP="005C6C6C">
            <w:pPr>
              <w:pStyle w:val="3Bodytext"/>
              <w:numPr>
                <w:ilvl w:val="0"/>
                <w:numId w:val="0"/>
              </w:numPr>
              <w:spacing w:after="0"/>
              <w:jc w:val="left"/>
              <w:rPr>
                <w:rFonts w:ascii="Arial Narrow" w:hAnsi="Arial Narrow"/>
                <w:sz w:val="20"/>
                <w:szCs w:val="20"/>
              </w:rPr>
            </w:pPr>
            <w:r w:rsidRPr="008B26DE">
              <w:rPr>
                <w:rFonts w:ascii="Arial Narrow" w:hAnsi="Arial Narrow"/>
                <w:sz w:val="20"/>
                <w:szCs w:val="20"/>
              </w:rPr>
              <w:t>(</w:t>
            </w:r>
            <w:proofErr w:type="gramStart"/>
            <w:r w:rsidRPr="008B26DE">
              <w:rPr>
                <w:rFonts w:ascii="Arial Narrow" w:hAnsi="Arial Narrow"/>
                <w:sz w:val="20"/>
                <w:szCs w:val="20"/>
              </w:rPr>
              <w:t>paragraph</w:t>
            </w:r>
            <w:proofErr w:type="gramEnd"/>
            <w:r w:rsidRPr="008B26DE">
              <w:rPr>
                <w:rFonts w:ascii="Arial Narrow" w:hAnsi="Arial Narrow"/>
                <w:sz w:val="20"/>
                <w:szCs w:val="20"/>
              </w:rPr>
              <w:t xml:space="preserve"> 7.7, </w:t>
            </w:r>
            <w:proofErr w:type="spellStart"/>
            <w:r w:rsidRPr="008B26DE">
              <w:rPr>
                <w:rFonts w:ascii="Arial Narrow" w:hAnsi="Arial Narrow"/>
                <w:sz w:val="20"/>
                <w:szCs w:val="20"/>
              </w:rPr>
              <w:t>galcanezumab</w:t>
            </w:r>
            <w:proofErr w:type="spellEnd"/>
            <w:r w:rsidRPr="008B26DE">
              <w:rPr>
                <w:rFonts w:ascii="Arial Narrow" w:hAnsi="Arial Narrow"/>
                <w:sz w:val="20"/>
                <w:szCs w:val="20"/>
              </w:rPr>
              <w:t xml:space="preserve"> PSD, July 2019 PBAC meeting).</w:t>
            </w:r>
          </w:p>
        </w:tc>
        <w:tc>
          <w:tcPr>
            <w:tcW w:w="1858" w:type="pct"/>
          </w:tcPr>
          <w:p w:rsidR="002F2E97" w:rsidRPr="008B26DE" w:rsidRDefault="00913226" w:rsidP="005C6C6C">
            <w:pPr>
              <w:pStyle w:val="3Bodytext"/>
              <w:numPr>
                <w:ilvl w:val="0"/>
                <w:numId w:val="0"/>
              </w:numPr>
              <w:spacing w:after="0"/>
              <w:jc w:val="left"/>
              <w:rPr>
                <w:rFonts w:ascii="Arial Narrow" w:hAnsi="Arial Narrow"/>
                <w:sz w:val="20"/>
                <w:szCs w:val="20"/>
              </w:rPr>
            </w:pPr>
            <w:r>
              <w:rPr>
                <w:rFonts w:ascii="Arial Narrow" w:hAnsi="Arial Narrow"/>
                <w:noProof/>
                <w:color w:val="000000"/>
                <w:sz w:val="20"/>
                <w:szCs w:val="20"/>
                <w:highlight w:val="black"/>
              </w:rPr>
              <w:t>'''</w:t>
            </w:r>
            <w:r w:rsidR="002F2E97" w:rsidRPr="00C66C73">
              <w:rPr>
                <w:rFonts w:ascii="Arial Narrow" w:hAnsi="Arial Narrow"/>
                <w:sz w:val="20"/>
                <w:szCs w:val="20"/>
              </w:rPr>
              <w:t>%</w:t>
            </w:r>
            <w:r w:rsidR="002F2E97" w:rsidRPr="008B26DE">
              <w:rPr>
                <w:rFonts w:ascii="Arial Narrow" w:hAnsi="Arial Narrow"/>
                <w:sz w:val="20"/>
                <w:szCs w:val="20"/>
              </w:rPr>
              <w:t xml:space="preserve"> of </w:t>
            </w:r>
            <w:proofErr w:type="spellStart"/>
            <w:r w:rsidR="002F2E97" w:rsidRPr="008B26DE">
              <w:rPr>
                <w:rFonts w:ascii="Arial Narrow" w:hAnsi="Arial Narrow"/>
                <w:sz w:val="20"/>
                <w:szCs w:val="20"/>
              </w:rPr>
              <w:t>galcanezumab</w:t>
            </w:r>
            <w:proofErr w:type="spellEnd"/>
            <w:r w:rsidR="002F2E97" w:rsidRPr="008B26DE">
              <w:rPr>
                <w:rFonts w:ascii="Arial Narrow" w:hAnsi="Arial Narrow"/>
                <w:sz w:val="20"/>
                <w:szCs w:val="20"/>
              </w:rPr>
              <w:t xml:space="preserve"> scripts are allocated to the Botox expenditure cap. All other scripts are allocated to separate CGRP inhibitor expenditure caps. </w:t>
            </w:r>
          </w:p>
          <w:p w:rsidR="002F2E97" w:rsidRPr="008B26DE" w:rsidRDefault="00913226" w:rsidP="005C6C6C">
            <w:pPr>
              <w:pStyle w:val="3Bodytext"/>
              <w:numPr>
                <w:ilvl w:val="0"/>
                <w:numId w:val="0"/>
              </w:numPr>
              <w:spacing w:after="0"/>
              <w:jc w:val="left"/>
              <w:rPr>
                <w:rFonts w:ascii="Arial Narrow" w:hAnsi="Arial Narrow"/>
                <w:sz w:val="20"/>
                <w:szCs w:val="20"/>
              </w:rPr>
            </w:pPr>
            <w:r>
              <w:rPr>
                <w:rFonts w:ascii="Arial Narrow" w:hAnsi="Arial Narrow"/>
                <w:noProof/>
                <w:color w:val="000000"/>
                <w:sz w:val="20"/>
                <w:szCs w:val="20"/>
                <w:highlight w:val="black"/>
              </w:rPr>
              <w:t>'''''''''''</w:t>
            </w:r>
            <w:r w:rsidR="002F2E97" w:rsidRPr="00C66C73">
              <w:rPr>
                <w:rFonts w:ascii="Arial Narrow" w:hAnsi="Arial Narrow"/>
                <w:sz w:val="20"/>
                <w:szCs w:val="20"/>
              </w:rPr>
              <w:t>%</w:t>
            </w:r>
            <w:r w:rsidR="002F2E97" w:rsidRPr="008B26DE">
              <w:rPr>
                <w:rFonts w:ascii="Arial Narrow" w:hAnsi="Arial Narrow"/>
                <w:sz w:val="20"/>
                <w:szCs w:val="20"/>
              </w:rPr>
              <w:t xml:space="preserve"> increase in Botox expenditure caps to account for the higher drug cost associated with </w:t>
            </w:r>
            <w:proofErr w:type="spellStart"/>
            <w:r w:rsidR="002F2E97" w:rsidRPr="008B26DE">
              <w:rPr>
                <w:rFonts w:ascii="Arial Narrow" w:hAnsi="Arial Narrow"/>
                <w:sz w:val="20"/>
                <w:szCs w:val="20"/>
              </w:rPr>
              <w:t>galcanezumab</w:t>
            </w:r>
            <w:proofErr w:type="spellEnd"/>
            <w:r w:rsidR="002F2E97" w:rsidRPr="008B26DE">
              <w:rPr>
                <w:rFonts w:ascii="Arial Narrow" w:hAnsi="Arial Narrow"/>
                <w:sz w:val="20"/>
                <w:szCs w:val="20"/>
              </w:rPr>
              <w:t>.</w:t>
            </w:r>
          </w:p>
          <w:p w:rsidR="002F2E97" w:rsidRPr="008B26DE" w:rsidRDefault="002F2E97" w:rsidP="005C6C6C">
            <w:pPr>
              <w:pStyle w:val="3Bodytext"/>
              <w:numPr>
                <w:ilvl w:val="0"/>
                <w:numId w:val="0"/>
              </w:numPr>
              <w:spacing w:after="0"/>
              <w:jc w:val="left"/>
              <w:rPr>
                <w:rFonts w:ascii="Arial Narrow" w:hAnsi="Arial Narrow"/>
                <w:sz w:val="20"/>
                <w:szCs w:val="20"/>
              </w:rPr>
            </w:pPr>
            <w:r w:rsidRPr="008B26DE">
              <w:rPr>
                <w:rFonts w:ascii="Arial Narrow" w:hAnsi="Arial Narrow"/>
                <w:sz w:val="20"/>
                <w:szCs w:val="20"/>
              </w:rPr>
              <w:t xml:space="preserve">Requested the PBAC consider recommending a ‘maximum ceiling rebate’ over the life of the Deed to ensure viability of listing. </w:t>
            </w:r>
          </w:p>
        </w:tc>
      </w:tr>
      <w:tr w:rsidR="002F2E97" w:rsidRPr="008B26DE" w:rsidTr="005C6C6C">
        <w:tc>
          <w:tcPr>
            <w:tcW w:w="1412" w:type="pct"/>
          </w:tcPr>
          <w:p w:rsidR="002F2E97" w:rsidRPr="008B26DE" w:rsidRDefault="002F2E97" w:rsidP="005C6C6C">
            <w:pPr>
              <w:pStyle w:val="3Bodytext"/>
              <w:numPr>
                <w:ilvl w:val="0"/>
                <w:numId w:val="0"/>
              </w:numPr>
              <w:spacing w:after="0"/>
              <w:jc w:val="left"/>
              <w:rPr>
                <w:rFonts w:ascii="Arial Narrow" w:hAnsi="Arial Narrow" w:cstheme="minorHAnsi"/>
                <w:sz w:val="20"/>
                <w:szCs w:val="20"/>
              </w:rPr>
            </w:pPr>
            <w:r w:rsidRPr="008B26DE">
              <w:rPr>
                <w:rFonts w:ascii="Arial Narrow" w:hAnsi="Arial Narrow" w:cstheme="minorHAnsi"/>
                <w:sz w:val="20"/>
                <w:szCs w:val="20"/>
              </w:rPr>
              <w:t>Duration of RSA</w:t>
            </w:r>
          </w:p>
        </w:tc>
        <w:tc>
          <w:tcPr>
            <w:tcW w:w="1730" w:type="pct"/>
          </w:tcPr>
          <w:p w:rsidR="002F2E97" w:rsidRPr="008B26DE" w:rsidRDefault="002F2E97" w:rsidP="005C6C6C">
            <w:pPr>
              <w:pStyle w:val="3Bodytext"/>
              <w:numPr>
                <w:ilvl w:val="0"/>
                <w:numId w:val="0"/>
              </w:numPr>
              <w:spacing w:after="0"/>
              <w:jc w:val="left"/>
              <w:rPr>
                <w:rFonts w:ascii="Arial Narrow" w:hAnsi="Arial Narrow"/>
                <w:sz w:val="20"/>
                <w:szCs w:val="20"/>
              </w:rPr>
            </w:pPr>
            <w:r w:rsidRPr="008B26DE">
              <w:rPr>
                <w:rFonts w:ascii="Arial Narrow" w:hAnsi="Arial Narrow"/>
                <w:sz w:val="20"/>
                <w:szCs w:val="20"/>
              </w:rPr>
              <w:t xml:space="preserve">No specific recommendation regarding duration of RSA. </w:t>
            </w:r>
          </w:p>
        </w:tc>
        <w:tc>
          <w:tcPr>
            <w:tcW w:w="1858" w:type="pct"/>
          </w:tcPr>
          <w:p w:rsidR="002F2E97" w:rsidRPr="008B26DE" w:rsidRDefault="002F2E97" w:rsidP="005C6C6C">
            <w:pPr>
              <w:pStyle w:val="3Bodytext"/>
              <w:numPr>
                <w:ilvl w:val="0"/>
                <w:numId w:val="0"/>
              </w:numPr>
              <w:spacing w:after="0"/>
              <w:jc w:val="left"/>
              <w:rPr>
                <w:rFonts w:ascii="Arial Narrow" w:hAnsi="Arial Narrow"/>
                <w:sz w:val="20"/>
                <w:szCs w:val="20"/>
              </w:rPr>
            </w:pPr>
            <w:r w:rsidRPr="008B26DE">
              <w:rPr>
                <w:rFonts w:ascii="Arial Narrow" w:hAnsi="Arial Narrow"/>
                <w:sz w:val="20"/>
                <w:szCs w:val="20"/>
              </w:rPr>
              <w:t>Requested consideration of a 3 year duration.</w:t>
            </w:r>
          </w:p>
        </w:tc>
      </w:tr>
    </w:tbl>
    <w:p w:rsidR="000E7017" w:rsidRPr="008B26DE" w:rsidRDefault="00103B15" w:rsidP="000E7017">
      <w:pPr>
        <w:pStyle w:val="3Bodytext"/>
        <w:numPr>
          <w:ilvl w:val="0"/>
          <w:numId w:val="0"/>
        </w:numPr>
        <w:rPr>
          <w:rFonts w:ascii="Arial Narrow" w:hAnsi="Arial Narrow"/>
          <w:sz w:val="18"/>
        </w:rPr>
      </w:pPr>
      <w:r w:rsidRPr="008B26DE">
        <w:rPr>
          <w:rFonts w:ascii="Arial Narrow" w:hAnsi="Arial Narrow"/>
          <w:sz w:val="18"/>
        </w:rPr>
        <w:t xml:space="preserve">AEMP approved ex-manufacturer price; CGRP calcitonin gene-related peptide; </w:t>
      </w:r>
      <w:r w:rsidR="002F08D5" w:rsidRPr="008B26DE">
        <w:rPr>
          <w:rFonts w:ascii="Arial Narrow" w:hAnsi="Arial Narrow"/>
          <w:sz w:val="18"/>
        </w:rPr>
        <w:t xml:space="preserve">PSD public summary document; </w:t>
      </w:r>
      <w:r w:rsidR="007113B3" w:rsidRPr="008B26DE">
        <w:rPr>
          <w:rFonts w:ascii="Arial Narrow" w:hAnsi="Arial Narrow"/>
          <w:sz w:val="18"/>
        </w:rPr>
        <w:t xml:space="preserve">RSA </w:t>
      </w:r>
      <w:r w:rsidR="007617B2" w:rsidRPr="008B26DE">
        <w:rPr>
          <w:rFonts w:ascii="Arial Narrow" w:hAnsi="Arial Narrow"/>
          <w:sz w:val="18"/>
        </w:rPr>
        <w:t xml:space="preserve">risk share arrangement; </w:t>
      </w:r>
    </w:p>
    <w:p w:rsidR="000E7017" w:rsidRPr="008B26DE" w:rsidRDefault="00202434" w:rsidP="00202434">
      <w:pPr>
        <w:pStyle w:val="4-SubsectionHeading"/>
        <w:rPr>
          <w:lang w:eastAsia="en-US"/>
        </w:rPr>
      </w:pPr>
      <w:r w:rsidRPr="008B26DE">
        <w:rPr>
          <w:lang w:eastAsia="en-US"/>
        </w:rPr>
        <w:t>Cost-minimisation analysis</w:t>
      </w:r>
    </w:p>
    <w:p w:rsidR="00D728C7" w:rsidRPr="008B26DE" w:rsidRDefault="00D728C7" w:rsidP="00D728C7">
      <w:pPr>
        <w:pStyle w:val="3Bodytext"/>
      </w:pPr>
      <w:r w:rsidRPr="008B26DE">
        <w:t xml:space="preserve">In July 2019, the PBAC considered a CMA versus Botox was appropriate and should be based on equi-effective doses of 120 mg </w:t>
      </w:r>
      <w:proofErr w:type="spellStart"/>
      <w:r w:rsidRPr="008B26DE">
        <w:t>galcanezumab</w:t>
      </w:r>
      <w:proofErr w:type="spellEnd"/>
      <w:r w:rsidRPr="008B26DE">
        <w:t xml:space="preserve"> every 30 days and 164U of Botox every 12 weeks over 2 years of treatment (paragraph 7.6, </w:t>
      </w:r>
      <w:proofErr w:type="spellStart"/>
      <w:r w:rsidRPr="008B26DE">
        <w:t>galcanezumab</w:t>
      </w:r>
      <w:proofErr w:type="spellEnd"/>
      <w:r w:rsidRPr="008B26DE">
        <w:t xml:space="preserve"> PSD, July 2019 PBAC meeting).</w:t>
      </w:r>
    </w:p>
    <w:p w:rsidR="00DA2442" w:rsidRPr="008B26DE" w:rsidRDefault="00041604" w:rsidP="00DA2442">
      <w:pPr>
        <w:pStyle w:val="3Bodytext"/>
      </w:pPr>
      <w:r w:rsidRPr="008B26DE">
        <w:t>The resubmission proposed a revised CMA based on the following assumptions:</w:t>
      </w:r>
    </w:p>
    <w:p w:rsidR="00041604" w:rsidRPr="008B26DE" w:rsidRDefault="00041604" w:rsidP="00FE59F4">
      <w:pPr>
        <w:pStyle w:val="3Bodytext"/>
        <w:numPr>
          <w:ilvl w:val="0"/>
          <w:numId w:val="24"/>
        </w:numPr>
      </w:pPr>
      <w:r w:rsidRPr="008B26DE">
        <w:t xml:space="preserve">Equi-effective doses </w:t>
      </w:r>
      <w:proofErr w:type="spellStart"/>
      <w:r w:rsidRPr="008B26DE">
        <w:t>galcanezumab</w:t>
      </w:r>
      <w:proofErr w:type="spellEnd"/>
      <w:r w:rsidRPr="008B26DE">
        <w:t xml:space="preserve"> 240 mg loading dose followed by 120 mg</w:t>
      </w:r>
      <w:r w:rsidR="00006DF5" w:rsidRPr="008B26DE">
        <w:t xml:space="preserve"> every 30 days</w:t>
      </w:r>
      <w:r w:rsidR="002F08D5" w:rsidRPr="008B26DE">
        <w:t xml:space="preserve"> and Botox 194</w:t>
      </w:r>
      <w:r w:rsidR="0051125B" w:rsidRPr="008B26DE">
        <w:t>U every 12 weeks</w:t>
      </w:r>
    </w:p>
    <w:p w:rsidR="006533A9" w:rsidRPr="008B26DE" w:rsidRDefault="00D70ECB" w:rsidP="00FE59F4">
      <w:pPr>
        <w:pStyle w:val="3Bodytext"/>
        <w:numPr>
          <w:ilvl w:val="0"/>
          <w:numId w:val="24"/>
        </w:numPr>
      </w:pPr>
      <w:r w:rsidRPr="008B26DE">
        <w:t>Over a 2 year period, p</w:t>
      </w:r>
      <w:r w:rsidR="00041604" w:rsidRPr="008B26DE">
        <w:t xml:space="preserve">atients </w:t>
      </w:r>
      <w:r w:rsidRPr="008B26DE">
        <w:t xml:space="preserve">treated with </w:t>
      </w:r>
      <w:proofErr w:type="spellStart"/>
      <w:r w:rsidRPr="008B26DE">
        <w:t>galcanezumab</w:t>
      </w:r>
      <w:proofErr w:type="spellEnd"/>
      <w:r w:rsidRPr="008B26DE">
        <w:t xml:space="preserve"> visit a neurologist once   and a general practitioner 3.5 times. Patients treated with Botox visit a neurologist 8.7 times and incur administration costs at each visit. This is consistent with the </w:t>
      </w:r>
      <w:proofErr w:type="spellStart"/>
      <w:r w:rsidRPr="008B26DE">
        <w:t>fremanezumab</w:t>
      </w:r>
      <w:proofErr w:type="spellEnd"/>
      <w:r w:rsidRPr="008B26DE">
        <w:t xml:space="preserve"> recommendation (paragraph 6.8, </w:t>
      </w:r>
      <w:proofErr w:type="spellStart"/>
      <w:r w:rsidRPr="008B26DE">
        <w:t>fremanezumab</w:t>
      </w:r>
      <w:proofErr w:type="spellEnd"/>
      <w:r w:rsidRPr="008B26DE">
        <w:t xml:space="preserve"> </w:t>
      </w:r>
      <w:r w:rsidR="006533A9" w:rsidRPr="008B26DE">
        <w:t xml:space="preserve">PSD, March 2020 PBAC meeting). </w:t>
      </w:r>
    </w:p>
    <w:p w:rsidR="00D70ECB" w:rsidRPr="008B26DE" w:rsidRDefault="00006DF5" w:rsidP="00006DF5">
      <w:pPr>
        <w:pStyle w:val="3Bodytext"/>
        <w:numPr>
          <w:ilvl w:val="0"/>
          <w:numId w:val="24"/>
        </w:numPr>
      </w:pPr>
      <w:r w:rsidRPr="008B26DE">
        <w:lastRenderedPageBreak/>
        <w:t>Three year time horizon (with</w:t>
      </w:r>
      <w:r w:rsidR="00257347" w:rsidRPr="008B26DE">
        <w:t xml:space="preserve"> </w:t>
      </w:r>
      <w:r w:rsidR="007E0561" w:rsidRPr="008B26DE">
        <w:t>neurologist and general practitioner c</w:t>
      </w:r>
      <w:r w:rsidR="00C75F77" w:rsidRPr="008B26DE">
        <w:t xml:space="preserve">osts for the 2 year period </w:t>
      </w:r>
      <w:r w:rsidR="00D55F12" w:rsidRPr="008B26DE">
        <w:t xml:space="preserve">based on the costs </w:t>
      </w:r>
      <w:r w:rsidR="007E0561" w:rsidRPr="008B26DE">
        <w:t xml:space="preserve">above </w:t>
      </w:r>
      <w:r w:rsidR="00C75F77" w:rsidRPr="008B26DE">
        <w:t>divided by 2 and multiplied by 3</w:t>
      </w:r>
      <w:r w:rsidRPr="008B26DE">
        <w:t>)</w:t>
      </w:r>
      <w:r w:rsidR="008B26DE">
        <w:t xml:space="preserve">. </w:t>
      </w:r>
    </w:p>
    <w:p w:rsidR="007E0561" w:rsidRPr="008B26DE" w:rsidRDefault="007E0561" w:rsidP="007E0561">
      <w:pPr>
        <w:pStyle w:val="3Bodytext"/>
      </w:pPr>
      <w:r w:rsidRPr="001452E2">
        <w:t xml:space="preserve">The CMA based on the effective price of Botox (which was provided to the </w:t>
      </w:r>
      <w:r w:rsidR="00C87DD2" w:rsidRPr="001452E2">
        <w:t>s</w:t>
      </w:r>
      <w:r w:rsidRPr="001452E2">
        <w:t xml:space="preserve">ponsor following the July 2019 recommendation) is summarised in </w:t>
      </w:r>
      <w:r w:rsidR="00073601">
        <w:t>Table 2</w:t>
      </w:r>
      <w:r w:rsidRPr="008B26DE">
        <w:t>.</w:t>
      </w:r>
    </w:p>
    <w:p w:rsidR="00D70ECB" w:rsidRPr="008B26DE" w:rsidRDefault="00073601" w:rsidP="00047F1B">
      <w:pPr>
        <w:pStyle w:val="Caption"/>
        <w:keepNext/>
        <w:keepLines/>
      </w:pPr>
      <w:r>
        <w:t>Table 2</w:t>
      </w:r>
      <w:r w:rsidR="00D70ECB" w:rsidRPr="008B26DE">
        <w:t xml:space="preserve">: </w:t>
      </w:r>
      <w:r w:rsidR="006533A9" w:rsidRPr="008B26DE">
        <w:t>CMA proposed in the resubmission</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2"/>
        <w:gridCol w:w="2542"/>
        <w:gridCol w:w="2332"/>
      </w:tblGrid>
      <w:tr w:rsidR="00006DF5" w:rsidRPr="008B26DE" w:rsidTr="00FE59F4">
        <w:trPr>
          <w:tblHeader/>
        </w:trPr>
        <w:tc>
          <w:tcPr>
            <w:tcW w:w="4052" w:type="dxa"/>
          </w:tcPr>
          <w:p w:rsidR="00006DF5" w:rsidRPr="001452E2" w:rsidRDefault="00006DF5" w:rsidP="00047F1B">
            <w:pPr>
              <w:keepNext/>
              <w:keepLines/>
              <w:rPr>
                <w:rFonts w:ascii="Arial Narrow" w:hAnsi="Arial Narrow"/>
                <w:b/>
                <w:sz w:val="20"/>
                <w:szCs w:val="20"/>
                <w:lang w:eastAsia="en-US"/>
              </w:rPr>
            </w:pPr>
            <w:r w:rsidRPr="001452E2">
              <w:rPr>
                <w:rFonts w:ascii="Arial Narrow" w:hAnsi="Arial Narrow"/>
                <w:b/>
                <w:sz w:val="20"/>
                <w:szCs w:val="20"/>
                <w:lang w:eastAsia="en-US"/>
              </w:rPr>
              <w:t>Component</w:t>
            </w:r>
          </w:p>
        </w:tc>
        <w:tc>
          <w:tcPr>
            <w:tcW w:w="2542" w:type="dxa"/>
          </w:tcPr>
          <w:p w:rsidR="00006DF5" w:rsidRPr="008B26DE" w:rsidRDefault="00006DF5" w:rsidP="00047F1B">
            <w:pPr>
              <w:keepNext/>
              <w:keepLines/>
              <w:jc w:val="center"/>
              <w:rPr>
                <w:rFonts w:ascii="Arial Narrow" w:hAnsi="Arial Narrow"/>
                <w:b/>
                <w:sz w:val="20"/>
                <w:szCs w:val="20"/>
                <w:lang w:eastAsia="en-US"/>
              </w:rPr>
            </w:pPr>
            <w:proofErr w:type="spellStart"/>
            <w:r w:rsidRPr="008B26DE">
              <w:rPr>
                <w:rFonts w:ascii="Arial Narrow" w:hAnsi="Arial Narrow"/>
                <w:b/>
                <w:sz w:val="20"/>
                <w:szCs w:val="20"/>
                <w:lang w:eastAsia="en-US"/>
              </w:rPr>
              <w:t>Galcanezumab</w:t>
            </w:r>
            <w:proofErr w:type="spellEnd"/>
          </w:p>
        </w:tc>
        <w:tc>
          <w:tcPr>
            <w:tcW w:w="2332" w:type="dxa"/>
          </w:tcPr>
          <w:p w:rsidR="00006DF5" w:rsidRPr="008B26DE" w:rsidRDefault="00006DF5" w:rsidP="00047F1B">
            <w:pPr>
              <w:keepNext/>
              <w:keepLines/>
              <w:jc w:val="center"/>
              <w:rPr>
                <w:rFonts w:ascii="Arial Narrow" w:hAnsi="Arial Narrow"/>
                <w:b/>
                <w:sz w:val="20"/>
                <w:szCs w:val="20"/>
                <w:lang w:eastAsia="en-US"/>
              </w:rPr>
            </w:pPr>
            <w:r w:rsidRPr="008B26DE">
              <w:rPr>
                <w:rFonts w:ascii="Arial Narrow" w:hAnsi="Arial Narrow"/>
                <w:b/>
                <w:sz w:val="20"/>
                <w:szCs w:val="20"/>
                <w:lang w:eastAsia="en-US"/>
              </w:rPr>
              <w:t>Botox</w:t>
            </w:r>
          </w:p>
        </w:tc>
      </w:tr>
      <w:tr w:rsidR="00006DF5" w:rsidRPr="008B26DE" w:rsidTr="00FE59F4">
        <w:tc>
          <w:tcPr>
            <w:tcW w:w="8926" w:type="dxa"/>
            <w:gridSpan w:val="3"/>
          </w:tcPr>
          <w:p w:rsidR="00006DF5" w:rsidRPr="008B26DE" w:rsidRDefault="00006DF5" w:rsidP="00047F1B">
            <w:pPr>
              <w:keepNext/>
              <w:keepLines/>
              <w:rPr>
                <w:rFonts w:ascii="Arial Narrow" w:hAnsi="Arial Narrow"/>
                <w:b/>
                <w:sz w:val="20"/>
                <w:szCs w:val="20"/>
                <w:lang w:eastAsia="en-US"/>
              </w:rPr>
            </w:pPr>
            <w:r w:rsidRPr="008B26DE">
              <w:rPr>
                <w:rFonts w:ascii="Arial Narrow" w:hAnsi="Arial Narrow"/>
                <w:b/>
                <w:sz w:val="20"/>
                <w:szCs w:val="20"/>
                <w:lang w:eastAsia="en-US"/>
              </w:rPr>
              <w:t>Drug costs (AEMP)</w:t>
            </w:r>
          </w:p>
        </w:tc>
      </w:tr>
      <w:tr w:rsidR="00006DF5" w:rsidRPr="008B26DE" w:rsidTr="00FE59F4">
        <w:tc>
          <w:tcPr>
            <w:tcW w:w="4052" w:type="dxa"/>
          </w:tcPr>
          <w:p w:rsidR="00006DF5" w:rsidRPr="008B26DE" w:rsidRDefault="00006DF5" w:rsidP="00047F1B">
            <w:pPr>
              <w:keepNext/>
              <w:keepLines/>
              <w:ind w:left="175" w:hanging="175"/>
              <w:rPr>
                <w:rFonts w:ascii="Arial Narrow" w:hAnsi="Arial Narrow"/>
                <w:sz w:val="20"/>
                <w:szCs w:val="20"/>
                <w:lang w:eastAsia="en-US"/>
              </w:rPr>
            </w:pPr>
            <w:r w:rsidRPr="008B26DE">
              <w:rPr>
                <w:rFonts w:ascii="Arial Narrow" w:hAnsi="Arial Narrow"/>
                <w:sz w:val="20"/>
                <w:szCs w:val="20"/>
                <w:lang w:eastAsia="en-US"/>
              </w:rPr>
              <w:tab/>
              <w:t>Pack</w:t>
            </w:r>
          </w:p>
        </w:tc>
        <w:tc>
          <w:tcPr>
            <w:tcW w:w="2542" w:type="dxa"/>
            <w:vAlign w:val="center"/>
          </w:tcPr>
          <w:p w:rsidR="00006DF5" w:rsidRPr="008B26DE" w:rsidRDefault="00006DF5" w:rsidP="00047F1B">
            <w:pPr>
              <w:keepNext/>
              <w:keepLines/>
              <w:jc w:val="center"/>
              <w:rPr>
                <w:rFonts w:ascii="Arial Narrow" w:hAnsi="Arial Narrow"/>
                <w:sz w:val="20"/>
                <w:szCs w:val="20"/>
                <w:lang w:eastAsia="en-US"/>
              </w:rPr>
            </w:pPr>
            <w:r w:rsidRPr="008B26DE">
              <w:rPr>
                <w:rFonts w:ascii="Arial Narrow" w:hAnsi="Arial Narrow"/>
                <w:sz w:val="20"/>
                <w:szCs w:val="20"/>
                <w:lang w:eastAsia="en-US"/>
              </w:rPr>
              <w:t>1 x 140 mg injection</w:t>
            </w:r>
          </w:p>
        </w:tc>
        <w:tc>
          <w:tcPr>
            <w:tcW w:w="2332" w:type="dxa"/>
            <w:vAlign w:val="center"/>
          </w:tcPr>
          <w:p w:rsidR="00006DF5" w:rsidRPr="008B26DE" w:rsidRDefault="00006DF5" w:rsidP="00047F1B">
            <w:pPr>
              <w:keepNext/>
              <w:keepLines/>
              <w:jc w:val="center"/>
              <w:rPr>
                <w:rFonts w:ascii="Arial Narrow" w:hAnsi="Arial Narrow"/>
                <w:sz w:val="20"/>
                <w:szCs w:val="20"/>
                <w:lang w:eastAsia="en-US"/>
              </w:rPr>
            </w:pPr>
            <w:r w:rsidRPr="008B26DE">
              <w:rPr>
                <w:rFonts w:ascii="Arial Narrow" w:hAnsi="Arial Narrow"/>
                <w:sz w:val="20"/>
                <w:szCs w:val="20"/>
                <w:lang w:eastAsia="en-US"/>
              </w:rPr>
              <w:t>1 x 100U vial</w:t>
            </w:r>
          </w:p>
        </w:tc>
      </w:tr>
      <w:tr w:rsidR="00006DF5" w:rsidRPr="008B26DE" w:rsidTr="00FE59F4">
        <w:tc>
          <w:tcPr>
            <w:tcW w:w="4052" w:type="dxa"/>
          </w:tcPr>
          <w:p w:rsidR="00006DF5" w:rsidRPr="008B26DE" w:rsidRDefault="00006DF5" w:rsidP="00047F1B">
            <w:pPr>
              <w:keepNext/>
              <w:keepLines/>
              <w:ind w:left="175" w:hanging="175"/>
              <w:rPr>
                <w:rFonts w:ascii="Arial Narrow" w:hAnsi="Arial Narrow"/>
                <w:sz w:val="20"/>
                <w:szCs w:val="20"/>
                <w:lang w:eastAsia="en-US"/>
              </w:rPr>
            </w:pPr>
            <w:r w:rsidRPr="008B26DE">
              <w:rPr>
                <w:rFonts w:ascii="Arial Narrow" w:hAnsi="Arial Narrow"/>
                <w:sz w:val="20"/>
                <w:szCs w:val="20"/>
                <w:lang w:eastAsia="en-US"/>
              </w:rPr>
              <w:tab/>
              <w:t xml:space="preserve">Cost per pack  </w:t>
            </w:r>
          </w:p>
        </w:tc>
        <w:tc>
          <w:tcPr>
            <w:tcW w:w="2542" w:type="dxa"/>
            <w:vAlign w:val="center"/>
          </w:tcPr>
          <w:p w:rsidR="00006DF5" w:rsidRPr="008B26DE" w:rsidRDefault="00006DF5" w:rsidP="00047F1B">
            <w:pPr>
              <w:keepNext/>
              <w:keepLines/>
              <w:jc w:val="center"/>
              <w:rPr>
                <w:rFonts w:ascii="Arial Narrow" w:hAnsi="Arial Narrow"/>
                <w:sz w:val="20"/>
                <w:szCs w:val="20"/>
                <w:lang w:eastAsia="en-US"/>
              </w:rPr>
            </w:pPr>
            <w:r w:rsidRPr="008B26DE">
              <w:rPr>
                <w:rFonts w:ascii="Arial Narrow" w:hAnsi="Arial Narrow"/>
                <w:sz w:val="20"/>
                <w:szCs w:val="20"/>
                <w:lang w:eastAsia="en-US"/>
              </w:rPr>
              <w:t>$</w:t>
            </w:r>
            <w:r w:rsidR="00913226">
              <w:rPr>
                <w:rFonts w:ascii="Arial Narrow" w:hAnsi="Arial Narrow"/>
                <w:noProof/>
                <w:color w:val="000000"/>
                <w:sz w:val="20"/>
                <w:szCs w:val="20"/>
                <w:highlight w:val="black"/>
                <w:lang w:eastAsia="en-US"/>
              </w:rPr>
              <w:t>'''''''''''''''''</w:t>
            </w:r>
          </w:p>
        </w:tc>
        <w:tc>
          <w:tcPr>
            <w:tcW w:w="2332" w:type="dxa"/>
            <w:vAlign w:val="center"/>
          </w:tcPr>
          <w:p w:rsidR="00006DF5" w:rsidRPr="008B26DE" w:rsidRDefault="00006DF5" w:rsidP="00047F1B">
            <w:pPr>
              <w:keepNext/>
              <w:keepLines/>
              <w:jc w:val="center"/>
              <w:rPr>
                <w:rFonts w:ascii="Arial Narrow" w:hAnsi="Arial Narrow"/>
                <w:sz w:val="20"/>
                <w:szCs w:val="20"/>
                <w:lang w:eastAsia="en-US"/>
              </w:rPr>
            </w:pPr>
            <w:r w:rsidRPr="008B26DE">
              <w:rPr>
                <w:rFonts w:ascii="Arial Narrow" w:hAnsi="Arial Narrow"/>
                <w:sz w:val="20"/>
                <w:szCs w:val="20"/>
                <w:lang w:eastAsia="en-US"/>
              </w:rPr>
              <w:t>$</w:t>
            </w:r>
            <w:r w:rsidR="00913226">
              <w:rPr>
                <w:rFonts w:ascii="Arial Narrow" w:hAnsi="Arial Narrow"/>
                <w:noProof/>
                <w:color w:val="000000"/>
                <w:sz w:val="20"/>
                <w:szCs w:val="20"/>
                <w:highlight w:val="black"/>
                <w:lang w:eastAsia="en-US"/>
              </w:rPr>
              <w:t>'''''''''''''''</w:t>
            </w:r>
          </w:p>
        </w:tc>
      </w:tr>
      <w:tr w:rsidR="00006DF5" w:rsidRPr="008B26DE" w:rsidTr="00FE59F4">
        <w:tc>
          <w:tcPr>
            <w:tcW w:w="4052" w:type="dxa"/>
          </w:tcPr>
          <w:p w:rsidR="00006DF5" w:rsidRPr="008B26DE" w:rsidRDefault="00006DF5" w:rsidP="00047F1B">
            <w:pPr>
              <w:keepNext/>
              <w:keepLines/>
              <w:ind w:left="175" w:hanging="175"/>
              <w:rPr>
                <w:rFonts w:ascii="Arial Narrow" w:hAnsi="Arial Narrow"/>
                <w:sz w:val="20"/>
                <w:szCs w:val="20"/>
                <w:lang w:eastAsia="en-US"/>
              </w:rPr>
            </w:pPr>
            <w:r w:rsidRPr="008B26DE">
              <w:rPr>
                <w:rFonts w:ascii="Arial Narrow" w:hAnsi="Arial Narrow"/>
                <w:sz w:val="20"/>
                <w:szCs w:val="20"/>
                <w:lang w:eastAsia="en-US"/>
              </w:rPr>
              <w:tab/>
              <w:t>Number of packs per dose</w:t>
            </w:r>
          </w:p>
        </w:tc>
        <w:tc>
          <w:tcPr>
            <w:tcW w:w="2542" w:type="dxa"/>
            <w:vAlign w:val="center"/>
          </w:tcPr>
          <w:p w:rsidR="00006DF5" w:rsidRPr="008B26DE" w:rsidRDefault="00006DF5" w:rsidP="00047F1B">
            <w:pPr>
              <w:keepNext/>
              <w:keepLines/>
              <w:jc w:val="center"/>
              <w:rPr>
                <w:rFonts w:ascii="Arial Narrow" w:hAnsi="Arial Narrow"/>
                <w:sz w:val="20"/>
                <w:szCs w:val="20"/>
                <w:lang w:eastAsia="en-US"/>
              </w:rPr>
            </w:pPr>
            <w:r w:rsidRPr="008B26DE">
              <w:rPr>
                <w:rFonts w:ascii="Arial Narrow" w:hAnsi="Arial Narrow"/>
                <w:sz w:val="20"/>
                <w:szCs w:val="20"/>
                <w:lang w:eastAsia="en-US"/>
              </w:rPr>
              <w:t>1.0</w:t>
            </w:r>
          </w:p>
        </w:tc>
        <w:tc>
          <w:tcPr>
            <w:tcW w:w="2332" w:type="dxa"/>
            <w:vAlign w:val="center"/>
          </w:tcPr>
          <w:p w:rsidR="00006DF5" w:rsidRPr="008B26DE" w:rsidRDefault="00006DF5" w:rsidP="00047F1B">
            <w:pPr>
              <w:keepNext/>
              <w:keepLines/>
              <w:jc w:val="center"/>
              <w:rPr>
                <w:rFonts w:ascii="Arial Narrow" w:hAnsi="Arial Narrow"/>
                <w:sz w:val="20"/>
                <w:szCs w:val="20"/>
                <w:lang w:eastAsia="en-US"/>
              </w:rPr>
            </w:pPr>
            <w:r w:rsidRPr="008B26DE">
              <w:rPr>
                <w:rFonts w:ascii="Arial Narrow" w:hAnsi="Arial Narrow"/>
                <w:sz w:val="20"/>
                <w:szCs w:val="20"/>
                <w:lang w:eastAsia="en-US"/>
              </w:rPr>
              <w:t>1.94</w:t>
            </w:r>
          </w:p>
        </w:tc>
      </w:tr>
      <w:tr w:rsidR="00006DF5" w:rsidRPr="008B26DE" w:rsidTr="00FE59F4">
        <w:tc>
          <w:tcPr>
            <w:tcW w:w="4052" w:type="dxa"/>
          </w:tcPr>
          <w:p w:rsidR="00006DF5" w:rsidRPr="008B26DE" w:rsidRDefault="00006DF5" w:rsidP="00047F1B">
            <w:pPr>
              <w:keepNext/>
              <w:keepLines/>
              <w:ind w:left="175" w:hanging="175"/>
              <w:rPr>
                <w:rFonts w:ascii="Arial Narrow" w:hAnsi="Arial Narrow"/>
                <w:sz w:val="20"/>
                <w:szCs w:val="20"/>
                <w:lang w:eastAsia="en-US"/>
              </w:rPr>
            </w:pPr>
            <w:r w:rsidRPr="008B26DE">
              <w:rPr>
                <w:rFonts w:ascii="Arial Narrow" w:hAnsi="Arial Narrow"/>
                <w:sz w:val="20"/>
                <w:szCs w:val="20"/>
                <w:lang w:eastAsia="en-US"/>
              </w:rPr>
              <w:tab/>
              <w:t>Cost per dose</w:t>
            </w:r>
          </w:p>
        </w:tc>
        <w:tc>
          <w:tcPr>
            <w:tcW w:w="2542" w:type="dxa"/>
            <w:vAlign w:val="center"/>
          </w:tcPr>
          <w:p w:rsidR="00006DF5" w:rsidRPr="008B26DE" w:rsidRDefault="00006DF5" w:rsidP="00047F1B">
            <w:pPr>
              <w:keepNext/>
              <w:keepLines/>
              <w:jc w:val="center"/>
              <w:rPr>
                <w:rFonts w:ascii="Arial Narrow" w:hAnsi="Arial Narrow"/>
                <w:sz w:val="20"/>
                <w:szCs w:val="20"/>
                <w:lang w:eastAsia="en-US"/>
              </w:rPr>
            </w:pPr>
            <w:r w:rsidRPr="008B26DE">
              <w:rPr>
                <w:rFonts w:ascii="Arial Narrow" w:hAnsi="Arial Narrow"/>
                <w:sz w:val="20"/>
                <w:szCs w:val="20"/>
                <w:lang w:eastAsia="en-US"/>
              </w:rPr>
              <w:t>$</w:t>
            </w:r>
            <w:r w:rsidR="00913226">
              <w:rPr>
                <w:rFonts w:ascii="Arial Narrow" w:hAnsi="Arial Narrow"/>
                <w:noProof/>
                <w:color w:val="000000"/>
                <w:sz w:val="20"/>
                <w:szCs w:val="20"/>
                <w:highlight w:val="black"/>
                <w:lang w:eastAsia="en-US"/>
              </w:rPr>
              <w:t>'''''''''''''''''</w:t>
            </w:r>
          </w:p>
        </w:tc>
        <w:tc>
          <w:tcPr>
            <w:tcW w:w="2332" w:type="dxa"/>
            <w:vAlign w:val="center"/>
          </w:tcPr>
          <w:p w:rsidR="00006DF5" w:rsidRPr="008B26DE" w:rsidRDefault="00006DF5" w:rsidP="00047F1B">
            <w:pPr>
              <w:keepNext/>
              <w:keepLines/>
              <w:jc w:val="center"/>
              <w:rPr>
                <w:rFonts w:ascii="Arial Narrow" w:hAnsi="Arial Narrow"/>
                <w:sz w:val="20"/>
                <w:szCs w:val="20"/>
                <w:lang w:eastAsia="en-US"/>
              </w:rPr>
            </w:pPr>
            <w:r w:rsidRPr="008B26DE">
              <w:rPr>
                <w:rFonts w:ascii="Arial Narrow" w:hAnsi="Arial Narrow"/>
                <w:sz w:val="20"/>
                <w:szCs w:val="20"/>
                <w:lang w:eastAsia="en-US"/>
              </w:rPr>
              <w:t>$</w:t>
            </w:r>
            <w:r w:rsidR="00913226">
              <w:rPr>
                <w:rFonts w:ascii="Arial Narrow" w:hAnsi="Arial Narrow"/>
                <w:noProof/>
                <w:color w:val="000000"/>
                <w:sz w:val="20"/>
                <w:szCs w:val="20"/>
                <w:highlight w:val="black"/>
                <w:lang w:eastAsia="en-US"/>
              </w:rPr>
              <w:t>'''''''''''''''''</w:t>
            </w:r>
          </w:p>
        </w:tc>
      </w:tr>
      <w:tr w:rsidR="00006DF5" w:rsidRPr="008B26DE" w:rsidTr="00FE59F4">
        <w:tc>
          <w:tcPr>
            <w:tcW w:w="4052" w:type="dxa"/>
          </w:tcPr>
          <w:p w:rsidR="00006DF5" w:rsidRPr="008B26DE" w:rsidRDefault="00006DF5" w:rsidP="00047F1B">
            <w:pPr>
              <w:keepNext/>
              <w:keepLines/>
              <w:ind w:left="175" w:hanging="175"/>
              <w:rPr>
                <w:rFonts w:ascii="Arial Narrow" w:hAnsi="Arial Narrow"/>
                <w:sz w:val="20"/>
                <w:szCs w:val="20"/>
                <w:lang w:eastAsia="en-US"/>
              </w:rPr>
            </w:pPr>
            <w:r w:rsidRPr="008B26DE">
              <w:rPr>
                <w:rFonts w:ascii="Arial Narrow" w:hAnsi="Arial Narrow"/>
                <w:sz w:val="20"/>
                <w:szCs w:val="20"/>
                <w:lang w:eastAsia="en-US"/>
              </w:rPr>
              <w:tab/>
              <w:t>Number of doses per 3 years</w:t>
            </w:r>
          </w:p>
        </w:tc>
        <w:tc>
          <w:tcPr>
            <w:tcW w:w="2542" w:type="dxa"/>
            <w:vAlign w:val="center"/>
          </w:tcPr>
          <w:p w:rsidR="00006DF5" w:rsidRPr="008B26DE" w:rsidRDefault="00006DF5" w:rsidP="00047F1B">
            <w:pPr>
              <w:keepNext/>
              <w:keepLines/>
              <w:jc w:val="center"/>
              <w:rPr>
                <w:rFonts w:ascii="Arial Narrow" w:hAnsi="Arial Narrow"/>
                <w:sz w:val="20"/>
                <w:szCs w:val="20"/>
                <w:lang w:eastAsia="en-US"/>
              </w:rPr>
            </w:pPr>
            <w:r w:rsidRPr="008B26DE">
              <w:rPr>
                <w:rFonts w:ascii="Arial Narrow" w:hAnsi="Arial Narrow"/>
                <w:sz w:val="20"/>
                <w:szCs w:val="20"/>
                <w:lang w:eastAsia="en-US"/>
              </w:rPr>
              <w:t>37.53</w:t>
            </w:r>
            <w:r w:rsidR="00A330C3" w:rsidRPr="008B26DE">
              <w:rPr>
                <w:rFonts w:ascii="Arial Narrow" w:hAnsi="Arial Narrow"/>
                <w:sz w:val="20"/>
                <w:szCs w:val="20"/>
                <w:vertAlign w:val="superscript"/>
                <w:lang w:eastAsia="en-US"/>
              </w:rPr>
              <w:t>1</w:t>
            </w:r>
          </w:p>
        </w:tc>
        <w:tc>
          <w:tcPr>
            <w:tcW w:w="2332" w:type="dxa"/>
            <w:vAlign w:val="center"/>
          </w:tcPr>
          <w:p w:rsidR="00006DF5" w:rsidRPr="008B26DE" w:rsidRDefault="00006DF5" w:rsidP="00047F1B">
            <w:pPr>
              <w:keepNext/>
              <w:keepLines/>
              <w:jc w:val="center"/>
              <w:rPr>
                <w:rFonts w:ascii="Arial Narrow" w:hAnsi="Arial Narrow"/>
                <w:sz w:val="20"/>
                <w:szCs w:val="20"/>
                <w:lang w:eastAsia="en-US"/>
              </w:rPr>
            </w:pPr>
            <w:r w:rsidRPr="008B26DE">
              <w:rPr>
                <w:rFonts w:ascii="Arial Narrow" w:hAnsi="Arial Narrow"/>
                <w:sz w:val="20"/>
                <w:szCs w:val="20"/>
                <w:lang w:eastAsia="en-US"/>
              </w:rPr>
              <w:t>13.04</w:t>
            </w:r>
            <w:r w:rsidR="00A330C3" w:rsidRPr="008B26DE">
              <w:rPr>
                <w:rFonts w:ascii="Arial Narrow" w:hAnsi="Arial Narrow"/>
                <w:sz w:val="20"/>
                <w:szCs w:val="20"/>
                <w:vertAlign w:val="superscript"/>
                <w:lang w:eastAsia="en-US"/>
              </w:rPr>
              <w:t>2</w:t>
            </w:r>
          </w:p>
        </w:tc>
      </w:tr>
      <w:tr w:rsidR="00006DF5" w:rsidRPr="008B26DE" w:rsidTr="00FE59F4">
        <w:tc>
          <w:tcPr>
            <w:tcW w:w="4052" w:type="dxa"/>
          </w:tcPr>
          <w:p w:rsidR="00006DF5" w:rsidRPr="008B26DE" w:rsidRDefault="00006DF5" w:rsidP="00047F1B">
            <w:pPr>
              <w:keepNext/>
              <w:keepLines/>
              <w:ind w:left="175" w:hanging="175"/>
              <w:rPr>
                <w:rFonts w:ascii="Arial Narrow" w:hAnsi="Arial Narrow"/>
                <w:sz w:val="20"/>
                <w:szCs w:val="20"/>
                <w:lang w:eastAsia="en-US"/>
              </w:rPr>
            </w:pPr>
            <w:r w:rsidRPr="008B26DE">
              <w:rPr>
                <w:rFonts w:ascii="Arial Narrow" w:hAnsi="Arial Narrow"/>
                <w:sz w:val="20"/>
                <w:szCs w:val="20"/>
                <w:lang w:eastAsia="en-US"/>
              </w:rPr>
              <w:tab/>
              <w:t>Total drug cost: 3 years</w:t>
            </w:r>
          </w:p>
        </w:tc>
        <w:tc>
          <w:tcPr>
            <w:tcW w:w="2542" w:type="dxa"/>
            <w:vAlign w:val="center"/>
          </w:tcPr>
          <w:p w:rsidR="00006DF5" w:rsidRPr="008B26DE" w:rsidRDefault="00006DF5" w:rsidP="00047F1B">
            <w:pPr>
              <w:keepNext/>
              <w:keepLines/>
              <w:jc w:val="center"/>
              <w:rPr>
                <w:rFonts w:ascii="Arial Narrow" w:hAnsi="Arial Narrow"/>
                <w:sz w:val="20"/>
                <w:szCs w:val="20"/>
                <w:lang w:eastAsia="en-US"/>
              </w:rPr>
            </w:pPr>
            <w:r w:rsidRPr="008B26DE">
              <w:rPr>
                <w:rFonts w:ascii="Arial Narrow" w:hAnsi="Arial Narrow"/>
                <w:sz w:val="20"/>
                <w:szCs w:val="20"/>
                <w:lang w:eastAsia="en-US"/>
              </w:rPr>
              <w:t>$</w:t>
            </w:r>
            <w:r w:rsidR="00913226">
              <w:rPr>
                <w:rFonts w:ascii="Arial Narrow" w:hAnsi="Arial Narrow"/>
                <w:noProof/>
                <w:color w:val="000000"/>
                <w:sz w:val="20"/>
                <w:szCs w:val="20"/>
                <w:highlight w:val="black"/>
                <w:lang w:eastAsia="en-US"/>
              </w:rPr>
              <w:t>''''''''''''''''''''''</w:t>
            </w:r>
          </w:p>
        </w:tc>
        <w:tc>
          <w:tcPr>
            <w:tcW w:w="2332" w:type="dxa"/>
            <w:vAlign w:val="center"/>
          </w:tcPr>
          <w:p w:rsidR="00006DF5" w:rsidRPr="008B26DE" w:rsidRDefault="00006DF5" w:rsidP="00047F1B">
            <w:pPr>
              <w:keepNext/>
              <w:keepLines/>
              <w:jc w:val="center"/>
              <w:rPr>
                <w:rFonts w:ascii="Arial Narrow" w:hAnsi="Arial Narrow"/>
                <w:sz w:val="20"/>
                <w:szCs w:val="20"/>
                <w:lang w:eastAsia="en-US"/>
              </w:rPr>
            </w:pPr>
            <w:r w:rsidRPr="008B26DE">
              <w:rPr>
                <w:rFonts w:ascii="Arial Narrow" w:hAnsi="Arial Narrow"/>
                <w:sz w:val="20"/>
                <w:szCs w:val="20"/>
                <w:lang w:eastAsia="en-US"/>
              </w:rPr>
              <w:t>$</w:t>
            </w:r>
            <w:r w:rsidR="00913226">
              <w:rPr>
                <w:rFonts w:ascii="Arial Narrow" w:hAnsi="Arial Narrow"/>
                <w:noProof/>
                <w:color w:val="000000"/>
                <w:sz w:val="20"/>
                <w:szCs w:val="20"/>
                <w:highlight w:val="black"/>
                <w:lang w:eastAsia="en-US"/>
              </w:rPr>
              <w:t>''''''''''''''''''''</w:t>
            </w:r>
          </w:p>
        </w:tc>
      </w:tr>
      <w:tr w:rsidR="00006DF5" w:rsidRPr="008B26DE" w:rsidTr="00FE59F4">
        <w:tc>
          <w:tcPr>
            <w:tcW w:w="8926" w:type="dxa"/>
            <w:gridSpan w:val="3"/>
          </w:tcPr>
          <w:p w:rsidR="00006DF5" w:rsidRPr="008B26DE" w:rsidRDefault="00006DF5" w:rsidP="00047F1B">
            <w:pPr>
              <w:keepNext/>
              <w:keepLines/>
              <w:rPr>
                <w:rFonts w:ascii="Arial Narrow" w:hAnsi="Arial Narrow"/>
                <w:b/>
                <w:sz w:val="20"/>
                <w:szCs w:val="20"/>
                <w:lang w:eastAsia="en-US"/>
              </w:rPr>
            </w:pPr>
            <w:r w:rsidRPr="008B26DE">
              <w:rPr>
                <w:rFonts w:ascii="Arial Narrow" w:hAnsi="Arial Narrow"/>
                <w:b/>
                <w:sz w:val="20"/>
                <w:szCs w:val="20"/>
                <w:lang w:eastAsia="en-US"/>
              </w:rPr>
              <w:t>Administration costs</w:t>
            </w:r>
          </w:p>
        </w:tc>
      </w:tr>
      <w:tr w:rsidR="00006DF5" w:rsidRPr="008B26DE" w:rsidTr="00FE59F4">
        <w:tc>
          <w:tcPr>
            <w:tcW w:w="4052" w:type="dxa"/>
          </w:tcPr>
          <w:p w:rsidR="00006DF5" w:rsidRPr="008B26DE" w:rsidRDefault="00006DF5" w:rsidP="00047F1B">
            <w:pPr>
              <w:keepNext/>
              <w:keepLines/>
              <w:ind w:left="175"/>
              <w:rPr>
                <w:rFonts w:ascii="Arial Narrow" w:hAnsi="Arial Narrow"/>
                <w:sz w:val="20"/>
                <w:szCs w:val="20"/>
                <w:lang w:eastAsia="en-US"/>
              </w:rPr>
            </w:pPr>
            <w:r w:rsidRPr="008B26DE">
              <w:rPr>
                <w:rFonts w:ascii="Arial Narrow" w:hAnsi="Arial Narrow"/>
                <w:sz w:val="20"/>
                <w:szCs w:val="20"/>
                <w:lang w:eastAsia="en-US"/>
              </w:rPr>
              <w:t>Neurologist (MBS Item 116) per visit</w:t>
            </w:r>
          </w:p>
        </w:tc>
        <w:tc>
          <w:tcPr>
            <w:tcW w:w="2542" w:type="dxa"/>
            <w:vAlign w:val="center"/>
          </w:tcPr>
          <w:p w:rsidR="00006DF5" w:rsidRPr="008B26DE" w:rsidRDefault="00006DF5" w:rsidP="00047F1B">
            <w:pPr>
              <w:keepNext/>
              <w:keepLines/>
              <w:jc w:val="center"/>
              <w:rPr>
                <w:rFonts w:ascii="Arial Narrow" w:hAnsi="Arial Narrow"/>
                <w:sz w:val="20"/>
                <w:szCs w:val="20"/>
                <w:lang w:eastAsia="en-US"/>
              </w:rPr>
            </w:pPr>
            <w:r w:rsidRPr="008B26DE">
              <w:rPr>
                <w:rFonts w:ascii="Arial Narrow" w:hAnsi="Arial Narrow"/>
                <w:sz w:val="20"/>
                <w:szCs w:val="20"/>
                <w:lang w:eastAsia="en-US"/>
              </w:rPr>
              <w:t>$79.05</w:t>
            </w:r>
          </w:p>
        </w:tc>
        <w:tc>
          <w:tcPr>
            <w:tcW w:w="2332" w:type="dxa"/>
            <w:vAlign w:val="center"/>
          </w:tcPr>
          <w:p w:rsidR="00006DF5" w:rsidRPr="008B26DE" w:rsidRDefault="00006DF5" w:rsidP="00047F1B">
            <w:pPr>
              <w:keepNext/>
              <w:keepLines/>
              <w:jc w:val="center"/>
              <w:rPr>
                <w:rFonts w:ascii="Arial Narrow" w:hAnsi="Arial Narrow"/>
                <w:sz w:val="20"/>
                <w:szCs w:val="20"/>
                <w:lang w:eastAsia="en-US"/>
              </w:rPr>
            </w:pPr>
            <w:r w:rsidRPr="008B26DE">
              <w:rPr>
                <w:rFonts w:ascii="Arial Narrow" w:hAnsi="Arial Narrow"/>
                <w:sz w:val="20"/>
                <w:szCs w:val="20"/>
                <w:lang w:eastAsia="en-US"/>
              </w:rPr>
              <w:t>$79.05</w:t>
            </w:r>
          </w:p>
        </w:tc>
      </w:tr>
      <w:tr w:rsidR="00006DF5" w:rsidRPr="008B26DE" w:rsidTr="00FE59F4">
        <w:tc>
          <w:tcPr>
            <w:tcW w:w="4052" w:type="dxa"/>
          </w:tcPr>
          <w:p w:rsidR="00006DF5" w:rsidRPr="008B26DE" w:rsidRDefault="00006DF5" w:rsidP="00047F1B">
            <w:pPr>
              <w:keepNext/>
              <w:keepLines/>
              <w:ind w:left="175"/>
              <w:rPr>
                <w:rFonts w:ascii="Arial Narrow" w:hAnsi="Arial Narrow"/>
                <w:sz w:val="20"/>
                <w:szCs w:val="20"/>
                <w:lang w:eastAsia="en-US"/>
              </w:rPr>
            </w:pPr>
            <w:r w:rsidRPr="008B26DE">
              <w:rPr>
                <w:rFonts w:ascii="Arial Narrow" w:hAnsi="Arial Narrow"/>
                <w:sz w:val="20"/>
                <w:szCs w:val="20"/>
                <w:lang w:eastAsia="en-US"/>
              </w:rPr>
              <w:t>Botox administration (MBS Item 18377) per visit</w:t>
            </w:r>
          </w:p>
        </w:tc>
        <w:tc>
          <w:tcPr>
            <w:tcW w:w="2542" w:type="dxa"/>
            <w:vAlign w:val="center"/>
          </w:tcPr>
          <w:p w:rsidR="00006DF5" w:rsidRPr="008B26DE" w:rsidRDefault="00006DF5" w:rsidP="00047F1B">
            <w:pPr>
              <w:keepNext/>
              <w:keepLines/>
              <w:jc w:val="center"/>
              <w:rPr>
                <w:rFonts w:ascii="Arial Narrow" w:hAnsi="Arial Narrow"/>
                <w:sz w:val="20"/>
                <w:szCs w:val="20"/>
                <w:lang w:eastAsia="en-US"/>
              </w:rPr>
            </w:pPr>
            <w:r w:rsidRPr="008B26DE">
              <w:rPr>
                <w:rFonts w:ascii="Arial Narrow" w:hAnsi="Arial Narrow"/>
                <w:sz w:val="20"/>
                <w:szCs w:val="20"/>
                <w:lang w:eastAsia="en-US"/>
              </w:rPr>
              <w:noBreakHyphen/>
            </w:r>
          </w:p>
        </w:tc>
        <w:tc>
          <w:tcPr>
            <w:tcW w:w="2332" w:type="dxa"/>
            <w:vAlign w:val="center"/>
          </w:tcPr>
          <w:p w:rsidR="00006DF5" w:rsidRPr="008B26DE" w:rsidRDefault="00006DF5" w:rsidP="00047F1B">
            <w:pPr>
              <w:keepNext/>
              <w:keepLines/>
              <w:jc w:val="center"/>
              <w:rPr>
                <w:rFonts w:ascii="Arial Narrow" w:hAnsi="Arial Narrow"/>
                <w:sz w:val="20"/>
                <w:szCs w:val="20"/>
                <w:lang w:eastAsia="en-US"/>
              </w:rPr>
            </w:pPr>
            <w:r w:rsidRPr="008B26DE">
              <w:rPr>
                <w:rFonts w:ascii="Arial Narrow" w:hAnsi="Arial Narrow"/>
                <w:sz w:val="20"/>
                <w:szCs w:val="20"/>
                <w:lang w:eastAsia="en-US"/>
              </w:rPr>
              <w:t>$128.75</w:t>
            </w:r>
          </w:p>
        </w:tc>
      </w:tr>
      <w:tr w:rsidR="00006DF5" w:rsidRPr="008B26DE" w:rsidTr="00FE59F4">
        <w:tc>
          <w:tcPr>
            <w:tcW w:w="4052" w:type="dxa"/>
          </w:tcPr>
          <w:p w:rsidR="00006DF5" w:rsidRPr="008B26DE" w:rsidRDefault="00006DF5" w:rsidP="00047F1B">
            <w:pPr>
              <w:keepNext/>
              <w:keepLines/>
              <w:ind w:left="175"/>
              <w:rPr>
                <w:rFonts w:ascii="Arial Narrow" w:hAnsi="Arial Narrow"/>
                <w:sz w:val="20"/>
                <w:szCs w:val="20"/>
                <w:lang w:eastAsia="en-US"/>
              </w:rPr>
            </w:pPr>
            <w:r w:rsidRPr="008B26DE">
              <w:rPr>
                <w:rFonts w:ascii="Arial Narrow" w:hAnsi="Arial Narrow"/>
                <w:sz w:val="20"/>
                <w:szCs w:val="20"/>
                <w:lang w:eastAsia="en-US"/>
              </w:rPr>
              <w:t>Number of visits per 3 years</w:t>
            </w:r>
          </w:p>
        </w:tc>
        <w:tc>
          <w:tcPr>
            <w:tcW w:w="2542" w:type="dxa"/>
            <w:vAlign w:val="center"/>
          </w:tcPr>
          <w:p w:rsidR="00006DF5" w:rsidRPr="008B26DE" w:rsidRDefault="00A330C3" w:rsidP="00047F1B">
            <w:pPr>
              <w:keepNext/>
              <w:keepLines/>
              <w:jc w:val="center"/>
              <w:rPr>
                <w:rFonts w:ascii="Arial Narrow" w:hAnsi="Arial Narrow"/>
                <w:sz w:val="20"/>
                <w:szCs w:val="20"/>
                <w:lang w:eastAsia="en-US"/>
              </w:rPr>
            </w:pPr>
            <w:r w:rsidRPr="008B26DE">
              <w:rPr>
                <w:rFonts w:ascii="Arial Narrow" w:hAnsi="Arial Narrow"/>
                <w:sz w:val="20"/>
                <w:szCs w:val="20"/>
                <w:lang w:eastAsia="en-US"/>
              </w:rPr>
              <w:t>1.5</w:t>
            </w:r>
            <w:r w:rsidRPr="008B26DE">
              <w:rPr>
                <w:rFonts w:ascii="Arial Narrow" w:hAnsi="Arial Narrow"/>
                <w:sz w:val="20"/>
                <w:szCs w:val="20"/>
                <w:vertAlign w:val="superscript"/>
                <w:lang w:eastAsia="en-US"/>
              </w:rPr>
              <w:t>3</w:t>
            </w:r>
          </w:p>
        </w:tc>
        <w:tc>
          <w:tcPr>
            <w:tcW w:w="2332" w:type="dxa"/>
            <w:vAlign w:val="center"/>
          </w:tcPr>
          <w:p w:rsidR="00006DF5" w:rsidRPr="008B26DE" w:rsidRDefault="00A330C3" w:rsidP="00047F1B">
            <w:pPr>
              <w:keepNext/>
              <w:keepLines/>
              <w:jc w:val="center"/>
              <w:rPr>
                <w:rFonts w:ascii="Arial Narrow" w:hAnsi="Arial Narrow"/>
                <w:sz w:val="20"/>
                <w:szCs w:val="20"/>
                <w:lang w:eastAsia="en-US"/>
              </w:rPr>
            </w:pPr>
            <w:r w:rsidRPr="008B26DE">
              <w:rPr>
                <w:rFonts w:ascii="Arial Narrow" w:hAnsi="Arial Narrow"/>
                <w:sz w:val="20"/>
                <w:szCs w:val="20"/>
                <w:lang w:eastAsia="en-US"/>
              </w:rPr>
              <w:t>13.04</w:t>
            </w:r>
            <w:r w:rsidRPr="008B26DE">
              <w:rPr>
                <w:rFonts w:ascii="Arial Narrow" w:hAnsi="Arial Narrow"/>
                <w:sz w:val="20"/>
                <w:szCs w:val="20"/>
                <w:vertAlign w:val="superscript"/>
                <w:lang w:eastAsia="en-US"/>
              </w:rPr>
              <w:t>5</w:t>
            </w:r>
          </w:p>
        </w:tc>
      </w:tr>
      <w:tr w:rsidR="00006DF5" w:rsidRPr="008B26DE" w:rsidTr="00FE59F4">
        <w:tc>
          <w:tcPr>
            <w:tcW w:w="4052" w:type="dxa"/>
            <w:tcBorders>
              <w:bottom w:val="single" w:sz="4" w:space="0" w:color="auto"/>
            </w:tcBorders>
          </w:tcPr>
          <w:p w:rsidR="00006DF5" w:rsidRPr="008B26DE" w:rsidRDefault="00006DF5" w:rsidP="00047F1B">
            <w:pPr>
              <w:keepNext/>
              <w:keepLines/>
              <w:ind w:left="175"/>
              <w:rPr>
                <w:rFonts w:ascii="Arial Narrow" w:hAnsi="Arial Narrow"/>
                <w:sz w:val="20"/>
                <w:szCs w:val="20"/>
                <w:lang w:eastAsia="en-US"/>
              </w:rPr>
            </w:pPr>
            <w:r w:rsidRPr="008B26DE">
              <w:rPr>
                <w:rFonts w:ascii="Arial Narrow" w:hAnsi="Arial Narrow"/>
                <w:sz w:val="20"/>
                <w:szCs w:val="20"/>
                <w:lang w:eastAsia="en-US"/>
              </w:rPr>
              <w:t>General practitioner MBS (Item 23)</w:t>
            </w:r>
          </w:p>
        </w:tc>
        <w:tc>
          <w:tcPr>
            <w:tcW w:w="2542" w:type="dxa"/>
            <w:tcBorders>
              <w:bottom w:val="single" w:sz="4" w:space="0" w:color="auto"/>
            </w:tcBorders>
            <w:vAlign w:val="center"/>
          </w:tcPr>
          <w:p w:rsidR="00006DF5" w:rsidRPr="008B26DE" w:rsidRDefault="00006DF5" w:rsidP="00047F1B">
            <w:pPr>
              <w:keepNext/>
              <w:keepLines/>
              <w:jc w:val="center"/>
              <w:rPr>
                <w:rFonts w:ascii="Arial Narrow" w:hAnsi="Arial Narrow"/>
                <w:sz w:val="20"/>
                <w:szCs w:val="20"/>
                <w:lang w:eastAsia="en-US"/>
              </w:rPr>
            </w:pPr>
            <w:r w:rsidRPr="008B26DE">
              <w:rPr>
                <w:rFonts w:ascii="Arial Narrow" w:hAnsi="Arial Narrow"/>
                <w:sz w:val="20"/>
                <w:szCs w:val="20"/>
                <w:lang w:eastAsia="en-US"/>
              </w:rPr>
              <w:t>$38.75</w:t>
            </w:r>
          </w:p>
        </w:tc>
        <w:tc>
          <w:tcPr>
            <w:tcW w:w="2332" w:type="dxa"/>
            <w:tcBorders>
              <w:bottom w:val="single" w:sz="4" w:space="0" w:color="auto"/>
            </w:tcBorders>
            <w:vAlign w:val="center"/>
          </w:tcPr>
          <w:p w:rsidR="00006DF5" w:rsidRPr="008B26DE" w:rsidRDefault="00006DF5" w:rsidP="00047F1B">
            <w:pPr>
              <w:keepNext/>
              <w:keepLines/>
              <w:jc w:val="center"/>
              <w:rPr>
                <w:rFonts w:ascii="Arial Narrow" w:hAnsi="Arial Narrow"/>
                <w:sz w:val="20"/>
                <w:szCs w:val="20"/>
                <w:lang w:eastAsia="en-US"/>
              </w:rPr>
            </w:pPr>
            <w:r w:rsidRPr="008B26DE">
              <w:rPr>
                <w:rFonts w:ascii="Arial Narrow" w:hAnsi="Arial Narrow"/>
                <w:sz w:val="20"/>
                <w:szCs w:val="20"/>
                <w:lang w:eastAsia="en-US"/>
              </w:rPr>
              <w:t>$38.75</w:t>
            </w:r>
          </w:p>
        </w:tc>
      </w:tr>
      <w:tr w:rsidR="00006DF5" w:rsidRPr="008B26DE" w:rsidTr="00FE59F4">
        <w:tc>
          <w:tcPr>
            <w:tcW w:w="4052" w:type="dxa"/>
            <w:tcBorders>
              <w:bottom w:val="single" w:sz="4" w:space="0" w:color="auto"/>
            </w:tcBorders>
          </w:tcPr>
          <w:p w:rsidR="00006DF5" w:rsidRPr="008B26DE" w:rsidRDefault="00006DF5" w:rsidP="00047F1B">
            <w:pPr>
              <w:keepNext/>
              <w:keepLines/>
              <w:ind w:left="175"/>
              <w:rPr>
                <w:rFonts w:ascii="Arial Narrow" w:hAnsi="Arial Narrow"/>
                <w:sz w:val="20"/>
                <w:szCs w:val="20"/>
                <w:lang w:eastAsia="en-US"/>
              </w:rPr>
            </w:pPr>
            <w:r w:rsidRPr="008B26DE">
              <w:rPr>
                <w:rFonts w:ascii="Arial Narrow" w:hAnsi="Arial Narrow"/>
                <w:sz w:val="20"/>
                <w:szCs w:val="20"/>
                <w:lang w:eastAsia="en-US"/>
              </w:rPr>
              <w:t>Number of visits per 3 years</w:t>
            </w:r>
          </w:p>
        </w:tc>
        <w:tc>
          <w:tcPr>
            <w:tcW w:w="2542" w:type="dxa"/>
            <w:tcBorders>
              <w:bottom w:val="single" w:sz="4" w:space="0" w:color="auto"/>
            </w:tcBorders>
            <w:vAlign w:val="center"/>
          </w:tcPr>
          <w:p w:rsidR="00006DF5" w:rsidRPr="008B26DE" w:rsidRDefault="00A330C3" w:rsidP="00047F1B">
            <w:pPr>
              <w:keepNext/>
              <w:keepLines/>
              <w:jc w:val="center"/>
              <w:rPr>
                <w:rFonts w:ascii="Arial Narrow" w:hAnsi="Arial Narrow"/>
                <w:sz w:val="20"/>
                <w:szCs w:val="20"/>
                <w:lang w:eastAsia="en-US"/>
              </w:rPr>
            </w:pPr>
            <w:r w:rsidRPr="008B26DE">
              <w:rPr>
                <w:rFonts w:ascii="Arial Narrow" w:hAnsi="Arial Narrow"/>
                <w:sz w:val="20"/>
                <w:szCs w:val="20"/>
                <w:lang w:eastAsia="en-US"/>
              </w:rPr>
              <w:t>5.25</w:t>
            </w:r>
            <w:r w:rsidRPr="008B26DE">
              <w:rPr>
                <w:rFonts w:ascii="Arial Narrow" w:hAnsi="Arial Narrow"/>
                <w:sz w:val="20"/>
                <w:szCs w:val="20"/>
                <w:vertAlign w:val="superscript"/>
                <w:lang w:eastAsia="en-US"/>
              </w:rPr>
              <w:t>4</w:t>
            </w:r>
          </w:p>
        </w:tc>
        <w:tc>
          <w:tcPr>
            <w:tcW w:w="2332" w:type="dxa"/>
            <w:tcBorders>
              <w:bottom w:val="single" w:sz="4" w:space="0" w:color="auto"/>
            </w:tcBorders>
            <w:vAlign w:val="center"/>
          </w:tcPr>
          <w:p w:rsidR="00006DF5" w:rsidRPr="008B26DE" w:rsidRDefault="00006DF5" w:rsidP="00103B15">
            <w:pPr>
              <w:keepNext/>
              <w:keepLines/>
              <w:jc w:val="center"/>
              <w:rPr>
                <w:rFonts w:ascii="Arial Narrow" w:hAnsi="Arial Narrow"/>
                <w:sz w:val="20"/>
                <w:szCs w:val="20"/>
                <w:lang w:eastAsia="en-US"/>
              </w:rPr>
            </w:pPr>
            <w:r w:rsidRPr="008B26DE">
              <w:rPr>
                <w:rFonts w:ascii="Arial Narrow" w:hAnsi="Arial Narrow"/>
                <w:sz w:val="20"/>
                <w:szCs w:val="20"/>
                <w:lang w:eastAsia="en-US"/>
              </w:rPr>
              <w:t>-</w:t>
            </w:r>
            <w:r w:rsidR="00103B15" w:rsidRPr="008B26DE">
              <w:rPr>
                <w:rFonts w:ascii="Arial Narrow" w:hAnsi="Arial Narrow"/>
                <w:sz w:val="20"/>
                <w:szCs w:val="20"/>
                <w:lang w:eastAsia="en-US"/>
              </w:rPr>
              <w:t xml:space="preserve"> </w:t>
            </w:r>
          </w:p>
        </w:tc>
      </w:tr>
      <w:tr w:rsidR="00006DF5" w:rsidRPr="008B26DE" w:rsidTr="00FE59F4">
        <w:tc>
          <w:tcPr>
            <w:tcW w:w="4052" w:type="dxa"/>
            <w:tcBorders>
              <w:bottom w:val="single" w:sz="4" w:space="0" w:color="auto"/>
            </w:tcBorders>
          </w:tcPr>
          <w:p w:rsidR="00006DF5" w:rsidRPr="008B26DE" w:rsidRDefault="00006DF5" w:rsidP="00047F1B">
            <w:pPr>
              <w:keepNext/>
              <w:keepLines/>
              <w:ind w:left="175"/>
              <w:rPr>
                <w:rFonts w:ascii="Arial Narrow" w:hAnsi="Arial Narrow"/>
                <w:sz w:val="20"/>
                <w:szCs w:val="20"/>
                <w:lang w:eastAsia="en-US"/>
              </w:rPr>
            </w:pPr>
            <w:r w:rsidRPr="008B26DE">
              <w:rPr>
                <w:rFonts w:ascii="Arial Narrow" w:hAnsi="Arial Narrow"/>
                <w:sz w:val="20"/>
                <w:szCs w:val="20"/>
                <w:lang w:eastAsia="en-US"/>
              </w:rPr>
              <w:t>Total administration cost: 3 years</w:t>
            </w:r>
          </w:p>
        </w:tc>
        <w:tc>
          <w:tcPr>
            <w:tcW w:w="2542" w:type="dxa"/>
            <w:tcBorders>
              <w:bottom w:val="single" w:sz="4" w:space="0" w:color="auto"/>
            </w:tcBorders>
            <w:vAlign w:val="center"/>
          </w:tcPr>
          <w:p w:rsidR="00006DF5" w:rsidRPr="008B26DE" w:rsidRDefault="00A330C3" w:rsidP="00047F1B">
            <w:pPr>
              <w:keepNext/>
              <w:keepLines/>
              <w:jc w:val="center"/>
              <w:rPr>
                <w:rFonts w:ascii="Arial Narrow" w:hAnsi="Arial Narrow"/>
                <w:sz w:val="20"/>
                <w:szCs w:val="20"/>
                <w:lang w:eastAsia="en-US"/>
              </w:rPr>
            </w:pPr>
            <w:r w:rsidRPr="008B26DE">
              <w:rPr>
                <w:rFonts w:ascii="Arial Narrow" w:hAnsi="Arial Narrow"/>
                <w:sz w:val="20"/>
                <w:szCs w:val="20"/>
                <w:lang w:eastAsia="en-US"/>
              </w:rPr>
              <w:t>$322.01</w:t>
            </w:r>
          </w:p>
        </w:tc>
        <w:tc>
          <w:tcPr>
            <w:tcW w:w="2332" w:type="dxa"/>
            <w:tcBorders>
              <w:bottom w:val="single" w:sz="4" w:space="0" w:color="auto"/>
            </w:tcBorders>
            <w:vAlign w:val="center"/>
          </w:tcPr>
          <w:p w:rsidR="00006DF5" w:rsidRPr="008B26DE" w:rsidRDefault="00A330C3" w:rsidP="00047F1B">
            <w:pPr>
              <w:keepNext/>
              <w:keepLines/>
              <w:jc w:val="center"/>
              <w:rPr>
                <w:rFonts w:ascii="Arial Narrow" w:hAnsi="Arial Narrow"/>
                <w:sz w:val="20"/>
                <w:szCs w:val="20"/>
                <w:lang w:eastAsia="en-US"/>
              </w:rPr>
            </w:pPr>
            <w:r w:rsidRPr="008B26DE">
              <w:rPr>
                <w:rFonts w:ascii="Arial Narrow" w:hAnsi="Arial Narrow"/>
                <w:sz w:val="20"/>
                <w:szCs w:val="20"/>
                <w:lang w:eastAsia="en-US"/>
              </w:rPr>
              <w:t>$2,771.79</w:t>
            </w:r>
          </w:p>
        </w:tc>
      </w:tr>
      <w:tr w:rsidR="00006DF5" w:rsidRPr="008B26DE" w:rsidTr="00FE59F4">
        <w:tc>
          <w:tcPr>
            <w:tcW w:w="4052" w:type="dxa"/>
          </w:tcPr>
          <w:p w:rsidR="00006DF5" w:rsidRPr="008B26DE" w:rsidRDefault="00006DF5" w:rsidP="00047F1B">
            <w:pPr>
              <w:keepNext/>
              <w:keepLines/>
              <w:rPr>
                <w:rFonts w:ascii="Arial Narrow" w:hAnsi="Arial Narrow"/>
                <w:sz w:val="20"/>
                <w:szCs w:val="20"/>
                <w:lang w:eastAsia="en-US"/>
              </w:rPr>
            </w:pPr>
            <w:r w:rsidRPr="008B26DE">
              <w:rPr>
                <w:rFonts w:ascii="Arial Narrow" w:hAnsi="Arial Narrow"/>
                <w:sz w:val="20"/>
                <w:szCs w:val="20"/>
                <w:lang w:eastAsia="en-US"/>
              </w:rPr>
              <w:t>Total drug and administration cost: 3 years</w:t>
            </w:r>
          </w:p>
        </w:tc>
        <w:tc>
          <w:tcPr>
            <w:tcW w:w="2542" w:type="dxa"/>
            <w:vAlign w:val="center"/>
          </w:tcPr>
          <w:p w:rsidR="00006DF5" w:rsidRPr="008B26DE" w:rsidRDefault="00A330C3" w:rsidP="00047F1B">
            <w:pPr>
              <w:keepNext/>
              <w:keepLines/>
              <w:jc w:val="center"/>
              <w:rPr>
                <w:rFonts w:ascii="Arial Narrow" w:hAnsi="Arial Narrow"/>
                <w:sz w:val="20"/>
                <w:szCs w:val="20"/>
                <w:lang w:eastAsia="en-US"/>
              </w:rPr>
            </w:pPr>
            <w:r w:rsidRPr="008B26DE">
              <w:rPr>
                <w:rFonts w:ascii="Arial Narrow" w:hAnsi="Arial Narrow"/>
                <w:sz w:val="20"/>
                <w:szCs w:val="20"/>
                <w:lang w:eastAsia="en-US"/>
              </w:rPr>
              <w:t>$</w:t>
            </w:r>
            <w:r w:rsidR="00913226">
              <w:rPr>
                <w:rFonts w:ascii="Arial Narrow" w:hAnsi="Arial Narrow"/>
                <w:noProof/>
                <w:color w:val="000000"/>
                <w:sz w:val="20"/>
                <w:szCs w:val="20"/>
                <w:highlight w:val="black"/>
                <w:lang w:eastAsia="en-US"/>
              </w:rPr>
              <w:t>'''''''''''''''''''</w:t>
            </w:r>
          </w:p>
        </w:tc>
        <w:tc>
          <w:tcPr>
            <w:tcW w:w="2332" w:type="dxa"/>
            <w:vAlign w:val="center"/>
          </w:tcPr>
          <w:p w:rsidR="00006DF5" w:rsidRPr="008B26DE" w:rsidRDefault="00A330C3" w:rsidP="00047F1B">
            <w:pPr>
              <w:keepNext/>
              <w:keepLines/>
              <w:jc w:val="center"/>
              <w:rPr>
                <w:rFonts w:ascii="Arial Narrow" w:hAnsi="Arial Narrow"/>
                <w:sz w:val="20"/>
                <w:szCs w:val="20"/>
                <w:lang w:eastAsia="en-US"/>
              </w:rPr>
            </w:pPr>
            <w:r w:rsidRPr="008B26DE">
              <w:rPr>
                <w:rFonts w:ascii="Arial Narrow" w:hAnsi="Arial Narrow"/>
                <w:sz w:val="20"/>
                <w:szCs w:val="20"/>
                <w:lang w:eastAsia="en-US"/>
              </w:rPr>
              <w:t>$</w:t>
            </w:r>
            <w:r w:rsidR="00913226">
              <w:rPr>
                <w:rFonts w:ascii="Arial Narrow" w:hAnsi="Arial Narrow"/>
                <w:noProof/>
                <w:color w:val="000000"/>
                <w:sz w:val="20"/>
                <w:szCs w:val="20"/>
                <w:highlight w:val="black"/>
                <w:lang w:eastAsia="en-US"/>
              </w:rPr>
              <w:t>'''''''''''''''''''</w:t>
            </w:r>
          </w:p>
        </w:tc>
      </w:tr>
    </w:tbl>
    <w:p w:rsidR="00006DF5" w:rsidRPr="008B26DE" w:rsidRDefault="00006DF5" w:rsidP="00047F1B">
      <w:pPr>
        <w:keepNext/>
        <w:keepLines/>
        <w:rPr>
          <w:rFonts w:ascii="Arial Narrow" w:hAnsi="Arial Narrow"/>
          <w:sz w:val="18"/>
          <w:szCs w:val="20"/>
          <w:lang w:eastAsia="en-US"/>
        </w:rPr>
      </w:pPr>
      <w:r w:rsidRPr="008B26DE">
        <w:rPr>
          <w:rFonts w:ascii="Arial Narrow" w:hAnsi="Arial Narrow"/>
          <w:sz w:val="18"/>
          <w:szCs w:val="20"/>
          <w:lang w:eastAsia="en-US"/>
        </w:rPr>
        <w:t>AEMP approved ex-manufacturer price; MBS Medicare Benefits Schedule</w:t>
      </w:r>
    </w:p>
    <w:p w:rsidR="00A330C3" w:rsidRPr="008B26DE" w:rsidRDefault="00D67D51" w:rsidP="00047F1B">
      <w:pPr>
        <w:pStyle w:val="ListParagraph"/>
        <w:keepNext/>
        <w:keepLines/>
        <w:numPr>
          <w:ilvl w:val="0"/>
          <w:numId w:val="27"/>
        </w:numPr>
        <w:spacing w:after="0"/>
        <w:rPr>
          <w:rFonts w:ascii="Arial Narrow" w:hAnsi="Arial Narrow"/>
          <w:sz w:val="18"/>
          <w:szCs w:val="20"/>
          <w:lang w:eastAsia="en-US"/>
        </w:rPr>
      </w:pPr>
      <w:r w:rsidRPr="008B26DE">
        <w:rPr>
          <w:rFonts w:ascii="Arial Narrow" w:hAnsi="Arial Narrow"/>
          <w:sz w:val="18"/>
          <w:szCs w:val="20"/>
          <w:lang w:eastAsia="en-US"/>
        </w:rPr>
        <w:t xml:space="preserve">Calculated as </w:t>
      </w:r>
      <w:r w:rsidR="00A330C3" w:rsidRPr="008B26DE">
        <w:rPr>
          <w:rFonts w:ascii="Arial Narrow" w:hAnsi="Arial Narrow"/>
          <w:sz w:val="18"/>
          <w:szCs w:val="20"/>
          <w:lang w:eastAsia="en-US"/>
        </w:rPr>
        <w:t>(365.25x3)/30+1</w:t>
      </w:r>
    </w:p>
    <w:p w:rsidR="00006DF5" w:rsidRPr="008B26DE" w:rsidRDefault="00D67D51" w:rsidP="00047F1B">
      <w:pPr>
        <w:pStyle w:val="ListParagraph"/>
        <w:keepNext/>
        <w:keepLines/>
        <w:numPr>
          <w:ilvl w:val="0"/>
          <w:numId w:val="27"/>
        </w:numPr>
        <w:spacing w:after="0"/>
        <w:rPr>
          <w:rFonts w:ascii="Arial Narrow" w:hAnsi="Arial Narrow"/>
          <w:sz w:val="18"/>
          <w:szCs w:val="20"/>
          <w:lang w:eastAsia="en-US"/>
        </w:rPr>
      </w:pPr>
      <w:r w:rsidRPr="008B26DE">
        <w:rPr>
          <w:rFonts w:ascii="Arial Narrow" w:hAnsi="Arial Narrow"/>
          <w:sz w:val="18"/>
          <w:szCs w:val="20"/>
          <w:lang w:eastAsia="en-US"/>
        </w:rPr>
        <w:t xml:space="preserve">Calculated as </w:t>
      </w:r>
      <w:r w:rsidR="00A330C3" w:rsidRPr="008B26DE">
        <w:rPr>
          <w:rFonts w:ascii="Arial Narrow" w:hAnsi="Arial Narrow"/>
          <w:sz w:val="18"/>
          <w:szCs w:val="20"/>
          <w:lang w:eastAsia="en-US"/>
        </w:rPr>
        <w:t>(8.7/2)*3</w:t>
      </w:r>
    </w:p>
    <w:p w:rsidR="00A330C3" w:rsidRPr="008B26DE" w:rsidRDefault="00D67D51" w:rsidP="00047F1B">
      <w:pPr>
        <w:pStyle w:val="ListParagraph"/>
        <w:keepNext/>
        <w:keepLines/>
        <w:numPr>
          <w:ilvl w:val="0"/>
          <w:numId w:val="27"/>
        </w:numPr>
        <w:spacing w:after="0"/>
        <w:rPr>
          <w:rFonts w:ascii="Arial Narrow" w:hAnsi="Arial Narrow"/>
          <w:sz w:val="18"/>
          <w:szCs w:val="20"/>
          <w:lang w:eastAsia="en-US"/>
        </w:rPr>
      </w:pPr>
      <w:r w:rsidRPr="008B26DE">
        <w:rPr>
          <w:rFonts w:ascii="Arial Narrow" w:hAnsi="Arial Narrow"/>
          <w:sz w:val="18"/>
          <w:szCs w:val="20"/>
          <w:lang w:eastAsia="en-US"/>
        </w:rPr>
        <w:t xml:space="preserve">Calculated as </w:t>
      </w:r>
      <w:r w:rsidR="00A330C3" w:rsidRPr="008B26DE">
        <w:rPr>
          <w:rFonts w:ascii="Arial Narrow" w:hAnsi="Arial Narrow"/>
          <w:sz w:val="18"/>
          <w:szCs w:val="20"/>
          <w:lang w:eastAsia="en-US"/>
        </w:rPr>
        <w:t>(1/2)*3</w:t>
      </w:r>
    </w:p>
    <w:p w:rsidR="00A330C3" w:rsidRPr="008B26DE" w:rsidRDefault="00D67D51" w:rsidP="00047F1B">
      <w:pPr>
        <w:pStyle w:val="ListParagraph"/>
        <w:keepNext/>
        <w:keepLines/>
        <w:numPr>
          <w:ilvl w:val="0"/>
          <w:numId w:val="27"/>
        </w:numPr>
        <w:spacing w:after="0"/>
        <w:rPr>
          <w:rFonts w:ascii="Arial Narrow" w:hAnsi="Arial Narrow"/>
          <w:sz w:val="18"/>
          <w:szCs w:val="20"/>
          <w:lang w:eastAsia="en-US"/>
        </w:rPr>
      </w:pPr>
      <w:r w:rsidRPr="008B26DE">
        <w:rPr>
          <w:rFonts w:ascii="Arial Narrow" w:hAnsi="Arial Narrow"/>
          <w:sz w:val="18"/>
          <w:szCs w:val="20"/>
          <w:lang w:eastAsia="en-US"/>
        </w:rPr>
        <w:t xml:space="preserve">Calculated as </w:t>
      </w:r>
      <w:r w:rsidR="00A330C3" w:rsidRPr="008B26DE">
        <w:rPr>
          <w:rFonts w:ascii="Arial Narrow" w:hAnsi="Arial Narrow"/>
          <w:sz w:val="18"/>
          <w:szCs w:val="20"/>
          <w:lang w:eastAsia="en-US"/>
        </w:rPr>
        <w:t>(3.5/2)*3</w:t>
      </w:r>
    </w:p>
    <w:p w:rsidR="00006DF5" w:rsidRPr="008B26DE" w:rsidRDefault="00006DF5" w:rsidP="00006DF5"/>
    <w:p w:rsidR="003C388D" w:rsidRPr="008B26DE" w:rsidRDefault="003C388D" w:rsidP="003C388D">
      <w:pPr>
        <w:pStyle w:val="3Bodytext"/>
      </w:pPr>
      <w:r w:rsidRPr="008B26DE">
        <w:t xml:space="preserve">The resubmission stated </w:t>
      </w:r>
      <w:r w:rsidR="00B92A67" w:rsidRPr="008B26DE">
        <w:t xml:space="preserve"> </w:t>
      </w:r>
      <w:r w:rsidRPr="008B26DE">
        <w:t xml:space="preserve">the previous submission for </w:t>
      </w:r>
      <w:proofErr w:type="spellStart"/>
      <w:r w:rsidRPr="008B26DE">
        <w:t>galcanezumab</w:t>
      </w:r>
      <w:proofErr w:type="spellEnd"/>
      <w:r w:rsidRPr="008B26DE">
        <w:t xml:space="preserve"> was based on a Botox equi-effective dose of 194</w:t>
      </w:r>
      <w:r w:rsidR="008768D6" w:rsidRPr="008B26DE">
        <w:t>U</w:t>
      </w:r>
      <w:r w:rsidRPr="008B26DE">
        <w:t xml:space="preserve">; however, </w:t>
      </w:r>
      <w:r w:rsidR="00C82EC6" w:rsidRPr="008B26DE">
        <w:t xml:space="preserve">the </w:t>
      </w:r>
      <w:r w:rsidRPr="008B26DE">
        <w:t xml:space="preserve">submission considered by PBAC in July 2019 proposed equi-effective doses of </w:t>
      </w:r>
      <w:proofErr w:type="spellStart"/>
      <w:r w:rsidRPr="008B26DE">
        <w:t>galcanezumab</w:t>
      </w:r>
      <w:proofErr w:type="spellEnd"/>
      <w:r w:rsidRPr="008B26DE">
        <w:t xml:space="preserve"> 120 mg monthly and Botox </w:t>
      </w:r>
      <w:r w:rsidR="00C82EC6" w:rsidRPr="008B26DE">
        <w:t xml:space="preserve">164U </w:t>
      </w:r>
      <w:r w:rsidRPr="008B26DE">
        <w:t xml:space="preserve">every 12 weeks (paragraph 6.40, </w:t>
      </w:r>
      <w:proofErr w:type="spellStart"/>
      <w:r w:rsidRPr="008B26DE">
        <w:t>galcanezumab</w:t>
      </w:r>
      <w:proofErr w:type="spellEnd"/>
      <w:r w:rsidRPr="008B26DE">
        <w:t xml:space="preserve"> </w:t>
      </w:r>
      <w:r w:rsidR="004D2F31">
        <w:t>PSD</w:t>
      </w:r>
      <w:r w:rsidR="00C82EC6" w:rsidRPr="008B26DE">
        <w:t>, July 2019 PBAC meeting</w:t>
      </w:r>
      <w:r w:rsidRPr="008B26DE">
        <w:t>).</w:t>
      </w:r>
      <w:r w:rsidR="00B32CC7" w:rsidRPr="008B26DE">
        <w:t xml:space="preserve"> </w:t>
      </w:r>
      <w:r w:rsidR="00821DEC" w:rsidRPr="008B26DE">
        <w:t>The CMA presented in the July 2019 submission assumed 2 vials of Botox (i.e. 200U) were administered for each dose.</w:t>
      </w:r>
      <w:r w:rsidR="00103B15" w:rsidRPr="008B26DE">
        <w:t xml:space="preserve"> </w:t>
      </w:r>
    </w:p>
    <w:p w:rsidR="00257347" w:rsidRPr="008B26DE" w:rsidRDefault="003C388D" w:rsidP="007159EF">
      <w:pPr>
        <w:pStyle w:val="3Bodytext"/>
      </w:pPr>
      <w:r w:rsidRPr="008B26DE">
        <w:t xml:space="preserve">The resubmission stated the equi-effective dose of Botox </w:t>
      </w:r>
      <w:r w:rsidR="00257347" w:rsidRPr="008B26DE">
        <w:t>(194U</w:t>
      </w:r>
      <w:r w:rsidRPr="008B26DE">
        <w:t xml:space="preserve">) was based on </w:t>
      </w:r>
      <w:r w:rsidR="0016524E" w:rsidRPr="008B26DE">
        <w:t xml:space="preserve">a </w:t>
      </w:r>
      <w:r w:rsidRPr="008B26DE">
        <w:t>previous DUSC review</w:t>
      </w:r>
      <w:r w:rsidR="00F24300" w:rsidRPr="008B26DE">
        <w:t xml:space="preserve"> (Botox PSDs, July 2013 and March 2018 PBAC meetings; Botox DUSC Public Release Document, June 2017</w:t>
      </w:r>
      <w:r w:rsidR="00F24300" w:rsidRPr="008B26DE">
        <w:rPr>
          <w:i/>
        </w:rPr>
        <w:t>)</w:t>
      </w:r>
      <w:r w:rsidR="00AD2CED" w:rsidRPr="008B26DE">
        <w:t xml:space="preserve">; however, this value could not </w:t>
      </w:r>
      <w:r w:rsidR="0016524E" w:rsidRPr="008B26DE">
        <w:t>be</w:t>
      </w:r>
      <w:r w:rsidR="00257347" w:rsidRPr="008B26DE">
        <w:t xml:space="preserve"> verified</w:t>
      </w:r>
      <w:r w:rsidR="0016524E" w:rsidRPr="008B26DE">
        <w:t xml:space="preserve"> in the </w:t>
      </w:r>
      <w:r w:rsidR="00F24300" w:rsidRPr="008B26DE">
        <w:t xml:space="preserve">stated </w:t>
      </w:r>
      <w:r w:rsidR="0016524E" w:rsidRPr="008B26DE">
        <w:t>references</w:t>
      </w:r>
      <w:r w:rsidR="00F24300" w:rsidRPr="008B26DE">
        <w:rPr>
          <w:i/>
        </w:rPr>
        <w:t xml:space="preserve">. </w:t>
      </w:r>
      <w:r w:rsidR="00103B15" w:rsidRPr="008B26DE">
        <w:rPr>
          <w:i/>
        </w:rPr>
        <w:t>The pre-PBAC response ac</w:t>
      </w:r>
      <w:r w:rsidR="00BC084A" w:rsidRPr="008B26DE">
        <w:rPr>
          <w:i/>
        </w:rPr>
        <w:t>knowledged the equi-effective dose of Botox should be 193U</w:t>
      </w:r>
      <w:r w:rsidR="008B26DE">
        <w:rPr>
          <w:i/>
        </w:rPr>
        <w:t xml:space="preserve">. </w:t>
      </w:r>
      <w:r w:rsidR="0016524E" w:rsidRPr="008B26DE">
        <w:t xml:space="preserve">The </w:t>
      </w:r>
      <w:proofErr w:type="spellStart"/>
      <w:r w:rsidR="00AD2CED" w:rsidRPr="008B26DE">
        <w:t>fremanezumab</w:t>
      </w:r>
      <w:proofErr w:type="spellEnd"/>
      <w:r w:rsidR="0016524E" w:rsidRPr="008B26DE">
        <w:t xml:space="preserve"> </w:t>
      </w:r>
      <w:r w:rsidR="00AD2CED" w:rsidRPr="008B26DE">
        <w:t>submission considered in November 2019 proposed an equi-effective dose for Botox based on the average number of Botox vial</w:t>
      </w:r>
      <w:r w:rsidR="00257347" w:rsidRPr="001452E2">
        <w:t>s</w:t>
      </w:r>
      <w:r w:rsidR="00AD2CED" w:rsidRPr="001452E2">
        <w:t xml:space="preserve"> dispensed per service (paragraph 6.64, </w:t>
      </w:r>
      <w:proofErr w:type="spellStart"/>
      <w:r w:rsidR="00AD2CED" w:rsidRPr="001452E2">
        <w:t>fremanezumab</w:t>
      </w:r>
      <w:proofErr w:type="spellEnd"/>
      <w:r w:rsidR="00AD2CED" w:rsidRPr="001452E2">
        <w:t xml:space="preserve"> PSD, November 2019 PBAC meeting); however, the ESC considered equi-effective doses should be based on the clinical trial evidence used to determine non-inferiority</w:t>
      </w:r>
      <w:r w:rsidR="00821DEC" w:rsidRPr="008B26DE">
        <w:t xml:space="preserve"> and recommended an e</w:t>
      </w:r>
      <w:r w:rsidR="00D728C7" w:rsidRPr="008B26DE">
        <w:t>qui-effective dose for Botox of 164U</w:t>
      </w:r>
      <w:r w:rsidR="00AD2CED" w:rsidRPr="008B26DE">
        <w:t>.</w:t>
      </w:r>
      <w:r w:rsidR="008768D6" w:rsidRPr="008B26DE">
        <w:t xml:space="preserve"> </w:t>
      </w:r>
    </w:p>
    <w:p w:rsidR="004C5BFD" w:rsidRPr="001452E2" w:rsidRDefault="00D61A89" w:rsidP="00DA2442">
      <w:pPr>
        <w:pStyle w:val="3Bodytext"/>
      </w:pPr>
      <w:r w:rsidRPr="008B26DE">
        <w:t>A number of sensitivity analyses were conducted</w:t>
      </w:r>
      <w:r w:rsidR="004351AD" w:rsidRPr="008B26DE">
        <w:t xml:space="preserve"> by the Secretariat</w:t>
      </w:r>
      <w:r w:rsidRPr="008B26DE">
        <w:t xml:space="preserve">, varying the CMA inputs as summarised in </w:t>
      </w:r>
      <w:r w:rsidR="009908B3" w:rsidRPr="008B26DE">
        <w:t xml:space="preserve">Table </w:t>
      </w:r>
      <w:r w:rsidR="00073601">
        <w:t>3</w:t>
      </w:r>
      <w:r w:rsidR="00B92A67" w:rsidRPr="008B26DE">
        <w:t>.</w:t>
      </w:r>
      <w:r w:rsidR="00D90E8C" w:rsidRPr="008B26DE">
        <w:t xml:space="preserve"> </w:t>
      </w:r>
    </w:p>
    <w:p w:rsidR="00202434" w:rsidRPr="008B26DE" w:rsidRDefault="00790114" w:rsidP="007113B3">
      <w:pPr>
        <w:pStyle w:val="Caption"/>
        <w:keepNext/>
        <w:keepLines/>
      </w:pPr>
      <w:bookmarkStart w:id="1" w:name="_Ref54000275"/>
      <w:r w:rsidRPr="001452E2">
        <w:lastRenderedPageBreak/>
        <w:t xml:space="preserve">Table </w:t>
      </w:r>
      <w:r w:rsidR="00073601">
        <w:t>3</w:t>
      </w:r>
      <w:bookmarkEnd w:id="1"/>
      <w:r w:rsidR="00D412E7" w:rsidRPr="008B26DE">
        <w:t>: Sensitivity analyses</w:t>
      </w:r>
      <w:r w:rsidR="004351AD" w:rsidRPr="008B26DE">
        <w:t xml:space="preserve"> conducted by Secretariat (changes to base case in </w:t>
      </w:r>
      <w:r w:rsidR="00BC084A" w:rsidRPr="008B26DE">
        <w:t>underlined</w:t>
      </w:r>
      <w:r w:rsidR="004351AD" w:rsidRPr="008B26DE">
        <w:t>)</w:t>
      </w:r>
    </w:p>
    <w:tbl>
      <w:tblPr>
        <w:tblStyle w:val="TableGrid"/>
        <w:tblW w:w="5000" w:type="pct"/>
        <w:tblLook w:val="04A0" w:firstRow="1" w:lastRow="0" w:firstColumn="1" w:lastColumn="0" w:noHBand="0" w:noVBand="1"/>
        <w:tblCaption w:val="Table 3: Sensitivity analyses conducted by Secretariat (changes to base case in underlined)"/>
      </w:tblPr>
      <w:tblGrid>
        <w:gridCol w:w="2546"/>
        <w:gridCol w:w="3969"/>
        <w:gridCol w:w="1277"/>
        <w:gridCol w:w="1224"/>
      </w:tblGrid>
      <w:tr w:rsidR="004C5BFD" w:rsidRPr="008B26DE" w:rsidTr="00B42D6B">
        <w:trPr>
          <w:tblHeader/>
        </w:trPr>
        <w:tc>
          <w:tcPr>
            <w:tcW w:w="1412" w:type="pct"/>
          </w:tcPr>
          <w:p w:rsidR="004C5BFD" w:rsidRPr="001452E2" w:rsidRDefault="004C5BFD" w:rsidP="005C6C6C">
            <w:pPr>
              <w:keepNext/>
              <w:keepLines/>
              <w:jc w:val="left"/>
              <w:rPr>
                <w:rFonts w:ascii="Arial Narrow" w:hAnsi="Arial Narrow"/>
                <w:b/>
                <w:sz w:val="20"/>
                <w:szCs w:val="20"/>
              </w:rPr>
            </w:pPr>
            <w:r w:rsidRPr="001452E2">
              <w:rPr>
                <w:rFonts w:ascii="Arial Narrow" w:hAnsi="Arial Narrow"/>
                <w:b/>
                <w:sz w:val="20"/>
                <w:szCs w:val="20"/>
              </w:rPr>
              <w:t>Scenario</w:t>
            </w:r>
          </w:p>
        </w:tc>
        <w:tc>
          <w:tcPr>
            <w:tcW w:w="2201" w:type="pct"/>
          </w:tcPr>
          <w:p w:rsidR="004C5BFD" w:rsidRPr="008B26DE" w:rsidRDefault="004C5BFD" w:rsidP="005C6C6C">
            <w:pPr>
              <w:keepNext/>
              <w:keepLines/>
              <w:jc w:val="left"/>
              <w:rPr>
                <w:rFonts w:ascii="Arial Narrow" w:hAnsi="Arial Narrow"/>
                <w:b/>
                <w:sz w:val="20"/>
                <w:szCs w:val="20"/>
              </w:rPr>
            </w:pPr>
            <w:r w:rsidRPr="008B26DE">
              <w:rPr>
                <w:rFonts w:ascii="Arial Narrow" w:hAnsi="Arial Narrow"/>
                <w:b/>
                <w:sz w:val="20"/>
                <w:szCs w:val="20"/>
              </w:rPr>
              <w:t>Equi-effective dose</w:t>
            </w:r>
          </w:p>
        </w:tc>
        <w:tc>
          <w:tcPr>
            <w:tcW w:w="708" w:type="pct"/>
          </w:tcPr>
          <w:p w:rsidR="004C5BFD" w:rsidRPr="008B26DE" w:rsidRDefault="004C5BFD" w:rsidP="005C6C6C">
            <w:pPr>
              <w:keepNext/>
              <w:keepLines/>
              <w:jc w:val="center"/>
              <w:rPr>
                <w:rFonts w:ascii="Arial Narrow" w:hAnsi="Arial Narrow"/>
                <w:b/>
                <w:sz w:val="20"/>
                <w:szCs w:val="20"/>
              </w:rPr>
            </w:pPr>
            <w:r w:rsidRPr="008B26DE">
              <w:rPr>
                <w:rFonts w:ascii="Arial Narrow" w:hAnsi="Arial Narrow"/>
                <w:b/>
                <w:sz w:val="20"/>
                <w:szCs w:val="20"/>
              </w:rPr>
              <w:t>Time horizon of CMA</w:t>
            </w:r>
          </w:p>
        </w:tc>
        <w:tc>
          <w:tcPr>
            <w:tcW w:w="679" w:type="pct"/>
          </w:tcPr>
          <w:p w:rsidR="004C5BFD" w:rsidRPr="008B26DE" w:rsidRDefault="004C5BFD" w:rsidP="005C6C6C">
            <w:pPr>
              <w:keepNext/>
              <w:keepLines/>
              <w:jc w:val="center"/>
              <w:rPr>
                <w:rFonts w:ascii="Arial Narrow" w:hAnsi="Arial Narrow"/>
                <w:b/>
                <w:sz w:val="20"/>
                <w:szCs w:val="20"/>
              </w:rPr>
            </w:pPr>
            <w:r w:rsidRPr="008B26DE">
              <w:rPr>
                <w:rFonts w:ascii="Arial Narrow" w:hAnsi="Arial Narrow"/>
                <w:b/>
                <w:sz w:val="20"/>
                <w:szCs w:val="20"/>
              </w:rPr>
              <w:t>AEMP</w:t>
            </w:r>
          </w:p>
        </w:tc>
      </w:tr>
      <w:tr w:rsidR="004C5BFD" w:rsidRPr="008B26DE" w:rsidTr="005C6C6C">
        <w:tc>
          <w:tcPr>
            <w:tcW w:w="1412" w:type="pct"/>
          </w:tcPr>
          <w:p w:rsidR="004C5BFD" w:rsidRPr="008B26DE" w:rsidRDefault="006733DE" w:rsidP="005C6C6C">
            <w:pPr>
              <w:keepNext/>
              <w:keepLines/>
              <w:jc w:val="left"/>
              <w:rPr>
                <w:rFonts w:ascii="Arial Narrow" w:hAnsi="Arial Narrow"/>
                <w:sz w:val="20"/>
                <w:szCs w:val="20"/>
              </w:rPr>
            </w:pPr>
            <w:r w:rsidRPr="008B26DE">
              <w:rPr>
                <w:rFonts w:ascii="Arial Narrow" w:hAnsi="Arial Narrow"/>
                <w:sz w:val="20"/>
                <w:szCs w:val="20"/>
              </w:rPr>
              <w:t xml:space="preserve">Base case </w:t>
            </w:r>
            <w:r w:rsidR="004C5BFD" w:rsidRPr="008B26DE">
              <w:rPr>
                <w:rFonts w:ascii="Arial Narrow" w:hAnsi="Arial Narrow"/>
                <w:sz w:val="20"/>
                <w:szCs w:val="20"/>
              </w:rPr>
              <w:t xml:space="preserve"> </w:t>
            </w:r>
          </w:p>
        </w:tc>
        <w:tc>
          <w:tcPr>
            <w:tcW w:w="2201" w:type="pct"/>
          </w:tcPr>
          <w:p w:rsidR="004C5BFD" w:rsidRPr="008B26DE" w:rsidRDefault="004C5BFD" w:rsidP="005C6C6C">
            <w:pPr>
              <w:keepNext/>
              <w:keepLines/>
              <w:jc w:val="left"/>
              <w:rPr>
                <w:rFonts w:ascii="Arial Narrow" w:hAnsi="Arial Narrow"/>
                <w:sz w:val="20"/>
                <w:szCs w:val="20"/>
              </w:rPr>
            </w:pPr>
            <w:r w:rsidRPr="008B26DE">
              <w:rPr>
                <w:rFonts w:ascii="Arial Narrow" w:hAnsi="Arial Narrow"/>
                <w:sz w:val="20"/>
                <w:szCs w:val="20"/>
              </w:rPr>
              <w:t>GAL 240 mg loading dose followed by 120 mg every 30 days and Botox 194</w:t>
            </w:r>
            <w:r w:rsidR="004351AD" w:rsidRPr="008B26DE">
              <w:rPr>
                <w:rFonts w:ascii="Arial Narrow" w:hAnsi="Arial Narrow"/>
                <w:sz w:val="20"/>
                <w:szCs w:val="20"/>
              </w:rPr>
              <w:t>U</w:t>
            </w:r>
            <w:r w:rsidRPr="008B26DE">
              <w:rPr>
                <w:rFonts w:ascii="Arial Narrow" w:hAnsi="Arial Narrow"/>
                <w:sz w:val="20"/>
                <w:szCs w:val="20"/>
              </w:rPr>
              <w:t xml:space="preserve"> every 3 months</w:t>
            </w:r>
          </w:p>
        </w:tc>
        <w:tc>
          <w:tcPr>
            <w:tcW w:w="708" w:type="pct"/>
          </w:tcPr>
          <w:p w:rsidR="004C5BFD" w:rsidRPr="008B26DE" w:rsidRDefault="004C5BFD" w:rsidP="005C6C6C">
            <w:pPr>
              <w:keepNext/>
              <w:keepLines/>
              <w:jc w:val="center"/>
              <w:rPr>
                <w:rFonts w:ascii="Arial Narrow" w:hAnsi="Arial Narrow"/>
                <w:sz w:val="20"/>
                <w:szCs w:val="20"/>
              </w:rPr>
            </w:pPr>
            <w:r w:rsidRPr="008B26DE">
              <w:rPr>
                <w:rFonts w:ascii="Arial Narrow" w:hAnsi="Arial Narrow"/>
                <w:sz w:val="20"/>
                <w:szCs w:val="20"/>
              </w:rPr>
              <w:t>3 years</w:t>
            </w:r>
          </w:p>
        </w:tc>
        <w:tc>
          <w:tcPr>
            <w:tcW w:w="679" w:type="pct"/>
          </w:tcPr>
          <w:p w:rsidR="004C5BFD" w:rsidRPr="008B26DE" w:rsidRDefault="004C5BFD" w:rsidP="005C6C6C">
            <w:pPr>
              <w:keepNext/>
              <w:keepLines/>
              <w:jc w:val="center"/>
              <w:rPr>
                <w:rFonts w:ascii="Arial Narrow" w:hAnsi="Arial Narrow"/>
                <w:sz w:val="20"/>
                <w:szCs w:val="20"/>
              </w:rPr>
            </w:pPr>
            <w:r w:rsidRPr="008B26DE">
              <w:rPr>
                <w:rFonts w:ascii="Arial Narrow" w:hAnsi="Arial Narrow"/>
                <w:sz w:val="20"/>
                <w:szCs w:val="20"/>
              </w:rPr>
              <w:t>$</w:t>
            </w:r>
            <w:r w:rsidR="00913226">
              <w:rPr>
                <w:rFonts w:ascii="Arial Narrow" w:hAnsi="Arial Narrow"/>
                <w:noProof/>
                <w:color w:val="000000"/>
                <w:sz w:val="20"/>
                <w:szCs w:val="20"/>
                <w:highlight w:val="black"/>
              </w:rPr>
              <w:t>'''''''''''''''</w:t>
            </w:r>
          </w:p>
        </w:tc>
      </w:tr>
      <w:tr w:rsidR="004C5BFD" w:rsidRPr="008B26DE" w:rsidTr="005C6C6C">
        <w:tc>
          <w:tcPr>
            <w:tcW w:w="1412" w:type="pct"/>
            <w:shd w:val="clear" w:color="auto" w:fill="auto"/>
          </w:tcPr>
          <w:p w:rsidR="004C5BFD" w:rsidRPr="008B26DE" w:rsidRDefault="006733DE" w:rsidP="005C6C6C">
            <w:pPr>
              <w:keepNext/>
              <w:keepLines/>
              <w:jc w:val="left"/>
              <w:rPr>
                <w:rFonts w:ascii="Arial Narrow" w:hAnsi="Arial Narrow"/>
                <w:sz w:val="20"/>
                <w:szCs w:val="20"/>
              </w:rPr>
            </w:pPr>
            <w:r w:rsidRPr="008B26DE">
              <w:rPr>
                <w:rFonts w:ascii="Arial Narrow" w:hAnsi="Arial Narrow"/>
                <w:sz w:val="20"/>
                <w:szCs w:val="20"/>
              </w:rPr>
              <w:t>SA 1</w:t>
            </w:r>
            <w:r w:rsidR="004351AD" w:rsidRPr="008B26DE">
              <w:rPr>
                <w:rFonts w:ascii="Arial Narrow" w:hAnsi="Arial Narrow"/>
                <w:sz w:val="20"/>
                <w:szCs w:val="20"/>
              </w:rPr>
              <w:t xml:space="preserve">: </w:t>
            </w:r>
            <w:r w:rsidR="004C5BFD" w:rsidRPr="008B26DE">
              <w:rPr>
                <w:rFonts w:ascii="Arial Narrow" w:hAnsi="Arial Narrow"/>
                <w:sz w:val="20"/>
                <w:szCs w:val="20"/>
              </w:rPr>
              <w:t>as recommended by PBAC</w:t>
            </w:r>
          </w:p>
        </w:tc>
        <w:tc>
          <w:tcPr>
            <w:tcW w:w="2201" w:type="pct"/>
            <w:shd w:val="clear" w:color="auto" w:fill="auto"/>
          </w:tcPr>
          <w:p w:rsidR="004C5BFD" w:rsidRPr="008B26DE" w:rsidRDefault="004C5BFD" w:rsidP="005C6C6C">
            <w:pPr>
              <w:keepNext/>
              <w:keepLines/>
              <w:jc w:val="left"/>
              <w:rPr>
                <w:rFonts w:ascii="Arial Narrow" w:hAnsi="Arial Narrow"/>
                <w:sz w:val="20"/>
                <w:szCs w:val="20"/>
              </w:rPr>
            </w:pPr>
            <w:r w:rsidRPr="008B26DE">
              <w:rPr>
                <w:rFonts w:ascii="Arial Narrow" w:hAnsi="Arial Narrow"/>
                <w:sz w:val="20"/>
                <w:szCs w:val="20"/>
              </w:rPr>
              <w:t xml:space="preserve">GAL 240 mg loading dose followed by 120 mg every 30 days and Botox </w:t>
            </w:r>
            <w:r w:rsidRPr="008B26DE">
              <w:rPr>
                <w:rFonts w:ascii="Arial Narrow" w:hAnsi="Arial Narrow"/>
                <w:sz w:val="20"/>
                <w:szCs w:val="20"/>
                <w:u w:val="single"/>
              </w:rPr>
              <w:t>164</w:t>
            </w:r>
            <w:r w:rsidR="004351AD" w:rsidRPr="008B26DE">
              <w:rPr>
                <w:rFonts w:ascii="Arial Narrow" w:hAnsi="Arial Narrow"/>
                <w:sz w:val="20"/>
                <w:szCs w:val="20"/>
                <w:u w:val="single"/>
              </w:rPr>
              <w:t>U</w:t>
            </w:r>
            <w:r w:rsidRPr="008B26DE">
              <w:rPr>
                <w:rFonts w:ascii="Arial Narrow" w:hAnsi="Arial Narrow"/>
                <w:sz w:val="20"/>
                <w:szCs w:val="20"/>
              </w:rPr>
              <w:t xml:space="preserve"> every 3 months</w:t>
            </w:r>
          </w:p>
        </w:tc>
        <w:tc>
          <w:tcPr>
            <w:tcW w:w="708" w:type="pct"/>
            <w:shd w:val="clear" w:color="auto" w:fill="auto"/>
          </w:tcPr>
          <w:p w:rsidR="004C5BFD" w:rsidRPr="008B26DE" w:rsidRDefault="004C5BFD" w:rsidP="005C6C6C">
            <w:pPr>
              <w:keepNext/>
              <w:keepLines/>
              <w:jc w:val="center"/>
              <w:rPr>
                <w:rFonts w:ascii="Arial Narrow" w:hAnsi="Arial Narrow"/>
                <w:sz w:val="20"/>
                <w:szCs w:val="20"/>
                <w:u w:val="single"/>
              </w:rPr>
            </w:pPr>
            <w:r w:rsidRPr="008B26DE">
              <w:rPr>
                <w:rFonts w:ascii="Arial Narrow" w:hAnsi="Arial Narrow"/>
                <w:sz w:val="20"/>
                <w:szCs w:val="20"/>
                <w:u w:val="single"/>
              </w:rPr>
              <w:t>2 years</w:t>
            </w:r>
          </w:p>
        </w:tc>
        <w:tc>
          <w:tcPr>
            <w:tcW w:w="679" w:type="pct"/>
            <w:shd w:val="clear" w:color="auto" w:fill="auto"/>
          </w:tcPr>
          <w:p w:rsidR="004C5BFD" w:rsidRPr="008B26DE" w:rsidRDefault="004C5BFD" w:rsidP="005C6C6C">
            <w:pPr>
              <w:keepNext/>
              <w:keepLines/>
              <w:jc w:val="center"/>
              <w:rPr>
                <w:rFonts w:ascii="Arial Narrow" w:hAnsi="Arial Narrow"/>
                <w:sz w:val="20"/>
                <w:szCs w:val="20"/>
              </w:rPr>
            </w:pPr>
            <w:r w:rsidRPr="008B26DE">
              <w:rPr>
                <w:rFonts w:ascii="Arial Narrow" w:hAnsi="Arial Narrow"/>
                <w:sz w:val="20"/>
                <w:szCs w:val="20"/>
              </w:rPr>
              <w:t>$</w:t>
            </w:r>
            <w:r w:rsidR="00913226">
              <w:rPr>
                <w:rFonts w:ascii="Arial Narrow" w:hAnsi="Arial Narrow"/>
                <w:noProof/>
                <w:color w:val="000000"/>
                <w:sz w:val="20"/>
                <w:szCs w:val="20"/>
                <w:highlight w:val="black"/>
              </w:rPr>
              <w:t>'''''''''''''''''</w:t>
            </w:r>
            <w:r w:rsidRPr="008B26DE">
              <w:rPr>
                <w:rFonts w:ascii="Arial Narrow" w:hAnsi="Arial Narrow"/>
                <w:sz w:val="20"/>
                <w:szCs w:val="20"/>
              </w:rPr>
              <w:t>*</w:t>
            </w:r>
          </w:p>
        </w:tc>
      </w:tr>
      <w:tr w:rsidR="004C5BFD" w:rsidRPr="008B26DE" w:rsidTr="005C6C6C">
        <w:tc>
          <w:tcPr>
            <w:tcW w:w="1412" w:type="pct"/>
            <w:shd w:val="clear" w:color="auto" w:fill="auto"/>
          </w:tcPr>
          <w:p w:rsidR="004C5BFD" w:rsidRPr="008B26DE" w:rsidRDefault="004351AD" w:rsidP="005C6C6C">
            <w:pPr>
              <w:keepNext/>
              <w:keepLines/>
              <w:jc w:val="left"/>
              <w:rPr>
                <w:rFonts w:ascii="Arial Narrow" w:hAnsi="Arial Narrow"/>
                <w:sz w:val="20"/>
                <w:szCs w:val="20"/>
              </w:rPr>
            </w:pPr>
            <w:r w:rsidRPr="008B26DE">
              <w:rPr>
                <w:rFonts w:ascii="Arial Narrow" w:hAnsi="Arial Narrow"/>
                <w:sz w:val="20"/>
                <w:szCs w:val="20"/>
              </w:rPr>
              <w:t xml:space="preserve">SA 2: </w:t>
            </w:r>
            <w:r w:rsidR="00C11C6E" w:rsidRPr="008B26DE">
              <w:rPr>
                <w:rFonts w:ascii="Arial Narrow" w:hAnsi="Arial Narrow"/>
                <w:sz w:val="20"/>
                <w:szCs w:val="20"/>
              </w:rPr>
              <w:t xml:space="preserve"> equi-effective dose </w:t>
            </w:r>
            <w:r w:rsidR="003926D7" w:rsidRPr="008B26DE">
              <w:rPr>
                <w:rFonts w:ascii="Arial Narrow" w:hAnsi="Arial Narrow"/>
                <w:sz w:val="20"/>
                <w:szCs w:val="20"/>
              </w:rPr>
              <w:t>as recommended by PBAC  and 3 year time horizon</w:t>
            </w:r>
          </w:p>
        </w:tc>
        <w:tc>
          <w:tcPr>
            <w:tcW w:w="2201" w:type="pct"/>
            <w:shd w:val="clear" w:color="auto" w:fill="auto"/>
          </w:tcPr>
          <w:p w:rsidR="004C5BFD" w:rsidRPr="008B26DE" w:rsidRDefault="004C5BFD" w:rsidP="005C6C6C">
            <w:pPr>
              <w:pStyle w:val="3Bodytext"/>
              <w:keepNext/>
              <w:keepLines/>
              <w:numPr>
                <w:ilvl w:val="0"/>
                <w:numId w:val="0"/>
              </w:numPr>
              <w:spacing w:after="0"/>
              <w:jc w:val="left"/>
              <w:rPr>
                <w:rFonts w:ascii="Arial Narrow" w:hAnsi="Arial Narrow"/>
                <w:sz w:val="20"/>
                <w:szCs w:val="20"/>
              </w:rPr>
            </w:pPr>
            <w:r w:rsidRPr="008B26DE">
              <w:rPr>
                <w:rFonts w:ascii="Arial Narrow" w:hAnsi="Arial Narrow"/>
                <w:sz w:val="20"/>
                <w:szCs w:val="20"/>
              </w:rPr>
              <w:t xml:space="preserve">GAL 240 mg loading dose followed by 120 mg every 30 days and Botox </w:t>
            </w:r>
            <w:r w:rsidRPr="008B26DE">
              <w:rPr>
                <w:rFonts w:ascii="Arial Narrow" w:hAnsi="Arial Narrow"/>
                <w:sz w:val="20"/>
                <w:szCs w:val="20"/>
                <w:u w:val="single"/>
              </w:rPr>
              <w:t>164</w:t>
            </w:r>
            <w:r w:rsidR="004351AD" w:rsidRPr="008B26DE">
              <w:rPr>
                <w:rFonts w:ascii="Arial Narrow" w:hAnsi="Arial Narrow"/>
                <w:sz w:val="20"/>
                <w:szCs w:val="20"/>
                <w:u w:val="single"/>
              </w:rPr>
              <w:t>U</w:t>
            </w:r>
            <w:r w:rsidRPr="008B26DE">
              <w:rPr>
                <w:rFonts w:ascii="Arial Narrow" w:hAnsi="Arial Narrow"/>
                <w:sz w:val="20"/>
                <w:szCs w:val="20"/>
              </w:rPr>
              <w:t xml:space="preserve"> every 3 months</w:t>
            </w:r>
          </w:p>
        </w:tc>
        <w:tc>
          <w:tcPr>
            <w:tcW w:w="708" w:type="pct"/>
            <w:shd w:val="clear" w:color="auto" w:fill="auto"/>
          </w:tcPr>
          <w:p w:rsidR="004C5BFD" w:rsidRPr="008B26DE" w:rsidRDefault="004C5BFD" w:rsidP="005C6C6C">
            <w:pPr>
              <w:keepNext/>
              <w:keepLines/>
              <w:jc w:val="center"/>
              <w:rPr>
                <w:rFonts w:ascii="Arial Narrow" w:hAnsi="Arial Narrow"/>
                <w:sz w:val="20"/>
                <w:szCs w:val="20"/>
              </w:rPr>
            </w:pPr>
            <w:r w:rsidRPr="008B26DE">
              <w:rPr>
                <w:rFonts w:ascii="Arial Narrow" w:hAnsi="Arial Narrow"/>
                <w:sz w:val="20"/>
                <w:szCs w:val="20"/>
              </w:rPr>
              <w:t>3 years</w:t>
            </w:r>
          </w:p>
        </w:tc>
        <w:tc>
          <w:tcPr>
            <w:tcW w:w="679" w:type="pct"/>
            <w:shd w:val="clear" w:color="auto" w:fill="auto"/>
          </w:tcPr>
          <w:p w:rsidR="004C5BFD" w:rsidRPr="008B26DE" w:rsidRDefault="004C5BFD" w:rsidP="005C6C6C">
            <w:pPr>
              <w:keepNext/>
              <w:keepLines/>
              <w:jc w:val="center"/>
              <w:rPr>
                <w:rFonts w:ascii="Arial Narrow" w:hAnsi="Arial Narrow"/>
                <w:sz w:val="20"/>
                <w:szCs w:val="20"/>
              </w:rPr>
            </w:pPr>
            <w:r w:rsidRPr="008B26DE">
              <w:rPr>
                <w:rFonts w:ascii="Arial Narrow" w:hAnsi="Arial Narrow"/>
                <w:sz w:val="20"/>
                <w:szCs w:val="20"/>
              </w:rPr>
              <w:t>$</w:t>
            </w:r>
            <w:r w:rsidR="00913226">
              <w:rPr>
                <w:rFonts w:ascii="Arial Narrow" w:hAnsi="Arial Narrow"/>
                <w:noProof/>
                <w:color w:val="000000"/>
                <w:sz w:val="20"/>
                <w:szCs w:val="20"/>
                <w:highlight w:val="black"/>
              </w:rPr>
              <w:t>''''''''''''''''</w:t>
            </w:r>
          </w:p>
        </w:tc>
      </w:tr>
      <w:tr w:rsidR="004C5BFD" w:rsidRPr="008B26DE" w:rsidTr="005C6C6C">
        <w:tc>
          <w:tcPr>
            <w:tcW w:w="1412" w:type="pct"/>
            <w:shd w:val="clear" w:color="auto" w:fill="auto"/>
          </w:tcPr>
          <w:p w:rsidR="004C5BFD" w:rsidRPr="008B26DE" w:rsidRDefault="004351AD" w:rsidP="005C6C6C">
            <w:pPr>
              <w:keepNext/>
              <w:keepLines/>
              <w:jc w:val="left"/>
              <w:rPr>
                <w:rFonts w:ascii="Arial Narrow" w:hAnsi="Arial Narrow"/>
                <w:sz w:val="20"/>
                <w:szCs w:val="20"/>
              </w:rPr>
            </w:pPr>
            <w:r w:rsidRPr="008B26DE">
              <w:rPr>
                <w:rFonts w:ascii="Arial Narrow" w:hAnsi="Arial Narrow"/>
                <w:sz w:val="20"/>
                <w:szCs w:val="20"/>
              </w:rPr>
              <w:t xml:space="preserve">SA 3: </w:t>
            </w:r>
            <w:r w:rsidR="00821DEC" w:rsidRPr="008B26DE">
              <w:rPr>
                <w:rFonts w:ascii="Arial Narrow" w:hAnsi="Arial Narrow"/>
                <w:sz w:val="20"/>
                <w:szCs w:val="20"/>
              </w:rPr>
              <w:t xml:space="preserve">Assuming </w:t>
            </w:r>
            <w:r w:rsidRPr="008B26DE">
              <w:rPr>
                <w:rFonts w:ascii="Arial Narrow" w:hAnsi="Arial Narrow"/>
                <w:sz w:val="20"/>
                <w:szCs w:val="20"/>
              </w:rPr>
              <w:t>2 vials of Botox</w:t>
            </w:r>
            <w:r w:rsidR="00821DEC" w:rsidRPr="008B26DE">
              <w:rPr>
                <w:rFonts w:ascii="Arial Narrow" w:hAnsi="Arial Narrow"/>
                <w:sz w:val="20"/>
                <w:szCs w:val="20"/>
              </w:rPr>
              <w:t xml:space="preserve"> per dose (as included in </w:t>
            </w:r>
            <w:r w:rsidR="003926D7" w:rsidRPr="008B26DE">
              <w:rPr>
                <w:rFonts w:ascii="Arial Narrow" w:hAnsi="Arial Narrow"/>
                <w:sz w:val="20"/>
                <w:szCs w:val="20"/>
              </w:rPr>
              <w:t xml:space="preserve">CMA in </w:t>
            </w:r>
            <w:r w:rsidR="00821DEC" w:rsidRPr="008B26DE">
              <w:rPr>
                <w:rFonts w:ascii="Arial Narrow" w:hAnsi="Arial Narrow"/>
                <w:sz w:val="20"/>
                <w:szCs w:val="20"/>
              </w:rPr>
              <w:t>July 2019</w:t>
            </w:r>
            <w:r w:rsidR="003926D7" w:rsidRPr="008B26DE">
              <w:rPr>
                <w:rFonts w:ascii="Arial Narrow" w:hAnsi="Arial Narrow"/>
                <w:sz w:val="20"/>
                <w:szCs w:val="20"/>
              </w:rPr>
              <w:t xml:space="preserve"> submission)</w:t>
            </w:r>
          </w:p>
        </w:tc>
        <w:tc>
          <w:tcPr>
            <w:tcW w:w="2201" w:type="pct"/>
            <w:shd w:val="clear" w:color="auto" w:fill="auto"/>
          </w:tcPr>
          <w:p w:rsidR="004C5BFD" w:rsidRPr="008B26DE" w:rsidRDefault="004C5BFD" w:rsidP="005C6C6C">
            <w:pPr>
              <w:pStyle w:val="3Bodytext"/>
              <w:keepNext/>
              <w:keepLines/>
              <w:numPr>
                <w:ilvl w:val="0"/>
                <w:numId w:val="0"/>
              </w:numPr>
              <w:spacing w:after="0"/>
              <w:jc w:val="left"/>
              <w:rPr>
                <w:rFonts w:ascii="Arial Narrow" w:hAnsi="Arial Narrow"/>
                <w:sz w:val="20"/>
                <w:szCs w:val="20"/>
              </w:rPr>
            </w:pPr>
            <w:r w:rsidRPr="008B26DE">
              <w:rPr>
                <w:rFonts w:ascii="Arial Narrow" w:hAnsi="Arial Narrow"/>
                <w:sz w:val="20"/>
                <w:szCs w:val="20"/>
              </w:rPr>
              <w:t xml:space="preserve">GAL 240 mg loading dose followed by 120 mg every 30 days and Botox </w:t>
            </w:r>
            <w:r w:rsidRPr="008B26DE">
              <w:rPr>
                <w:rFonts w:ascii="Arial Narrow" w:hAnsi="Arial Narrow"/>
                <w:sz w:val="20"/>
                <w:szCs w:val="20"/>
                <w:u w:val="single"/>
              </w:rPr>
              <w:t>200</w:t>
            </w:r>
            <w:r w:rsidR="004351AD" w:rsidRPr="008B26DE">
              <w:rPr>
                <w:rFonts w:ascii="Arial Narrow" w:hAnsi="Arial Narrow"/>
                <w:sz w:val="20"/>
                <w:szCs w:val="20"/>
                <w:u w:val="single"/>
              </w:rPr>
              <w:t>U</w:t>
            </w:r>
            <w:r w:rsidR="004351AD" w:rsidRPr="008B26DE">
              <w:rPr>
                <w:rFonts w:ascii="Arial Narrow" w:hAnsi="Arial Narrow"/>
                <w:sz w:val="20"/>
                <w:szCs w:val="20"/>
              </w:rPr>
              <w:t xml:space="preserve"> </w:t>
            </w:r>
            <w:r w:rsidRPr="008B26DE">
              <w:rPr>
                <w:rFonts w:ascii="Arial Narrow" w:hAnsi="Arial Narrow"/>
                <w:sz w:val="20"/>
                <w:szCs w:val="20"/>
              </w:rPr>
              <w:t>every 3 months</w:t>
            </w:r>
          </w:p>
        </w:tc>
        <w:tc>
          <w:tcPr>
            <w:tcW w:w="708" w:type="pct"/>
            <w:shd w:val="clear" w:color="auto" w:fill="auto"/>
          </w:tcPr>
          <w:p w:rsidR="004C5BFD" w:rsidRPr="008B26DE" w:rsidRDefault="00821DEC" w:rsidP="005C6C6C">
            <w:pPr>
              <w:keepNext/>
              <w:keepLines/>
              <w:jc w:val="center"/>
              <w:rPr>
                <w:rFonts w:ascii="Arial Narrow" w:hAnsi="Arial Narrow"/>
                <w:sz w:val="20"/>
                <w:szCs w:val="20"/>
              </w:rPr>
            </w:pPr>
            <w:r w:rsidRPr="008B26DE">
              <w:rPr>
                <w:rFonts w:ascii="Arial Narrow" w:hAnsi="Arial Narrow"/>
                <w:sz w:val="20"/>
                <w:szCs w:val="20"/>
              </w:rPr>
              <w:t>3 years</w:t>
            </w:r>
          </w:p>
        </w:tc>
        <w:tc>
          <w:tcPr>
            <w:tcW w:w="679" w:type="pct"/>
            <w:shd w:val="clear" w:color="auto" w:fill="auto"/>
          </w:tcPr>
          <w:p w:rsidR="004C5BFD" w:rsidRPr="008B26DE" w:rsidRDefault="004C5BFD" w:rsidP="005C6C6C">
            <w:pPr>
              <w:keepNext/>
              <w:keepLines/>
              <w:jc w:val="center"/>
              <w:rPr>
                <w:rFonts w:ascii="Arial Narrow" w:hAnsi="Arial Narrow"/>
                <w:sz w:val="20"/>
                <w:szCs w:val="20"/>
              </w:rPr>
            </w:pPr>
            <w:r w:rsidRPr="008B26DE">
              <w:rPr>
                <w:rFonts w:ascii="Arial Narrow" w:hAnsi="Arial Narrow"/>
                <w:sz w:val="20"/>
                <w:szCs w:val="20"/>
              </w:rPr>
              <w:t>$</w:t>
            </w:r>
            <w:r w:rsidR="00913226">
              <w:rPr>
                <w:rFonts w:ascii="Arial Narrow" w:hAnsi="Arial Narrow"/>
                <w:noProof/>
                <w:color w:val="000000"/>
                <w:sz w:val="20"/>
                <w:szCs w:val="20"/>
                <w:highlight w:val="black"/>
              </w:rPr>
              <w:t>''''''''''''''''</w:t>
            </w:r>
          </w:p>
        </w:tc>
      </w:tr>
    </w:tbl>
    <w:p w:rsidR="00C11C6E" w:rsidRPr="008B26DE" w:rsidRDefault="00BA7E8C" w:rsidP="007113B3">
      <w:pPr>
        <w:pStyle w:val="3Bodytext"/>
        <w:keepLines/>
        <w:numPr>
          <w:ilvl w:val="0"/>
          <w:numId w:val="0"/>
        </w:numPr>
        <w:spacing w:after="0"/>
        <w:rPr>
          <w:sz w:val="18"/>
        </w:rPr>
      </w:pPr>
      <w:r w:rsidRPr="008B26DE">
        <w:rPr>
          <w:sz w:val="18"/>
        </w:rPr>
        <w:t xml:space="preserve">AEMP </w:t>
      </w:r>
      <w:r w:rsidR="00EA2070" w:rsidRPr="008B26DE">
        <w:rPr>
          <w:sz w:val="18"/>
        </w:rPr>
        <w:t xml:space="preserve">approved ex-manufacturer price; </w:t>
      </w:r>
      <w:r w:rsidRPr="008B26DE">
        <w:rPr>
          <w:sz w:val="18"/>
        </w:rPr>
        <w:t xml:space="preserve">CMA </w:t>
      </w:r>
      <w:r w:rsidR="00EA2070" w:rsidRPr="008B26DE">
        <w:rPr>
          <w:sz w:val="18"/>
        </w:rPr>
        <w:t xml:space="preserve">cost-minimisation analysis; </w:t>
      </w:r>
      <w:r w:rsidRPr="008B26DE">
        <w:rPr>
          <w:sz w:val="18"/>
        </w:rPr>
        <w:t xml:space="preserve">GAL </w:t>
      </w:r>
      <w:proofErr w:type="spellStart"/>
      <w:r w:rsidR="00EA2070" w:rsidRPr="008B26DE">
        <w:rPr>
          <w:sz w:val="18"/>
        </w:rPr>
        <w:t>galcanezumab</w:t>
      </w:r>
      <w:proofErr w:type="spellEnd"/>
      <w:r w:rsidR="00C11C6E" w:rsidRPr="008B26DE">
        <w:rPr>
          <w:sz w:val="18"/>
        </w:rPr>
        <w:t>; SA sensitivity analysis</w:t>
      </w:r>
    </w:p>
    <w:p w:rsidR="007159EF" w:rsidRPr="008B26DE" w:rsidRDefault="004C5BFD" w:rsidP="002151C2">
      <w:pPr>
        <w:pStyle w:val="3Bodytext"/>
        <w:keepLines/>
        <w:numPr>
          <w:ilvl w:val="0"/>
          <w:numId w:val="0"/>
        </w:numPr>
        <w:rPr>
          <w:sz w:val="18"/>
        </w:rPr>
      </w:pPr>
      <w:r w:rsidRPr="008B26DE">
        <w:rPr>
          <w:sz w:val="18"/>
        </w:rPr>
        <w:t>* The resubmission stated the AEMP recommended by the PBAC was $</w:t>
      </w:r>
      <w:r w:rsidR="00913226">
        <w:rPr>
          <w:noProof/>
          <w:color w:val="000000"/>
          <w:sz w:val="18"/>
          <w:highlight w:val="black"/>
        </w:rPr>
        <w:t>'''''''''''''</w:t>
      </w:r>
      <w:r w:rsidRPr="008B26DE">
        <w:rPr>
          <w:sz w:val="18"/>
        </w:rPr>
        <w:t xml:space="preserve">; however this calculation was conducted over 3 years and did not incorporate a number of changes recommended by the PBAC (for example, GP visits). </w:t>
      </w:r>
    </w:p>
    <w:p w:rsidR="00B70E9F" w:rsidRPr="008B26DE" w:rsidRDefault="005938EE" w:rsidP="009614B9">
      <w:pPr>
        <w:pStyle w:val="3Bodytext"/>
      </w:pPr>
      <w:r w:rsidRPr="008B26DE">
        <w:t>The resubmission proposed</w:t>
      </w:r>
      <w:r w:rsidR="00AC423F" w:rsidRPr="008B26DE">
        <w:t xml:space="preserve"> </w:t>
      </w:r>
      <w:r w:rsidR="00E024B9" w:rsidRPr="008B26DE">
        <w:t>the equi-effective dose of Botox would be revised based on the outcomes</w:t>
      </w:r>
      <w:r w:rsidR="00EA4A2C" w:rsidRPr="008B26DE">
        <w:t xml:space="preserve"> for </w:t>
      </w:r>
      <w:proofErr w:type="spellStart"/>
      <w:r w:rsidR="00EA4A2C" w:rsidRPr="008B26DE">
        <w:t>galcanezumab</w:t>
      </w:r>
      <w:proofErr w:type="spellEnd"/>
      <w:r w:rsidR="00E024B9" w:rsidRPr="008B26DE">
        <w:t xml:space="preserve"> from an observational study (TRIUMPH)</w:t>
      </w:r>
      <w:r w:rsidR="00AC423F" w:rsidRPr="008B26DE">
        <w:t>.</w:t>
      </w:r>
      <w:r w:rsidR="00E024B9" w:rsidRPr="008B26DE">
        <w:t xml:space="preserve"> The outcomes from TRIUMPH would be compared to the outcomes in the pivotal study (REGAIN) considered by the PBAC </w:t>
      </w:r>
      <w:r w:rsidR="002243DB" w:rsidRPr="008B26DE">
        <w:t>in July 2019</w:t>
      </w:r>
      <w:r w:rsidR="00C47FFD" w:rsidRPr="008B26DE">
        <w:t xml:space="preserve"> and </w:t>
      </w:r>
      <w:r w:rsidR="0031158C" w:rsidRPr="008B26DE">
        <w:t>t</w:t>
      </w:r>
      <w:r w:rsidR="00935E56" w:rsidRPr="008B26DE">
        <w:t xml:space="preserve">he price of </w:t>
      </w:r>
      <w:proofErr w:type="spellStart"/>
      <w:r w:rsidR="00935E56" w:rsidRPr="008B26DE">
        <w:t>galcanezumab</w:t>
      </w:r>
      <w:proofErr w:type="spellEnd"/>
      <w:r w:rsidR="00935E56" w:rsidRPr="008B26DE">
        <w:t xml:space="preserve"> would be recalculated </w:t>
      </w:r>
      <w:r w:rsidR="001D41EC" w:rsidRPr="008B26DE">
        <w:t xml:space="preserve">at the end of the Deed </w:t>
      </w:r>
      <w:r w:rsidR="00935E56" w:rsidRPr="008B26DE">
        <w:t>using revised equi-effective dose</w:t>
      </w:r>
      <w:r w:rsidR="00861363" w:rsidRPr="008B26DE">
        <w:t>s</w:t>
      </w:r>
      <w:r w:rsidR="00935E56" w:rsidRPr="008B26DE">
        <w:t xml:space="preserve"> of Botox</w:t>
      </w:r>
      <w:r w:rsidR="00861363" w:rsidRPr="008B26DE">
        <w:t xml:space="preserve">, which would </w:t>
      </w:r>
      <w:r w:rsidR="00BC084A" w:rsidRPr="008B26DE">
        <w:t xml:space="preserve">vary </w:t>
      </w:r>
      <w:r w:rsidR="00861363" w:rsidRPr="008B26DE">
        <w:t>depend</w:t>
      </w:r>
      <w:r w:rsidR="00BC084A" w:rsidRPr="008B26DE">
        <w:t>ing</w:t>
      </w:r>
      <w:r w:rsidR="00861363" w:rsidRPr="008B26DE">
        <w:t xml:space="preserve"> on </w:t>
      </w:r>
      <w:r w:rsidR="00BC084A" w:rsidRPr="008B26DE">
        <w:t xml:space="preserve">the clinical </w:t>
      </w:r>
      <w:r w:rsidR="00861363" w:rsidRPr="008B26DE">
        <w:t>outcomes</w:t>
      </w:r>
      <w:r w:rsidR="00BC084A" w:rsidRPr="008B26DE">
        <w:t xml:space="preserve"> for TRIUMPH</w:t>
      </w:r>
      <w:r w:rsidR="00861363" w:rsidRPr="008B26DE">
        <w:t xml:space="preserve">. </w:t>
      </w:r>
    </w:p>
    <w:p w:rsidR="009854E9" w:rsidRPr="008B26DE" w:rsidRDefault="009854E9" w:rsidP="009854E9">
      <w:pPr>
        <w:pStyle w:val="4-SubsectionHeading"/>
        <w:rPr>
          <w:lang w:eastAsia="en-US"/>
        </w:rPr>
      </w:pPr>
      <w:r w:rsidRPr="008B26DE">
        <w:rPr>
          <w:lang w:eastAsia="en-US"/>
        </w:rPr>
        <w:t xml:space="preserve">Estimated number of treated patients and </w:t>
      </w:r>
      <w:r w:rsidR="005938EE" w:rsidRPr="008B26DE">
        <w:rPr>
          <w:lang w:eastAsia="en-US"/>
        </w:rPr>
        <w:t>financial estimates</w:t>
      </w:r>
    </w:p>
    <w:p w:rsidR="00231774" w:rsidRPr="001452E2" w:rsidRDefault="00231774" w:rsidP="00231774">
      <w:pPr>
        <w:pStyle w:val="3Bodytext"/>
        <w:rPr>
          <w:i/>
        </w:rPr>
      </w:pPr>
      <w:r w:rsidRPr="008B26DE">
        <w:t>The resubmission provided a</w:t>
      </w:r>
      <w:r w:rsidR="006D67FF" w:rsidRPr="008B26DE">
        <w:t xml:space="preserve"> </w:t>
      </w:r>
      <w:r w:rsidRPr="008B26DE">
        <w:t xml:space="preserve">Section 4 </w:t>
      </w:r>
      <w:r w:rsidR="006D67FF" w:rsidRPr="008B26DE">
        <w:t xml:space="preserve">‘Utilisation and cost model workbook’ </w:t>
      </w:r>
      <w:r w:rsidRPr="008B26DE">
        <w:t xml:space="preserve">consistent with </w:t>
      </w:r>
      <w:r w:rsidR="001452E2">
        <w:t xml:space="preserve">a previous version of </w:t>
      </w:r>
      <w:r w:rsidRPr="008B26DE">
        <w:t>the template but</w:t>
      </w:r>
      <w:r w:rsidR="00320593">
        <w:t xml:space="preserve"> </w:t>
      </w:r>
      <w:r w:rsidRPr="008B26DE">
        <w:t>modified to add risk-sharing elements</w:t>
      </w:r>
      <w:r w:rsidR="00196472">
        <w:t xml:space="preserve"> including a</w:t>
      </w:r>
      <w:r w:rsidRPr="008B26DE">
        <w:t xml:space="preserve"> two-cap system described</w:t>
      </w:r>
      <w:r w:rsidR="006D67FF" w:rsidRPr="008B26DE">
        <w:t xml:space="preserve"> below</w:t>
      </w:r>
      <w:r w:rsidRPr="008B26DE">
        <w:t xml:space="preserve">. </w:t>
      </w:r>
      <w:r w:rsidR="00C87DD2" w:rsidRPr="008B26DE">
        <w:t>The resubmission stated that d</w:t>
      </w:r>
      <w:r w:rsidRPr="001452E2">
        <w:t xml:space="preserve">ue to </w:t>
      </w:r>
      <w:r w:rsidR="00EE061B" w:rsidRPr="001452E2">
        <w:t xml:space="preserve">the </w:t>
      </w:r>
      <w:r w:rsidRPr="001452E2">
        <w:t xml:space="preserve">complexity of the </w:t>
      </w:r>
      <w:r w:rsidR="00C87DD2" w:rsidRPr="001452E2">
        <w:t xml:space="preserve">proposed </w:t>
      </w:r>
      <w:r w:rsidRPr="001452E2">
        <w:t>RSA</w:t>
      </w:r>
      <w:r w:rsidR="00C87DD2" w:rsidRPr="001452E2">
        <w:t xml:space="preserve"> and the modelling required</w:t>
      </w:r>
      <w:r w:rsidRPr="001452E2">
        <w:t xml:space="preserve">, </w:t>
      </w:r>
      <w:r w:rsidR="00C87DD2" w:rsidRPr="001452E2">
        <w:t xml:space="preserve">the </w:t>
      </w:r>
      <w:r w:rsidRPr="001452E2">
        <w:t>model is macro-enabled.</w:t>
      </w:r>
      <w:r w:rsidR="006D67FF" w:rsidRPr="001452E2">
        <w:rPr>
          <w:i/>
        </w:rPr>
        <w:t xml:space="preserve"> </w:t>
      </w:r>
      <w:r w:rsidR="00207BF0" w:rsidRPr="001452E2">
        <w:t>The Secretariat noted the spread</w:t>
      </w:r>
      <w:r w:rsidR="00121C58" w:rsidRPr="001452E2">
        <w:t xml:space="preserve">sheet was complex, not in the format required for consideration by other relevant agencies) </w:t>
      </w:r>
      <w:r w:rsidR="00207BF0" w:rsidRPr="001452E2">
        <w:t>and</w:t>
      </w:r>
      <w:r w:rsidR="00121C58" w:rsidRPr="001452E2">
        <w:t>,</w:t>
      </w:r>
      <w:r w:rsidR="00207BF0" w:rsidRPr="001452E2">
        <w:t xml:space="preserve"> </w:t>
      </w:r>
      <w:r w:rsidR="00121C58" w:rsidRPr="001452E2">
        <w:t>as a minor submission, the estimates were not evaluated.</w:t>
      </w:r>
      <w:r w:rsidR="00121C58" w:rsidRPr="001452E2">
        <w:rPr>
          <w:i/>
        </w:rPr>
        <w:t xml:space="preserve"> </w:t>
      </w:r>
    </w:p>
    <w:p w:rsidR="005C2096" w:rsidRPr="008B26DE" w:rsidRDefault="005E28A8" w:rsidP="00733CB6">
      <w:pPr>
        <w:pStyle w:val="3Bodytext"/>
      </w:pPr>
      <w:r w:rsidRPr="008B26DE">
        <w:t xml:space="preserve">The resubmission stated the appropriate approach to developing expenditure caps and an RSA for the CGRP inhibitors is to “attempt to set </w:t>
      </w:r>
      <w:r w:rsidRPr="008B26DE">
        <w:rPr>
          <w:i/>
        </w:rPr>
        <w:t>high</w:t>
      </w:r>
      <w:r w:rsidRPr="008B26DE">
        <w:t xml:space="preserve"> discount levels at a </w:t>
      </w:r>
      <w:r w:rsidRPr="008B26DE">
        <w:rPr>
          <w:i/>
        </w:rPr>
        <w:t>reasonable</w:t>
      </w:r>
      <w:r w:rsidRPr="008B26DE">
        <w:t xml:space="preserve"> estimate of the maximum eligible population”. The resubmission stated that the estimated number of patients with treatment-resistant chronic migraine </w:t>
      </w:r>
      <w:r w:rsidR="00473C9B" w:rsidRPr="008B26DE">
        <w:t xml:space="preserve">presented in the resubmission </w:t>
      </w:r>
      <w:r w:rsidR="004B1E45" w:rsidRPr="008B26DE">
        <w:t xml:space="preserve">(330, 643 in Year 6) </w:t>
      </w:r>
      <w:r w:rsidRPr="008B26DE">
        <w:t xml:space="preserve">is </w:t>
      </w:r>
      <w:r w:rsidR="004B1E45" w:rsidRPr="008B26DE">
        <w:t xml:space="preserve">more conservative </w:t>
      </w:r>
      <w:r w:rsidRPr="008B26DE">
        <w:t>than previous DUSC estimates of patient numbers</w:t>
      </w:r>
      <w:r w:rsidR="008820E2" w:rsidRPr="008B26DE">
        <w:t>.</w:t>
      </w:r>
      <w:r w:rsidR="00AB7F7F" w:rsidRPr="008B26DE">
        <w:t xml:space="preserve"> </w:t>
      </w:r>
      <w:r w:rsidR="00473C9B" w:rsidRPr="008B26DE">
        <w:t>The resubmission</w:t>
      </w:r>
      <w:r w:rsidR="00AB7F7F" w:rsidRPr="008B26DE">
        <w:t xml:space="preserve"> noted that the DUSC, during its </w:t>
      </w:r>
      <w:r w:rsidR="00231774" w:rsidRPr="008B26DE">
        <w:t xml:space="preserve">previous </w:t>
      </w:r>
      <w:r w:rsidR="00AB7F7F" w:rsidRPr="008B26DE">
        <w:t xml:space="preserve">evaluation of the </w:t>
      </w:r>
      <w:proofErr w:type="spellStart"/>
      <w:r w:rsidR="00AB7F7F" w:rsidRPr="008B26DE">
        <w:t>erenumab</w:t>
      </w:r>
      <w:proofErr w:type="spellEnd"/>
      <w:r w:rsidR="00231774" w:rsidRPr="008B26DE">
        <w:t xml:space="preserve"> submission</w:t>
      </w:r>
      <w:r w:rsidR="00AB7F7F" w:rsidRPr="008B26DE">
        <w:t xml:space="preserve">, considered “while the total number of patients which chronic migraine is difficult to estimate, the prevalence….is </w:t>
      </w:r>
      <w:r w:rsidR="00473C9B" w:rsidRPr="008B26DE">
        <w:t>likely to be approximately 400,000</w:t>
      </w:r>
      <w:r w:rsidR="00AB7F7F" w:rsidRPr="008B26DE">
        <w:t xml:space="preserve"> patients</w:t>
      </w:r>
      <w:r w:rsidR="00473C9B" w:rsidRPr="008B26DE">
        <w:t xml:space="preserve">” (paragraph 4.3, </w:t>
      </w:r>
      <w:proofErr w:type="spellStart"/>
      <w:r w:rsidR="00473C9B" w:rsidRPr="008B26DE">
        <w:t>erenumab</w:t>
      </w:r>
      <w:proofErr w:type="spellEnd"/>
      <w:r w:rsidR="00473C9B" w:rsidRPr="008B26DE">
        <w:t xml:space="preserve"> PSD, March 2019 PBAC meeting)</w:t>
      </w:r>
      <w:r w:rsidR="00AB7F7F" w:rsidRPr="008B26DE">
        <w:t xml:space="preserve">. </w:t>
      </w:r>
    </w:p>
    <w:p w:rsidR="00AB7F7F" w:rsidRPr="008B26DE" w:rsidRDefault="00257773" w:rsidP="00C87DD2">
      <w:pPr>
        <w:pStyle w:val="3Bodytext"/>
      </w:pPr>
      <w:r w:rsidRPr="008B26DE">
        <w:t>The resubmission applied assumptions for the prevalence of migraine (14.64%</w:t>
      </w:r>
      <w:r w:rsidR="00A41880" w:rsidRPr="008B26DE">
        <w:t xml:space="preserve"> of people over 18 years of age</w:t>
      </w:r>
      <w:r w:rsidRPr="008B26DE">
        <w:t>), the proportion of patients with chronic migraine (10%) and the proportion of patients who have failed 3 or more prior treatment</w:t>
      </w:r>
      <w:r w:rsidR="00A41880" w:rsidRPr="008B26DE">
        <w:t>s</w:t>
      </w:r>
      <w:r w:rsidRPr="008B26DE">
        <w:t xml:space="preserve"> (12%) that were consistent with the July 2019 submission</w:t>
      </w:r>
      <w:r w:rsidR="008B26DE">
        <w:t xml:space="preserve">. </w:t>
      </w:r>
    </w:p>
    <w:p w:rsidR="000B1BAD" w:rsidRPr="008B26DE" w:rsidRDefault="00C3016E" w:rsidP="00733CB6">
      <w:pPr>
        <w:pStyle w:val="3Bodytext"/>
      </w:pPr>
      <w:r w:rsidRPr="001452E2">
        <w:lastRenderedPageBreak/>
        <w:t>The resubmission pre</w:t>
      </w:r>
      <w:r w:rsidR="009479F5" w:rsidRPr="001452E2">
        <w:t>sented modelling</w:t>
      </w:r>
      <w:r w:rsidRPr="001452E2">
        <w:t xml:space="preserve"> to determine the number of treated patients incorporating</w:t>
      </w:r>
      <w:r w:rsidR="00027CAA" w:rsidRPr="008B26DE">
        <w:t xml:space="preserve"> a number of assumptions</w:t>
      </w:r>
      <w:r w:rsidRPr="008B26DE">
        <w:t>:</w:t>
      </w:r>
    </w:p>
    <w:p w:rsidR="00C3016E" w:rsidRPr="008B26DE" w:rsidRDefault="00C3016E" w:rsidP="00C3016E">
      <w:pPr>
        <w:pStyle w:val="3Bodytext"/>
        <w:numPr>
          <w:ilvl w:val="0"/>
          <w:numId w:val="32"/>
        </w:numPr>
      </w:pPr>
      <w:r w:rsidRPr="008B26DE">
        <w:t xml:space="preserve">The prevalent Botox population at the time of </w:t>
      </w:r>
      <w:proofErr w:type="spellStart"/>
      <w:r w:rsidRPr="008B26DE">
        <w:t>galcanezumab</w:t>
      </w:r>
      <w:proofErr w:type="spellEnd"/>
      <w:r w:rsidRPr="008B26DE">
        <w:t xml:space="preserve"> PBS listing is </w:t>
      </w:r>
      <w:r w:rsidR="00A41880" w:rsidRPr="008B26DE">
        <w:t xml:space="preserve">assumed to be </w:t>
      </w:r>
      <w:r w:rsidR="00B02408">
        <w:t xml:space="preserve">10,000 to &lt; </w:t>
      </w:r>
      <w:r w:rsidR="00B71A7C">
        <w:t xml:space="preserve">20,000 </w:t>
      </w:r>
      <w:r w:rsidR="00B71A7C" w:rsidRPr="008B26DE">
        <w:t>based</w:t>
      </w:r>
      <w:r w:rsidR="00A41880" w:rsidRPr="008B26DE">
        <w:t xml:space="preserve"> on </w:t>
      </w:r>
      <w:r w:rsidR="0043523B" w:rsidRPr="008B26DE">
        <w:t xml:space="preserve">PBS </w:t>
      </w:r>
      <w:r w:rsidR="00A41880" w:rsidRPr="008B26DE">
        <w:t>data and modelled initiations and drop-offs</w:t>
      </w:r>
      <w:r w:rsidR="006F0FEE" w:rsidRPr="008B26DE">
        <w:t>. The model</w:t>
      </w:r>
      <w:r w:rsidR="00A41880" w:rsidRPr="008B26DE">
        <w:t xml:space="preserve"> then assumed</w:t>
      </w:r>
      <w:r w:rsidR="0043523B" w:rsidRPr="008B26DE">
        <w:t xml:space="preserve"> (MS market share approach)</w:t>
      </w:r>
      <w:r w:rsidR="00A41880" w:rsidRPr="008B26DE">
        <w:t>:</w:t>
      </w:r>
      <w:r w:rsidR="006F0FEE" w:rsidRPr="008B26DE">
        <w:t xml:space="preserve"> </w:t>
      </w:r>
    </w:p>
    <w:p w:rsidR="00C3016E" w:rsidRPr="008B26DE" w:rsidRDefault="00C3016E" w:rsidP="005C6C6C">
      <w:pPr>
        <w:pStyle w:val="3Bodytext"/>
        <w:numPr>
          <w:ilvl w:val="1"/>
          <w:numId w:val="32"/>
        </w:numPr>
        <w:ind w:left="1434" w:hanging="357"/>
      </w:pPr>
      <w:r w:rsidRPr="00C50DF4">
        <w:t>35%</w:t>
      </w:r>
      <w:r w:rsidRPr="008B26DE">
        <w:t xml:space="preserve"> of the prevalent Botox population are ‘captured’ by </w:t>
      </w:r>
      <w:proofErr w:type="spellStart"/>
      <w:r w:rsidRPr="008B26DE">
        <w:t>galcanezumab</w:t>
      </w:r>
      <w:proofErr w:type="spellEnd"/>
      <w:r w:rsidRPr="008B26DE">
        <w:t xml:space="preserve"> over 36 months</w:t>
      </w:r>
      <w:r w:rsidR="00A41880" w:rsidRPr="008B26DE">
        <w:t>.</w:t>
      </w:r>
    </w:p>
    <w:p w:rsidR="00C3016E" w:rsidRPr="008B26DE" w:rsidRDefault="00676252" w:rsidP="005C6C6C">
      <w:pPr>
        <w:pStyle w:val="3Bodytext"/>
        <w:numPr>
          <w:ilvl w:val="1"/>
          <w:numId w:val="32"/>
        </w:numPr>
        <w:ind w:left="1434" w:hanging="357"/>
      </w:pPr>
      <w:r w:rsidRPr="00C50DF4">
        <w:t>30%</w:t>
      </w:r>
      <w:r w:rsidRPr="008B26DE">
        <w:t xml:space="preserve"> (Year 1) to </w:t>
      </w:r>
      <w:r w:rsidR="00C3016E" w:rsidRPr="00C50DF4">
        <w:t>50%</w:t>
      </w:r>
      <w:r w:rsidR="00C3016E" w:rsidRPr="008B26DE">
        <w:t xml:space="preserve"> </w:t>
      </w:r>
      <w:r w:rsidRPr="008B26DE">
        <w:t>(Year 6)</w:t>
      </w:r>
      <w:r w:rsidR="00A41880" w:rsidRPr="008B26DE">
        <w:t xml:space="preserve"> </w:t>
      </w:r>
      <w:r w:rsidR="00C3016E" w:rsidRPr="008B26DE">
        <w:t xml:space="preserve">of the net increase in Botox initiations are ‘captured’ by </w:t>
      </w:r>
      <w:proofErr w:type="spellStart"/>
      <w:r w:rsidR="00C3016E" w:rsidRPr="008B26DE">
        <w:t>galcanezumab</w:t>
      </w:r>
      <w:proofErr w:type="spellEnd"/>
      <w:r w:rsidR="00C3016E" w:rsidRPr="008B26DE">
        <w:t xml:space="preserve"> each year</w:t>
      </w:r>
      <w:r w:rsidR="00A41880" w:rsidRPr="008B26DE">
        <w:t>.</w:t>
      </w:r>
    </w:p>
    <w:p w:rsidR="00C3016E" w:rsidRPr="008B26DE" w:rsidRDefault="00C3016E" w:rsidP="00C3016E">
      <w:pPr>
        <w:pStyle w:val="3Bodytext"/>
        <w:numPr>
          <w:ilvl w:val="0"/>
          <w:numId w:val="32"/>
        </w:numPr>
      </w:pPr>
      <w:r w:rsidRPr="008B26DE">
        <w:t xml:space="preserve">Of the remaining </w:t>
      </w:r>
      <w:r w:rsidR="006F0FEE" w:rsidRPr="008B26DE">
        <w:t xml:space="preserve">prevalent treatment-resistant chronic migraine patients (i.e., those not treated with Botox), between </w:t>
      </w:r>
      <w:r w:rsidR="006F0FEE" w:rsidRPr="00C50DF4">
        <w:t>21%</w:t>
      </w:r>
      <w:r w:rsidR="006F0FEE" w:rsidRPr="008B26DE">
        <w:t xml:space="preserve"> (Year 1) and </w:t>
      </w:r>
      <w:r w:rsidR="006F0FEE" w:rsidRPr="00C50DF4">
        <w:t>6%</w:t>
      </w:r>
      <w:r w:rsidR="006F0FEE" w:rsidRPr="008B26DE">
        <w:t xml:space="preserve"> (Year 6) elect treatment with</w:t>
      </w:r>
      <w:r w:rsidR="00A41880" w:rsidRPr="008B26DE">
        <w:t xml:space="preserve"> </w:t>
      </w:r>
      <w:proofErr w:type="spellStart"/>
      <w:r w:rsidR="00A41880" w:rsidRPr="008B26DE">
        <w:t>galcanezumab</w:t>
      </w:r>
      <w:proofErr w:type="spellEnd"/>
      <w:r w:rsidR="0043523B" w:rsidRPr="008B26DE">
        <w:t xml:space="preserve"> (epidemiology approach)</w:t>
      </w:r>
      <w:r w:rsidR="00A41880" w:rsidRPr="008B26DE">
        <w:t xml:space="preserve">. </w:t>
      </w:r>
    </w:p>
    <w:p w:rsidR="002768A3" w:rsidRPr="008B26DE" w:rsidRDefault="002768A3" w:rsidP="002768A3">
      <w:pPr>
        <w:pStyle w:val="3Bodytext"/>
        <w:numPr>
          <w:ilvl w:val="0"/>
          <w:numId w:val="32"/>
        </w:numPr>
      </w:pPr>
      <w:r w:rsidRPr="008B26DE">
        <w:t xml:space="preserve">The model applied post-failure switch assumptions with patients switching </w:t>
      </w:r>
      <w:r w:rsidR="009908B3" w:rsidRPr="008B26DE">
        <w:t xml:space="preserve">between </w:t>
      </w:r>
      <w:r w:rsidRPr="008B26DE">
        <w:t xml:space="preserve">CGRP inhibitors, </w:t>
      </w:r>
      <w:r w:rsidR="009908B3" w:rsidRPr="008B26DE">
        <w:t xml:space="preserve">between CGRP inhibitors and </w:t>
      </w:r>
      <w:r w:rsidRPr="008B26DE">
        <w:t>Botox and some discontinuing from both treatments</w:t>
      </w:r>
      <w:r w:rsidR="008B26DE">
        <w:t xml:space="preserve">. </w:t>
      </w:r>
      <w:r w:rsidRPr="008B26DE">
        <w:t xml:space="preserve">The resubmission acknowledged it was likely other CGRP inhibitors would be listed on the PBS and stated that a “single CGRP persistence” was applied to </w:t>
      </w:r>
      <w:proofErr w:type="spellStart"/>
      <w:r w:rsidRPr="008B26DE">
        <w:t>galcanezumab</w:t>
      </w:r>
      <w:proofErr w:type="spellEnd"/>
      <w:r w:rsidRPr="008B26DE">
        <w:t xml:space="preserve"> to account for patients switching between CGRP inhibitors</w:t>
      </w:r>
      <w:r w:rsidR="008B26DE">
        <w:t xml:space="preserve">. </w:t>
      </w:r>
    </w:p>
    <w:p w:rsidR="0039187D" w:rsidRPr="008B26DE" w:rsidRDefault="0039187D" w:rsidP="006D67FF">
      <w:pPr>
        <w:pStyle w:val="3Bodytext"/>
        <w:numPr>
          <w:ilvl w:val="0"/>
          <w:numId w:val="32"/>
        </w:numPr>
      </w:pPr>
      <w:r w:rsidRPr="001452E2">
        <w:t xml:space="preserve">Persistence for </w:t>
      </w:r>
      <w:r w:rsidR="006F0FEE" w:rsidRPr="001452E2">
        <w:t>Botox</w:t>
      </w:r>
      <w:r w:rsidRPr="001452E2">
        <w:t xml:space="preserve"> was estimated using</w:t>
      </w:r>
      <w:r w:rsidR="0043523B" w:rsidRPr="001452E2">
        <w:t xml:space="preserve"> PBS</w:t>
      </w:r>
      <w:r w:rsidRPr="001452E2">
        <w:t xml:space="preserve"> data</w:t>
      </w:r>
      <w:r w:rsidR="006D67FF" w:rsidRPr="001452E2">
        <w:t xml:space="preserve">. For </w:t>
      </w:r>
      <w:proofErr w:type="spellStart"/>
      <w:r w:rsidR="006D67FF" w:rsidRPr="001452E2">
        <w:t>galcanezumab</w:t>
      </w:r>
      <w:proofErr w:type="spellEnd"/>
      <w:r w:rsidR="006D67FF" w:rsidRPr="001452E2">
        <w:t xml:space="preserve"> persistence it was assumed that, o</w:t>
      </w:r>
      <w:r w:rsidR="006D67FF" w:rsidRPr="008B26DE">
        <w:t xml:space="preserve">n a monthly basis, the incremental loss of patients versus the previous month is only 80% of the incremental loss of Botox for that month. </w:t>
      </w:r>
      <w:r w:rsidR="00775E2D" w:rsidRPr="008B26DE">
        <w:t xml:space="preserve">The resubmission stated the </w:t>
      </w:r>
      <w:proofErr w:type="spellStart"/>
      <w:r w:rsidR="00775E2D" w:rsidRPr="008B26DE">
        <w:t>gal</w:t>
      </w:r>
      <w:r w:rsidRPr="008B26DE">
        <w:t>canezumab</w:t>
      </w:r>
      <w:proofErr w:type="spellEnd"/>
      <w:r w:rsidRPr="008B26DE">
        <w:t xml:space="preserve"> persistenc</w:t>
      </w:r>
      <w:r w:rsidR="000E0D30" w:rsidRPr="008B26DE">
        <w:t xml:space="preserve">e </w:t>
      </w:r>
      <w:r w:rsidR="0043523B" w:rsidRPr="008B26DE">
        <w:t>was</w:t>
      </w:r>
      <w:r w:rsidR="00666A94" w:rsidRPr="008B26DE">
        <w:t xml:space="preserve"> estimated</w:t>
      </w:r>
      <w:r w:rsidR="0043523B" w:rsidRPr="008B26DE">
        <w:t xml:space="preserve"> to be </w:t>
      </w:r>
      <w:r w:rsidR="006D67FF" w:rsidRPr="008B26DE">
        <w:t xml:space="preserve">approximately 6% to 12% higher </w:t>
      </w:r>
      <w:r w:rsidR="0043523B" w:rsidRPr="008B26DE">
        <w:t>r</w:t>
      </w:r>
      <w:r w:rsidR="000E0D30" w:rsidRPr="008B26DE">
        <w:t xml:space="preserve">elative to </w:t>
      </w:r>
      <w:r w:rsidRPr="008B26DE">
        <w:t>Botox</w:t>
      </w:r>
      <w:r w:rsidR="00666A94" w:rsidRPr="008B26DE">
        <w:t xml:space="preserve">; </w:t>
      </w:r>
      <w:r w:rsidR="00775E2D" w:rsidRPr="008B26DE">
        <w:t xml:space="preserve">however, </w:t>
      </w:r>
      <w:r w:rsidR="00666A94" w:rsidRPr="008B26DE">
        <w:t>no clinical evidence or expert opinion was provided to support this assumption</w:t>
      </w:r>
      <w:r w:rsidR="006D67FF" w:rsidRPr="008B26DE">
        <w:t>.</w:t>
      </w:r>
      <w:r w:rsidR="00A41880" w:rsidRPr="008B26DE">
        <w:t xml:space="preserve"> </w:t>
      </w:r>
    </w:p>
    <w:p w:rsidR="002F1AD6" w:rsidRPr="008B26DE" w:rsidRDefault="00FD26BA" w:rsidP="00FD26BA">
      <w:pPr>
        <w:pStyle w:val="3Bodytext"/>
      </w:pPr>
      <w:r w:rsidRPr="008B26DE">
        <w:t xml:space="preserve">The PBAC recalled the July 2019 submission assumed 27.6% patients responded to </w:t>
      </w:r>
      <w:proofErr w:type="spellStart"/>
      <w:r w:rsidRPr="008B26DE">
        <w:t>galcanezumab</w:t>
      </w:r>
      <w:proofErr w:type="spellEnd"/>
      <w:r w:rsidRPr="008B26DE">
        <w:t xml:space="preserve"> at 3 months and continued treatment</w:t>
      </w:r>
      <w:r w:rsidR="002768A3" w:rsidRPr="008B26DE">
        <w:t>, consistent with the clinical trial data presented</w:t>
      </w:r>
      <w:r w:rsidR="00287681" w:rsidRPr="008B26DE">
        <w:t xml:space="preserve"> (paragraph 6.49, </w:t>
      </w:r>
      <w:proofErr w:type="spellStart"/>
      <w:r w:rsidR="00287681" w:rsidRPr="008B26DE">
        <w:t>galcanezumab</w:t>
      </w:r>
      <w:proofErr w:type="spellEnd"/>
      <w:r w:rsidR="00287681" w:rsidRPr="008B26DE">
        <w:t xml:space="preserve"> </w:t>
      </w:r>
      <w:r w:rsidR="004D2F31">
        <w:t>PSD</w:t>
      </w:r>
      <w:r w:rsidR="00287681" w:rsidRPr="008B26DE">
        <w:t>, July 2019 PBAC meeting)</w:t>
      </w:r>
      <w:r w:rsidRPr="008B26DE">
        <w:t>. The PBAC noted</w:t>
      </w:r>
      <w:r w:rsidR="00D11063" w:rsidRPr="008B26DE">
        <w:t xml:space="preserve"> a continuation rate</w:t>
      </w:r>
      <w:r w:rsidR="002768A3" w:rsidRPr="008B26DE">
        <w:t xml:space="preserve"> had</w:t>
      </w:r>
      <w:r w:rsidRPr="008B26DE">
        <w:t xml:space="preserve"> not been included in the </w:t>
      </w:r>
      <w:r w:rsidR="002768A3" w:rsidRPr="008B26DE">
        <w:t xml:space="preserve">financial modelling provided with the </w:t>
      </w:r>
      <w:r w:rsidRPr="008B26DE">
        <w:t xml:space="preserve">resubmission </w:t>
      </w:r>
      <w:r w:rsidR="00D11063" w:rsidRPr="008B26DE">
        <w:t>but rather the model applied monthly persistence</w:t>
      </w:r>
      <w:r w:rsidRPr="008B26DE">
        <w:t xml:space="preserve"> rates</w:t>
      </w:r>
      <w:r w:rsidR="00D11063" w:rsidRPr="008B26DE">
        <w:t xml:space="preserve">. </w:t>
      </w:r>
      <w:r w:rsidR="009908B3" w:rsidRPr="008B26DE">
        <w:t xml:space="preserve">The PBAC noted the persistence rates applied to the financial estimates for </w:t>
      </w:r>
      <w:proofErr w:type="spellStart"/>
      <w:r w:rsidR="009908B3" w:rsidRPr="008B26DE">
        <w:t>galcanezumab</w:t>
      </w:r>
      <w:proofErr w:type="spellEnd"/>
      <w:r w:rsidR="009908B3" w:rsidRPr="008B26DE">
        <w:t xml:space="preserve"> were high (Table </w:t>
      </w:r>
      <w:r w:rsidR="00073601">
        <w:t>4</w:t>
      </w:r>
      <w:r w:rsidR="009908B3" w:rsidRPr="008B26DE">
        <w:t xml:space="preserve">). </w:t>
      </w:r>
    </w:p>
    <w:p w:rsidR="002F1AD6" w:rsidRPr="008B26DE" w:rsidRDefault="002F1AD6" w:rsidP="002F1AD6">
      <w:pPr>
        <w:pStyle w:val="TableFigureHeading"/>
      </w:pPr>
      <w:bookmarkStart w:id="2" w:name="_Ref56425963"/>
      <w:r w:rsidRPr="008B26DE">
        <w:t xml:space="preserve">Table </w:t>
      </w:r>
      <w:r w:rsidR="00073601">
        <w:t>4</w:t>
      </w:r>
      <w:bookmarkEnd w:id="2"/>
      <w:r w:rsidRPr="00320593">
        <w:t>:</w:t>
      </w:r>
      <w:r w:rsidR="00D11063" w:rsidRPr="00320593">
        <w:t xml:space="preserve"> Persistence</w:t>
      </w:r>
      <w:r w:rsidR="00D65DFB" w:rsidRPr="00320593">
        <w:t xml:space="preserve"> rates applied to the financial estimates</w:t>
      </w:r>
    </w:p>
    <w:tbl>
      <w:tblPr>
        <w:tblStyle w:val="TableGrid"/>
        <w:tblW w:w="0" w:type="auto"/>
        <w:tblLook w:val="04A0" w:firstRow="1" w:lastRow="0" w:firstColumn="1" w:lastColumn="0" w:noHBand="0" w:noVBand="1"/>
        <w:tblCaption w:val="Table 4: Persistence rates applied to the financial estimates"/>
      </w:tblPr>
      <w:tblGrid>
        <w:gridCol w:w="2689"/>
        <w:gridCol w:w="1054"/>
        <w:gridCol w:w="1055"/>
        <w:gridCol w:w="1054"/>
        <w:gridCol w:w="1055"/>
        <w:gridCol w:w="1054"/>
        <w:gridCol w:w="1055"/>
      </w:tblGrid>
      <w:tr w:rsidR="002F1AD6" w:rsidRPr="008B26DE" w:rsidTr="00B42D6B">
        <w:trPr>
          <w:tblHeader/>
        </w:trPr>
        <w:tc>
          <w:tcPr>
            <w:tcW w:w="2689" w:type="dxa"/>
          </w:tcPr>
          <w:p w:rsidR="00775888" w:rsidRPr="008B26DE" w:rsidRDefault="00775888" w:rsidP="00775888">
            <w:pPr>
              <w:pStyle w:val="TableText0"/>
              <w:rPr>
                <w:b/>
                <w:szCs w:val="20"/>
              </w:rPr>
            </w:pPr>
          </w:p>
        </w:tc>
        <w:tc>
          <w:tcPr>
            <w:tcW w:w="1054" w:type="dxa"/>
          </w:tcPr>
          <w:p w:rsidR="00775888" w:rsidRPr="008B26DE" w:rsidRDefault="00775888" w:rsidP="001664B5">
            <w:pPr>
              <w:pStyle w:val="TableText0"/>
              <w:jc w:val="center"/>
              <w:rPr>
                <w:b/>
                <w:szCs w:val="20"/>
              </w:rPr>
            </w:pPr>
            <w:r w:rsidRPr="008B26DE">
              <w:rPr>
                <w:b/>
                <w:szCs w:val="20"/>
              </w:rPr>
              <w:t>End of Year 1</w:t>
            </w:r>
          </w:p>
        </w:tc>
        <w:tc>
          <w:tcPr>
            <w:tcW w:w="1055" w:type="dxa"/>
          </w:tcPr>
          <w:p w:rsidR="00775888" w:rsidRPr="008B26DE" w:rsidRDefault="00775888" w:rsidP="001664B5">
            <w:pPr>
              <w:pStyle w:val="TableText0"/>
              <w:jc w:val="center"/>
              <w:rPr>
                <w:b/>
                <w:szCs w:val="20"/>
              </w:rPr>
            </w:pPr>
            <w:r w:rsidRPr="008B26DE">
              <w:rPr>
                <w:b/>
                <w:szCs w:val="20"/>
              </w:rPr>
              <w:t>End of Year 2</w:t>
            </w:r>
          </w:p>
        </w:tc>
        <w:tc>
          <w:tcPr>
            <w:tcW w:w="1054" w:type="dxa"/>
          </w:tcPr>
          <w:p w:rsidR="00775888" w:rsidRPr="008B26DE" w:rsidRDefault="00775888" w:rsidP="001664B5">
            <w:pPr>
              <w:pStyle w:val="TableText0"/>
              <w:jc w:val="center"/>
              <w:rPr>
                <w:b/>
                <w:szCs w:val="20"/>
              </w:rPr>
            </w:pPr>
            <w:r w:rsidRPr="008B26DE">
              <w:rPr>
                <w:b/>
                <w:szCs w:val="20"/>
              </w:rPr>
              <w:t>End of Year 3</w:t>
            </w:r>
          </w:p>
        </w:tc>
        <w:tc>
          <w:tcPr>
            <w:tcW w:w="1055" w:type="dxa"/>
          </w:tcPr>
          <w:p w:rsidR="00775888" w:rsidRPr="008B26DE" w:rsidRDefault="00775888" w:rsidP="001664B5">
            <w:pPr>
              <w:pStyle w:val="TableText0"/>
              <w:jc w:val="center"/>
              <w:rPr>
                <w:b/>
                <w:szCs w:val="20"/>
              </w:rPr>
            </w:pPr>
            <w:r w:rsidRPr="008B26DE">
              <w:rPr>
                <w:b/>
                <w:szCs w:val="20"/>
              </w:rPr>
              <w:t>End of Year 4</w:t>
            </w:r>
          </w:p>
        </w:tc>
        <w:tc>
          <w:tcPr>
            <w:tcW w:w="1054" w:type="dxa"/>
          </w:tcPr>
          <w:p w:rsidR="00775888" w:rsidRPr="008B26DE" w:rsidRDefault="00775888" w:rsidP="001664B5">
            <w:pPr>
              <w:pStyle w:val="TableText0"/>
              <w:jc w:val="center"/>
              <w:rPr>
                <w:b/>
                <w:szCs w:val="20"/>
              </w:rPr>
            </w:pPr>
            <w:r w:rsidRPr="008B26DE">
              <w:rPr>
                <w:b/>
                <w:szCs w:val="20"/>
              </w:rPr>
              <w:t>End of Year 5</w:t>
            </w:r>
          </w:p>
        </w:tc>
        <w:tc>
          <w:tcPr>
            <w:tcW w:w="1055" w:type="dxa"/>
          </w:tcPr>
          <w:p w:rsidR="00775888" w:rsidRPr="008B26DE" w:rsidRDefault="00775888" w:rsidP="001664B5">
            <w:pPr>
              <w:pStyle w:val="TableText0"/>
              <w:jc w:val="center"/>
              <w:rPr>
                <w:b/>
                <w:szCs w:val="20"/>
              </w:rPr>
            </w:pPr>
            <w:r w:rsidRPr="008B26DE">
              <w:rPr>
                <w:b/>
                <w:szCs w:val="20"/>
              </w:rPr>
              <w:t>End of Year 6</w:t>
            </w:r>
          </w:p>
        </w:tc>
      </w:tr>
      <w:tr w:rsidR="002F1AD6" w:rsidRPr="008B26DE" w:rsidTr="001664B5">
        <w:tc>
          <w:tcPr>
            <w:tcW w:w="2689" w:type="dxa"/>
          </w:tcPr>
          <w:p w:rsidR="002F1AD6" w:rsidRPr="008B26DE" w:rsidRDefault="002F1AD6" w:rsidP="002F1AD6">
            <w:pPr>
              <w:pStyle w:val="TableText0"/>
              <w:rPr>
                <w:szCs w:val="20"/>
              </w:rPr>
            </w:pPr>
            <w:r w:rsidRPr="008B26DE">
              <w:rPr>
                <w:szCs w:val="20"/>
              </w:rPr>
              <w:t xml:space="preserve">Botox rate in </w:t>
            </w:r>
            <w:r w:rsidR="0074689E" w:rsidRPr="008B26DE">
              <w:rPr>
                <w:szCs w:val="20"/>
              </w:rPr>
              <w:t>re</w:t>
            </w:r>
            <w:r w:rsidRPr="008B26DE">
              <w:rPr>
                <w:szCs w:val="20"/>
              </w:rPr>
              <w:t>submission</w:t>
            </w:r>
          </w:p>
        </w:tc>
        <w:tc>
          <w:tcPr>
            <w:tcW w:w="1054" w:type="dxa"/>
          </w:tcPr>
          <w:p w:rsidR="002F1AD6" w:rsidRPr="008B26DE" w:rsidRDefault="002F1AD6" w:rsidP="001664B5">
            <w:pPr>
              <w:pStyle w:val="TableText0"/>
              <w:jc w:val="center"/>
              <w:rPr>
                <w:b/>
                <w:szCs w:val="20"/>
              </w:rPr>
            </w:pPr>
            <w:r w:rsidRPr="008B26DE">
              <w:rPr>
                <w:color w:val="000000"/>
                <w:szCs w:val="20"/>
              </w:rPr>
              <w:t>58%</w:t>
            </w:r>
          </w:p>
        </w:tc>
        <w:tc>
          <w:tcPr>
            <w:tcW w:w="1055" w:type="dxa"/>
          </w:tcPr>
          <w:p w:rsidR="002F1AD6" w:rsidRPr="008B26DE" w:rsidRDefault="002F1AD6" w:rsidP="001664B5">
            <w:pPr>
              <w:pStyle w:val="TableText0"/>
              <w:jc w:val="center"/>
              <w:rPr>
                <w:b/>
                <w:szCs w:val="20"/>
              </w:rPr>
            </w:pPr>
            <w:r w:rsidRPr="008B26DE">
              <w:rPr>
                <w:color w:val="000000"/>
                <w:szCs w:val="20"/>
              </w:rPr>
              <w:t>42%</w:t>
            </w:r>
          </w:p>
        </w:tc>
        <w:tc>
          <w:tcPr>
            <w:tcW w:w="1054" w:type="dxa"/>
          </w:tcPr>
          <w:p w:rsidR="002F1AD6" w:rsidRPr="008B26DE" w:rsidRDefault="002F1AD6" w:rsidP="001664B5">
            <w:pPr>
              <w:pStyle w:val="TableText0"/>
              <w:jc w:val="center"/>
              <w:rPr>
                <w:b/>
                <w:szCs w:val="20"/>
              </w:rPr>
            </w:pPr>
            <w:r w:rsidRPr="008B26DE">
              <w:rPr>
                <w:color w:val="000000"/>
                <w:szCs w:val="20"/>
              </w:rPr>
              <w:t>36%</w:t>
            </w:r>
          </w:p>
        </w:tc>
        <w:tc>
          <w:tcPr>
            <w:tcW w:w="1055" w:type="dxa"/>
          </w:tcPr>
          <w:p w:rsidR="002F1AD6" w:rsidRPr="008B26DE" w:rsidRDefault="002F1AD6" w:rsidP="001664B5">
            <w:pPr>
              <w:pStyle w:val="TableText0"/>
              <w:jc w:val="center"/>
              <w:rPr>
                <w:b/>
                <w:szCs w:val="20"/>
              </w:rPr>
            </w:pPr>
            <w:r w:rsidRPr="008B26DE">
              <w:rPr>
                <w:color w:val="000000"/>
                <w:szCs w:val="20"/>
              </w:rPr>
              <w:t>30%</w:t>
            </w:r>
          </w:p>
        </w:tc>
        <w:tc>
          <w:tcPr>
            <w:tcW w:w="1054" w:type="dxa"/>
          </w:tcPr>
          <w:p w:rsidR="002F1AD6" w:rsidRPr="008B26DE" w:rsidRDefault="002F1AD6" w:rsidP="001664B5">
            <w:pPr>
              <w:pStyle w:val="TableText0"/>
              <w:jc w:val="center"/>
              <w:rPr>
                <w:b/>
                <w:szCs w:val="20"/>
              </w:rPr>
            </w:pPr>
            <w:r w:rsidRPr="008B26DE">
              <w:rPr>
                <w:color w:val="000000"/>
                <w:szCs w:val="20"/>
              </w:rPr>
              <w:t>25%</w:t>
            </w:r>
          </w:p>
        </w:tc>
        <w:tc>
          <w:tcPr>
            <w:tcW w:w="1055" w:type="dxa"/>
          </w:tcPr>
          <w:p w:rsidR="002F1AD6" w:rsidRPr="008B26DE" w:rsidRDefault="002F1AD6" w:rsidP="001664B5">
            <w:pPr>
              <w:pStyle w:val="TableText0"/>
              <w:jc w:val="center"/>
              <w:rPr>
                <w:b/>
                <w:szCs w:val="20"/>
              </w:rPr>
            </w:pPr>
            <w:r w:rsidRPr="008B26DE">
              <w:rPr>
                <w:color w:val="000000"/>
                <w:szCs w:val="20"/>
              </w:rPr>
              <w:t>25%</w:t>
            </w:r>
          </w:p>
        </w:tc>
      </w:tr>
      <w:tr w:rsidR="002F1AD6" w:rsidRPr="008B26DE" w:rsidTr="001664B5">
        <w:tc>
          <w:tcPr>
            <w:tcW w:w="2689" w:type="dxa"/>
          </w:tcPr>
          <w:p w:rsidR="002F1AD6" w:rsidRPr="008B26DE" w:rsidRDefault="002F1AD6" w:rsidP="002F1AD6">
            <w:pPr>
              <w:pStyle w:val="TableText0"/>
              <w:rPr>
                <w:szCs w:val="20"/>
              </w:rPr>
            </w:pPr>
            <w:r w:rsidRPr="008B26DE">
              <w:rPr>
                <w:szCs w:val="20"/>
              </w:rPr>
              <w:t xml:space="preserve">GAL rate in </w:t>
            </w:r>
            <w:r w:rsidR="0074689E" w:rsidRPr="008B26DE">
              <w:rPr>
                <w:szCs w:val="20"/>
              </w:rPr>
              <w:t>re</w:t>
            </w:r>
            <w:r w:rsidRPr="008B26DE">
              <w:rPr>
                <w:szCs w:val="20"/>
              </w:rPr>
              <w:t>submission</w:t>
            </w:r>
          </w:p>
        </w:tc>
        <w:tc>
          <w:tcPr>
            <w:tcW w:w="1054" w:type="dxa"/>
          </w:tcPr>
          <w:p w:rsidR="002F1AD6" w:rsidRPr="008B26DE" w:rsidRDefault="002F1AD6" w:rsidP="001664B5">
            <w:pPr>
              <w:pStyle w:val="TableText0"/>
              <w:jc w:val="center"/>
              <w:rPr>
                <w:b/>
                <w:szCs w:val="20"/>
              </w:rPr>
            </w:pPr>
            <w:r w:rsidRPr="008B26DE">
              <w:rPr>
                <w:color w:val="000000"/>
                <w:szCs w:val="20"/>
              </w:rPr>
              <w:t>86%</w:t>
            </w:r>
          </w:p>
        </w:tc>
        <w:tc>
          <w:tcPr>
            <w:tcW w:w="1055" w:type="dxa"/>
          </w:tcPr>
          <w:p w:rsidR="002F1AD6" w:rsidRPr="008B26DE" w:rsidRDefault="002F1AD6" w:rsidP="001664B5">
            <w:pPr>
              <w:pStyle w:val="TableText0"/>
              <w:jc w:val="center"/>
              <w:rPr>
                <w:b/>
                <w:szCs w:val="20"/>
              </w:rPr>
            </w:pPr>
            <w:r w:rsidRPr="008B26DE">
              <w:rPr>
                <w:color w:val="000000"/>
                <w:szCs w:val="20"/>
              </w:rPr>
              <w:t>77%</w:t>
            </w:r>
          </w:p>
        </w:tc>
        <w:tc>
          <w:tcPr>
            <w:tcW w:w="1054" w:type="dxa"/>
          </w:tcPr>
          <w:p w:rsidR="002F1AD6" w:rsidRPr="008B26DE" w:rsidRDefault="002F1AD6" w:rsidP="001664B5">
            <w:pPr>
              <w:pStyle w:val="TableText0"/>
              <w:jc w:val="center"/>
              <w:rPr>
                <w:b/>
                <w:szCs w:val="20"/>
              </w:rPr>
            </w:pPr>
            <w:r w:rsidRPr="008B26DE">
              <w:rPr>
                <w:color w:val="000000"/>
                <w:szCs w:val="20"/>
              </w:rPr>
              <w:t>71%</w:t>
            </w:r>
          </w:p>
        </w:tc>
        <w:tc>
          <w:tcPr>
            <w:tcW w:w="1055" w:type="dxa"/>
          </w:tcPr>
          <w:p w:rsidR="002F1AD6" w:rsidRPr="008B26DE" w:rsidRDefault="002F1AD6" w:rsidP="001664B5">
            <w:pPr>
              <w:pStyle w:val="TableText0"/>
              <w:jc w:val="center"/>
              <w:rPr>
                <w:b/>
                <w:szCs w:val="20"/>
              </w:rPr>
            </w:pPr>
            <w:r w:rsidRPr="008B26DE">
              <w:rPr>
                <w:color w:val="000000"/>
                <w:szCs w:val="20"/>
              </w:rPr>
              <w:t>67%</w:t>
            </w:r>
          </w:p>
        </w:tc>
        <w:tc>
          <w:tcPr>
            <w:tcW w:w="1054" w:type="dxa"/>
          </w:tcPr>
          <w:p w:rsidR="002F1AD6" w:rsidRPr="008B26DE" w:rsidRDefault="002F1AD6" w:rsidP="001664B5">
            <w:pPr>
              <w:pStyle w:val="TableText0"/>
              <w:jc w:val="center"/>
              <w:rPr>
                <w:b/>
                <w:szCs w:val="20"/>
              </w:rPr>
            </w:pPr>
            <w:r w:rsidRPr="008B26DE">
              <w:rPr>
                <w:color w:val="000000"/>
                <w:szCs w:val="20"/>
              </w:rPr>
              <w:t>63%</w:t>
            </w:r>
          </w:p>
        </w:tc>
        <w:tc>
          <w:tcPr>
            <w:tcW w:w="1055" w:type="dxa"/>
          </w:tcPr>
          <w:p w:rsidR="002F1AD6" w:rsidRPr="008B26DE" w:rsidRDefault="002F1AD6" w:rsidP="001664B5">
            <w:pPr>
              <w:pStyle w:val="TableText0"/>
              <w:jc w:val="center"/>
              <w:rPr>
                <w:b/>
                <w:szCs w:val="20"/>
              </w:rPr>
            </w:pPr>
            <w:r w:rsidRPr="008B26DE">
              <w:rPr>
                <w:color w:val="000000"/>
                <w:szCs w:val="20"/>
              </w:rPr>
              <w:t>61%</w:t>
            </w:r>
          </w:p>
        </w:tc>
      </w:tr>
    </w:tbl>
    <w:p w:rsidR="002F1AD6" w:rsidRPr="008B26DE" w:rsidRDefault="002F1AD6" w:rsidP="00CA26BF">
      <w:pPr>
        <w:pStyle w:val="3Bodytext"/>
        <w:numPr>
          <w:ilvl w:val="0"/>
          <w:numId w:val="0"/>
        </w:numPr>
        <w:spacing w:after="0"/>
        <w:rPr>
          <w:rFonts w:ascii="Arial Narrow" w:hAnsi="Arial Narrow"/>
          <w:sz w:val="18"/>
          <w:szCs w:val="18"/>
        </w:rPr>
      </w:pPr>
      <w:r w:rsidRPr="008B26DE">
        <w:rPr>
          <w:rFonts w:ascii="Arial Narrow" w:hAnsi="Arial Narrow"/>
          <w:sz w:val="18"/>
          <w:szCs w:val="18"/>
        </w:rPr>
        <w:t xml:space="preserve">GAL </w:t>
      </w:r>
      <w:proofErr w:type="spellStart"/>
      <w:r w:rsidR="002768A3" w:rsidRPr="008B26DE">
        <w:rPr>
          <w:rFonts w:ascii="Arial Narrow" w:hAnsi="Arial Narrow"/>
          <w:sz w:val="18"/>
          <w:szCs w:val="18"/>
        </w:rPr>
        <w:t>galcanezumab</w:t>
      </w:r>
      <w:proofErr w:type="spellEnd"/>
      <w:r w:rsidR="002768A3" w:rsidRPr="008B26DE">
        <w:rPr>
          <w:rFonts w:ascii="Arial Narrow" w:hAnsi="Arial Narrow"/>
          <w:sz w:val="18"/>
          <w:szCs w:val="18"/>
        </w:rPr>
        <w:t xml:space="preserve">; </w:t>
      </w:r>
      <w:proofErr w:type="spellStart"/>
      <w:r w:rsidRPr="008B26DE">
        <w:rPr>
          <w:rFonts w:ascii="Arial Narrow" w:hAnsi="Arial Narrow"/>
          <w:sz w:val="18"/>
          <w:szCs w:val="18"/>
        </w:rPr>
        <w:t>CGRPi</w:t>
      </w:r>
      <w:proofErr w:type="spellEnd"/>
      <w:r w:rsidR="002768A3" w:rsidRPr="008B26DE">
        <w:rPr>
          <w:rFonts w:ascii="Arial Narrow" w:hAnsi="Arial Narrow"/>
          <w:sz w:val="18"/>
          <w:szCs w:val="18"/>
        </w:rPr>
        <w:t xml:space="preserve"> </w:t>
      </w:r>
      <w:r w:rsidR="00E53984" w:rsidRPr="008B26DE">
        <w:rPr>
          <w:rFonts w:ascii="Arial Narrow" w:hAnsi="Arial Narrow"/>
          <w:sz w:val="18"/>
          <w:szCs w:val="18"/>
        </w:rPr>
        <w:t>calcitonin gene-related peptide inhibitor</w:t>
      </w:r>
    </w:p>
    <w:p w:rsidR="00775888" w:rsidRPr="008B26DE" w:rsidRDefault="002F1AD6" w:rsidP="00775888">
      <w:pPr>
        <w:pStyle w:val="3Bodytext"/>
        <w:numPr>
          <w:ilvl w:val="0"/>
          <w:numId w:val="0"/>
        </w:numPr>
        <w:rPr>
          <w:rFonts w:ascii="Arial Narrow" w:hAnsi="Arial Narrow"/>
          <w:sz w:val="18"/>
          <w:szCs w:val="18"/>
        </w:rPr>
      </w:pPr>
      <w:r w:rsidRPr="008B26DE">
        <w:rPr>
          <w:rFonts w:ascii="Arial Narrow" w:hAnsi="Arial Narrow"/>
          <w:sz w:val="18"/>
          <w:szCs w:val="18"/>
          <w:u w:val="single"/>
        </w:rPr>
        <w:t>Source</w:t>
      </w:r>
      <w:r w:rsidRPr="008B26DE">
        <w:rPr>
          <w:rFonts w:ascii="Arial Narrow" w:hAnsi="Arial Narrow"/>
          <w:sz w:val="18"/>
          <w:szCs w:val="18"/>
        </w:rPr>
        <w:t>:</w:t>
      </w:r>
      <w:r w:rsidR="00E53984" w:rsidRPr="008B26DE">
        <w:rPr>
          <w:rFonts w:ascii="Arial Narrow" w:hAnsi="Arial Narrow"/>
          <w:sz w:val="18"/>
          <w:szCs w:val="18"/>
        </w:rPr>
        <w:t xml:space="preserve"> Row 40 and 41, 9. Persistency &amp; Uptake worksheet. </w:t>
      </w:r>
    </w:p>
    <w:p w:rsidR="00B71A7C" w:rsidRDefault="00B71A7C">
      <w:pPr>
        <w:jc w:val="left"/>
        <w:rPr>
          <w:rFonts w:asciiTheme="minorHAnsi" w:eastAsiaTheme="minorHAnsi" w:hAnsiTheme="minorHAnsi" w:cstheme="minorBidi"/>
          <w:szCs w:val="22"/>
        </w:rPr>
      </w:pPr>
      <w:r>
        <w:br w:type="page"/>
      </w:r>
    </w:p>
    <w:p w:rsidR="00733CB6" w:rsidRPr="008B26DE" w:rsidRDefault="00C3016E" w:rsidP="00F15328">
      <w:pPr>
        <w:pStyle w:val="3Bodytext"/>
      </w:pPr>
      <w:r w:rsidRPr="008B26DE">
        <w:lastRenderedPageBreak/>
        <w:t xml:space="preserve">The estimated number of patients initiating on </w:t>
      </w:r>
      <w:proofErr w:type="spellStart"/>
      <w:r w:rsidRPr="008B26DE">
        <w:t>galcanezumab</w:t>
      </w:r>
      <w:proofErr w:type="spellEnd"/>
      <w:r w:rsidRPr="008B26DE">
        <w:t xml:space="preserve"> in th</w:t>
      </w:r>
      <w:r w:rsidR="00EE4153" w:rsidRPr="008B26DE">
        <w:t>e first year of listing on the P</w:t>
      </w:r>
      <w:r w:rsidRPr="008B26DE">
        <w:t xml:space="preserve">BS is summarised in </w:t>
      </w:r>
      <w:r w:rsidR="009908B3" w:rsidRPr="008B26DE">
        <w:t xml:space="preserve">Table </w:t>
      </w:r>
      <w:r w:rsidR="00073601">
        <w:t>5</w:t>
      </w:r>
      <w:r w:rsidR="00B53D5B" w:rsidRPr="008B26DE">
        <w:t>.</w:t>
      </w:r>
    </w:p>
    <w:p w:rsidR="00733CB6" w:rsidRPr="008B26DE" w:rsidRDefault="00733CB6" w:rsidP="00733CB6">
      <w:pPr>
        <w:pStyle w:val="TableFigureHeading"/>
      </w:pPr>
      <w:bookmarkStart w:id="3" w:name="_Ref54008757"/>
      <w:r w:rsidRPr="008B26DE">
        <w:t xml:space="preserve">Table </w:t>
      </w:r>
      <w:bookmarkEnd w:id="3"/>
      <w:r w:rsidR="00073601">
        <w:t>5</w:t>
      </w:r>
      <w:r w:rsidRPr="00320593">
        <w:t xml:space="preserve">: </w:t>
      </w:r>
      <w:r w:rsidRPr="008B26DE">
        <w:t xml:space="preserve">Estimation of number of </w:t>
      </w:r>
      <w:r w:rsidR="0048548D" w:rsidRPr="008B26DE">
        <w:t xml:space="preserve">patients initiating treatment with </w:t>
      </w:r>
      <w:proofErr w:type="spellStart"/>
      <w:r w:rsidR="0048548D" w:rsidRPr="008B26DE">
        <w:t>galcanezumab</w:t>
      </w:r>
      <w:proofErr w:type="spellEnd"/>
      <w:r w:rsidR="0048548D" w:rsidRPr="008B26DE">
        <w:t xml:space="preserve"> in Year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992"/>
        <w:gridCol w:w="1276"/>
        <w:gridCol w:w="4768"/>
      </w:tblGrid>
      <w:tr w:rsidR="00733CB6" w:rsidRPr="008B26DE" w:rsidTr="00733CB6">
        <w:trPr>
          <w:trHeight w:val="20"/>
        </w:trPr>
        <w:tc>
          <w:tcPr>
            <w:tcW w:w="1980" w:type="dxa"/>
            <w:shd w:val="clear" w:color="auto" w:fill="auto"/>
            <w:vAlign w:val="center"/>
            <w:hideMark/>
          </w:tcPr>
          <w:p w:rsidR="00733CB6" w:rsidRPr="00320593" w:rsidRDefault="00733CB6" w:rsidP="0035686E">
            <w:pPr>
              <w:pStyle w:val="In-tableHeading"/>
              <w:rPr>
                <w:lang w:val="en-AU"/>
              </w:rPr>
            </w:pPr>
            <w:r w:rsidRPr="00320593">
              <w:rPr>
                <w:lang w:val="en-AU"/>
              </w:rPr>
              <w:t> </w:t>
            </w:r>
          </w:p>
        </w:tc>
        <w:tc>
          <w:tcPr>
            <w:tcW w:w="992" w:type="dxa"/>
          </w:tcPr>
          <w:p w:rsidR="00733CB6" w:rsidRPr="00320593" w:rsidRDefault="00733CB6" w:rsidP="0035686E">
            <w:pPr>
              <w:pStyle w:val="In-tableHeading"/>
              <w:rPr>
                <w:lang w:val="en-AU"/>
              </w:rPr>
            </w:pPr>
            <w:r w:rsidRPr="00320593">
              <w:rPr>
                <w:lang w:val="en-AU"/>
              </w:rPr>
              <w:t>Value</w:t>
            </w:r>
          </w:p>
        </w:tc>
        <w:tc>
          <w:tcPr>
            <w:tcW w:w="1276" w:type="dxa"/>
            <w:shd w:val="clear" w:color="auto" w:fill="auto"/>
            <w:vAlign w:val="bottom"/>
            <w:hideMark/>
          </w:tcPr>
          <w:p w:rsidR="00733CB6" w:rsidRPr="00320593" w:rsidRDefault="00733CB6" w:rsidP="0035686E">
            <w:pPr>
              <w:pStyle w:val="In-tableHeading"/>
              <w:rPr>
                <w:bCs/>
                <w:vertAlign w:val="superscript"/>
                <w:lang w:val="en-AU"/>
              </w:rPr>
            </w:pPr>
            <w:r w:rsidRPr="00320593">
              <w:rPr>
                <w:lang w:val="en-AU"/>
              </w:rPr>
              <w:t>Year 1</w:t>
            </w:r>
            <w:r w:rsidRPr="00320593">
              <w:rPr>
                <w:vertAlign w:val="superscript"/>
                <w:lang w:val="en-AU"/>
              </w:rPr>
              <w:t>a</w:t>
            </w:r>
          </w:p>
        </w:tc>
        <w:tc>
          <w:tcPr>
            <w:tcW w:w="4768" w:type="dxa"/>
            <w:shd w:val="clear" w:color="auto" w:fill="auto"/>
            <w:vAlign w:val="bottom"/>
            <w:hideMark/>
          </w:tcPr>
          <w:p w:rsidR="00733CB6" w:rsidRPr="00320593" w:rsidRDefault="00733CB6" w:rsidP="0035686E">
            <w:pPr>
              <w:pStyle w:val="In-tableHeading"/>
              <w:rPr>
                <w:bCs/>
                <w:lang w:val="en-AU"/>
              </w:rPr>
            </w:pPr>
            <w:r w:rsidRPr="00320593">
              <w:rPr>
                <w:bCs/>
                <w:lang w:val="en-AU"/>
              </w:rPr>
              <w:t xml:space="preserve">Source and comment </w:t>
            </w:r>
          </w:p>
        </w:tc>
      </w:tr>
      <w:tr w:rsidR="00733CB6" w:rsidRPr="008B26DE" w:rsidTr="0035686E">
        <w:trPr>
          <w:trHeight w:val="20"/>
        </w:trPr>
        <w:tc>
          <w:tcPr>
            <w:tcW w:w="9016" w:type="dxa"/>
            <w:gridSpan w:val="4"/>
            <w:shd w:val="clear" w:color="auto" w:fill="auto"/>
            <w:vAlign w:val="center"/>
          </w:tcPr>
          <w:p w:rsidR="00733CB6" w:rsidRPr="008B26DE" w:rsidRDefault="00733CB6" w:rsidP="0035686E">
            <w:pPr>
              <w:pStyle w:val="TableText0"/>
              <w:rPr>
                <w:b/>
              </w:rPr>
            </w:pPr>
            <w:r w:rsidRPr="008B26DE">
              <w:rPr>
                <w:b/>
              </w:rPr>
              <w:t>Patients estimated using epidemiology approach</w:t>
            </w:r>
          </w:p>
        </w:tc>
      </w:tr>
      <w:tr w:rsidR="00733CB6" w:rsidRPr="008B26DE" w:rsidTr="00733CB6">
        <w:trPr>
          <w:trHeight w:val="20"/>
        </w:trPr>
        <w:tc>
          <w:tcPr>
            <w:tcW w:w="1980" w:type="dxa"/>
            <w:shd w:val="clear" w:color="auto" w:fill="auto"/>
            <w:vAlign w:val="center"/>
          </w:tcPr>
          <w:p w:rsidR="00733CB6" w:rsidRPr="008B26DE" w:rsidRDefault="00733CB6" w:rsidP="0035686E">
            <w:pPr>
              <w:pStyle w:val="TableText0"/>
            </w:pPr>
            <w:r w:rsidRPr="008B26DE">
              <w:t>Australian population ≥ 18 years of age</w:t>
            </w:r>
          </w:p>
        </w:tc>
        <w:tc>
          <w:tcPr>
            <w:tcW w:w="992" w:type="dxa"/>
            <w:vAlign w:val="center"/>
          </w:tcPr>
          <w:p w:rsidR="00733CB6" w:rsidRPr="008B26DE" w:rsidRDefault="00733CB6" w:rsidP="00733CB6">
            <w:pPr>
              <w:jc w:val="left"/>
            </w:pPr>
          </w:p>
        </w:tc>
        <w:tc>
          <w:tcPr>
            <w:tcW w:w="1276" w:type="dxa"/>
            <w:shd w:val="clear" w:color="auto" w:fill="auto"/>
            <w:vAlign w:val="center"/>
          </w:tcPr>
          <w:p w:rsidR="00733CB6" w:rsidRPr="003821BE" w:rsidRDefault="00561001" w:rsidP="004E63A9">
            <w:pPr>
              <w:pStyle w:val="TableText0"/>
              <w:rPr>
                <w:vertAlign w:val="superscript"/>
              </w:rPr>
            </w:pPr>
            <w:r>
              <w:rPr>
                <w:noProof/>
                <w:color w:val="000000"/>
                <w:highlight w:val="black"/>
              </w:rPr>
              <w:t>'''''''''''''''''''''''''</w:t>
            </w:r>
            <w:r w:rsidR="003821BE" w:rsidRPr="003821BE">
              <w:rPr>
                <w:vertAlign w:val="superscript"/>
              </w:rPr>
              <w:t>1</w:t>
            </w:r>
          </w:p>
        </w:tc>
        <w:tc>
          <w:tcPr>
            <w:tcW w:w="4768" w:type="dxa"/>
            <w:shd w:val="clear" w:color="auto" w:fill="auto"/>
            <w:vAlign w:val="center"/>
          </w:tcPr>
          <w:p w:rsidR="00733CB6" w:rsidRPr="008B26DE" w:rsidRDefault="004E63A9" w:rsidP="0035686E">
            <w:pPr>
              <w:pStyle w:val="TableText0"/>
            </w:pPr>
            <w:r w:rsidRPr="008B26DE">
              <w:t xml:space="preserve">ABS population projection, 2012 to 2021. </w:t>
            </w:r>
            <w:r w:rsidR="00733CB6" w:rsidRPr="008B26DE">
              <w:t>Consistent with July 2019 submission</w:t>
            </w:r>
          </w:p>
        </w:tc>
      </w:tr>
      <w:tr w:rsidR="00733CB6" w:rsidRPr="008B26DE" w:rsidTr="00733CB6">
        <w:trPr>
          <w:trHeight w:val="20"/>
        </w:trPr>
        <w:tc>
          <w:tcPr>
            <w:tcW w:w="1980" w:type="dxa"/>
            <w:shd w:val="clear" w:color="auto" w:fill="auto"/>
            <w:vAlign w:val="center"/>
          </w:tcPr>
          <w:p w:rsidR="00733CB6" w:rsidRPr="008B26DE" w:rsidRDefault="00733CB6" w:rsidP="0035686E">
            <w:pPr>
              <w:pStyle w:val="TableText0"/>
            </w:pPr>
            <w:r w:rsidRPr="008B26DE">
              <w:t>Prevalence of migraine</w:t>
            </w:r>
          </w:p>
        </w:tc>
        <w:tc>
          <w:tcPr>
            <w:tcW w:w="992" w:type="dxa"/>
            <w:vAlign w:val="center"/>
          </w:tcPr>
          <w:p w:rsidR="00733CB6" w:rsidRPr="008B26DE" w:rsidRDefault="00733CB6" w:rsidP="0035686E">
            <w:pPr>
              <w:pStyle w:val="TableText0"/>
            </w:pPr>
            <w:r w:rsidRPr="008B26DE">
              <w:t>14.64%</w:t>
            </w:r>
          </w:p>
        </w:tc>
        <w:tc>
          <w:tcPr>
            <w:tcW w:w="1276" w:type="dxa"/>
            <w:shd w:val="clear" w:color="auto" w:fill="auto"/>
            <w:vAlign w:val="center"/>
          </w:tcPr>
          <w:p w:rsidR="00733CB6" w:rsidRPr="003821BE" w:rsidRDefault="00561001" w:rsidP="004E63A9">
            <w:pPr>
              <w:pStyle w:val="TableText0"/>
              <w:rPr>
                <w:vertAlign w:val="superscript"/>
              </w:rPr>
            </w:pPr>
            <w:r>
              <w:rPr>
                <w:noProof/>
                <w:color w:val="000000"/>
                <w:highlight w:val="black"/>
              </w:rPr>
              <w:t>'''''''''''''''''''''''''</w:t>
            </w:r>
            <w:r w:rsidR="003821BE" w:rsidRPr="003821BE">
              <w:rPr>
                <w:vertAlign w:val="superscript"/>
              </w:rPr>
              <w:t>2</w:t>
            </w:r>
          </w:p>
        </w:tc>
        <w:tc>
          <w:tcPr>
            <w:tcW w:w="4768" w:type="dxa"/>
            <w:shd w:val="clear" w:color="auto" w:fill="auto"/>
            <w:vAlign w:val="center"/>
          </w:tcPr>
          <w:p w:rsidR="00733CB6" w:rsidRPr="008B26DE" w:rsidRDefault="004E63A9" w:rsidP="0035686E">
            <w:pPr>
              <w:pStyle w:val="TableText0"/>
            </w:pPr>
            <w:r w:rsidRPr="008B26DE">
              <w:t xml:space="preserve">Weighted average of ages &gt;=15 to 65+ (Stark 2007). </w:t>
            </w:r>
            <w:r w:rsidR="00733CB6" w:rsidRPr="008B26DE">
              <w:t>Consistent with July 2019 submission</w:t>
            </w:r>
          </w:p>
        </w:tc>
      </w:tr>
      <w:tr w:rsidR="00733CB6" w:rsidRPr="008B26DE" w:rsidTr="00733CB6">
        <w:trPr>
          <w:trHeight w:val="20"/>
        </w:trPr>
        <w:tc>
          <w:tcPr>
            <w:tcW w:w="1980" w:type="dxa"/>
            <w:shd w:val="clear" w:color="auto" w:fill="auto"/>
            <w:vAlign w:val="center"/>
          </w:tcPr>
          <w:p w:rsidR="00733CB6" w:rsidRPr="008B26DE" w:rsidRDefault="00733CB6" w:rsidP="0035686E">
            <w:pPr>
              <w:pStyle w:val="TableText0"/>
            </w:pPr>
            <w:r w:rsidRPr="008B26DE">
              <w:t>Proportion with chronic migraine</w:t>
            </w:r>
          </w:p>
        </w:tc>
        <w:tc>
          <w:tcPr>
            <w:tcW w:w="992" w:type="dxa"/>
            <w:vAlign w:val="center"/>
          </w:tcPr>
          <w:p w:rsidR="00733CB6" w:rsidRPr="008B26DE" w:rsidRDefault="00733CB6" w:rsidP="0035686E">
            <w:pPr>
              <w:pStyle w:val="TableText0"/>
            </w:pPr>
            <w:r w:rsidRPr="008B26DE">
              <w:t>10%</w:t>
            </w:r>
          </w:p>
        </w:tc>
        <w:tc>
          <w:tcPr>
            <w:tcW w:w="1276" w:type="dxa"/>
            <w:shd w:val="clear" w:color="auto" w:fill="auto"/>
            <w:vAlign w:val="center"/>
          </w:tcPr>
          <w:p w:rsidR="00733CB6" w:rsidRPr="003821BE" w:rsidRDefault="00561001" w:rsidP="004E63A9">
            <w:pPr>
              <w:pStyle w:val="TableText0"/>
            </w:pPr>
            <w:r>
              <w:rPr>
                <w:noProof/>
                <w:color w:val="000000"/>
                <w:highlight w:val="black"/>
              </w:rPr>
              <w:t>'''''''''''''''''''''</w:t>
            </w:r>
            <w:r w:rsidR="003821BE" w:rsidRPr="003821BE">
              <w:rPr>
                <w:vertAlign w:val="superscript"/>
              </w:rPr>
              <w:t>3</w:t>
            </w:r>
            <w:r w:rsidR="004E63A9" w:rsidRPr="003821BE">
              <w:t xml:space="preserve"> </w:t>
            </w:r>
          </w:p>
        </w:tc>
        <w:tc>
          <w:tcPr>
            <w:tcW w:w="4768" w:type="dxa"/>
            <w:shd w:val="clear" w:color="auto" w:fill="auto"/>
            <w:vAlign w:val="center"/>
          </w:tcPr>
          <w:p w:rsidR="00733CB6" w:rsidRPr="008B26DE" w:rsidRDefault="004E63A9" w:rsidP="004E63A9">
            <w:pPr>
              <w:pStyle w:val="TableText0"/>
            </w:pPr>
            <w:proofErr w:type="spellStart"/>
            <w:r w:rsidRPr="008B26DE">
              <w:t>Erenumab</w:t>
            </w:r>
            <w:proofErr w:type="spellEnd"/>
            <w:r w:rsidRPr="008B26DE">
              <w:t xml:space="preserve"> PSD, July 2018 PBAC meeting. </w:t>
            </w:r>
            <w:r w:rsidR="00733CB6" w:rsidRPr="008B26DE">
              <w:t>Consistent with July 2019 submission</w:t>
            </w:r>
          </w:p>
        </w:tc>
      </w:tr>
      <w:tr w:rsidR="00733CB6" w:rsidRPr="008B26DE" w:rsidTr="00733CB6">
        <w:trPr>
          <w:trHeight w:val="20"/>
        </w:trPr>
        <w:tc>
          <w:tcPr>
            <w:tcW w:w="1980" w:type="dxa"/>
            <w:shd w:val="clear" w:color="auto" w:fill="auto"/>
            <w:vAlign w:val="center"/>
          </w:tcPr>
          <w:p w:rsidR="00733CB6" w:rsidRPr="008B26DE" w:rsidRDefault="00733CB6" w:rsidP="0035686E">
            <w:pPr>
              <w:pStyle w:val="TableText0"/>
            </w:pPr>
            <w:r w:rsidRPr="008B26DE">
              <w:t>Proportion failed 3 or more prior treatments</w:t>
            </w:r>
          </w:p>
        </w:tc>
        <w:tc>
          <w:tcPr>
            <w:tcW w:w="992" w:type="dxa"/>
            <w:vAlign w:val="center"/>
          </w:tcPr>
          <w:p w:rsidR="00733CB6" w:rsidRPr="008B26DE" w:rsidRDefault="00733CB6" w:rsidP="0035686E">
            <w:pPr>
              <w:pStyle w:val="TableText0"/>
            </w:pPr>
            <w:r w:rsidRPr="008B26DE">
              <w:t>12%</w:t>
            </w:r>
          </w:p>
        </w:tc>
        <w:tc>
          <w:tcPr>
            <w:tcW w:w="1276" w:type="dxa"/>
            <w:shd w:val="clear" w:color="auto" w:fill="auto"/>
            <w:vAlign w:val="center"/>
          </w:tcPr>
          <w:p w:rsidR="00733CB6" w:rsidRPr="003821BE" w:rsidRDefault="00561001" w:rsidP="004E63A9">
            <w:pPr>
              <w:pStyle w:val="TableText0"/>
              <w:rPr>
                <w:vertAlign w:val="superscript"/>
              </w:rPr>
            </w:pPr>
            <w:r>
              <w:rPr>
                <w:noProof/>
                <w:color w:val="000000"/>
                <w:highlight w:val="black"/>
              </w:rPr>
              <w:t>'''''''''''''''</w:t>
            </w:r>
            <w:r w:rsidR="003821BE" w:rsidRPr="003821BE">
              <w:rPr>
                <w:vertAlign w:val="superscript"/>
              </w:rPr>
              <w:t>4</w:t>
            </w:r>
          </w:p>
        </w:tc>
        <w:tc>
          <w:tcPr>
            <w:tcW w:w="4768" w:type="dxa"/>
            <w:shd w:val="clear" w:color="auto" w:fill="auto"/>
            <w:vAlign w:val="center"/>
          </w:tcPr>
          <w:p w:rsidR="00733CB6" w:rsidRPr="008B26DE" w:rsidRDefault="004E63A9" w:rsidP="0035686E">
            <w:pPr>
              <w:pStyle w:val="TableText0"/>
            </w:pPr>
            <w:r w:rsidRPr="008B26DE">
              <w:t>Total of patients who had been prescribed &gt;=3 (12%) lines of preventative treatment (Ford 2017) .</w:t>
            </w:r>
            <w:r w:rsidR="00733CB6" w:rsidRPr="008B26DE">
              <w:t xml:space="preserve">Consistent with July 2019 submission </w:t>
            </w:r>
          </w:p>
        </w:tc>
      </w:tr>
      <w:tr w:rsidR="00733CB6" w:rsidRPr="008B26DE" w:rsidTr="00733CB6">
        <w:trPr>
          <w:trHeight w:val="20"/>
        </w:trPr>
        <w:tc>
          <w:tcPr>
            <w:tcW w:w="1980" w:type="dxa"/>
            <w:shd w:val="clear" w:color="auto" w:fill="auto"/>
            <w:vAlign w:val="center"/>
          </w:tcPr>
          <w:p w:rsidR="00733CB6" w:rsidRPr="008B26DE" w:rsidRDefault="00A21FD9" w:rsidP="0043523B">
            <w:pPr>
              <w:pStyle w:val="TableText0"/>
            </w:pPr>
            <w:r w:rsidRPr="008B26DE">
              <w:t>Patients initiating GAL: epidemiology</w:t>
            </w:r>
            <w:r w:rsidR="0043523B" w:rsidRPr="008B26DE">
              <w:t xml:space="preserve"> </w:t>
            </w:r>
          </w:p>
        </w:tc>
        <w:tc>
          <w:tcPr>
            <w:tcW w:w="992" w:type="dxa"/>
            <w:vAlign w:val="center"/>
          </w:tcPr>
          <w:p w:rsidR="00733CB6" w:rsidRPr="008B26DE" w:rsidRDefault="00733CB6" w:rsidP="0035686E">
            <w:pPr>
              <w:pStyle w:val="TableText0"/>
            </w:pPr>
          </w:p>
        </w:tc>
        <w:tc>
          <w:tcPr>
            <w:tcW w:w="1276" w:type="dxa"/>
            <w:shd w:val="clear" w:color="auto" w:fill="auto"/>
            <w:vAlign w:val="center"/>
          </w:tcPr>
          <w:p w:rsidR="00733CB6" w:rsidRPr="003821BE" w:rsidRDefault="00561001" w:rsidP="0035686E">
            <w:pPr>
              <w:pStyle w:val="TableText0"/>
              <w:rPr>
                <w:vertAlign w:val="superscript"/>
              </w:rPr>
            </w:pPr>
            <w:r>
              <w:rPr>
                <w:noProof/>
                <w:color w:val="000000"/>
                <w:highlight w:val="black"/>
              </w:rPr>
              <w:t>''''''''''''''</w:t>
            </w:r>
            <w:r w:rsidR="003821BE" w:rsidRPr="003821BE">
              <w:rPr>
                <w:vertAlign w:val="superscript"/>
              </w:rPr>
              <w:t>5</w:t>
            </w:r>
          </w:p>
        </w:tc>
        <w:tc>
          <w:tcPr>
            <w:tcW w:w="4768" w:type="dxa"/>
            <w:shd w:val="clear" w:color="auto" w:fill="auto"/>
            <w:vAlign w:val="center"/>
          </w:tcPr>
          <w:p w:rsidR="00733CB6" w:rsidRPr="008B26DE" w:rsidRDefault="00CC2091" w:rsidP="00CC2091">
            <w:pPr>
              <w:pStyle w:val="TableText0"/>
            </w:pPr>
            <w:r w:rsidRPr="008B26DE">
              <w:t xml:space="preserve">Total number of loading doses </w:t>
            </w:r>
            <w:r w:rsidR="004341AC" w:rsidRPr="008B26DE">
              <w:t>[Cell T11, 3a.Volumes CGRP EPI worksheet]</w:t>
            </w:r>
          </w:p>
        </w:tc>
      </w:tr>
      <w:tr w:rsidR="00733CB6" w:rsidRPr="008B26DE" w:rsidTr="00733CB6">
        <w:trPr>
          <w:trHeight w:val="20"/>
        </w:trPr>
        <w:tc>
          <w:tcPr>
            <w:tcW w:w="1980" w:type="dxa"/>
            <w:shd w:val="clear" w:color="auto" w:fill="auto"/>
            <w:vAlign w:val="center"/>
          </w:tcPr>
          <w:p w:rsidR="00733CB6" w:rsidRPr="008B26DE" w:rsidRDefault="00A21FD9" w:rsidP="00F15328">
            <w:pPr>
              <w:pStyle w:val="TableText0"/>
            </w:pPr>
            <w:r w:rsidRPr="008B26DE">
              <w:t xml:space="preserve">Patients initiating GAL:  </w:t>
            </w:r>
            <w:r w:rsidR="00F15328" w:rsidRPr="008B26DE">
              <w:t>MS approach</w:t>
            </w:r>
          </w:p>
        </w:tc>
        <w:tc>
          <w:tcPr>
            <w:tcW w:w="992" w:type="dxa"/>
            <w:vAlign w:val="center"/>
          </w:tcPr>
          <w:p w:rsidR="00733CB6" w:rsidRPr="008B26DE" w:rsidRDefault="00733CB6" w:rsidP="0035686E">
            <w:pPr>
              <w:pStyle w:val="TableText0"/>
            </w:pPr>
          </w:p>
        </w:tc>
        <w:tc>
          <w:tcPr>
            <w:tcW w:w="1276" w:type="dxa"/>
            <w:shd w:val="clear" w:color="auto" w:fill="auto"/>
            <w:vAlign w:val="center"/>
          </w:tcPr>
          <w:p w:rsidR="00733CB6" w:rsidRPr="003821BE" w:rsidRDefault="00561001" w:rsidP="0035686E">
            <w:pPr>
              <w:pStyle w:val="TableText0"/>
              <w:rPr>
                <w:vertAlign w:val="superscript"/>
              </w:rPr>
            </w:pPr>
            <w:r>
              <w:rPr>
                <w:noProof/>
                <w:color w:val="000000"/>
                <w:highlight w:val="black"/>
              </w:rPr>
              <w:t>''''''''''''''</w:t>
            </w:r>
            <w:r w:rsidR="003821BE" w:rsidRPr="003821BE">
              <w:rPr>
                <w:vertAlign w:val="superscript"/>
              </w:rPr>
              <w:t>6</w:t>
            </w:r>
          </w:p>
        </w:tc>
        <w:tc>
          <w:tcPr>
            <w:tcW w:w="4768" w:type="dxa"/>
            <w:shd w:val="clear" w:color="auto" w:fill="auto"/>
            <w:vAlign w:val="center"/>
          </w:tcPr>
          <w:p w:rsidR="00733CB6" w:rsidRPr="008B26DE" w:rsidRDefault="00CC2091" w:rsidP="004341AC">
            <w:pPr>
              <w:pStyle w:val="TableText0"/>
            </w:pPr>
            <w:r w:rsidRPr="008B26DE">
              <w:t xml:space="preserve">Total number of loading doses </w:t>
            </w:r>
            <w:r w:rsidR="004341AC" w:rsidRPr="008B26DE">
              <w:t>[Cell T11, 3a.Volumes CGRP MS worksheet]</w:t>
            </w:r>
          </w:p>
        </w:tc>
      </w:tr>
      <w:tr w:rsidR="00733CB6" w:rsidRPr="008B26DE" w:rsidTr="00733CB6">
        <w:trPr>
          <w:trHeight w:val="20"/>
        </w:trPr>
        <w:tc>
          <w:tcPr>
            <w:tcW w:w="1980" w:type="dxa"/>
            <w:shd w:val="clear" w:color="auto" w:fill="auto"/>
            <w:vAlign w:val="center"/>
          </w:tcPr>
          <w:p w:rsidR="00733CB6" w:rsidRPr="008B26DE" w:rsidRDefault="004341AC" w:rsidP="00733CB6">
            <w:pPr>
              <w:pStyle w:val="TableText0"/>
            </w:pPr>
            <w:r w:rsidRPr="008B26DE">
              <w:t>TOTAL number of patients initiating treatment with GAL</w:t>
            </w:r>
          </w:p>
        </w:tc>
        <w:tc>
          <w:tcPr>
            <w:tcW w:w="992" w:type="dxa"/>
            <w:vAlign w:val="center"/>
          </w:tcPr>
          <w:p w:rsidR="00733CB6" w:rsidRPr="008B26DE" w:rsidRDefault="00733CB6" w:rsidP="0035686E">
            <w:pPr>
              <w:pStyle w:val="TableText0"/>
            </w:pPr>
          </w:p>
        </w:tc>
        <w:tc>
          <w:tcPr>
            <w:tcW w:w="1276" w:type="dxa"/>
            <w:shd w:val="clear" w:color="auto" w:fill="auto"/>
            <w:vAlign w:val="center"/>
          </w:tcPr>
          <w:p w:rsidR="00733CB6" w:rsidRPr="003821BE" w:rsidRDefault="00561001" w:rsidP="0035686E">
            <w:pPr>
              <w:pStyle w:val="TableText0"/>
              <w:rPr>
                <w:vertAlign w:val="superscript"/>
              </w:rPr>
            </w:pPr>
            <w:r>
              <w:rPr>
                <w:noProof/>
                <w:color w:val="000000"/>
                <w:highlight w:val="black"/>
              </w:rPr>
              <w:t>''''''''''''</w:t>
            </w:r>
            <w:r w:rsidR="00256B3E">
              <w:rPr>
                <w:vertAlign w:val="superscript"/>
              </w:rPr>
              <w:t>5</w:t>
            </w:r>
          </w:p>
        </w:tc>
        <w:tc>
          <w:tcPr>
            <w:tcW w:w="4768" w:type="dxa"/>
            <w:shd w:val="clear" w:color="auto" w:fill="auto"/>
            <w:vAlign w:val="center"/>
          </w:tcPr>
          <w:p w:rsidR="00733CB6" w:rsidRPr="008B26DE" w:rsidRDefault="00667059" w:rsidP="0035686E">
            <w:pPr>
              <w:pStyle w:val="TableText0"/>
            </w:pPr>
            <w:r>
              <w:rPr>
                <w:noProof/>
                <w:color w:val="000000"/>
                <w:highlight w:val="black"/>
              </w:rPr>
              <w:t>''''''''''''''</w:t>
            </w:r>
            <w:r>
              <w:rPr>
                <w:vertAlign w:val="superscript"/>
              </w:rPr>
              <w:t>5</w:t>
            </w:r>
            <w:r w:rsidRPr="008B26DE">
              <w:t xml:space="preserve">+ </w:t>
            </w:r>
            <w:r>
              <w:rPr>
                <w:noProof/>
                <w:color w:val="000000"/>
                <w:highlight w:val="black"/>
              </w:rPr>
              <w:t>''''''''''''''</w:t>
            </w:r>
            <w:r w:rsidR="00545779">
              <w:rPr>
                <w:vertAlign w:val="superscript"/>
              </w:rPr>
              <w:t>6</w:t>
            </w:r>
          </w:p>
        </w:tc>
      </w:tr>
    </w:tbl>
    <w:p w:rsidR="00F64836" w:rsidRPr="008B26DE" w:rsidRDefault="00F64836" w:rsidP="00F15328">
      <w:pPr>
        <w:pStyle w:val="TableFigureFooter"/>
      </w:pPr>
      <w:r w:rsidRPr="008B26DE">
        <w:t xml:space="preserve">GAL </w:t>
      </w:r>
      <w:proofErr w:type="spellStart"/>
      <w:r w:rsidRPr="008B26DE">
        <w:t>galcanezumab</w:t>
      </w:r>
      <w:proofErr w:type="spellEnd"/>
      <w:r w:rsidRPr="008B26DE">
        <w:t xml:space="preserve">; </w:t>
      </w:r>
      <w:r w:rsidR="0043523B" w:rsidRPr="008B26DE">
        <w:t xml:space="preserve">MS market share; </w:t>
      </w:r>
      <w:r w:rsidRPr="008B26DE">
        <w:t>PSD public summary document</w:t>
      </w:r>
    </w:p>
    <w:p w:rsidR="00733CB6" w:rsidRDefault="00733CB6" w:rsidP="00F15328">
      <w:pPr>
        <w:pStyle w:val="TableFigureFooter"/>
      </w:pPr>
      <w:proofErr w:type="gramStart"/>
      <w:r w:rsidRPr="008B26DE">
        <w:rPr>
          <w:vertAlign w:val="superscript"/>
        </w:rPr>
        <w:t>a</w:t>
      </w:r>
      <w:proofErr w:type="gramEnd"/>
      <w:r w:rsidRPr="008B26DE">
        <w:t xml:space="preserve"> Number of treated patients estimated at each step in Year 1 of the financial estimates</w:t>
      </w:r>
      <w:r w:rsidR="008B26DE">
        <w:t xml:space="preserve">. </w:t>
      </w:r>
    </w:p>
    <w:p w:rsidR="003821BE" w:rsidRPr="003821BE" w:rsidRDefault="003821BE" w:rsidP="00F15328">
      <w:pPr>
        <w:pStyle w:val="TableFigureFooter"/>
        <w:rPr>
          <w:i/>
        </w:rPr>
      </w:pPr>
      <w:r w:rsidRPr="003821BE">
        <w:rPr>
          <w:i/>
        </w:rPr>
        <w:t>The redacted values correspond to the following ranges:</w:t>
      </w:r>
    </w:p>
    <w:p w:rsidR="003821BE" w:rsidRPr="003821BE" w:rsidRDefault="003821BE" w:rsidP="00F15328">
      <w:pPr>
        <w:pStyle w:val="TableFigureFooter"/>
        <w:rPr>
          <w:i/>
        </w:rPr>
      </w:pPr>
      <w:r w:rsidRPr="003821BE">
        <w:rPr>
          <w:i/>
          <w:vertAlign w:val="superscript"/>
        </w:rPr>
        <w:t>1</w:t>
      </w:r>
      <w:r w:rsidRPr="003821BE">
        <w:rPr>
          <w:i/>
        </w:rPr>
        <w:t>&gt;10,000,000</w:t>
      </w:r>
    </w:p>
    <w:p w:rsidR="003821BE" w:rsidRPr="003821BE" w:rsidRDefault="003821BE" w:rsidP="00F15328">
      <w:pPr>
        <w:pStyle w:val="TableFigureFooter"/>
        <w:rPr>
          <w:i/>
        </w:rPr>
      </w:pPr>
      <w:r w:rsidRPr="003821BE">
        <w:rPr>
          <w:i/>
          <w:vertAlign w:val="superscript"/>
        </w:rPr>
        <w:t>2</w:t>
      </w:r>
      <w:r w:rsidRPr="003821BE">
        <w:rPr>
          <w:i/>
        </w:rPr>
        <w:t>3,000,000 to &lt;4,000,000</w:t>
      </w:r>
    </w:p>
    <w:p w:rsidR="003821BE" w:rsidRPr="003821BE" w:rsidRDefault="003821BE" w:rsidP="00F15328">
      <w:pPr>
        <w:pStyle w:val="TableFigureFooter"/>
        <w:rPr>
          <w:i/>
        </w:rPr>
      </w:pPr>
      <w:r w:rsidRPr="003821BE">
        <w:rPr>
          <w:i/>
          <w:vertAlign w:val="superscript"/>
        </w:rPr>
        <w:t>3</w:t>
      </w:r>
      <w:r w:rsidRPr="003821BE">
        <w:rPr>
          <w:i/>
        </w:rPr>
        <w:t>300,000 to &lt;400,000</w:t>
      </w:r>
    </w:p>
    <w:p w:rsidR="003821BE" w:rsidRPr="003821BE" w:rsidRDefault="003821BE" w:rsidP="00F15328">
      <w:pPr>
        <w:pStyle w:val="TableFigureFooter"/>
        <w:rPr>
          <w:i/>
        </w:rPr>
      </w:pPr>
      <w:r w:rsidRPr="003821BE">
        <w:rPr>
          <w:i/>
          <w:vertAlign w:val="superscript"/>
        </w:rPr>
        <w:t>4</w:t>
      </w:r>
      <w:r w:rsidRPr="003821BE">
        <w:rPr>
          <w:i/>
        </w:rPr>
        <w:t>30,000 to &lt;40,000</w:t>
      </w:r>
    </w:p>
    <w:p w:rsidR="003821BE" w:rsidRPr="003821BE" w:rsidRDefault="003821BE" w:rsidP="00F15328">
      <w:pPr>
        <w:pStyle w:val="TableFigureFooter"/>
        <w:rPr>
          <w:i/>
        </w:rPr>
      </w:pPr>
      <w:r w:rsidRPr="003821BE">
        <w:rPr>
          <w:i/>
          <w:vertAlign w:val="superscript"/>
        </w:rPr>
        <w:t>5</w:t>
      </w:r>
      <w:r w:rsidRPr="003821BE">
        <w:rPr>
          <w:i/>
        </w:rPr>
        <w:t>5,000 to &lt;10,000</w:t>
      </w:r>
    </w:p>
    <w:p w:rsidR="003821BE" w:rsidRPr="003821BE" w:rsidRDefault="003821BE" w:rsidP="00F15328">
      <w:pPr>
        <w:pStyle w:val="TableFigureFooter"/>
        <w:rPr>
          <w:i/>
        </w:rPr>
      </w:pPr>
      <w:r w:rsidRPr="003821BE">
        <w:rPr>
          <w:i/>
          <w:vertAlign w:val="superscript"/>
        </w:rPr>
        <w:t>6</w:t>
      </w:r>
      <w:r w:rsidRPr="003821BE">
        <w:rPr>
          <w:i/>
        </w:rPr>
        <w:t>500 to &lt;5,000</w:t>
      </w:r>
    </w:p>
    <w:p w:rsidR="00131F12" w:rsidRPr="001452E2" w:rsidRDefault="00131F12" w:rsidP="00131F12">
      <w:pPr>
        <w:pStyle w:val="TableFooter"/>
        <w:numPr>
          <w:ilvl w:val="0"/>
          <w:numId w:val="0"/>
        </w:numPr>
        <w:ind w:left="360"/>
      </w:pPr>
    </w:p>
    <w:p w:rsidR="00B71A7C" w:rsidRDefault="00B71A7C">
      <w:pPr>
        <w:jc w:val="left"/>
        <w:rPr>
          <w:rFonts w:asciiTheme="minorHAnsi" w:eastAsiaTheme="minorHAnsi" w:hAnsiTheme="minorHAnsi" w:cstheme="minorBidi"/>
          <w:szCs w:val="22"/>
        </w:rPr>
      </w:pPr>
      <w:r>
        <w:br w:type="page"/>
      </w:r>
    </w:p>
    <w:p w:rsidR="00962D4C" w:rsidRPr="008B26DE" w:rsidRDefault="00962D4C" w:rsidP="00962D4C">
      <w:pPr>
        <w:pStyle w:val="3Bodytext"/>
      </w:pPr>
      <w:r w:rsidRPr="00EE01BD">
        <w:lastRenderedPageBreak/>
        <w:t xml:space="preserve">The estimated total number of prevalent patients with treatment-resistant chronic migraine and the number treated with </w:t>
      </w:r>
      <w:proofErr w:type="spellStart"/>
      <w:r w:rsidRPr="00EE01BD">
        <w:t>galcanezumab</w:t>
      </w:r>
      <w:proofErr w:type="spellEnd"/>
      <w:r w:rsidRPr="00EE01BD">
        <w:t xml:space="preserve"> and Botox is summarised in </w:t>
      </w:r>
      <w:r w:rsidR="009908B3" w:rsidRPr="008B26DE">
        <w:t xml:space="preserve">Table </w:t>
      </w:r>
      <w:r w:rsidR="00073601">
        <w:t>6</w:t>
      </w:r>
      <w:r w:rsidRPr="008B26DE">
        <w:t>.</w:t>
      </w:r>
      <w:r w:rsidR="007D4230" w:rsidRPr="008B26DE">
        <w:t xml:space="preserve"> </w:t>
      </w:r>
    </w:p>
    <w:p w:rsidR="00B71A7C" w:rsidRDefault="00B71A7C">
      <w:pPr>
        <w:jc w:val="left"/>
        <w:rPr>
          <w:rFonts w:ascii="Arial Narrow" w:hAnsi="Arial Narrow"/>
          <w:b/>
          <w:iCs/>
          <w:color w:val="000000" w:themeColor="text1"/>
          <w:sz w:val="20"/>
          <w:szCs w:val="18"/>
        </w:rPr>
      </w:pPr>
      <w:bookmarkStart w:id="4" w:name="_Ref54081986"/>
      <w:bookmarkStart w:id="5" w:name="_Ref54161431"/>
    </w:p>
    <w:p w:rsidR="00676252" w:rsidRPr="008B26DE" w:rsidRDefault="0048548D" w:rsidP="0043523B">
      <w:pPr>
        <w:pStyle w:val="Caption"/>
      </w:pPr>
      <w:r w:rsidRPr="008B26DE">
        <w:t xml:space="preserve">Table </w:t>
      </w:r>
      <w:r w:rsidR="00073601">
        <w:t>6</w:t>
      </w:r>
      <w:bookmarkEnd w:id="4"/>
      <w:bookmarkEnd w:id="5"/>
      <w:r w:rsidRPr="00320593">
        <w:t xml:space="preserve">: </w:t>
      </w:r>
      <w:r w:rsidRPr="008B26DE">
        <w:t xml:space="preserve">Estimation of number of prevalent treatment-resistant chronic migraine patients and number treated with Botox and </w:t>
      </w:r>
      <w:proofErr w:type="spellStart"/>
      <w:r w:rsidRPr="008B26DE">
        <w:t>galcanezumab</w:t>
      </w:r>
      <w:proofErr w:type="spellEnd"/>
    </w:p>
    <w:tbl>
      <w:tblPr>
        <w:tblW w:w="5003" w:type="pct"/>
        <w:tblInd w:w="-5" w:type="dxa"/>
        <w:tblLayout w:type="fixed"/>
        <w:tblLook w:val="04A0" w:firstRow="1" w:lastRow="0" w:firstColumn="1" w:lastColumn="0" w:noHBand="0" w:noVBand="1"/>
      </w:tblPr>
      <w:tblGrid>
        <w:gridCol w:w="3407"/>
        <w:gridCol w:w="937"/>
        <w:gridCol w:w="936"/>
        <w:gridCol w:w="936"/>
        <w:gridCol w:w="936"/>
        <w:gridCol w:w="936"/>
        <w:gridCol w:w="933"/>
      </w:tblGrid>
      <w:tr w:rsidR="00676252" w:rsidRPr="008B26DE" w:rsidTr="0048548D">
        <w:trPr>
          <w:trHeight w:val="300"/>
        </w:trPr>
        <w:tc>
          <w:tcPr>
            <w:tcW w:w="1888"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48548D" w:rsidRPr="008B26DE" w:rsidRDefault="0048548D" w:rsidP="0048548D">
            <w:pPr>
              <w:pStyle w:val="TableText0"/>
              <w:rPr>
                <w:szCs w:val="20"/>
              </w:rPr>
            </w:pPr>
          </w:p>
        </w:tc>
        <w:tc>
          <w:tcPr>
            <w:tcW w:w="519" w:type="pct"/>
            <w:tcBorders>
              <w:top w:val="nil"/>
              <w:left w:val="nil"/>
              <w:bottom w:val="single" w:sz="4" w:space="0" w:color="auto"/>
              <w:right w:val="single" w:sz="4" w:space="0" w:color="auto"/>
            </w:tcBorders>
            <w:shd w:val="clear" w:color="auto" w:fill="BFBFBF"/>
            <w:noWrap/>
            <w:vAlign w:val="center"/>
            <w:hideMark/>
          </w:tcPr>
          <w:p w:rsidR="00676252" w:rsidRPr="008B26DE" w:rsidRDefault="00676252" w:rsidP="0048548D">
            <w:pPr>
              <w:pStyle w:val="TableText0"/>
              <w:rPr>
                <w:b/>
                <w:szCs w:val="20"/>
              </w:rPr>
            </w:pPr>
            <w:r w:rsidRPr="008B26DE">
              <w:rPr>
                <w:b/>
                <w:szCs w:val="20"/>
              </w:rPr>
              <w:t>2021</w:t>
            </w:r>
          </w:p>
        </w:tc>
        <w:tc>
          <w:tcPr>
            <w:tcW w:w="519" w:type="pct"/>
            <w:tcBorders>
              <w:top w:val="nil"/>
              <w:left w:val="nil"/>
              <w:bottom w:val="single" w:sz="4" w:space="0" w:color="auto"/>
              <w:right w:val="single" w:sz="4" w:space="0" w:color="auto"/>
            </w:tcBorders>
            <w:shd w:val="clear" w:color="auto" w:fill="BFBFBF"/>
            <w:noWrap/>
            <w:vAlign w:val="center"/>
            <w:hideMark/>
          </w:tcPr>
          <w:p w:rsidR="00676252" w:rsidRPr="008B26DE" w:rsidRDefault="00676252" w:rsidP="0048548D">
            <w:pPr>
              <w:pStyle w:val="TableText0"/>
              <w:rPr>
                <w:b/>
                <w:szCs w:val="20"/>
              </w:rPr>
            </w:pPr>
            <w:r w:rsidRPr="008B26DE">
              <w:rPr>
                <w:b/>
                <w:szCs w:val="20"/>
              </w:rPr>
              <w:t>2022</w:t>
            </w:r>
          </w:p>
        </w:tc>
        <w:tc>
          <w:tcPr>
            <w:tcW w:w="519" w:type="pct"/>
            <w:tcBorders>
              <w:top w:val="nil"/>
              <w:left w:val="nil"/>
              <w:bottom w:val="single" w:sz="4" w:space="0" w:color="auto"/>
              <w:right w:val="single" w:sz="4" w:space="0" w:color="auto"/>
            </w:tcBorders>
            <w:shd w:val="clear" w:color="auto" w:fill="BFBFBF"/>
            <w:noWrap/>
            <w:vAlign w:val="center"/>
            <w:hideMark/>
          </w:tcPr>
          <w:p w:rsidR="00676252" w:rsidRPr="008B26DE" w:rsidRDefault="00676252" w:rsidP="0048548D">
            <w:pPr>
              <w:pStyle w:val="TableText0"/>
              <w:rPr>
                <w:b/>
                <w:szCs w:val="20"/>
              </w:rPr>
            </w:pPr>
            <w:r w:rsidRPr="008B26DE">
              <w:rPr>
                <w:b/>
                <w:szCs w:val="20"/>
              </w:rPr>
              <w:t>2023</w:t>
            </w:r>
          </w:p>
        </w:tc>
        <w:tc>
          <w:tcPr>
            <w:tcW w:w="519" w:type="pct"/>
            <w:tcBorders>
              <w:top w:val="nil"/>
              <w:left w:val="nil"/>
              <w:bottom w:val="single" w:sz="4" w:space="0" w:color="auto"/>
              <w:right w:val="single" w:sz="4" w:space="0" w:color="auto"/>
            </w:tcBorders>
            <w:shd w:val="clear" w:color="auto" w:fill="BFBFBF"/>
            <w:noWrap/>
            <w:vAlign w:val="center"/>
            <w:hideMark/>
          </w:tcPr>
          <w:p w:rsidR="00676252" w:rsidRPr="008B26DE" w:rsidRDefault="00676252" w:rsidP="0048548D">
            <w:pPr>
              <w:pStyle w:val="TableText0"/>
              <w:rPr>
                <w:b/>
                <w:szCs w:val="20"/>
              </w:rPr>
            </w:pPr>
            <w:r w:rsidRPr="008B26DE">
              <w:rPr>
                <w:b/>
                <w:szCs w:val="20"/>
              </w:rPr>
              <w:t>2024</w:t>
            </w:r>
          </w:p>
        </w:tc>
        <w:tc>
          <w:tcPr>
            <w:tcW w:w="519" w:type="pct"/>
            <w:tcBorders>
              <w:top w:val="nil"/>
              <w:left w:val="nil"/>
              <w:bottom w:val="single" w:sz="4" w:space="0" w:color="auto"/>
              <w:right w:val="single" w:sz="4" w:space="0" w:color="auto"/>
            </w:tcBorders>
            <w:shd w:val="clear" w:color="auto" w:fill="BFBFBF"/>
            <w:noWrap/>
            <w:vAlign w:val="center"/>
            <w:hideMark/>
          </w:tcPr>
          <w:p w:rsidR="00676252" w:rsidRPr="008B26DE" w:rsidRDefault="00676252" w:rsidP="0048548D">
            <w:pPr>
              <w:pStyle w:val="TableText0"/>
              <w:rPr>
                <w:b/>
                <w:szCs w:val="20"/>
              </w:rPr>
            </w:pPr>
            <w:r w:rsidRPr="008B26DE">
              <w:rPr>
                <w:b/>
                <w:szCs w:val="20"/>
              </w:rPr>
              <w:t>2025</w:t>
            </w:r>
          </w:p>
        </w:tc>
        <w:tc>
          <w:tcPr>
            <w:tcW w:w="517" w:type="pct"/>
            <w:tcBorders>
              <w:top w:val="nil"/>
              <w:left w:val="nil"/>
              <w:bottom w:val="single" w:sz="4" w:space="0" w:color="auto"/>
              <w:right w:val="single" w:sz="4" w:space="0" w:color="auto"/>
            </w:tcBorders>
            <w:shd w:val="clear" w:color="auto" w:fill="BFBFBF"/>
            <w:noWrap/>
            <w:vAlign w:val="center"/>
            <w:hideMark/>
          </w:tcPr>
          <w:p w:rsidR="00676252" w:rsidRPr="008B26DE" w:rsidRDefault="00676252" w:rsidP="0048548D">
            <w:pPr>
              <w:pStyle w:val="TableText0"/>
              <w:rPr>
                <w:b/>
                <w:szCs w:val="20"/>
              </w:rPr>
            </w:pPr>
            <w:r w:rsidRPr="008B26DE">
              <w:rPr>
                <w:b/>
                <w:szCs w:val="20"/>
              </w:rPr>
              <w:t>2026</w:t>
            </w:r>
          </w:p>
        </w:tc>
      </w:tr>
      <w:tr w:rsidR="0048548D" w:rsidRPr="008B26DE" w:rsidTr="0048548D">
        <w:trPr>
          <w:trHeight w:val="300"/>
        </w:trPr>
        <w:tc>
          <w:tcPr>
            <w:tcW w:w="1888" w:type="pct"/>
            <w:tcBorders>
              <w:top w:val="nil"/>
              <w:left w:val="single" w:sz="4" w:space="0" w:color="auto"/>
              <w:bottom w:val="single" w:sz="4" w:space="0" w:color="auto"/>
              <w:right w:val="single" w:sz="4" w:space="0" w:color="auto"/>
            </w:tcBorders>
            <w:shd w:val="clear" w:color="auto" w:fill="auto"/>
            <w:noWrap/>
            <w:vAlign w:val="bottom"/>
          </w:tcPr>
          <w:p w:rsidR="00676252" w:rsidRPr="008B26DE" w:rsidRDefault="0048548D" w:rsidP="0048548D">
            <w:pPr>
              <w:pStyle w:val="TableText0"/>
              <w:rPr>
                <w:szCs w:val="20"/>
              </w:rPr>
            </w:pPr>
            <w:r w:rsidRPr="008B26DE">
              <w:rPr>
                <w:szCs w:val="20"/>
              </w:rPr>
              <w:t>Number of patients number of chronic migraine patients who have failed ≥ 3 treatments</w:t>
            </w:r>
          </w:p>
        </w:tc>
        <w:tc>
          <w:tcPr>
            <w:tcW w:w="5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676252" w:rsidRPr="00256B3E" w:rsidRDefault="00561001" w:rsidP="0048548D">
            <w:pPr>
              <w:pStyle w:val="TableText0"/>
              <w:rPr>
                <w:szCs w:val="20"/>
                <w:vertAlign w:val="superscript"/>
              </w:rPr>
            </w:pPr>
            <w:r>
              <w:rPr>
                <w:noProof/>
                <w:color w:val="000000"/>
                <w:szCs w:val="20"/>
                <w:highlight w:val="black"/>
              </w:rPr>
              <w:t>''''''''''''''''</w:t>
            </w:r>
            <w:r w:rsidR="00256B3E" w:rsidRPr="00256B3E">
              <w:rPr>
                <w:szCs w:val="20"/>
                <w:vertAlign w:val="superscript"/>
              </w:rPr>
              <w:t>1</w:t>
            </w:r>
          </w:p>
        </w:tc>
        <w:tc>
          <w:tcPr>
            <w:tcW w:w="519" w:type="pct"/>
            <w:tcBorders>
              <w:top w:val="single" w:sz="4" w:space="0" w:color="auto"/>
              <w:left w:val="nil"/>
              <w:bottom w:val="single" w:sz="4" w:space="0" w:color="auto"/>
              <w:right w:val="single" w:sz="4" w:space="0" w:color="auto"/>
            </w:tcBorders>
            <w:shd w:val="clear" w:color="auto" w:fill="auto"/>
            <w:noWrap/>
            <w:vAlign w:val="center"/>
          </w:tcPr>
          <w:p w:rsidR="00676252" w:rsidRPr="00256B3E" w:rsidRDefault="00561001" w:rsidP="0048548D">
            <w:pPr>
              <w:pStyle w:val="TableText0"/>
              <w:rPr>
                <w:szCs w:val="20"/>
              </w:rPr>
            </w:pPr>
            <w:r>
              <w:rPr>
                <w:noProof/>
                <w:color w:val="000000"/>
                <w:szCs w:val="20"/>
                <w:highlight w:val="black"/>
              </w:rPr>
              <w:t>''''''''''''''''</w:t>
            </w:r>
            <w:r w:rsidR="00256B3E" w:rsidRPr="00256B3E">
              <w:rPr>
                <w:szCs w:val="20"/>
                <w:vertAlign w:val="superscript"/>
              </w:rPr>
              <w:t>1</w:t>
            </w:r>
          </w:p>
        </w:tc>
        <w:tc>
          <w:tcPr>
            <w:tcW w:w="519" w:type="pct"/>
            <w:tcBorders>
              <w:top w:val="single" w:sz="4" w:space="0" w:color="auto"/>
              <w:left w:val="nil"/>
              <w:bottom w:val="single" w:sz="4" w:space="0" w:color="auto"/>
              <w:right w:val="single" w:sz="4" w:space="0" w:color="auto"/>
            </w:tcBorders>
            <w:shd w:val="clear" w:color="auto" w:fill="auto"/>
            <w:noWrap/>
            <w:vAlign w:val="center"/>
          </w:tcPr>
          <w:p w:rsidR="00676252" w:rsidRPr="00256B3E" w:rsidRDefault="00561001" w:rsidP="0048548D">
            <w:pPr>
              <w:pStyle w:val="TableText0"/>
              <w:rPr>
                <w:szCs w:val="20"/>
              </w:rPr>
            </w:pPr>
            <w:r>
              <w:rPr>
                <w:noProof/>
                <w:color w:val="000000"/>
                <w:szCs w:val="20"/>
                <w:highlight w:val="black"/>
              </w:rPr>
              <w:t>'''''''''''''''''</w:t>
            </w:r>
            <w:r w:rsidR="00256B3E" w:rsidRPr="00256B3E">
              <w:rPr>
                <w:szCs w:val="20"/>
                <w:vertAlign w:val="superscript"/>
              </w:rPr>
              <w:t>1</w:t>
            </w:r>
          </w:p>
        </w:tc>
        <w:tc>
          <w:tcPr>
            <w:tcW w:w="519" w:type="pct"/>
            <w:tcBorders>
              <w:top w:val="single" w:sz="4" w:space="0" w:color="auto"/>
              <w:left w:val="nil"/>
              <w:bottom w:val="single" w:sz="4" w:space="0" w:color="auto"/>
              <w:right w:val="single" w:sz="4" w:space="0" w:color="auto"/>
            </w:tcBorders>
            <w:shd w:val="clear" w:color="auto" w:fill="auto"/>
            <w:noWrap/>
            <w:vAlign w:val="center"/>
          </w:tcPr>
          <w:p w:rsidR="00676252" w:rsidRPr="00256B3E" w:rsidRDefault="00561001" w:rsidP="0048548D">
            <w:pPr>
              <w:pStyle w:val="TableText0"/>
              <w:rPr>
                <w:szCs w:val="20"/>
              </w:rPr>
            </w:pPr>
            <w:r>
              <w:rPr>
                <w:noProof/>
                <w:color w:val="000000"/>
                <w:szCs w:val="20"/>
                <w:highlight w:val="black"/>
              </w:rPr>
              <w:t>'''''''''''''''</w:t>
            </w:r>
            <w:r w:rsidR="00256B3E" w:rsidRPr="00256B3E">
              <w:rPr>
                <w:szCs w:val="20"/>
                <w:vertAlign w:val="superscript"/>
              </w:rPr>
              <w:t>1</w:t>
            </w:r>
          </w:p>
        </w:tc>
        <w:tc>
          <w:tcPr>
            <w:tcW w:w="519" w:type="pct"/>
            <w:tcBorders>
              <w:top w:val="single" w:sz="4" w:space="0" w:color="auto"/>
              <w:left w:val="nil"/>
              <w:bottom w:val="single" w:sz="4" w:space="0" w:color="auto"/>
              <w:right w:val="single" w:sz="4" w:space="0" w:color="auto"/>
            </w:tcBorders>
            <w:shd w:val="clear" w:color="auto" w:fill="auto"/>
            <w:noWrap/>
            <w:vAlign w:val="center"/>
          </w:tcPr>
          <w:p w:rsidR="00676252" w:rsidRPr="00256B3E" w:rsidRDefault="00561001" w:rsidP="0048548D">
            <w:pPr>
              <w:pStyle w:val="TableText0"/>
              <w:rPr>
                <w:szCs w:val="20"/>
              </w:rPr>
            </w:pPr>
            <w:r>
              <w:rPr>
                <w:noProof/>
                <w:color w:val="000000"/>
                <w:szCs w:val="20"/>
                <w:highlight w:val="black"/>
              </w:rPr>
              <w:t>'''''''''''''''</w:t>
            </w:r>
            <w:r w:rsidR="00256B3E" w:rsidRPr="00256B3E">
              <w:rPr>
                <w:szCs w:val="20"/>
                <w:vertAlign w:val="superscript"/>
              </w:rPr>
              <w:t>1</w:t>
            </w:r>
          </w:p>
        </w:tc>
        <w:tc>
          <w:tcPr>
            <w:tcW w:w="517" w:type="pct"/>
            <w:tcBorders>
              <w:top w:val="single" w:sz="4" w:space="0" w:color="auto"/>
              <w:left w:val="nil"/>
              <w:bottom w:val="single" w:sz="4" w:space="0" w:color="auto"/>
              <w:right w:val="single" w:sz="4" w:space="0" w:color="auto"/>
            </w:tcBorders>
            <w:shd w:val="clear" w:color="auto" w:fill="auto"/>
            <w:noWrap/>
            <w:vAlign w:val="center"/>
          </w:tcPr>
          <w:p w:rsidR="00676252" w:rsidRPr="00256B3E" w:rsidRDefault="00561001" w:rsidP="0048548D">
            <w:pPr>
              <w:pStyle w:val="TableText0"/>
              <w:rPr>
                <w:szCs w:val="20"/>
              </w:rPr>
            </w:pPr>
            <w:r>
              <w:rPr>
                <w:noProof/>
                <w:color w:val="000000"/>
                <w:szCs w:val="20"/>
                <w:highlight w:val="black"/>
              </w:rPr>
              <w:t>''''''''''''''''</w:t>
            </w:r>
            <w:r w:rsidR="00256B3E" w:rsidRPr="00256B3E">
              <w:rPr>
                <w:szCs w:val="20"/>
                <w:vertAlign w:val="superscript"/>
              </w:rPr>
              <w:t>1</w:t>
            </w:r>
          </w:p>
        </w:tc>
      </w:tr>
      <w:tr w:rsidR="00676252" w:rsidRPr="008B26DE" w:rsidTr="0048548D">
        <w:trPr>
          <w:trHeight w:val="300"/>
        </w:trPr>
        <w:tc>
          <w:tcPr>
            <w:tcW w:w="5000" w:type="pct"/>
            <w:gridSpan w:val="7"/>
            <w:tcBorders>
              <w:top w:val="nil"/>
              <w:left w:val="single" w:sz="4" w:space="0" w:color="auto"/>
              <w:bottom w:val="single" w:sz="4" w:space="0" w:color="auto"/>
              <w:right w:val="single" w:sz="4" w:space="0" w:color="auto"/>
            </w:tcBorders>
            <w:shd w:val="clear" w:color="auto" w:fill="D9D9D9" w:themeFill="background1" w:themeFillShade="D9"/>
            <w:noWrap/>
            <w:vAlign w:val="bottom"/>
          </w:tcPr>
          <w:p w:rsidR="00676252" w:rsidRPr="00256B3E" w:rsidRDefault="00676252" w:rsidP="002F08D5">
            <w:pPr>
              <w:pStyle w:val="TableText0"/>
              <w:rPr>
                <w:b/>
                <w:szCs w:val="20"/>
              </w:rPr>
            </w:pPr>
            <w:r w:rsidRPr="00256B3E">
              <w:rPr>
                <w:b/>
                <w:szCs w:val="20"/>
              </w:rPr>
              <w:t>With</w:t>
            </w:r>
            <w:r w:rsidR="0048548D" w:rsidRPr="00256B3E">
              <w:rPr>
                <w:b/>
                <w:szCs w:val="20"/>
              </w:rPr>
              <w:t>out</w:t>
            </w:r>
            <w:r w:rsidRPr="00256B3E">
              <w:rPr>
                <w:b/>
                <w:szCs w:val="20"/>
              </w:rPr>
              <w:t xml:space="preserve"> </w:t>
            </w:r>
            <w:proofErr w:type="spellStart"/>
            <w:r w:rsidR="002F08D5" w:rsidRPr="00256B3E">
              <w:rPr>
                <w:b/>
                <w:szCs w:val="20"/>
              </w:rPr>
              <w:t>galcanezumab</w:t>
            </w:r>
            <w:proofErr w:type="spellEnd"/>
            <w:r w:rsidR="002F08D5" w:rsidRPr="00256B3E">
              <w:rPr>
                <w:b/>
                <w:szCs w:val="20"/>
              </w:rPr>
              <w:t xml:space="preserve"> </w:t>
            </w:r>
            <w:r w:rsidRPr="00256B3E">
              <w:rPr>
                <w:b/>
                <w:szCs w:val="20"/>
              </w:rPr>
              <w:t>listing</w:t>
            </w:r>
          </w:p>
        </w:tc>
      </w:tr>
      <w:tr w:rsidR="00676252" w:rsidRPr="008B26DE" w:rsidTr="0048548D">
        <w:trPr>
          <w:trHeight w:val="300"/>
        </w:trPr>
        <w:tc>
          <w:tcPr>
            <w:tcW w:w="1888" w:type="pct"/>
            <w:tcBorders>
              <w:top w:val="nil"/>
              <w:left w:val="single" w:sz="4" w:space="0" w:color="auto"/>
              <w:bottom w:val="single" w:sz="4" w:space="0" w:color="auto"/>
              <w:right w:val="single" w:sz="4" w:space="0" w:color="auto"/>
            </w:tcBorders>
            <w:shd w:val="clear" w:color="auto" w:fill="auto"/>
            <w:noWrap/>
            <w:vAlign w:val="bottom"/>
            <w:hideMark/>
          </w:tcPr>
          <w:p w:rsidR="00676252" w:rsidRPr="008B26DE" w:rsidRDefault="0048548D" w:rsidP="0048548D">
            <w:pPr>
              <w:pStyle w:val="TableText0"/>
              <w:rPr>
                <w:szCs w:val="20"/>
              </w:rPr>
            </w:pPr>
            <w:r w:rsidRPr="008B26DE">
              <w:rPr>
                <w:szCs w:val="20"/>
              </w:rPr>
              <w:t xml:space="preserve">Number of patients treated with </w:t>
            </w:r>
            <w:r w:rsidR="00676252" w:rsidRPr="008B26DE">
              <w:rPr>
                <w:szCs w:val="20"/>
              </w:rPr>
              <w:t>Botox</w:t>
            </w:r>
          </w:p>
        </w:tc>
        <w:tc>
          <w:tcPr>
            <w:tcW w:w="519" w:type="pct"/>
            <w:tcBorders>
              <w:top w:val="nil"/>
              <w:left w:val="nil"/>
              <w:bottom w:val="single" w:sz="4" w:space="0" w:color="auto"/>
              <w:right w:val="single" w:sz="4" w:space="0" w:color="auto"/>
            </w:tcBorders>
            <w:shd w:val="clear" w:color="auto" w:fill="auto"/>
            <w:noWrap/>
            <w:vAlign w:val="center"/>
            <w:hideMark/>
          </w:tcPr>
          <w:p w:rsidR="00676252" w:rsidRPr="00256B3E" w:rsidRDefault="00561001" w:rsidP="0048548D">
            <w:pPr>
              <w:pStyle w:val="TableText0"/>
              <w:rPr>
                <w:szCs w:val="20"/>
              </w:rPr>
            </w:pPr>
            <w:r>
              <w:rPr>
                <w:noProof/>
                <w:color w:val="000000"/>
                <w:szCs w:val="20"/>
                <w:highlight w:val="black"/>
              </w:rPr>
              <w:t>'''''''''''''''</w:t>
            </w:r>
            <w:r w:rsidR="00256B3E">
              <w:rPr>
                <w:szCs w:val="20"/>
                <w:vertAlign w:val="superscript"/>
              </w:rPr>
              <w:t>2</w:t>
            </w:r>
          </w:p>
        </w:tc>
        <w:tc>
          <w:tcPr>
            <w:tcW w:w="519" w:type="pct"/>
            <w:tcBorders>
              <w:top w:val="nil"/>
              <w:left w:val="nil"/>
              <w:bottom w:val="single" w:sz="4" w:space="0" w:color="auto"/>
              <w:right w:val="single" w:sz="4" w:space="0" w:color="auto"/>
            </w:tcBorders>
            <w:shd w:val="clear" w:color="auto" w:fill="auto"/>
            <w:noWrap/>
            <w:vAlign w:val="center"/>
            <w:hideMark/>
          </w:tcPr>
          <w:p w:rsidR="00676252" w:rsidRPr="00256B3E" w:rsidRDefault="00561001" w:rsidP="0048548D">
            <w:pPr>
              <w:pStyle w:val="TableText0"/>
              <w:rPr>
                <w:szCs w:val="20"/>
              </w:rPr>
            </w:pPr>
            <w:r>
              <w:rPr>
                <w:noProof/>
                <w:color w:val="000000"/>
                <w:szCs w:val="20"/>
                <w:highlight w:val="black"/>
              </w:rPr>
              <w:t>'''''''''''''''</w:t>
            </w:r>
            <w:r w:rsidR="00256B3E">
              <w:rPr>
                <w:szCs w:val="20"/>
                <w:vertAlign w:val="superscript"/>
              </w:rPr>
              <w:t>2</w:t>
            </w:r>
          </w:p>
        </w:tc>
        <w:tc>
          <w:tcPr>
            <w:tcW w:w="519" w:type="pct"/>
            <w:tcBorders>
              <w:top w:val="nil"/>
              <w:left w:val="nil"/>
              <w:bottom w:val="single" w:sz="4" w:space="0" w:color="auto"/>
              <w:right w:val="single" w:sz="4" w:space="0" w:color="auto"/>
            </w:tcBorders>
            <w:shd w:val="clear" w:color="auto" w:fill="auto"/>
            <w:noWrap/>
            <w:vAlign w:val="center"/>
            <w:hideMark/>
          </w:tcPr>
          <w:p w:rsidR="00676252" w:rsidRPr="00256B3E" w:rsidRDefault="00561001" w:rsidP="0048548D">
            <w:pPr>
              <w:pStyle w:val="TableText0"/>
              <w:rPr>
                <w:szCs w:val="20"/>
              </w:rPr>
            </w:pPr>
            <w:r>
              <w:rPr>
                <w:noProof/>
                <w:color w:val="000000"/>
                <w:szCs w:val="20"/>
                <w:highlight w:val="black"/>
              </w:rPr>
              <w:t>'''''''''''''''''</w:t>
            </w:r>
            <w:r w:rsidR="00256B3E">
              <w:rPr>
                <w:szCs w:val="20"/>
                <w:vertAlign w:val="superscript"/>
              </w:rPr>
              <w:t>2</w:t>
            </w:r>
          </w:p>
        </w:tc>
        <w:tc>
          <w:tcPr>
            <w:tcW w:w="519" w:type="pct"/>
            <w:tcBorders>
              <w:top w:val="nil"/>
              <w:left w:val="nil"/>
              <w:bottom w:val="single" w:sz="4" w:space="0" w:color="auto"/>
              <w:right w:val="single" w:sz="4" w:space="0" w:color="auto"/>
            </w:tcBorders>
            <w:shd w:val="clear" w:color="auto" w:fill="auto"/>
            <w:noWrap/>
            <w:vAlign w:val="center"/>
            <w:hideMark/>
          </w:tcPr>
          <w:p w:rsidR="00676252" w:rsidRPr="00256B3E" w:rsidRDefault="00561001" w:rsidP="0048548D">
            <w:pPr>
              <w:pStyle w:val="TableText0"/>
              <w:rPr>
                <w:szCs w:val="20"/>
              </w:rPr>
            </w:pPr>
            <w:r>
              <w:rPr>
                <w:noProof/>
                <w:color w:val="000000"/>
                <w:szCs w:val="20"/>
                <w:highlight w:val="black"/>
              </w:rPr>
              <w:t>'''''''''''''''</w:t>
            </w:r>
            <w:r w:rsidR="00256B3E">
              <w:rPr>
                <w:szCs w:val="20"/>
                <w:vertAlign w:val="superscript"/>
              </w:rPr>
              <w:t>2</w:t>
            </w:r>
          </w:p>
        </w:tc>
        <w:tc>
          <w:tcPr>
            <w:tcW w:w="519" w:type="pct"/>
            <w:tcBorders>
              <w:top w:val="nil"/>
              <w:left w:val="nil"/>
              <w:bottom w:val="single" w:sz="4" w:space="0" w:color="auto"/>
              <w:right w:val="single" w:sz="4" w:space="0" w:color="auto"/>
            </w:tcBorders>
            <w:shd w:val="clear" w:color="auto" w:fill="auto"/>
            <w:noWrap/>
            <w:vAlign w:val="center"/>
            <w:hideMark/>
          </w:tcPr>
          <w:p w:rsidR="00676252" w:rsidRPr="00256B3E" w:rsidRDefault="00561001" w:rsidP="0048548D">
            <w:pPr>
              <w:pStyle w:val="TableText0"/>
              <w:rPr>
                <w:szCs w:val="20"/>
              </w:rPr>
            </w:pPr>
            <w:r>
              <w:rPr>
                <w:noProof/>
                <w:color w:val="000000"/>
                <w:szCs w:val="20"/>
                <w:highlight w:val="black"/>
              </w:rPr>
              <w:t>'''''''''''''''</w:t>
            </w:r>
            <w:r w:rsidR="00256B3E">
              <w:rPr>
                <w:szCs w:val="20"/>
                <w:vertAlign w:val="superscript"/>
              </w:rPr>
              <w:t>2</w:t>
            </w:r>
          </w:p>
        </w:tc>
        <w:tc>
          <w:tcPr>
            <w:tcW w:w="517" w:type="pct"/>
            <w:tcBorders>
              <w:top w:val="nil"/>
              <w:left w:val="nil"/>
              <w:bottom w:val="single" w:sz="4" w:space="0" w:color="auto"/>
              <w:right w:val="single" w:sz="4" w:space="0" w:color="auto"/>
            </w:tcBorders>
            <w:shd w:val="clear" w:color="auto" w:fill="auto"/>
            <w:noWrap/>
            <w:vAlign w:val="center"/>
            <w:hideMark/>
          </w:tcPr>
          <w:p w:rsidR="00676252" w:rsidRPr="00256B3E" w:rsidRDefault="00561001" w:rsidP="0048548D">
            <w:pPr>
              <w:pStyle w:val="TableText0"/>
              <w:rPr>
                <w:szCs w:val="20"/>
                <w:vertAlign w:val="superscript"/>
              </w:rPr>
            </w:pPr>
            <w:r>
              <w:rPr>
                <w:noProof/>
                <w:color w:val="000000"/>
                <w:szCs w:val="20"/>
                <w:highlight w:val="black"/>
              </w:rPr>
              <w:t>'''''''''''''''</w:t>
            </w:r>
            <w:r w:rsidR="00256B3E" w:rsidRPr="00256B3E">
              <w:rPr>
                <w:szCs w:val="20"/>
                <w:vertAlign w:val="superscript"/>
              </w:rPr>
              <w:t>3</w:t>
            </w:r>
          </w:p>
        </w:tc>
      </w:tr>
      <w:tr w:rsidR="00676252" w:rsidRPr="008B26DE" w:rsidTr="0048548D">
        <w:trPr>
          <w:trHeight w:val="300"/>
        </w:trPr>
        <w:tc>
          <w:tcPr>
            <w:tcW w:w="1888" w:type="pct"/>
            <w:tcBorders>
              <w:top w:val="nil"/>
              <w:left w:val="single" w:sz="4" w:space="0" w:color="auto"/>
              <w:bottom w:val="single" w:sz="4" w:space="0" w:color="auto"/>
              <w:right w:val="single" w:sz="4" w:space="0" w:color="auto"/>
            </w:tcBorders>
            <w:shd w:val="clear" w:color="auto" w:fill="FFFFFF"/>
            <w:noWrap/>
            <w:vAlign w:val="bottom"/>
            <w:hideMark/>
          </w:tcPr>
          <w:p w:rsidR="00676252" w:rsidRPr="008B26DE" w:rsidRDefault="00676252" w:rsidP="0048548D">
            <w:pPr>
              <w:pStyle w:val="TableText0"/>
              <w:rPr>
                <w:color w:val="000000"/>
                <w:szCs w:val="20"/>
              </w:rPr>
            </w:pPr>
            <w:r w:rsidRPr="008B26DE">
              <w:rPr>
                <w:color w:val="000000"/>
                <w:szCs w:val="20"/>
              </w:rPr>
              <w:t>% Eligible Population Treated</w:t>
            </w:r>
          </w:p>
        </w:tc>
        <w:tc>
          <w:tcPr>
            <w:tcW w:w="519" w:type="pct"/>
            <w:tcBorders>
              <w:top w:val="nil"/>
              <w:left w:val="nil"/>
              <w:bottom w:val="single" w:sz="4" w:space="0" w:color="auto"/>
              <w:right w:val="single" w:sz="4" w:space="0" w:color="auto"/>
            </w:tcBorders>
            <w:shd w:val="clear" w:color="auto" w:fill="FFFFFF"/>
            <w:noWrap/>
            <w:vAlign w:val="bottom"/>
            <w:hideMark/>
          </w:tcPr>
          <w:p w:rsidR="00676252" w:rsidRPr="00256B3E" w:rsidRDefault="00676252" w:rsidP="0048548D">
            <w:pPr>
              <w:pStyle w:val="TableText0"/>
              <w:rPr>
                <w:color w:val="000000"/>
                <w:szCs w:val="20"/>
              </w:rPr>
            </w:pPr>
            <w:r w:rsidRPr="00256B3E">
              <w:rPr>
                <w:color w:val="000000"/>
                <w:szCs w:val="20"/>
              </w:rPr>
              <w:t>31%</w:t>
            </w:r>
          </w:p>
        </w:tc>
        <w:tc>
          <w:tcPr>
            <w:tcW w:w="519" w:type="pct"/>
            <w:tcBorders>
              <w:top w:val="nil"/>
              <w:left w:val="nil"/>
              <w:bottom w:val="single" w:sz="4" w:space="0" w:color="auto"/>
              <w:right w:val="single" w:sz="4" w:space="0" w:color="auto"/>
            </w:tcBorders>
            <w:shd w:val="clear" w:color="auto" w:fill="FFFFFF"/>
            <w:noWrap/>
            <w:vAlign w:val="bottom"/>
            <w:hideMark/>
          </w:tcPr>
          <w:p w:rsidR="00676252" w:rsidRPr="00256B3E" w:rsidRDefault="00676252" w:rsidP="0048548D">
            <w:pPr>
              <w:pStyle w:val="TableText0"/>
              <w:rPr>
                <w:color w:val="000000"/>
                <w:szCs w:val="20"/>
              </w:rPr>
            </w:pPr>
            <w:r w:rsidRPr="00256B3E">
              <w:rPr>
                <w:color w:val="000000"/>
                <w:szCs w:val="20"/>
              </w:rPr>
              <w:t>36%</w:t>
            </w:r>
          </w:p>
        </w:tc>
        <w:tc>
          <w:tcPr>
            <w:tcW w:w="519" w:type="pct"/>
            <w:tcBorders>
              <w:top w:val="nil"/>
              <w:left w:val="nil"/>
              <w:bottom w:val="single" w:sz="4" w:space="0" w:color="auto"/>
              <w:right w:val="single" w:sz="4" w:space="0" w:color="auto"/>
            </w:tcBorders>
            <w:shd w:val="clear" w:color="auto" w:fill="FFFFFF"/>
            <w:noWrap/>
            <w:vAlign w:val="bottom"/>
            <w:hideMark/>
          </w:tcPr>
          <w:p w:rsidR="00676252" w:rsidRPr="00256B3E" w:rsidRDefault="00676252" w:rsidP="0048548D">
            <w:pPr>
              <w:pStyle w:val="TableText0"/>
              <w:rPr>
                <w:color w:val="000000"/>
                <w:szCs w:val="20"/>
              </w:rPr>
            </w:pPr>
            <w:r w:rsidRPr="00256B3E">
              <w:rPr>
                <w:color w:val="000000"/>
                <w:szCs w:val="20"/>
              </w:rPr>
              <w:t>39%</w:t>
            </w:r>
          </w:p>
        </w:tc>
        <w:tc>
          <w:tcPr>
            <w:tcW w:w="519" w:type="pct"/>
            <w:tcBorders>
              <w:top w:val="nil"/>
              <w:left w:val="nil"/>
              <w:bottom w:val="single" w:sz="4" w:space="0" w:color="auto"/>
              <w:right w:val="single" w:sz="4" w:space="0" w:color="auto"/>
            </w:tcBorders>
            <w:shd w:val="clear" w:color="auto" w:fill="FFFFFF"/>
            <w:noWrap/>
            <w:vAlign w:val="bottom"/>
            <w:hideMark/>
          </w:tcPr>
          <w:p w:rsidR="00676252" w:rsidRPr="00256B3E" w:rsidRDefault="00676252" w:rsidP="0048548D">
            <w:pPr>
              <w:pStyle w:val="TableText0"/>
              <w:rPr>
                <w:color w:val="000000"/>
                <w:szCs w:val="20"/>
              </w:rPr>
            </w:pPr>
            <w:r w:rsidRPr="00256B3E">
              <w:rPr>
                <w:color w:val="000000"/>
                <w:szCs w:val="20"/>
              </w:rPr>
              <w:t>43%</w:t>
            </w:r>
          </w:p>
        </w:tc>
        <w:tc>
          <w:tcPr>
            <w:tcW w:w="519" w:type="pct"/>
            <w:tcBorders>
              <w:top w:val="nil"/>
              <w:left w:val="nil"/>
              <w:bottom w:val="single" w:sz="4" w:space="0" w:color="auto"/>
              <w:right w:val="single" w:sz="4" w:space="0" w:color="auto"/>
            </w:tcBorders>
            <w:shd w:val="clear" w:color="auto" w:fill="FFFFFF"/>
            <w:noWrap/>
            <w:vAlign w:val="bottom"/>
            <w:hideMark/>
          </w:tcPr>
          <w:p w:rsidR="00676252" w:rsidRPr="00256B3E" w:rsidRDefault="00676252" w:rsidP="0048548D">
            <w:pPr>
              <w:pStyle w:val="TableText0"/>
              <w:rPr>
                <w:color w:val="000000"/>
                <w:szCs w:val="20"/>
              </w:rPr>
            </w:pPr>
            <w:r w:rsidRPr="00256B3E">
              <w:rPr>
                <w:color w:val="000000"/>
                <w:szCs w:val="20"/>
              </w:rPr>
              <w:t>47%</w:t>
            </w:r>
          </w:p>
        </w:tc>
        <w:tc>
          <w:tcPr>
            <w:tcW w:w="517" w:type="pct"/>
            <w:tcBorders>
              <w:top w:val="nil"/>
              <w:left w:val="nil"/>
              <w:bottom w:val="single" w:sz="4" w:space="0" w:color="auto"/>
              <w:right w:val="single" w:sz="4" w:space="0" w:color="auto"/>
            </w:tcBorders>
            <w:shd w:val="clear" w:color="auto" w:fill="FFFFFF"/>
            <w:noWrap/>
            <w:vAlign w:val="bottom"/>
            <w:hideMark/>
          </w:tcPr>
          <w:p w:rsidR="00676252" w:rsidRPr="00256B3E" w:rsidRDefault="00676252" w:rsidP="0048548D">
            <w:pPr>
              <w:pStyle w:val="TableText0"/>
              <w:rPr>
                <w:color w:val="000000"/>
                <w:szCs w:val="20"/>
              </w:rPr>
            </w:pPr>
            <w:r w:rsidRPr="00256B3E">
              <w:rPr>
                <w:color w:val="000000"/>
                <w:szCs w:val="20"/>
              </w:rPr>
              <w:t>50%</w:t>
            </w:r>
          </w:p>
        </w:tc>
      </w:tr>
      <w:tr w:rsidR="0048548D" w:rsidRPr="008B26DE" w:rsidTr="00EB4367">
        <w:trPr>
          <w:trHeight w:val="300"/>
        </w:trPr>
        <w:tc>
          <w:tcPr>
            <w:tcW w:w="5000" w:type="pct"/>
            <w:gridSpan w:val="7"/>
            <w:tcBorders>
              <w:top w:val="nil"/>
              <w:left w:val="single" w:sz="4" w:space="0" w:color="auto"/>
              <w:bottom w:val="single" w:sz="4" w:space="0" w:color="auto"/>
              <w:right w:val="single" w:sz="4" w:space="0" w:color="auto"/>
            </w:tcBorders>
            <w:shd w:val="clear" w:color="auto" w:fill="D9D9D9" w:themeFill="background1" w:themeFillShade="D9"/>
            <w:noWrap/>
            <w:vAlign w:val="bottom"/>
          </w:tcPr>
          <w:p w:rsidR="0048548D" w:rsidRPr="00256B3E" w:rsidRDefault="0048548D" w:rsidP="002F08D5">
            <w:pPr>
              <w:pStyle w:val="TableText0"/>
              <w:rPr>
                <w:b/>
                <w:szCs w:val="20"/>
              </w:rPr>
            </w:pPr>
            <w:r w:rsidRPr="00256B3E">
              <w:rPr>
                <w:b/>
                <w:szCs w:val="20"/>
              </w:rPr>
              <w:t>With</w:t>
            </w:r>
            <w:r w:rsidR="0080494F" w:rsidRPr="00256B3E">
              <w:rPr>
                <w:b/>
                <w:szCs w:val="20"/>
              </w:rPr>
              <w:t xml:space="preserve"> </w:t>
            </w:r>
            <w:proofErr w:type="spellStart"/>
            <w:r w:rsidR="002F08D5" w:rsidRPr="00256B3E">
              <w:rPr>
                <w:b/>
                <w:szCs w:val="20"/>
              </w:rPr>
              <w:t>galcanezumab</w:t>
            </w:r>
            <w:proofErr w:type="spellEnd"/>
            <w:r w:rsidR="002F08D5" w:rsidRPr="00256B3E">
              <w:rPr>
                <w:b/>
                <w:szCs w:val="20"/>
              </w:rPr>
              <w:t xml:space="preserve"> </w:t>
            </w:r>
            <w:r w:rsidRPr="00256B3E">
              <w:rPr>
                <w:b/>
                <w:szCs w:val="20"/>
              </w:rPr>
              <w:t>listing</w:t>
            </w:r>
          </w:p>
        </w:tc>
      </w:tr>
      <w:tr w:rsidR="0048548D" w:rsidRPr="008B26DE" w:rsidTr="0048548D">
        <w:trPr>
          <w:trHeight w:val="300"/>
        </w:trPr>
        <w:tc>
          <w:tcPr>
            <w:tcW w:w="1888"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48548D" w:rsidRPr="008B26DE" w:rsidRDefault="0048548D" w:rsidP="0048548D">
            <w:pPr>
              <w:pStyle w:val="TableText0"/>
              <w:rPr>
                <w:color w:val="000000"/>
                <w:szCs w:val="20"/>
              </w:rPr>
            </w:pPr>
            <w:r w:rsidRPr="008B26DE">
              <w:rPr>
                <w:szCs w:val="20"/>
              </w:rPr>
              <w:t>Number of patients treated with Botox</w:t>
            </w:r>
          </w:p>
        </w:tc>
        <w:tc>
          <w:tcPr>
            <w:tcW w:w="519" w:type="pct"/>
            <w:tcBorders>
              <w:top w:val="nil"/>
              <w:left w:val="nil"/>
              <w:bottom w:val="single" w:sz="4" w:space="0" w:color="auto"/>
              <w:right w:val="single" w:sz="4" w:space="0" w:color="auto"/>
            </w:tcBorders>
            <w:shd w:val="clear" w:color="auto" w:fill="auto"/>
            <w:noWrap/>
            <w:vAlign w:val="center"/>
          </w:tcPr>
          <w:p w:rsidR="0048548D" w:rsidRPr="00256B3E" w:rsidRDefault="00561001" w:rsidP="0048548D">
            <w:pPr>
              <w:pStyle w:val="TableText0"/>
              <w:rPr>
                <w:color w:val="000000"/>
                <w:szCs w:val="20"/>
              </w:rPr>
            </w:pPr>
            <w:r>
              <w:rPr>
                <w:rFonts w:eastAsia="Times New Roman" w:cs="Calibri"/>
                <w:noProof/>
                <w:color w:val="000000"/>
                <w:szCs w:val="20"/>
                <w:highlight w:val="black"/>
              </w:rPr>
              <w:t>'''''''''''''''''</w:t>
            </w:r>
            <w:r w:rsidR="00256B3E">
              <w:rPr>
                <w:szCs w:val="20"/>
                <w:vertAlign w:val="superscript"/>
              </w:rPr>
              <w:t>2</w:t>
            </w:r>
          </w:p>
        </w:tc>
        <w:tc>
          <w:tcPr>
            <w:tcW w:w="519" w:type="pct"/>
            <w:tcBorders>
              <w:top w:val="nil"/>
              <w:left w:val="nil"/>
              <w:bottom w:val="single" w:sz="4" w:space="0" w:color="auto"/>
              <w:right w:val="single" w:sz="4" w:space="0" w:color="auto"/>
            </w:tcBorders>
            <w:shd w:val="clear" w:color="auto" w:fill="auto"/>
            <w:noWrap/>
            <w:vAlign w:val="center"/>
          </w:tcPr>
          <w:p w:rsidR="0048548D" w:rsidRPr="00256B3E" w:rsidRDefault="00561001" w:rsidP="0048548D">
            <w:pPr>
              <w:pStyle w:val="TableText0"/>
              <w:rPr>
                <w:color w:val="000000"/>
                <w:szCs w:val="20"/>
              </w:rPr>
            </w:pPr>
            <w:r>
              <w:rPr>
                <w:rFonts w:eastAsia="Times New Roman" w:cs="Calibri"/>
                <w:noProof/>
                <w:color w:val="000000"/>
                <w:szCs w:val="20"/>
                <w:highlight w:val="black"/>
              </w:rPr>
              <w:t>'''''''''''''''</w:t>
            </w:r>
            <w:r w:rsidR="00256B3E">
              <w:rPr>
                <w:szCs w:val="20"/>
                <w:vertAlign w:val="superscript"/>
              </w:rPr>
              <w:t>2</w:t>
            </w:r>
          </w:p>
        </w:tc>
        <w:tc>
          <w:tcPr>
            <w:tcW w:w="519" w:type="pct"/>
            <w:tcBorders>
              <w:top w:val="nil"/>
              <w:left w:val="nil"/>
              <w:bottom w:val="single" w:sz="4" w:space="0" w:color="auto"/>
              <w:right w:val="single" w:sz="4" w:space="0" w:color="auto"/>
            </w:tcBorders>
            <w:shd w:val="clear" w:color="auto" w:fill="auto"/>
            <w:noWrap/>
            <w:vAlign w:val="center"/>
          </w:tcPr>
          <w:p w:rsidR="0048548D" w:rsidRPr="00256B3E" w:rsidRDefault="00561001" w:rsidP="0048548D">
            <w:pPr>
              <w:pStyle w:val="TableText0"/>
              <w:rPr>
                <w:color w:val="000000"/>
                <w:szCs w:val="20"/>
              </w:rPr>
            </w:pPr>
            <w:r>
              <w:rPr>
                <w:rFonts w:eastAsia="Times New Roman" w:cs="Calibri"/>
                <w:noProof/>
                <w:color w:val="000000"/>
                <w:szCs w:val="20"/>
                <w:highlight w:val="black"/>
              </w:rPr>
              <w:t>'''''''''''''''''</w:t>
            </w:r>
            <w:r w:rsidR="00256B3E">
              <w:rPr>
                <w:szCs w:val="20"/>
                <w:vertAlign w:val="superscript"/>
              </w:rPr>
              <w:t>2</w:t>
            </w:r>
          </w:p>
        </w:tc>
        <w:tc>
          <w:tcPr>
            <w:tcW w:w="519" w:type="pct"/>
            <w:tcBorders>
              <w:top w:val="nil"/>
              <w:left w:val="nil"/>
              <w:bottom w:val="single" w:sz="4" w:space="0" w:color="auto"/>
              <w:right w:val="single" w:sz="4" w:space="0" w:color="auto"/>
            </w:tcBorders>
            <w:shd w:val="clear" w:color="auto" w:fill="auto"/>
            <w:noWrap/>
            <w:vAlign w:val="center"/>
          </w:tcPr>
          <w:p w:rsidR="0048548D" w:rsidRPr="00256B3E" w:rsidRDefault="00561001" w:rsidP="0048548D">
            <w:pPr>
              <w:pStyle w:val="TableText0"/>
              <w:rPr>
                <w:color w:val="000000"/>
                <w:szCs w:val="20"/>
              </w:rPr>
            </w:pPr>
            <w:r>
              <w:rPr>
                <w:rFonts w:eastAsia="Times New Roman" w:cs="Calibri"/>
                <w:noProof/>
                <w:color w:val="000000"/>
                <w:szCs w:val="20"/>
                <w:highlight w:val="black"/>
              </w:rPr>
              <w:t>'''''''''''''''</w:t>
            </w:r>
            <w:r w:rsidR="00256B3E">
              <w:rPr>
                <w:szCs w:val="20"/>
                <w:vertAlign w:val="superscript"/>
              </w:rPr>
              <w:t>2</w:t>
            </w:r>
          </w:p>
        </w:tc>
        <w:tc>
          <w:tcPr>
            <w:tcW w:w="519" w:type="pct"/>
            <w:tcBorders>
              <w:top w:val="nil"/>
              <w:left w:val="nil"/>
              <w:bottom w:val="single" w:sz="4" w:space="0" w:color="auto"/>
              <w:right w:val="single" w:sz="4" w:space="0" w:color="auto"/>
            </w:tcBorders>
            <w:shd w:val="clear" w:color="auto" w:fill="auto"/>
            <w:noWrap/>
            <w:vAlign w:val="center"/>
          </w:tcPr>
          <w:p w:rsidR="0048548D" w:rsidRPr="00256B3E" w:rsidRDefault="00561001" w:rsidP="0048548D">
            <w:pPr>
              <w:pStyle w:val="TableText0"/>
              <w:rPr>
                <w:color w:val="000000"/>
                <w:szCs w:val="20"/>
              </w:rPr>
            </w:pPr>
            <w:r>
              <w:rPr>
                <w:rFonts w:eastAsia="Times New Roman" w:cs="Calibri"/>
                <w:noProof/>
                <w:color w:val="000000"/>
                <w:szCs w:val="20"/>
                <w:highlight w:val="black"/>
              </w:rPr>
              <w:t>''''''''''''''''</w:t>
            </w:r>
            <w:r w:rsidR="00256B3E">
              <w:rPr>
                <w:szCs w:val="20"/>
                <w:vertAlign w:val="superscript"/>
              </w:rPr>
              <w:t>2</w:t>
            </w:r>
          </w:p>
        </w:tc>
        <w:tc>
          <w:tcPr>
            <w:tcW w:w="517" w:type="pct"/>
            <w:tcBorders>
              <w:top w:val="nil"/>
              <w:left w:val="nil"/>
              <w:bottom w:val="single" w:sz="4" w:space="0" w:color="auto"/>
              <w:right w:val="single" w:sz="4" w:space="0" w:color="auto"/>
            </w:tcBorders>
            <w:shd w:val="clear" w:color="auto" w:fill="auto"/>
            <w:noWrap/>
            <w:vAlign w:val="center"/>
          </w:tcPr>
          <w:p w:rsidR="0048548D" w:rsidRPr="00256B3E" w:rsidRDefault="00561001" w:rsidP="0048548D">
            <w:pPr>
              <w:pStyle w:val="TableText0"/>
              <w:rPr>
                <w:color w:val="000000"/>
                <w:szCs w:val="20"/>
              </w:rPr>
            </w:pPr>
            <w:r>
              <w:rPr>
                <w:rFonts w:eastAsia="Times New Roman" w:cs="Calibri"/>
                <w:noProof/>
                <w:color w:val="000000"/>
                <w:szCs w:val="20"/>
                <w:highlight w:val="black"/>
              </w:rPr>
              <w:t>'''''''''''''''''</w:t>
            </w:r>
            <w:r w:rsidR="00256B3E">
              <w:rPr>
                <w:szCs w:val="20"/>
                <w:vertAlign w:val="superscript"/>
              </w:rPr>
              <w:t>2</w:t>
            </w:r>
          </w:p>
        </w:tc>
      </w:tr>
      <w:tr w:rsidR="00821A23" w:rsidRPr="008B26DE" w:rsidTr="0048548D">
        <w:trPr>
          <w:trHeight w:val="300"/>
        </w:trPr>
        <w:tc>
          <w:tcPr>
            <w:tcW w:w="1888"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821A23" w:rsidRPr="008B26DE" w:rsidRDefault="00821A23" w:rsidP="0080494F">
            <w:pPr>
              <w:pStyle w:val="TableText0"/>
              <w:rPr>
                <w:szCs w:val="20"/>
              </w:rPr>
            </w:pPr>
            <w:r w:rsidRPr="008B26DE">
              <w:rPr>
                <w:szCs w:val="20"/>
              </w:rPr>
              <w:t xml:space="preserve">Number of patients initiating treatment with </w:t>
            </w:r>
            <w:proofErr w:type="spellStart"/>
            <w:r w:rsidRPr="008B26DE">
              <w:rPr>
                <w:szCs w:val="20"/>
              </w:rPr>
              <w:t>galcanezumab</w:t>
            </w:r>
            <w:proofErr w:type="spellEnd"/>
          </w:p>
        </w:tc>
        <w:tc>
          <w:tcPr>
            <w:tcW w:w="519" w:type="pct"/>
            <w:tcBorders>
              <w:top w:val="nil"/>
              <w:left w:val="nil"/>
              <w:bottom w:val="single" w:sz="4" w:space="0" w:color="auto"/>
              <w:right w:val="single" w:sz="4" w:space="0" w:color="auto"/>
            </w:tcBorders>
            <w:shd w:val="clear" w:color="auto" w:fill="auto"/>
            <w:noWrap/>
            <w:vAlign w:val="center"/>
          </w:tcPr>
          <w:p w:rsidR="00821A23" w:rsidRPr="00256B3E" w:rsidRDefault="00561001" w:rsidP="0048548D">
            <w:pPr>
              <w:pStyle w:val="TableText0"/>
              <w:rPr>
                <w:rFonts w:eastAsia="Times New Roman" w:cs="Calibri"/>
                <w:color w:val="000000"/>
                <w:szCs w:val="20"/>
              </w:rPr>
            </w:pPr>
            <w:r>
              <w:rPr>
                <w:rFonts w:eastAsia="Times New Roman" w:cs="Calibri"/>
                <w:noProof/>
                <w:color w:val="000000"/>
                <w:szCs w:val="20"/>
                <w:highlight w:val="black"/>
              </w:rPr>
              <w:t>'''''''''''''</w:t>
            </w:r>
            <w:r w:rsidR="009C210B">
              <w:rPr>
                <w:szCs w:val="20"/>
                <w:vertAlign w:val="superscript"/>
              </w:rPr>
              <w:t>4</w:t>
            </w:r>
          </w:p>
        </w:tc>
        <w:tc>
          <w:tcPr>
            <w:tcW w:w="519" w:type="pct"/>
            <w:tcBorders>
              <w:top w:val="nil"/>
              <w:left w:val="nil"/>
              <w:bottom w:val="single" w:sz="4" w:space="0" w:color="auto"/>
              <w:right w:val="single" w:sz="4" w:space="0" w:color="auto"/>
            </w:tcBorders>
            <w:shd w:val="clear" w:color="auto" w:fill="auto"/>
            <w:noWrap/>
            <w:vAlign w:val="center"/>
          </w:tcPr>
          <w:p w:rsidR="00821A23" w:rsidRPr="00256B3E" w:rsidRDefault="00561001" w:rsidP="0048548D">
            <w:pPr>
              <w:pStyle w:val="TableText0"/>
              <w:rPr>
                <w:rFonts w:eastAsia="Times New Roman" w:cs="Calibri"/>
                <w:color w:val="000000"/>
                <w:szCs w:val="20"/>
              </w:rPr>
            </w:pPr>
            <w:r>
              <w:rPr>
                <w:rFonts w:eastAsia="Times New Roman" w:cs="Calibri"/>
                <w:noProof/>
                <w:color w:val="000000"/>
                <w:szCs w:val="20"/>
                <w:highlight w:val="black"/>
              </w:rPr>
              <w:t>''''''''''''</w:t>
            </w:r>
            <w:r w:rsidR="009C210B">
              <w:rPr>
                <w:szCs w:val="20"/>
                <w:vertAlign w:val="superscript"/>
              </w:rPr>
              <w:t>4</w:t>
            </w:r>
          </w:p>
        </w:tc>
        <w:tc>
          <w:tcPr>
            <w:tcW w:w="519" w:type="pct"/>
            <w:tcBorders>
              <w:top w:val="nil"/>
              <w:left w:val="nil"/>
              <w:bottom w:val="single" w:sz="4" w:space="0" w:color="auto"/>
              <w:right w:val="single" w:sz="4" w:space="0" w:color="auto"/>
            </w:tcBorders>
            <w:shd w:val="clear" w:color="auto" w:fill="auto"/>
            <w:noWrap/>
            <w:vAlign w:val="center"/>
          </w:tcPr>
          <w:p w:rsidR="00821A23" w:rsidRPr="00256B3E" w:rsidRDefault="00561001" w:rsidP="0048548D">
            <w:pPr>
              <w:pStyle w:val="TableText0"/>
              <w:rPr>
                <w:rFonts w:eastAsia="Times New Roman" w:cs="Calibri"/>
                <w:color w:val="000000"/>
                <w:szCs w:val="20"/>
                <w:vertAlign w:val="superscript"/>
              </w:rPr>
            </w:pPr>
            <w:r>
              <w:rPr>
                <w:rFonts w:eastAsia="Times New Roman" w:cs="Calibri"/>
                <w:noProof/>
                <w:color w:val="000000"/>
                <w:szCs w:val="20"/>
                <w:highlight w:val="black"/>
              </w:rPr>
              <w:t>'''''''''''''</w:t>
            </w:r>
            <w:r w:rsidR="004176E1">
              <w:rPr>
                <w:rFonts w:eastAsia="Times New Roman" w:cs="Calibri"/>
                <w:color w:val="000000"/>
                <w:szCs w:val="20"/>
                <w:vertAlign w:val="superscript"/>
              </w:rPr>
              <w:t>4</w:t>
            </w:r>
          </w:p>
        </w:tc>
        <w:tc>
          <w:tcPr>
            <w:tcW w:w="519" w:type="pct"/>
            <w:tcBorders>
              <w:top w:val="nil"/>
              <w:left w:val="nil"/>
              <w:bottom w:val="single" w:sz="4" w:space="0" w:color="auto"/>
              <w:right w:val="single" w:sz="4" w:space="0" w:color="auto"/>
            </w:tcBorders>
            <w:shd w:val="clear" w:color="auto" w:fill="auto"/>
            <w:noWrap/>
            <w:vAlign w:val="center"/>
          </w:tcPr>
          <w:p w:rsidR="00821A23" w:rsidRPr="00202635" w:rsidRDefault="00561001" w:rsidP="0048548D">
            <w:pPr>
              <w:pStyle w:val="TableText0"/>
              <w:rPr>
                <w:rFonts w:eastAsia="Times New Roman" w:cs="Calibri"/>
                <w:color w:val="000000"/>
                <w:szCs w:val="20"/>
                <w:vertAlign w:val="superscript"/>
              </w:rPr>
            </w:pPr>
            <w:r>
              <w:rPr>
                <w:rFonts w:eastAsia="Times New Roman" w:cs="Calibri"/>
                <w:noProof/>
                <w:color w:val="000000"/>
                <w:szCs w:val="20"/>
                <w:highlight w:val="black"/>
              </w:rPr>
              <w:t>'''''''''''''</w:t>
            </w:r>
            <w:r w:rsidR="00202635">
              <w:rPr>
                <w:rFonts w:eastAsia="Times New Roman" w:cs="Calibri"/>
                <w:color w:val="000000"/>
                <w:szCs w:val="20"/>
                <w:vertAlign w:val="superscript"/>
              </w:rPr>
              <w:t>5</w:t>
            </w:r>
          </w:p>
        </w:tc>
        <w:tc>
          <w:tcPr>
            <w:tcW w:w="519" w:type="pct"/>
            <w:tcBorders>
              <w:top w:val="nil"/>
              <w:left w:val="nil"/>
              <w:bottom w:val="single" w:sz="4" w:space="0" w:color="auto"/>
              <w:right w:val="single" w:sz="4" w:space="0" w:color="auto"/>
            </w:tcBorders>
            <w:shd w:val="clear" w:color="auto" w:fill="auto"/>
            <w:noWrap/>
            <w:vAlign w:val="center"/>
          </w:tcPr>
          <w:p w:rsidR="00821A23" w:rsidRPr="00202635" w:rsidRDefault="00561001" w:rsidP="0048548D">
            <w:pPr>
              <w:pStyle w:val="TableText0"/>
              <w:rPr>
                <w:rFonts w:eastAsia="Times New Roman" w:cs="Calibri"/>
                <w:color w:val="000000"/>
                <w:szCs w:val="20"/>
                <w:vertAlign w:val="superscript"/>
              </w:rPr>
            </w:pPr>
            <w:r>
              <w:rPr>
                <w:rFonts w:eastAsia="Times New Roman" w:cs="Calibri"/>
                <w:noProof/>
                <w:color w:val="000000"/>
                <w:szCs w:val="20"/>
                <w:highlight w:val="black"/>
              </w:rPr>
              <w:t>'''''''''''''</w:t>
            </w:r>
            <w:r w:rsidR="00202635" w:rsidRPr="00202635">
              <w:rPr>
                <w:rFonts w:eastAsia="Times New Roman" w:cs="Calibri"/>
                <w:color w:val="000000"/>
                <w:szCs w:val="20"/>
                <w:vertAlign w:val="superscript"/>
              </w:rPr>
              <w:t>5</w:t>
            </w:r>
          </w:p>
        </w:tc>
        <w:tc>
          <w:tcPr>
            <w:tcW w:w="517" w:type="pct"/>
            <w:tcBorders>
              <w:top w:val="nil"/>
              <w:left w:val="nil"/>
              <w:bottom w:val="single" w:sz="4" w:space="0" w:color="auto"/>
              <w:right w:val="single" w:sz="4" w:space="0" w:color="auto"/>
            </w:tcBorders>
            <w:shd w:val="clear" w:color="auto" w:fill="auto"/>
            <w:noWrap/>
            <w:vAlign w:val="center"/>
          </w:tcPr>
          <w:p w:rsidR="00821A23" w:rsidRPr="00202635" w:rsidRDefault="00561001" w:rsidP="0048548D">
            <w:pPr>
              <w:pStyle w:val="TableText0"/>
              <w:rPr>
                <w:rFonts w:eastAsia="Times New Roman" w:cs="Calibri"/>
                <w:color w:val="000000"/>
                <w:szCs w:val="20"/>
                <w:vertAlign w:val="superscript"/>
              </w:rPr>
            </w:pPr>
            <w:r>
              <w:rPr>
                <w:rFonts w:eastAsia="Times New Roman" w:cs="Calibri"/>
                <w:noProof/>
                <w:color w:val="000000"/>
                <w:szCs w:val="20"/>
                <w:highlight w:val="black"/>
              </w:rPr>
              <w:t>''''''''''''</w:t>
            </w:r>
            <w:r w:rsidR="00202635" w:rsidRPr="00202635">
              <w:rPr>
                <w:rFonts w:eastAsia="Times New Roman" w:cs="Calibri"/>
                <w:color w:val="000000"/>
                <w:szCs w:val="20"/>
                <w:vertAlign w:val="superscript"/>
              </w:rPr>
              <w:t>5</w:t>
            </w:r>
          </w:p>
        </w:tc>
      </w:tr>
      <w:tr w:rsidR="0048548D" w:rsidRPr="008B26DE" w:rsidTr="0048548D">
        <w:trPr>
          <w:trHeight w:val="300"/>
        </w:trPr>
        <w:tc>
          <w:tcPr>
            <w:tcW w:w="1888"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48548D" w:rsidRPr="008B26DE" w:rsidRDefault="0048548D" w:rsidP="0080494F">
            <w:pPr>
              <w:pStyle w:val="TableText0"/>
              <w:rPr>
                <w:color w:val="000000"/>
                <w:szCs w:val="20"/>
              </w:rPr>
            </w:pPr>
            <w:r w:rsidRPr="008B26DE">
              <w:rPr>
                <w:szCs w:val="20"/>
              </w:rPr>
              <w:t>Number of patients treated with</w:t>
            </w:r>
            <w:r w:rsidR="0080494F" w:rsidRPr="008B26DE">
              <w:rPr>
                <w:szCs w:val="20"/>
              </w:rPr>
              <w:t xml:space="preserve"> </w:t>
            </w:r>
            <w:proofErr w:type="spellStart"/>
            <w:r w:rsidR="0080494F" w:rsidRPr="008B26DE">
              <w:rPr>
                <w:szCs w:val="20"/>
              </w:rPr>
              <w:t>galcanezumab</w:t>
            </w:r>
            <w:proofErr w:type="spellEnd"/>
          </w:p>
        </w:tc>
        <w:tc>
          <w:tcPr>
            <w:tcW w:w="519" w:type="pct"/>
            <w:tcBorders>
              <w:top w:val="nil"/>
              <w:left w:val="nil"/>
              <w:bottom w:val="single" w:sz="4" w:space="0" w:color="auto"/>
              <w:right w:val="single" w:sz="4" w:space="0" w:color="auto"/>
            </w:tcBorders>
            <w:shd w:val="clear" w:color="auto" w:fill="auto"/>
            <w:noWrap/>
            <w:vAlign w:val="center"/>
          </w:tcPr>
          <w:p w:rsidR="0048548D" w:rsidRPr="00256B3E" w:rsidRDefault="00561001" w:rsidP="0048548D">
            <w:pPr>
              <w:pStyle w:val="TableText0"/>
              <w:rPr>
                <w:color w:val="000000"/>
                <w:szCs w:val="20"/>
              </w:rPr>
            </w:pPr>
            <w:r>
              <w:rPr>
                <w:rFonts w:eastAsia="Times New Roman" w:cs="Calibri"/>
                <w:noProof/>
                <w:color w:val="000000"/>
                <w:szCs w:val="20"/>
                <w:highlight w:val="black"/>
              </w:rPr>
              <w:t>'''''''''''''''</w:t>
            </w:r>
            <w:r w:rsidR="00202635" w:rsidRPr="00202635">
              <w:rPr>
                <w:rFonts w:eastAsia="Times New Roman" w:cs="Calibri"/>
                <w:color w:val="000000"/>
                <w:szCs w:val="20"/>
                <w:vertAlign w:val="superscript"/>
              </w:rPr>
              <w:t>5</w:t>
            </w:r>
          </w:p>
        </w:tc>
        <w:tc>
          <w:tcPr>
            <w:tcW w:w="519" w:type="pct"/>
            <w:tcBorders>
              <w:top w:val="nil"/>
              <w:left w:val="nil"/>
              <w:bottom w:val="single" w:sz="4" w:space="0" w:color="auto"/>
              <w:right w:val="single" w:sz="4" w:space="0" w:color="auto"/>
            </w:tcBorders>
            <w:shd w:val="clear" w:color="auto" w:fill="auto"/>
            <w:noWrap/>
            <w:vAlign w:val="center"/>
          </w:tcPr>
          <w:p w:rsidR="0048548D" w:rsidRPr="00256B3E" w:rsidRDefault="00561001" w:rsidP="0048548D">
            <w:pPr>
              <w:pStyle w:val="TableText0"/>
              <w:rPr>
                <w:color w:val="000000"/>
                <w:szCs w:val="20"/>
              </w:rPr>
            </w:pPr>
            <w:r>
              <w:rPr>
                <w:rFonts w:eastAsia="Times New Roman" w:cs="Calibri"/>
                <w:noProof/>
                <w:color w:val="000000"/>
                <w:szCs w:val="20"/>
                <w:highlight w:val="black"/>
              </w:rPr>
              <w:t>'''''''''''''</w:t>
            </w:r>
            <w:r w:rsidR="00202635">
              <w:rPr>
                <w:rFonts w:eastAsia="Times New Roman" w:cs="Calibri"/>
                <w:color w:val="000000"/>
                <w:szCs w:val="20"/>
                <w:vertAlign w:val="superscript"/>
              </w:rPr>
              <w:t>4</w:t>
            </w:r>
          </w:p>
        </w:tc>
        <w:tc>
          <w:tcPr>
            <w:tcW w:w="519" w:type="pct"/>
            <w:tcBorders>
              <w:top w:val="nil"/>
              <w:left w:val="nil"/>
              <w:bottom w:val="single" w:sz="4" w:space="0" w:color="auto"/>
              <w:right w:val="single" w:sz="4" w:space="0" w:color="auto"/>
            </w:tcBorders>
            <w:shd w:val="clear" w:color="auto" w:fill="auto"/>
            <w:noWrap/>
            <w:vAlign w:val="center"/>
          </w:tcPr>
          <w:p w:rsidR="0048548D" w:rsidRPr="00202635" w:rsidRDefault="00561001" w:rsidP="0048548D">
            <w:pPr>
              <w:pStyle w:val="TableText0"/>
              <w:rPr>
                <w:color w:val="000000"/>
                <w:szCs w:val="20"/>
                <w:vertAlign w:val="superscript"/>
              </w:rPr>
            </w:pPr>
            <w:r>
              <w:rPr>
                <w:rFonts w:eastAsia="Times New Roman" w:cs="Calibri"/>
                <w:noProof/>
                <w:color w:val="000000"/>
                <w:szCs w:val="20"/>
                <w:highlight w:val="black"/>
              </w:rPr>
              <w:t>''''''''''''''''</w:t>
            </w:r>
            <w:r w:rsidR="00202635">
              <w:rPr>
                <w:rFonts w:eastAsia="Times New Roman" w:cs="Calibri"/>
                <w:color w:val="000000"/>
                <w:szCs w:val="20"/>
                <w:vertAlign w:val="superscript"/>
              </w:rPr>
              <w:t>2</w:t>
            </w:r>
          </w:p>
        </w:tc>
        <w:tc>
          <w:tcPr>
            <w:tcW w:w="519" w:type="pct"/>
            <w:tcBorders>
              <w:top w:val="nil"/>
              <w:left w:val="nil"/>
              <w:bottom w:val="single" w:sz="4" w:space="0" w:color="auto"/>
              <w:right w:val="single" w:sz="4" w:space="0" w:color="auto"/>
            </w:tcBorders>
            <w:shd w:val="clear" w:color="auto" w:fill="auto"/>
            <w:noWrap/>
            <w:vAlign w:val="center"/>
          </w:tcPr>
          <w:p w:rsidR="0048548D" w:rsidRPr="00256B3E" w:rsidRDefault="00561001" w:rsidP="0048548D">
            <w:pPr>
              <w:pStyle w:val="TableText0"/>
              <w:rPr>
                <w:color w:val="000000"/>
                <w:szCs w:val="20"/>
              </w:rPr>
            </w:pPr>
            <w:r>
              <w:rPr>
                <w:rFonts w:eastAsia="Times New Roman" w:cs="Calibri"/>
                <w:noProof/>
                <w:color w:val="000000"/>
                <w:szCs w:val="20"/>
                <w:highlight w:val="black"/>
              </w:rPr>
              <w:t>'''''''''''''''''</w:t>
            </w:r>
            <w:r w:rsidR="00C749E7">
              <w:rPr>
                <w:rFonts w:eastAsia="Times New Roman" w:cs="Calibri"/>
                <w:color w:val="000000"/>
                <w:szCs w:val="20"/>
                <w:vertAlign w:val="superscript"/>
              </w:rPr>
              <w:t>2</w:t>
            </w:r>
          </w:p>
        </w:tc>
        <w:tc>
          <w:tcPr>
            <w:tcW w:w="519" w:type="pct"/>
            <w:tcBorders>
              <w:top w:val="nil"/>
              <w:left w:val="nil"/>
              <w:bottom w:val="single" w:sz="4" w:space="0" w:color="auto"/>
              <w:right w:val="single" w:sz="4" w:space="0" w:color="auto"/>
            </w:tcBorders>
            <w:shd w:val="clear" w:color="auto" w:fill="auto"/>
            <w:noWrap/>
            <w:vAlign w:val="center"/>
          </w:tcPr>
          <w:p w:rsidR="0048548D" w:rsidRPr="00256B3E" w:rsidRDefault="00561001" w:rsidP="0048548D">
            <w:pPr>
              <w:pStyle w:val="TableText0"/>
              <w:rPr>
                <w:color w:val="000000"/>
                <w:szCs w:val="20"/>
              </w:rPr>
            </w:pPr>
            <w:r>
              <w:rPr>
                <w:rFonts w:eastAsia="Times New Roman" w:cs="Calibri"/>
                <w:noProof/>
                <w:color w:val="000000"/>
                <w:szCs w:val="20"/>
                <w:highlight w:val="black"/>
              </w:rPr>
              <w:t>''''''''''''''''</w:t>
            </w:r>
            <w:r w:rsidR="00C749E7">
              <w:rPr>
                <w:rFonts w:eastAsia="Times New Roman" w:cs="Calibri"/>
                <w:color w:val="000000"/>
                <w:szCs w:val="20"/>
                <w:vertAlign w:val="superscript"/>
              </w:rPr>
              <w:t>2</w:t>
            </w:r>
          </w:p>
        </w:tc>
        <w:tc>
          <w:tcPr>
            <w:tcW w:w="517" w:type="pct"/>
            <w:tcBorders>
              <w:top w:val="nil"/>
              <w:left w:val="nil"/>
              <w:bottom w:val="single" w:sz="4" w:space="0" w:color="auto"/>
              <w:right w:val="single" w:sz="4" w:space="0" w:color="auto"/>
            </w:tcBorders>
            <w:shd w:val="clear" w:color="auto" w:fill="auto"/>
            <w:noWrap/>
            <w:vAlign w:val="center"/>
          </w:tcPr>
          <w:p w:rsidR="0048548D" w:rsidRPr="00C749E7" w:rsidRDefault="00561001" w:rsidP="0048548D">
            <w:pPr>
              <w:pStyle w:val="TableText0"/>
              <w:rPr>
                <w:color w:val="000000"/>
                <w:szCs w:val="20"/>
                <w:vertAlign w:val="superscript"/>
              </w:rPr>
            </w:pPr>
            <w:r>
              <w:rPr>
                <w:rFonts w:eastAsia="Times New Roman" w:cs="Calibri"/>
                <w:noProof/>
                <w:color w:val="000000"/>
                <w:szCs w:val="20"/>
                <w:highlight w:val="black"/>
              </w:rPr>
              <w:t>''''''''''''''''</w:t>
            </w:r>
            <w:r w:rsidR="00C749E7" w:rsidRPr="00C749E7">
              <w:rPr>
                <w:rFonts w:eastAsia="Times New Roman" w:cs="Calibri"/>
                <w:color w:val="000000"/>
                <w:szCs w:val="20"/>
                <w:vertAlign w:val="superscript"/>
              </w:rPr>
              <w:t>3</w:t>
            </w:r>
          </w:p>
        </w:tc>
      </w:tr>
      <w:tr w:rsidR="0048548D" w:rsidRPr="008B26DE" w:rsidTr="00CD7586">
        <w:trPr>
          <w:trHeight w:val="300"/>
        </w:trPr>
        <w:tc>
          <w:tcPr>
            <w:tcW w:w="1888" w:type="pct"/>
            <w:tcBorders>
              <w:top w:val="nil"/>
              <w:left w:val="single" w:sz="4" w:space="0" w:color="auto"/>
              <w:bottom w:val="single" w:sz="4" w:space="0" w:color="auto"/>
              <w:right w:val="single" w:sz="4" w:space="0" w:color="auto"/>
            </w:tcBorders>
            <w:shd w:val="clear" w:color="auto" w:fill="FFFFFF" w:themeFill="background1"/>
            <w:noWrap/>
            <w:vAlign w:val="bottom"/>
          </w:tcPr>
          <w:p w:rsidR="0048548D" w:rsidRPr="008B26DE" w:rsidRDefault="0048548D" w:rsidP="0048548D">
            <w:pPr>
              <w:pStyle w:val="TableText0"/>
              <w:rPr>
                <w:color w:val="000000"/>
                <w:szCs w:val="20"/>
              </w:rPr>
            </w:pPr>
            <w:r w:rsidRPr="008B26DE">
              <w:rPr>
                <w:rFonts w:eastAsia="Times New Roman" w:cs="Calibri"/>
                <w:color w:val="000000"/>
                <w:szCs w:val="20"/>
              </w:rPr>
              <w:t>Total Patients Treated</w:t>
            </w:r>
          </w:p>
        </w:tc>
        <w:tc>
          <w:tcPr>
            <w:tcW w:w="519" w:type="pct"/>
            <w:tcBorders>
              <w:top w:val="nil"/>
              <w:left w:val="nil"/>
              <w:bottom w:val="single" w:sz="4" w:space="0" w:color="auto"/>
              <w:right w:val="single" w:sz="4" w:space="0" w:color="auto"/>
            </w:tcBorders>
            <w:shd w:val="clear" w:color="auto" w:fill="auto"/>
            <w:noWrap/>
            <w:vAlign w:val="center"/>
          </w:tcPr>
          <w:p w:rsidR="0048548D" w:rsidRPr="00C749E7" w:rsidRDefault="00561001" w:rsidP="0048548D">
            <w:pPr>
              <w:pStyle w:val="TableText0"/>
              <w:rPr>
                <w:color w:val="000000"/>
                <w:szCs w:val="20"/>
                <w:vertAlign w:val="superscript"/>
              </w:rPr>
            </w:pPr>
            <w:r>
              <w:rPr>
                <w:rFonts w:eastAsia="Times New Roman" w:cs="Calibri"/>
                <w:noProof/>
                <w:color w:val="000000"/>
                <w:szCs w:val="20"/>
                <w:highlight w:val="black"/>
              </w:rPr>
              <w:t>'''''''''''''''''</w:t>
            </w:r>
            <w:r w:rsidR="00C749E7" w:rsidRPr="00C749E7">
              <w:rPr>
                <w:rFonts w:eastAsia="Times New Roman" w:cs="Calibri"/>
                <w:color w:val="000000"/>
                <w:szCs w:val="20"/>
                <w:vertAlign w:val="superscript"/>
              </w:rPr>
              <w:t>2</w:t>
            </w:r>
          </w:p>
        </w:tc>
        <w:tc>
          <w:tcPr>
            <w:tcW w:w="519" w:type="pct"/>
            <w:tcBorders>
              <w:top w:val="nil"/>
              <w:left w:val="nil"/>
              <w:bottom w:val="single" w:sz="4" w:space="0" w:color="auto"/>
              <w:right w:val="single" w:sz="4" w:space="0" w:color="auto"/>
            </w:tcBorders>
            <w:shd w:val="clear" w:color="auto" w:fill="auto"/>
            <w:noWrap/>
            <w:vAlign w:val="center"/>
          </w:tcPr>
          <w:p w:rsidR="0048548D" w:rsidRPr="009C210B" w:rsidRDefault="00561001" w:rsidP="0048548D">
            <w:pPr>
              <w:pStyle w:val="TableText0"/>
              <w:rPr>
                <w:color w:val="000000"/>
                <w:szCs w:val="20"/>
                <w:vertAlign w:val="superscript"/>
              </w:rPr>
            </w:pPr>
            <w:r>
              <w:rPr>
                <w:rFonts w:eastAsia="Times New Roman" w:cs="Calibri"/>
                <w:noProof/>
                <w:color w:val="000000"/>
                <w:szCs w:val="20"/>
                <w:highlight w:val="black"/>
              </w:rPr>
              <w:t>''''''''''''''''''</w:t>
            </w:r>
            <w:r w:rsidR="009C210B" w:rsidRPr="009C210B">
              <w:rPr>
                <w:rFonts w:eastAsia="Times New Roman" w:cs="Calibri"/>
                <w:color w:val="000000"/>
                <w:szCs w:val="20"/>
                <w:vertAlign w:val="superscript"/>
              </w:rPr>
              <w:t>3</w:t>
            </w:r>
          </w:p>
        </w:tc>
        <w:tc>
          <w:tcPr>
            <w:tcW w:w="519" w:type="pct"/>
            <w:tcBorders>
              <w:top w:val="nil"/>
              <w:left w:val="nil"/>
              <w:bottom w:val="single" w:sz="4" w:space="0" w:color="auto"/>
              <w:right w:val="single" w:sz="4" w:space="0" w:color="auto"/>
            </w:tcBorders>
            <w:shd w:val="clear" w:color="auto" w:fill="auto"/>
            <w:noWrap/>
            <w:vAlign w:val="center"/>
          </w:tcPr>
          <w:p w:rsidR="0048548D" w:rsidRPr="00256B3E" w:rsidRDefault="00561001" w:rsidP="0048548D">
            <w:pPr>
              <w:pStyle w:val="TableText0"/>
              <w:rPr>
                <w:color w:val="000000"/>
                <w:szCs w:val="20"/>
              </w:rPr>
            </w:pPr>
            <w:r>
              <w:rPr>
                <w:rFonts w:eastAsia="Times New Roman" w:cs="Calibri"/>
                <w:noProof/>
                <w:color w:val="000000"/>
                <w:szCs w:val="20"/>
                <w:highlight w:val="black"/>
              </w:rPr>
              <w:t>'''''''''''''''''</w:t>
            </w:r>
            <w:r w:rsidR="009C210B" w:rsidRPr="009C210B">
              <w:rPr>
                <w:rFonts w:eastAsia="Times New Roman" w:cs="Calibri"/>
                <w:color w:val="000000"/>
                <w:szCs w:val="20"/>
                <w:vertAlign w:val="superscript"/>
              </w:rPr>
              <w:t>3</w:t>
            </w:r>
          </w:p>
        </w:tc>
        <w:tc>
          <w:tcPr>
            <w:tcW w:w="519" w:type="pct"/>
            <w:tcBorders>
              <w:top w:val="nil"/>
              <w:left w:val="nil"/>
              <w:bottom w:val="single" w:sz="4" w:space="0" w:color="auto"/>
              <w:right w:val="single" w:sz="4" w:space="0" w:color="auto"/>
            </w:tcBorders>
            <w:shd w:val="clear" w:color="auto" w:fill="auto"/>
            <w:noWrap/>
            <w:vAlign w:val="center"/>
          </w:tcPr>
          <w:p w:rsidR="0048548D" w:rsidRPr="00256B3E" w:rsidRDefault="00561001" w:rsidP="0048548D">
            <w:pPr>
              <w:pStyle w:val="TableText0"/>
              <w:rPr>
                <w:color w:val="000000"/>
                <w:szCs w:val="20"/>
              </w:rPr>
            </w:pPr>
            <w:r>
              <w:rPr>
                <w:rFonts w:eastAsia="Times New Roman" w:cs="Calibri"/>
                <w:noProof/>
                <w:color w:val="000000"/>
                <w:szCs w:val="20"/>
                <w:highlight w:val="black"/>
              </w:rPr>
              <w:t>'''''''''''''''''</w:t>
            </w:r>
            <w:r w:rsidR="009C210B" w:rsidRPr="009C210B">
              <w:rPr>
                <w:rFonts w:eastAsia="Times New Roman" w:cs="Calibri"/>
                <w:color w:val="000000"/>
                <w:szCs w:val="20"/>
                <w:vertAlign w:val="superscript"/>
              </w:rPr>
              <w:t>3</w:t>
            </w:r>
          </w:p>
        </w:tc>
        <w:tc>
          <w:tcPr>
            <w:tcW w:w="519" w:type="pct"/>
            <w:tcBorders>
              <w:top w:val="nil"/>
              <w:left w:val="nil"/>
              <w:bottom w:val="single" w:sz="4" w:space="0" w:color="auto"/>
              <w:right w:val="single" w:sz="4" w:space="0" w:color="auto"/>
            </w:tcBorders>
            <w:shd w:val="clear" w:color="auto" w:fill="auto"/>
            <w:noWrap/>
            <w:vAlign w:val="center"/>
          </w:tcPr>
          <w:p w:rsidR="0048548D" w:rsidRPr="009C210B" w:rsidRDefault="00561001" w:rsidP="0048548D">
            <w:pPr>
              <w:pStyle w:val="TableText0"/>
              <w:rPr>
                <w:color w:val="000000"/>
                <w:szCs w:val="20"/>
                <w:vertAlign w:val="superscript"/>
              </w:rPr>
            </w:pPr>
            <w:r>
              <w:rPr>
                <w:rFonts w:eastAsia="Times New Roman" w:cs="Calibri"/>
                <w:noProof/>
                <w:color w:val="000000"/>
                <w:szCs w:val="20"/>
                <w:highlight w:val="black"/>
              </w:rPr>
              <w:t>'''''''''''''''''</w:t>
            </w:r>
            <w:r w:rsidR="009C210B">
              <w:rPr>
                <w:rFonts w:eastAsia="Times New Roman" w:cs="Calibri"/>
                <w:color w:val="000000"/>
                <w:szCs w:val="20"/>
                <w:vertAlign w:val="superscript"/>
              </w:rPr>
              <w:t>6</w:t>
            </w:r>
          </w:p>
        </w:tc>
        <w:tc>
          <w:tcPr>
            <w:tcW w:w="517" w:type="pct"/>
            <w:tcBorders>
              <w:top w:val="nil"/>
              <w:left w:val="nil"/>
              <w:bottom w:val="single" w:sz="4" w:space="0" w:color="auto"/>
              <w:right w:val="single" w:sz="4" w:space="0" w:color="auto"/>
            </w:tcBorders>
            <w:shd w:val="clear" w:color="auto" w:fill="auto"/>
            <w:noWrap/>
            <w:vAlign w:val="center"/>
          </w:tcPr>
          <w:p w:rsidR="0048548D" w:rsidRPr="009C210B" w:rsidRDefault="00561001" w:rsidP="0048548D">
            <w:pPr>
              <w:pStyle w:val="TableText0"/>
              <w:rPr>
                <w:color w:val="000000"/>
                <w:szCs w:val="20"/>
                <w:vertAlign w:val="superscript"/>
              </w:rPr>
            </w:pPr>
            <w:r>
              <w:rPr>
                <w:rFonts w:eastAsia="Times New Roman" w:cs="Calibri"/>
                <w:noProof/>
                <w:color w:val="000000"/>
                <w:szCs w:val="20"/>
                <w:highlight w:val="black"/>
              </w:rPr>
              <w:t>''''''''''''''''</w:t>
            </w:r>
            <w:r w:rsidR="009C210B">
              <w:rPr>
                <w:rFonts w:eastAsia="Times New Roman" w:cs="Calibri"/>
                <w:color w:val="000000"/>
                <w:szCs w:val="20"/>
                <w:vertAlign w:val="superscript"/>
              </w:rPr>
              <w:t>6</w:t>
            </w:r>
          </w:p>
        </w:tc>
      </w:tr>
      <w:tr w:rsidR="0048548D" w:rsidRPr="008B26DE" w:rsidTr="0048548D">
        <w:trPr>
          <w:trHeight w:val="300"/>
        </w:trPr>
        <w:tc>
          <w:tcPr>
            <w:tcW w:w="1888"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48548D" w:rsidRPr="008B26DE" w:rsidRDefault="0048548D" w:rsidP="0048548D">
            <w:pPr>
              <w:pStyle w:val="TableText0"/>
              <w:rPr>
                <w:color w:val="000000"/>
                <w:szCs w:val="20"/>
              </w:rPr>
            </w:pPr>
            <w:r w:rsidRPr="008B26DE">
              <w:rPr>
                <w:color w:val="000000"/>
                <w:szCs w:val="20"/>
              </w:rPr>
              <w:t>% Eligible Population Treated</w:t>
            </w:r>
          </w:p>
        </w:tc>
        <w:tc>
          <w:tcPr>
            <w:tcW w:w="519" w:type="pct"/>
            <w:tcBorders>
              <w:top w:val="single" w:sz="4" w:space="0" w:color="auto"/>
              <w:left w:val="nil"/>
              <w:bottom w:val="single" w:sz="4" w:space="0" w:color="auto"/>
              <w:right w:val="single" w:sz="4" w:space="0" w:color="auto"/>
            </w:tcBorders>
            <w:shd w:val="clear" w:color="auto" w:fill="FFFFFF"/>
            <w:noWrap/>
            <w:vAlign w:val="bottom"/>
          </w:tcPr>
          <w:p w:rsidR="0048548D" w:rsidRPr="008B26DE" w:rsidRDefault="0048548D" w:rsidP="0048548D">
            <w:pPr>
              <w:pStyle w:val="TableText0"/>
              <w:rPr>
                <w:color w:val="000000"/>
                <w:szCs w:val="20"/>
              </w:rPr>
            </w:pPr>
            <w:r w:rsidRPr="008B26DE">
              <w:rPr>
                <w:rFonts w:eastAsia="Times New Roman" w:cs="Calibri"/>
                <w:color w:val="000000"/>
                <w:szCs w:val="20"/>
              </w:rPr>
              <w:t>36%</w:t>
            </w:r>
          </w:p>
        </w:tc>
        <w:tc>
          <w:tcPr>
            <w:tcW w:w="519" w:type="pct"/>
            <w:tcBorders>
              <w:top w:val="single" w:sz="4" w:space="0" w:color="auto"/>
              <w:left w:val="nil"/>
              <w:bottom w:val="single" w:sz="4" w:space="0" w:color="auto"/>
              <w:right w:val="single" w:sz="4" w:space="0" w:color="auto"/>
            </w:tcBorders>
            <w:shd w:val="clear" w:color="auto" w:fill="FFFFFF"/>
            <w:noWrap/>
            <w:vAlign w:val="bottom"/>
          </w:tcPr>
          <w:p w:rsidR="0048548D" w:rsidRPr="008B26DE" w:rsidRDefault="0048548D" w:rsidP="0048548D">
            <w:pPr>
              <w:pStyle w:val="TableText0"/>
              <w:rPr>
                <w:color w:val="000000"/>
                <w:szCs w:val="20"/>
              </w:rPr>
            </w:pPr>
            <w:r w:rsidRPr="008B26DE">
              <w:rPr>
                <w:rFonts w:eastAsia="Times New Roman" w:cs="Calibri"/>
                <w:color w:val="000000"/>
                <w:szCs w:val="20"/>
              </w:rPr>
              <w:t>54%</w:t>
            </w:r>
          </w:p>
        </w:tc>
        <w:tc>
          <w:tcPr>
            <w:tcW w:w="519" w:type="pct"/>
            <w:tcBorders>
              <w:top w:val="single" w:sz="4" w:space="0" w:color="auto"/>
              <w:left w:val="nil"/>
              <w:bottom w:val="single" w:sz="4" w:space="0" w:color="auto"/>
              <w:right w:val="single" w:sz="4" w:space="0" w:color="auto"/>
            </w:tcBorders>
            <w:shd w:val="clear" w:color="auto" w:fill="FFFFFF"/>
            <w:noWrap/>
            <w:vAlign w:val="bottom"/>
          </w:tcPr>
          <w:p w:rsidR="0048548D" w:rsidRPr="008B26DE" w:rsidRDefault="0048548D" w:rsidP="0048548D">
            <w:pPr>
              <w:pStyle w:val="TableText0"/>
              <w:rPr>
                <w:color w:val="000000"/>
                <w:szCs w:val="20"/>
              </w:rPr>
            </w:pPr>
            <w:r w:rsidRPr="008B26DE">
              <w:rPr>
                <w:rFonts w:eastAsia="Times New Roman" w:cs="Calibri"/>
                <w:color w:val="000000"/>
                <w:szCs w:val="20"/>
              </w:rPr>
              <w:t>66%</w:t>
            </w:r>
          </w:p>
        </w:tc>
        <w:tc>
          <w:tcPr>
            <w:tcW w:w="519" w:type="pct"/>
            <w:tcBorders>
              <w:top w:val="single" w:sz="4" w:space="0" w:color="auto"/>
              <w:left w:val="nil"/>
              <w:bottom w:val="single" w:sz="4" w:space="0" w:color="auto"/>
              <w:right w:val="single" w:sz="4" w:space="0" w:color="auto"/>
            </w:tcBorders>
            <w:shd w:val="clear" w:color="auto" w:fill="FFFFFF"/>
            <w:noWrap/>
            <w:vAlign w:val="bottom"/>
          </w:tcPr>
          <w:p w:rsidR="0048548D" w:rsidRPr="008B26DE" w:rsidRDefault="0048548D" w:rsidP="0048548D">
            <w:pPr>
              <w:pStyle w:val="TableText0"/>
              <w:rPr>
                <w:color w:val="000000"/>
                <w:szCs w:val="20"/>
              </w:rPr>
            </w:pPr>
            <w:r w:rsidRPr="008B26DE">
              <w:rPr>
                <w:rFonts w:eastAsia="Times New Roman" w:cs="Calibri"/>
                <w:color w:val="000000"/>
                <w:szCs w:val="20"/>
              </w:rPr>
              <w:t>73%</w:t>
            </w:r>
          </w:p>
        </w:tc>
        <w:tc>
          <w:tcPr>
            <w:tcW w:w="519" w:type="pct"/>
            <w:tcBorders>
              <w:top w:val="single" w:sz="4" w:space="0" w:color="auto"/>
              <w:left w:val="nil"/>
              <w:bottom w:val="single" w:sz="4" w:space="0" w:color="auto"/>
              <w:right w:val="single" w:sz="4" w:space="0" w:color="auto"/>
            </w:tcBorders>
            <w:shd w:val="clear" w:color="auto" w:fill="FFFFFF"/>
            <w:noWrap/>
            <w:vAlign w:val="bottom"/>
          </w:tcPr>
          <w:p w:rsidR="0048548D" w:rsidRPr="008B26DE" w:rsidRDefault="0048548D" w:rsidP="0048548D">
            <w:pPr>
              <w:pStyle w:val="TableText0"/>
              <w:rPr>
                <w:color w:val="000000"/>
                <w:szCs w:val="20"/>
              </w:rPr>
            </w:pPr>
            <w:r w:rsidRPr="008B26DE">
              <w:rPr>
                <w:rFonts w:eastAsia="Times New Roman" w:cs="Calibri"/>
                <w:color w:val="000000"/>
                <w:szCs w:val="20"/>
              </w:rPr>
              <w:t>78%</w:t>
            </w:r>
          </w:p>
        </w:tc>
        <w:tc>
          <w:tcPr>
            <w:tcW w:w="517" w:type="pct"/>
            <w:tcBorders>
              <w:top w:val="single" w:sz="4" w:space="0" w:color="auto"/>
              <w:left w:val="nil"/>
              <w:bottom w:val="single" w:sz="4" w:space="0" w:color="auto"/>
              <w:right w:val="single" w:sz="4" w:space="0" w:color="auto"/>
            </w:tcBorders>
            <w:shd w:val="clear" w:color="auto" w:fill="FFFFFF"/>
            <w:noWrap/>
            <w:vAlign w:val="bottom"/>
          </w:tcPr>
          <w:p w:rsidR="0048548D" w:rsidRPr="008B26DE" w:rsidRDefault="0048548D" w:rsidP="0048548D">
            <w:pPr>
              <w:pStyle w:val="TableText0"/>
              <w:rPr>
                <w:color w:val="000000"/>
                <w:szCs w:val="20"/>
              </w:rPr>
            </w:pPr>
            <w:r w:rsidRPr="008B26DE">
              <w:rPr>
                <w:rFonts w:eastAsia="Times New Roman" w:cs="Calibri"/>
                <w:color w:val="000000"/>
                <w:szCs w:val="20"/>
              </w:rPr>
              <w:t>82%</w:t>
            </w:r>
          </w:p>
        </w:tc>
      </w:tr>
    </w:tbl>
    <w:p w:rsidR="00256B3E" w:rsidRDefault="0080494F" w:rsidP="00256B3E">
      <w:pPr>
        <w:pStyle w:val="TableFigureFooter"/>
      </w:pPr>
      <w:r w:rsidRPr="00256B3E">
        <w:t>Source: Tables 4.2, 4.7 of resubmission; Cells C27 to H27, 2a.Patients CGRP EPI</w:t>
      </w:r>
      <w:r w:rsidRPr="008B26DE">
        <w:t xml:space="preserve"> worksheet</w:t>
      </w:r>
    </w:p>
    <w:p w:rsidR="00256B3E" w:rsidRPr="00256B3E" w:rsidRDefault="00256B3E" w:rsidP="00256B3E">
      <w:pPr>
        <w:pStyle w:val="TableFigureFooter"/>
      </w:pPr>
      <w:r w:rsidRPr="00256B3E">
        <w:t xml:space="preserve">The redacted values correspond to the following ranges: </w:t>
      </w:r>
    </w:p>
    <w:p w:rsidR="00256B3E" w:rsidRDefault="00256B3E" w:rsidP="00256B3E">
      <w:pPr>
        <w:pStyle w:val="TableFigureFooter"/>
        <w:rPr>
          <w:i/>
        </w:rPr>
      </w:pPr>
      <w:r>
        <w:rPr>
          <w:i/>
          <w:vertAlign w:val="superscript"/>
        </w:rPr>
        <w:t>1</w:t>
      </w:r>
      <w:r>
        <w:rPr>
          <w:i/>
        </w:rPr>
        <w:t>30,000 to &lt;40,000</w:t>
      </w:r>
    </w:p>
    <w:p w:rsidR="00256B3E" w:rsidRDefault="00256B3E" w:rsidP="00256B3E">
      <w:pPr>
        <w:pStyle w:val="TableFigureFooter"/>
        <w:rPr>
          <w:i/>
        </w:rPr>
      </w:pPr>
      <w:r>
        <w:rPr>
          <w:i/>
          <w:vertAlign w:val="superscript"/>
        </w:rPr>
        <w:t>2</w:t>
      </w:r>
      <w:r>
        <w:rPr>
          <w:i/>
        </w:rPr>
        <w:t>10,000 to &lt;20,000</w:t>
      </w:r>
    </w:p>
    <w:p w:rsidR="00256B3E" w:rsidRDefault="00256B3E" w:rsidP="00256B3E">
      <w:pPr>
        <w:pStyle w:val="TableFigureFooter"/>
        <w:rPr>
          <w:i/>
        </w:rPr>
      </w:pPr>
      <w:r>
        <w:rPr>
          <w:i/>
          <w:vertAlign w:val="superscript"/>
        </w:rPr>
        <w:t>3</w:t>
      </w:r>
      <w:r>
        <w:rPr>
          <w:i/>
        </w:rPr>
        <w:t>20,000 to &lt;30,000</w:t>
      </w:r>
    </w:p>
    <w:p w:rsidR="00256B3E" w:rsidRDefault="00256B3E" w:rsidP="00256B3E">
      <w:pPr>
        <w:pStyle w:val="TableFigureFooter"/>
        <w:rPr>
          <w:i/>
        </w:rPr>
      </w:pPr>
      <w:r>
        <w:rPr>
          <w:i/>
          <w:vertAlign w:val="superscript"/>
        </w:rPr>
        <w:t>4</w:t>
      </w:r>
      <w:r>
        <w:rPr>
          <w:i/>
        </w:rPr>
        <w:t>5,000 to &lt;10,000</w:t>
      </w:r>
    </w:p>
    <w:p w:rsidR="00202635" w:rsidRDefault="00202635" w:rsidP="00256B3E">
      <w:pPr>
        <w:pStyle w:val="TableFigureFooter"/>
        <w:rPr>
          <w:i/>
        </w:rPr>
      </w:pPr>
      <w:r>
        <w:rPr>
          <w:i/>
          <w:vertAlign w:val="superscript"/>
        </w:rPr>
        <w:t>5</w:t>
      </w:r>
      <w:r>
        <w:rPr>
          <w:i/>
        </w:rPr>
        <w:t>500 to &lt;5,000</w:t>
      </w:r>
    </w:p>
    <w:p w:rsidR="009C210B" w:rsidRPr="009C210B" w:rsidRDefault="009C210B" w:rsidP="00256B3E">
      <w:pPr>
        <w:pStyle w:val="TableFigureFooter"/>
        <w:rPr>
          <w:i/>
        </w:rPr>
      </w:pPr>
      <w:r>
        <w:rPr>
          <w:i/>
          <w:vertAlign w:val="superscript"/>
        </w:rPr>
        <w:t>6</w:t>
      </w:r>
      <w:r>
        <w:rPr>
          <w:i/>
        </w:rPr>
        <w:t>30,000 to &lt;40,000</w:t>
      </w:r>
    </w:p>
    <w:p w:rsidR="00CF1264" w:rsidRPr="008B26DE" w:rsidRDefault="002F08D5" w:rsidP="00C434DC">
      <w:pPr>
        <w:pStyle w:val="3Bodytext"/>
      </w:pPr>
      <w:r w:rsidRPr="008B26DE">
        <w:t>The resubmission</w:t>
      </w:r>
      <w:r w:rsidR="00CF1264" w:rsidRPr="008B26DE">
        <w:t xml:space="preserve"> stated that, without the availability of </w:t>
      </w:r>
      <w:proofErr w:type="spellStart"/>
      <w:r w:rsidRPr="008B26DE">
        <w:t>galcanezumab</w:t>
      </w:r>
      <w:proofErr w:type="spellEnd"/>
      <w:r w:rsidRPr="008B26DE">
        <w:t xml:space="preserve"> (or </w:t>
      </w:r>
      <w:r w:rsidR="00CF1264" w:rsidRPr="008B26DE">
        <w:t>a</w:t>
      </w:r>
      <w:r w:rsidR="0043523B" w:rsidRPr="008B26DE">
        <w:t>n</w:t>
      </w:r>
      <w:r w:rsidR="00CF1264" w:rsidRPr="008B26DE">
        <w:t xml:space="preserve"> </w:t>
      </w:r>
      <w:r w:rsidRPr="008B26DE">
        <w:t xml:space="preserve">alternative </w:t>
      </w:r>
      <w:r w:rsidR="00CF1264" w:rsidRPr="008B26DE">
        <w:t>CGRP inhibitor</w:t>
      </w:r>
      <w:r w:rsidRPr="008B26DE">
        <w:t>)</w:t>
      </w:r>
      <w:r w:rsidR="00CF1264" w:rsidRPr="008B26DE">
        <w:t xml:space="preserve">, 50% of patients with treatment-resistant chronic migraine would remain untreated in 2026. </w:t>
      </w:r>
      <w:r w:rsidR="00F440B0" w:rsidRPr="008B26DE">
        <w:t>The resubmission indicated</w:t>
      </w:r>
      <w:r w:rsidR="00CF1264" w:rsidRPr="008B26DE">
        <w:t xml:space="preserve"> the reasons for under-treatment included difficulty accessing neurologists</w:t>
      </w:r>
      <w:r w:rsidR="00F440B0" w:rsidRPr="008B26DE">
        <w:t xml:space="preserve"> for Botox</w:t>
      </w:r>
      <w:r w:rsidR="00CF1264" w:rsidRPr="008B26DE">
        <w:t>, the need to travel long distances to access treatment and financial factors including limited access to public or bulk billing facilities. The resubmission quoted the Australian and New Zealand Headache Society that “</w:t>
      </w:r>
      <w:r w:rsidR="00F440B0" w:rsidRPr="008B26DE">
        <w:t>overall, the CGRP antibodies have the potential to allow more equitable access to effective treatment for chronic migraine”</w:t>
      </w:r>
      <w:r w:rsidR="008B26DE">
        <w:t xml:space="preserve">. </w:t>
      </w:r>
    </w:p>
    <w:p w:rsidR="007D4230" w:rsidRPr="001452E2" w:rsidRDefault="00E06DF5" w:rsidP="00131F12">
      <w:pPr>
        <w:pStyle w:val="3Bodytext"/>
      </w:pPr>
      <w:r w:rsidRPr="001452E2">
        <w:t xml:space="preserve">The estimated number of scripts and net cost of listing </w:t>
      </w:r>
      <w:proofErr w:type="spellStart"/>
      <w:r w:rsidRPr="001452E2">
        <w:t>galcanezumab</w:t>
      </w:r>
      <w:proofErr w:type="spellEnd"/>
      <w:r w:rsidRPr="001452E2">
        <w:t xml:space="preserve"> on the PBS</w:t>
      </w:r>
      <w:r w:rsidR="00C7232C" w:rsidRPr="001452E2">
        <w:t>/ RPBS</w:t>
      </w:r>
      <w:r w:rsidRPr="001452E2">
        <w:t xml:space="preserve"> </w:t>
      </w:r>
      <w:r w:rsidR="002C22D2" w:rsidRPr="001452E2">
        <w:t xml:space="preserve">for chronic migraine </w:t>
      </w:r>
      <w:r w:rsidRPr="001452E2">
        <w:t xml:space="preserve">is provided in </w:t>
      </w:r>
      <w:r w:rsidR="00320593" w:rsidRPr="001452E2">
        <w:t xml:space="preserve">Table </w:t>
      </w:r>
      <w:r w:rsidR="00073601">
        <w:t>7</w:t>
      </w:r>
      <w:r w:rsidR="008B26DE">
        <w:t xml:space="preserve">. </w:t>
      </w:r>
      <w:r w:rsidR="0081661A" w:rsidRPr="008B26DE">
        <w:t>A summary of the net cost for the high case</w:t>
      </w:r>
      <w:r w:rsidR="006D16C5" w:rsidRPr="001452E2">
        <w:t xml:space="preserve"> and</w:t>
      </w:r>
      <w:r w:rsidR="0081661A" w:rsidRPr="001452E2">
        <w:t xml:space="preserve"> the submission considered in July 2019 is also provided. </w:t>
      </w:r>
    </w:p>
    <w:p w:rsidR="00B71A7C" w:rsidRDefault="00B71A7C">
      <w:pPr>
        <w:jc w:val="left"/>
        <w:rPr>
          <w:rFonts w:ascii="Arial Narrow" w:hAnsi="Arial Narrow"/>
          <w:b/>
          <w:iCs/>
          <w:color w:val="000000" w:themeColor="text1"/>
          <w:sz w:val="20"/>
          <w:szCs w:val="18"/>
        </w:rPr>
      </w:pPr>
      <w:bookmarkStart w:id="6" w:name="_Ref51925359"/>
      <w:r>
        <w:br w:type="page"/>
      </w:r>
    </w:p>
    <w:p w:rsidR="005938EE" w:rsidRPr="008B26DE" w:rsidRDefault="005938EE" w:rsidP="007D4230">
      <w:pPr>
        <w:pStyle w:val="Caption"/>
        <w:keepLines/>
      </w:pPr>
      <w:r w:rsidRPr="001452E2">
        <w:lastRenderedPageBreak/>
        <w:t>Table</w:t>
      </w:r>
      <w:bookmarkEnd w:id="6"/>
      <w:r w:rsidR="00073601">
        <w:t xml:space="preserve"> 7</w:t>
      </w:r>
      <w:r w:rsidRPr="008B26DE">
        <w:t xml:space="preserve">: Estimated use and financial implications: </w:t>
      </w:r>
      <w:r w:rsidR="00B0493F" w:rsidRPr="008B26DE">
        <w:t>base case</w:t>
      </w:r>
      <w:r w:rsidR="0081661A" w:rsidRPr="008B26DE">
        <w:t xml:space="preserve">, high case and submission considered July 2019 for chronic migraine </w:t>
      </w:r>
    </w:p>
    <w:tbl>
      <w:tblPr>
        <w:tblStyle w:val="TableGrid"/>
        <w:tblW w:w="5000" w:type="pct"/>
        <w:tblLayout w:type="fixed"/>
        <w:tblLook w:val="04A0" w:firstRow="1" w:lastRow="0" w:firstColumn="1" w:lastColumn="0" w:noHBand="0" w:noVBand="1"/>
        <w:tblCaption w:val="Table 7: Estimated use and financial implications: base case, high case and submission considered July 2019 for chronic migraine "/>
      </w:tblPr>
      <w:tblGrid>
        <w:gridCol w:w="2264"/>
        <w:gridCol w:w="1134"/>
        <w:gridCol w:w="1134"/>
        <w:gridCol w:w="1134"/>
        <w:gridCol w:w="1134"/>
        <w:gridCol w:w="1134"/>
        <w:gridCol w:w="1082"/>
      </w:tblGrid>
      <w:tr w:rsidR="00073601" w:rsidRPr="008B26DE" w:rsidTr="00B42D6B">
        <w:trPr>
          <w:trHeight w:val="152"/>
          <w:tblHeader/>
        </w:trPr>
        <w:tc>
          <w:tcPr>
            <w:tcW w:w="1255" w:type="pct"/>
            <w:noWrap/>
            <w:tcMar>
              <w:left w:w="57" w:type="dxa"/>
              <w:right w:w="57" w:type="dxa"/>
            </w:tcMar>
            <w:hideMark/>
          </w:tcPr>
          <w:p w:rsidR="005938EE" w:rsidRPr="008B26DE" w:rsidRDefault="005938EE" w:rsidP="007D4230">
            <w:pPr>
              <w:pStyle w:val="TableText0"/>
              <w:keepLines/>
            </w:pPr>
          </w:p>
        </w:tc>
        <w:tc>
          <w:tcPr>
            <w:tcW w:w="629" w:type="pct"/>
            <w:noWrap/>
            <w:tcMar>
              <w:left w:w="57" w:type="dxa"/>
              <w:right w:w="57" w:type="dxa"/>
            </w:tcMar>
            <w:hideMark/>
          </w:tcPr>
          <w:p w:rsidR="005938EE" w:rsidRPr="001452E2" w:rsidRDefault="00B000F3" w:rsidP="00320593">
            <w:pPr>
              <w:pStyle w:val="TableText0"/>
              <w:keepLines/>
              <w:jc w:val="center"/>
              <w:rPr>
                <w:b/>
              </w:rPr>
            </w:pPr>
            <w:r w:rsidRPr="001452E2">
              <w:rPr>
                <w:b/>
              </w:rPr>
              <w:t>Year 1</w:t>
            </w:r>
          </w:p>
        </w:tc>
        <w:tc>
          <w:tcPr>
            <w:tcW w:w="629" w:type="pct"/>
            <w:noWrap/>
            <w:tcMar>
              <w:left w:w="57" w:type="dxa"/>
              <w:right w:w="57" w:type="dxa"/>
            </w:tcMar>
            <w:hideMark/>
          </w:tcPr>
          <w:p w:rsidR="005938EE" w:rsidRPr="001452E2" w:rsidRDefault="00B000F3" w:rsidP="00320593">
            <w:pPr>
              <w:pStyle w:val="TableText0"/>
              <w:keepLines/>
              <w:jc w:val="center"/>
              <w:rPr>
                <w:b/>
              </w:rPr>
            </w:pPr>
            <w:r w:rsidRPr="001452E2">
              <w:rPr>
                <w:b/>
              </w:rPr>
              <w:t>Year 2</w:t>
            </w:r>
          </w:p>
        </w:tc>
        <w:tc>
          <w:tcPr>
            <w:tcW w:w="629" w:type="pct"/>
            <w:noWrap/>
            <w:tcMar>
              <w:left w:w="57" w:type="dxa"/>
              <w:right w:w="57" w:type="dxa"/>
            </w:tcMar>
            <w:hideMark/>
          </w:tcPr>
          <w:p w:rsidR="005938EE" w:rsidRPr="001452E2" w:rsidRDefault="00B000F3" w:rsidP="00320593">
            <w:pPr>
              <w:pStyle w:val="TableText0"/>
              <w:keepLines/>
              <w:jc w:val="center"/>
              <w:rPr>
                <w:b/>
              </w:rPr>
            </w:pPr>
            <w:r w:rsidRPr="001452E2">
              <w:rPr>
                <w:b/>
              </w:rPr>
              <w:t>Year 3</w:t>
            </w:r>
          </w:p>
        </w:tc>
        <w:tc>
          <w:tcPr>
            <w:tcW w:w="629" w:type="pct"/>
            <w:noWrap/>
            <w:tcMar>
              <w:left w:w="57" w:type="dxa"/>
              <w:right w:w="57" w:type="dxa"/>
            </w:tcMar>
            <w:hideMark/>
          </w:tcPr>
          <w:p w:rsidR="005938EE" w:rsidRPr="008B26DE" w:rsidRDefault="00B000F3" w:rsidP="00320593">
            <w:pPr>
              <w:pStyle w:val="TableText0"/>
              <w:keepLines/>
              <w:jc w:val="center"/>
              <w:rPr>
                <w:b/>
              </w:rPr>
            </w:pPr>
            <w:r w:rsidRPr="008B26DE">
              <w:rPr>
                <w:b/>
              </w:rPr>
              <w:t>Year 4</w:t>
            </w:r>
          </w:p>
        </w:tc>
        <w:tc>
          <w:tcPr>
            <w:tcW w:w="629" w:type="pct"/>
            <w:noWrap/>
            <w:tcMar>
              <w:left w:w="57" w:type="dxa"/>
              <w:right w:w="57" w:type="dxa"/>
            </w:tcMar>
            <w:hideMark/>
          </w:tcPr>
          <w:p w:rsidR="005938EE" w:rsidRPr="008B26DE" w:rsidRDefault="00B000F3" w:rsidP="00320593">
            <w:pPr>
              <w:pStyle w:val="TableText0"/>
              <w:keepLines/>
              <w:jc w:val="center"/>
              <w:rPr>
                <w:b/>
              </w:rPr>
            </w:pPr>
            <w:r w:rsidRPr="008B26DE">
              <w:rPr>
                <w:b/>
              </w:rPr>
              <w:t>Year 5</w:t>
            </w:r>
          </w:p>
        </w:tc>
        <w:tc>
          <w:tcPr>
            <w:tcW w:w="600" w:type="pct"/>
            <w:noWrap/>
            <w:tcMar>
              <w:left w:w="57" w:type="dxa"/>
              <w:right w:w="57" w:type="dxa"/>
            </w:tcMar>
            <w:hideMark/>
          </w:tcPr>
          <w:p w:rsidR="005938EE" w:rsidRPr="008B26DE" w:rsidRDefault="00B000F3" w:rsidP="00320593">
            <w:pPr>
              <w:pStyle w:val="TableText0"/>
              <w:keepLines/>
              <w:jc w:val="center"/>
              <w:rPr>
                <w:b/>
              </w:rPr>
            </w:pPr>
            <w:r w:rsidRPr="008B26DE">
              <w:rPr>
                <w:b/>
              </w:rPr>
              <w:t>Year 6</w:t>
            </w:r>
          </w:p>
        </w:tc>
      </w:tr>
      <w:tr w:rsidR="009E0CB7" w:rsidRPr="008B26DE" w:rsidTr="00073601">
        <w:trPr>
          <w:trHeight w:val="288"/>
        </w:trPr>
        <w:tc>
          <w:tcPr>
            <w:tcW w:w="5000" w:type="pct"/>
            <w:gridSpan w:val="7"/>
            <w:noWrap/>
            <w:tcMar>
              <w:left w:w="57" w:type="dxa"/>
              <w:right w:w="57" w:type="dxa"/>
            </w:tcMar>
          </w:tcPr>
          <w:p w:rsidR="009E0CB7" w:rsidRPr="008B26DE" w:rsidRDefault="009E0CB7" w:rsidP="007D4230">
            <w:pPr>
              <w:pStyle w:val="TableText0"/>
              <w:keepLines/>
              <w:rPr>
                <w:b/>
              </w:rPr>
            </w:pPr>
            <w:r w:rsidRPr="008B26DE">
              <w:rPr>
                <w:b/>
              </w:rPr>
              <w:t>Base case</w:t>
            </w:r>
          </w:p>
        </w:tc>
      </w:tr>
      <w:tr w:rsidR="00073601" w:rsidRPr="008B26DE" w:rsidTr="00073601">
        <w:trPr>
          <w:trHeight w:val="187"/>
        </w:trPr>
        <w:tc>
          <w:tcPr>
            <w:tcW w:w="1255" w:type="pct"/>
            <w:noWrap/>
            <w:tcMar>
              <w:left w:w="57" w:type="dxa"/>
              <w:right w:w="57" w:type="dxa"/>
            </w:tcMar>
          </w:tcPr>
          <w:p w:rsidR="005938EE" w:rsidRPr="008B26DE" w:rsidRDefault="00405F59" w:rsidP="007D4230">
            <w:pPr>
              <w:pStyle w:val="TableText0"/>
              <w:keepLines/>
            </w:pPr>
            <w:r w:rsidRPr="008B26DE">
              <w:t>Number of s</w:t>
            </w:r>
            <w:r w:rsidR="005938EE" w:rsidRPr="008B26DE">
              <w:t>cripts</w:t>
            </w:r>
            <w:r w:rsidRPr="008B26DE">
              <w:t xml:space="preserve"> dispensed</w:t>
            </w:r>
          </w:p>
        </w:tc>
        <w:tc>
          <w:tcPr>
            <w:tcW w:w="629" w:type="pct"/>
            <w:noWrap/>
            <w:tcMar>
              <w:left w:w="57" w:type="dxa"/>
              <w:right w:w="57" w:type="dxa"/>
            </w:tcMar>
            <w:vAlign w:val="center"/>
          </w:tcPr>
          <w:p w:rsidR="005938EE" w:rsidRPr="00F75764" w:rsidRDefault="00913226" w:rsidP="00320593">
            <w:pPr>
              <w:pStyle w:val="TableText0"/>
              <w:keepLines/>
              <w:jc w:val="right"/>
              <w:rPr>
                <w:vertAlign w:val="superscript"/>
              </w:rPr>
            </w:pPr>
            <w:r>
              <w:rPr>
                <w:noProof/>
                <w:color w:val="000000"/>
                <w:highlight w:val="black"/>
              </w:rPr>
              <w:t>''''''''''''''''''</w:t>
            </w:r>
            <w:r w:rsidR="00584709">
              <w:rPr>
                <w:vertAlign w:val="superscript"/>
              </w:rPr>
              <w:t>1</w:t>
            </w:r>
          </w:p>
        </w:tc>
        <w:tc>
          <w:tcPr>
            <w:tcW w:w="629" w:type="pct"/>
            <w:noWrap/>
            <w:tcMar>
              <w:left w:w="57" w:type="dxa"/>
              <w:right w:w="57" w:type="dxa"/>
            </w:tcMar>
            <w:vAlign w:val="center"/>
          </w:tcPr>
          <w:p w:rsidR="005938EE" w:rsidRPr="00F75764" w:rsidRDefault="00913226" w:rsidP="00320593">
            <w:pPr>
              <w:pStyle w:val="TableText0"/>
              <w:keepLines/>
              <w:jc w:val="right"/>
              <w:rPr>
                <w:vertAlign w:val="superscript"/>
              </w:rPr>
            </w:pPr>
            <w:r>
              <w:rPr>
                <w:noProof/>
                <w:color w:val="000000"/>
                <w:highlight w:val="black"/>
              </w:rPr>
              <w:t>''''''''''''''''''</w:t>
            </w:r>
            <w:r w:rsidR="00EF6AC8">
              <w:rPr>
                <w:vertAlign w:val="superscript"/>
              </w:rPr>
              <w:t>2</w:t>
            </w:r>
          </w:p>
        </w:tc>
        <w:tc>
          <w:tcPr>
            <w:tcW w:w="629" w:type="pct"/>
            <w:noWrap/>
            <w:tcMar>
              <w:left w:w="57" w:type="dxa"/>
              <w:right w:w="57" w:type="dxa"/>
            </w:tcMar>
            <w:vAlign w:val="center"/>
          </w:tcPr>
          <w:p w:rsidR="005938EE" w:rsidRPr="00F75764" w:rsidRDefault="00913226" w:rsidP="00320593">
            <w:pPr>
              <w:pStyle w:val="TableText0"/>
              <w:keepLines/>
              <w:jc w:val="right"/>
              <w:rPr>
                <w:vertAlign w:val="superscript"/>
              </w:rPr>
            </w:pPr>
            <w:r>
              <w:rPr>
                <w:noProof/>
                <w:color w:val="000000"/>
                <w:highlight w:val="black"/>
              </w:rPr>
              <w:t>''''''''''''''''''</w:t>
            </w:r>
            <w:r w:rsidR="00EF6AC8">
              <w:rPr>
                <w:vertAlign w:val="superscript"/>
              </w:rPr>
              <w:t>2</w:t>
            </w:r>
          </w:p>
        </w:tc>
        <w:tc>
          <w:tcPr>
            <w:tcW w:w="629" w:type="pct"/>
            <w:noWrap/>
            <w:tcMar>
              <w:left w:w="57" w:type="dxa"/>
              <w:right w:w="57" w:type="dxa"/>
            </w:tcMar>
            <w:vAlign w:val="center"/>
          </w:tcPr>
          <w:p w:rsidR="005938EE" w:rsidRPr="00F75764" w:rsidRDefault="00913226" w:rsidP="00320593">
            <w:pPr>
              <w:pStyle w:val="TableText0"/>
              <w:keepLines/>
              <w:jc w:val="right"/>
              <w:rPr>
                <w:vertAlign w:val="superscript"/>
              </w:rPr>
            </w:pPr>
            <w:r>
              <w:rPr>
                <w:noProof/>
                <w:color w:val="000000"/>
                <w:highlight w:val="black"/>
              </w:rPr>
              <w:t>'''''''''''''''''</w:t>
            </w:r>
            <w:r w:rsidR="00EF6AC8">
              <w:rPr>
                <w:vertAlign w:val="superscript"/>
              </w:rPr>
              <w:t>3</w:t>
            </w:r>
          </w:p>
        </w:tc>
        <w:tc>
          <w:tcPr>
            <w:tcW w:w="629" w:type="pct"/>
            <w:noWrap/>
            <w:tcMar>
              <w:left w:w="57" w:type="dxa"/>
              <w:right w:w="57" w:type="dxa"/>
            </w:tcMar>
            <w:vAlign w:val="center"/>
          </w:tcPr>
          <w:p w:rsidR="005938EE" w:rsidRPr="00F75764" w:rsidRDefault="00913226" w:rsidP="00320593">
            <w:pPr>
              <w:pStyle w:val="TableText0"/>
              <w:keepLines/>
              <w:jc w:val="right"/>
              <w:rPr>
                <w:vertAlign w:val="superscript"/>
              </w:rPr>
            </w:pPr>
            <w:r>
              <w:rPr>
                <w:noProof/>
                <w:color w:val="000000"/>
                <w:highlight w:val="black"/>
              </w:rPr>
              <w:t>''''''''''''''''''</w:t>
            </w:r>
            <w:r w:rsidR="00EF6AC8">
              <w:rPr>
                <w:vertAlign w:val="superscript"/>
              </w:rPr>
              <w:t>3</w:t>
            </w:r>
          </w:p>
        </w:tc>
        <w:tc>
          <w:tcPr>
            <w:tcW w:w="600" w:type="pct"/>
            <w:noWrap/>
            <w:tcMar>
              <w:left w:w="57" w:type="dxa"/>
              <w:right w:w="57" w:type="dxa"/>
            </w:tcMar>
            <w:vAlign w:val="center"/>
          </w:tcPr>
          <w:p w:rsidR="005938EE" w:rsidRPr="00F75764" w:rsidRDefault="00913226" w:rsidP="00320593">
            <w:pPr>
              <w:pStyle w:val="TableText0"/>
              <w:keepLines/>
              <w:jc w:val="right"/>
              <w:rPr>
                <w:vertAlign w:val="superscript"/>
              </w:rPr>
            </w:pPr>
            <w:r>
              <w:rPr>
                <w:noProof/>
                <w:color w:val="000000"/>
                <w:highlight w:val="black"/>
              </w:rPr>
              <w:t>''''''''''''''''''</w:t>
            </w:r>
            <w:r w:rsidR="00EF6AC8">
              <w:rPr>
                <w:vertAlign w:val="superscript"/>
              </w:rPr>
              <w:t>3</w:t>
            </w:r>
          </w:p>
        </w:tc>
      </w:tr>
      <w:tr w:rsidR="00073601" w:rsidRPr="008B26DE" w:rsidTr="00073601">
        <w:trPr>
          <w:trHeight w:val="91"/>
        </w:trPr>
        <w:tc>
          <w:tcPr>
            <w:tcW w:w="1255" w:type="pct"/>
            <w:noWrap/>
            <w:tcMar>
              <w:left w:w="57" w:type="dxa"/>
              <w:right w:w="57" w:type="dxa"/>
            </w:tcMar>
            <w:hideMark/>
          </w:tcPr>
          <w:p w:rsidR="005938EE" w:rsidRPr="008B26DE" w:rsidRDefault="00405F59" w:rsidP="007D4230">
            <w:pPr>
              <w:pStyle w:val="TableText0"/>
              <w:keepLines/>
              <w:rPr>
                <w:vertAlign w:val="superscript"/>
              </w:rPr>
            </w:pPr>
            <w:r w:rsidRPr="008B26DE">
              <w:t>C</w:t>
            </w:r>
            <w:r w:rsidR="005938EE" w:rsidRPr="008B26DE">
              <w:t xml:space="preserve">ost of </w:t>
            </w:r>
            <w:proofErr w:type="spellStart"/>
            <w:r w:rsidR="005938EE" w:rsidRPr="008B26DE">
              <w:t>galcanezumab</w:t>
            </w:r>
            <w:proofErr w:type="spellEnd"/>
            <w:r w:rsidRPr="008B26DE">
              <w:rPr>
                <w:vertAlign w:val="superscript"/>
              </w:rPr>
              <w:t xml:space="preserve"> </w:t>
            </w:r>
          </w:p>
        </w:tc>
        <w:tc>
          <w:tcPr>
            <w:tcW w:w="629" w:type="pct"/>
            <w:noWrap/>
            <w:tcMar>
              <w:left w:w="57" w:type="dxa"/>
              <w:right w:w="57" w:type="dxa"/>
            </w:tcMar>
            <w:vAlign w:val="center"/>
            <w:hideMark/>
          </w:tcPr>
          <w:p w:rsidR="005938EE" w:rsidRPr="00EF6AC8" w:rsidRDefault="005938EE" w:rsidP="00320593">
            <w:pPr>
              <w:pStyle w:val="TableText0"/>
              <w:keepLines/>
              <w:jc w:val="right"/>
            </w:pPr>
            <w:r w:rsidRPr="008B26DE">
              <w:t>$</w:t>
            </w:r>
            <w:r w:rsidR="00913226">
              <w:rPr>
                <w:noProof/>
                <w:color w:val="000000"/>
                <w:highlight w:val="black"/>
              </w:rPr>
              <w:t>''''''''''''''''''''''</w:t>
            </w:r>
            <w:r w:rsidR="00EF6AC8">
              <w:rPr>
                <w:vertAlign w:val="superscript"/>
              </w:rPr>
              <w:t>4</w:t>
            </w:r>
          </w:p>
        </w:tc>
        <w:tc>
          <w:tcPr>
            <w:tcW w:w="629" w:type="pct"/>
            <w:noWrap/>
            <w:tcMar>
              <w:left w:w="57" w:type="dxa"/>
              <w:right w:w="57" w:type="dxa"/>
            </w:tcMar>
            <w:vAlign w:val="center"/>
            <w:hideMark/>
          </w:tcPr>
          <w:p w:rsidR="005938EE" w:rsidRPr="00EF6AC8" w:rsidRDefault="005938EE" w:rsidP="00320593">
            <w:pPr>
              <w:pStyle w:val="TableText0"/>
              <w:keepLines/>
              <w:jc w:val="right"/>
            </w:pPr>
            <w:r w:rsidRPr="008B26DE">
              <w:t>$</w:t>
            </w:r>
            <w:r w:rsidR="00913226">
              <w:rPr>
                <w:noProof/>
                <w:color w:val="000000"/>
                <w:highlight w:val="black"/>
              </w:rPr>
              <w:t>''''''''''''''''''''''''</w:t>
            </w:r>
            <w:r w:rsidR="00EF6AC8">
              <w:rPr>
                <w:vertAlign w:val="superscript"/>
              </w:rPr>
              <w:t>5</w:t>
            </w:r>
          </w:p>
        </w:tc>
        <w:tc>
          <w:tcPr>
            <w:tcW w:w="629" w:type="pct"/>
            <w:noWrap/>
            <w:tcMar>
              <w:left w:w="57" w:type="dxa"/>
              <w:right w:w="57" w:type="dxa"/>
            </w:tcMar>
            <w:vAlign w:val="center"/>
            <w:hideMark/>
          </w:tcPr>
          <w:p w:rsidR="005938EE" w:rsidRPr="00F75764" w:rsidRDefault="005938EE" w:rsidP="00320593">
            <w:pPr>
              <w:pStyle w:val="TableText0"/>
              <w:keepLines/>
              <w:jc w:val="right"/>
              <w:rPr>
                <w:vertAlign w:val="superscript"/>
              </w:rPr>
            </w:pPr>
            <w:r w:rsidRPr="008B26DE">
              <w:t>$</w:t>
            </w:r>
            <w:r w:rsidR="001936D5">
              <w:rPr>
                <w:noProof/>
                <w:color w:val="000000"/>
                <w:highlight w:val="black"/>
              </w:rPr>
              <w:t>'''''''''''''''''''''</w:t>
            </w:r>
            <w:r w:rsidR="00913226">
              <w:rPr>
                <w:noProof/>
                <w:color w:val="000000"/>
                <w:highlight w:val="black"/>
              </w:rPr>
              <w:t>''''''</w:t>
            </w:r>
            <w:r w:rsidR="00EF6AC8">
              <w:rPr>
                <w:vertAlign w:val="superscript"/>
              </w:rPr>
              <w:t>6</w:t>
            </w:r>
          </w:p>
        </w:tc>
        <w:tc>
          <w:tcPr>
            <w:tcW w:w="629" w:type="pct"/>
            <w:noWrap/>
            <w:tcMar>
              <w:left w:w="57" w:type="dxa"/>
              <w:right w:w="57" w:type="dxa"/>
            </w:tcMar>
            <w:vAlign w:val="center"/>
            <w:hideMark/>
          </w:tcPr>
          <w:p w:rsidR="005938EE" w:rsidRPr="008B26DE" w:rsidRDefault="005938EE" w:rsidP="00320593">
            <w:pPr>
              <w:pStyle w:val="TableText0"/>
              <w:keepLines/>
              <w:jc w:val="right"/>
            </w:pPr>
            <w:r w:rsidRPr="008B26DE">
              <w:t>$</w:t>
            </w:r>
            <w:r w:rsidR="00913226">
              <w:rPr>
                <w:noProof/>
                <w:color w:val="000000"/>
                <w:highlight w:val="black"/>
              </w:rPr>
              <w:t>'''''''''''''''''''''''''''</w:t>
            </w:r>
            <w:r w:rsidR="00EF6AC8">
              <w:rPr>
                <w:vertAlign w:val="superscript"/>
              </w:rPr>
              <w:t>7</w:t>
            </w:r>
          </w:p>
        </w:tc>
        <w:tc>
          <w:tcPr>
            <w:tcW w:w="629" w:type="pct"/>
            <w:noWrap/>
            <w:tcMar>
              <w:left w:w="57" w:type="dxa"/>
              <w:right w:w="57" w:type="dxa"/>
            </w:tcMar>
            <w:vAlign w:val="center"/>
            <w:hideMark/>
          </w:tcPr>
          <w:p w:rsidR="005938EE" w:rsidRPr="008B26DE" w:rsidRDefault="005938EE" w:rsidP="00320593">
            <w:pPr>
              <w:pStyle w:val="TableText0"/>
              <w:keepLines/>
              <w:jc w:val="right"/>
            </w:pPr>
            <w:r w:rsidRPr="008B26DE">
              <w:t>$</w:t>
            </w:r>
            <w:r w:rsidR="00913226">
              <w:rPr>
                <w:noProof/>
                <w:color w:val="000000"/>
                <w:highlight w:val="black"/>
              </w:rPr>
              <w:t>''''''''''''''''''''''''</w:t>
            </w:r>
            <w:r w:rsidR="00EF6AC8">
              <w:rPr>
                <w:vertAlign w:val="superscript"/>
              </w:rPr>
              <w:t>7</w:t>
            </w:r>
          </w:p>
        </w:tc>
        <w:tc>
          <w:tcPr>
            <w:tcW w:w="600" w:type="pct"/>
            <w:noWrap/>
            <w:tcMar>
              <w:left w:w="57" w:type="dxa"/>
              <w:right w:w="57" w:type="dxa"/>
            </w:tcMar>
            <w:vAlign w:val="center"/>
            <w:hideMark/>
          </w:tcPr>
          <w:p w:rsidR="005938EE" w:rsidRPr="00F75764" w:rsidRDefault="005938EE" w:rsidP="00320593">
            <w:pPr>
              <w:pStyle w:val="TableText0"/>
              <w:keepLines/>
              <w:jc w:val="right"/>
              <w:rPr>
                <w:vertAlign w:val="superscript"/>
              </w:rPr>
            </w:pPr>
            <w:r w:rsidRPr="008B26DE">
              <w:t>$</w:t>
            </w:r>
            <w:r w:rsidR="00913226">
              <w:rPr>
                <w:noProof/>
                <w:color w:val="000000"/>
                <w:highlight w:val="black"/>
              </w:rPr>
              <w:t>''''''''''''''''''''''''</w:t>
            </w:r>
            <w:r w:rsidR="00F75764">
              <w:rPr>
                <w:vertAlign w:val="superscript"/>
              </w:rPr>
              <w:t>8</w:t>
            </w:r>
          </w:p>
        </w:tc>
      </w:tr>
      <w:tr w:rsidR="00073601" w:rsidRPr="008B26DE" w:rsidTr="00073601">
        <w:trPr>
          <w:trHeight w:val="123"/>
        </w:trPr>
        <w:tc>
          <w:tcPr>
            <w:tcW w:w="1255" w:type="pct"/>
            <w:noWrap/>
            <w:tcMar>
              <w:left w:w="57" w:type="dxa"/>
              <w:right w:w="57" w:type="dxa"/>
            </w:tcMar>
            <w:hideMark/>
          </w:tcPr>
          <w:p w:rsidR="005938EE" w:rsidRPr="008B26DE" w:rsidRDefault="00405F59" w:rsidP="007D4230">
            <w:pPr>
              <w:pStyle w:val="TableText0"/>
              <w:keepLines/>
            </w:pPr>
            <w:r w:rsidRPr="008B26DE">
              <w:t>C</w:t>
            </w:r>
            <w:r w:rsidR="005938EE" w:rsidRPr="008B26DE">
              <w:t>ost of Botox</w:t>
            </w:r>
          </w:p>
        </w:tc>
        <w:tc>
          <w:tcPr>
            <w:tcW w:w="629" w:type="pct"/>
            <w:noWrap/>
            <w:tcMar>
              <w:left w:w="57" w:type="dxa"/>
              <w:right w:w="57" w:type="dxa"/>
            </w:tcMar>
            <w:vAlign w:val="center"/>
            <w:hideMark/>
          </w:tcPr>
          <w:p w:rsidR="005938EE" w:rsidRPr="008B26DE" w:rsidRDefault="005938EE" w:rsidP="00320593">
            <w:pPr>
              <w:pStyle w:val="TableText0"/>
              <w:keepLines/>
              <w:jc w:val="right"/>
            </w:pPr>
            <w:r w:rsidRPr="008B26DE">
              <w:t>-$</w:t>
            </w:r>
            <w:r w:rsidR="00913226">
              <w:rPr>
                <w:noProof/>
                <w:color w:val="000000"/>
                <w:highlight w:val="black"/>
              </w:rPr>
              <w:t>'''''''''''''''''''''''</w:t>
            </w:r>
            <w:r w:rsidR="00EF6AC8">
              <w:rPr>
                <w:vertAlign w:val="superscript"/>
              </w:rPr>
              <w:t>4</w:t>
            </w:r>
          </w:p>
        </w:tc>
        <w:tc>
          <w:tcPr>
            <w:tcW w:w="629" w:type="pct"/>
            <w:noWrap/>
            <w:tcMar>
              <w:left w:w="57" w:type="dxa"/>
              <w:right w:w="57" w:type="dxa"/>
            </w:tcMar>
            <w:vAlign w:val="center"/>
            <w:hideMark/>
          </w:tcPr>
          <w:p w:rsidR="005938EE" w:rsidRPr="008B26DE" w:rsidRDefault="005938EE" w:rsidP="00320593">
            <w:pPr>
              <w:pStyle w:val="TableText0"/>
              <w:keepLines/>
              <w:jc w:val="right"/>
            </w:pPr>
            <w:r w:rsidRPr="008B26DE">
              <w:t>-$</w:t>
            </w:r>
            <w:r w:rsidR="00913226">
              <w:rPr>
                <w:noProof/>
                <w:color w:val="000000"/>
                <w:highlight w:val="black"/>
              </w:rPr>
              <w:t>'''''''''''''''''''''''</w:t>
            </w:r>
            <w:r w:rsidR="00EF6AC8">
              <w:rPr>
                <w:vertAlign w:val="superscript"/>
              </w:rPr>
              <w:t>4</w:t>
            </w:r>
          </w:p>
        </w:tc>
        <w:tc>
          <w:tcPr>
            <w:tcW w:w="629" w:type="pct"/>
            <w:noWrap/>
            <w:tcMar>
              <w:left w:w="57" w:type="dxa"/>
              <w:right w:w="57" w:type="dxa"/>
            </w:tcMar>
            <w:vAlign w:val="center"/>
            <w:hideMark/>
          </w:tcPr>
          <w:p w:rsidR="005938EE" w:rsidRPr="008B26DE" w:rsidRDefault="005938EE" w:rsidP="00320593">
            <w:pPr>
              <w:pStyle w:val="TableText0"/>
              <w:keepLines/>
              <w:jc w:val="right"/>
            </w:pPr>
            <w:r w:rsidRPr="008B26DE">
              <w:t>-$</w:t>
            </w:r>
            <w:r w:rsidR="00913226">
              <w:rPr>
                <w:noProof/>
                <w:color w:val="000000"/>
                <w:highlight w:val="black"/>
              </w:rPr>
              <w:t>''''''''''''''''''''''</w:t>
            </w:r>
            <w:r w:rsidR="00EF6AC8">
              <w:rPr>
                <w:vertAlign w:val="superscript"/>
              </w:rPr>
              <w:t>4</w:t>
            </w:r>
          </w:p>
        </w:tc>
        <w:tc>
          <w:tcPr>
            <w:tcW w:w="629" w:type="pct"/>
            <w:noWrap/>
            <w:tcMar>
              <w:left w:w="57" w:type="dxa"/>
              <w:right w:w="57" w:type="dxa"/>
            </w:tcMar>
            <w:vAlign w:val="center"/>
            <w:hideMark/>
          </w:tcPr>
          <w:p w:rsidR="005938EE" w:rsidRPr="008B26DE" w:rsidRDefault="005938EE" w:rsidP="00320593">
            <w:pPr>
              <w:pStyle w:val="TableText0"/>
              <w:keepLines/>
              <w:jc w:val="right"/>
            </w:pPr>
            <w:r w:rsidRPr="008B26DE">
              <w:t>-$</w:t>
            </w:r>
            <w:r w:rsidR="00913226">
              <w:rPr>
                <w:noProof/>
                <w:color w:val="000000"/>
                <w:highlight w:val="black"/>
              </w:rPr>
              <w:t>''''''''''''''''''''''</w:t>
            </w:r>
            <w:r w:rsidR="00EF6AC8">
              <w:rPr>
                <w:vertAlign w:val="superscript"/>
              </w:rPr>
              <w:t>4</w:t>
            </w:r>
          </w:p>
        </w:tc>
        <w:tc>
          <w:tcPr>
            <w:tcW w:w="629" w:type="pct"/>
            <w:noWrap/>
            <w:tcMar>
              <w:left w:w="57" w:type="dxa"/>
              <w:right w:w="57" w:type="dxa"/>
            </w:tcMar>
            <w:vAlign w:val="center"/>
            <w:hideMark/>
          </w:tcPr>
          <w:p w:rsidR="005938EE" w:rsidRPr="008B26DE" w:rsidRDefault="005938EE" w:rsidP="00320593">
            <w:pPr>
              <w:pStyle w:val="TableText0"/>
              <w:keepLines/>
              <w:jc w:val="right"/>
            </w:pPr>
            <w:r w:rsidRPr="008B26DE">
              <w:t>-$</w:t>
            </w:r>
            <w:r w:rsidR="00913226">
              <w:rPr>
                <w:noProof/>
                <w:color w:val="000000"/>
                <w:highlight w:val="black"/>
              </w:rPr>
              <w:t>''''''''''''''''''''''''</w:t>
            </w:r>
            <w:r w:rsidR="00EF6AC8">
              <w:rPr>
                <w:vertAlign w:val="superscript"/>
              </w:rPr>
              <w:t>4</w:t>
            </w:r>
          </w:p>
        </w:tc>
        <w:tc>
          <w:tcPr>
            <w:tcW w:w="600" w:type="pct"/>
            <w:noWrap/>
            <w:tcMar>
              <w:left w:w="57" w:type="dxa"/>
              <w:right w:w="57" w:type="dxa"/>
            </w:tcMar>
            <w:vAlign w:val="center"/>
            <w:hideMark/>
          </w:tcPr>
          <w:p w:rsidR="005938EE" w:rsidRPr="008B26DE" w:rsidRDefault="005938EE" w:rsidP="00320593">
            <w:pPr>
              <w:pStyle w:val="TableText0"/>
              <w:keepLines/>
              <w:jc w:val="right"/>
            </w:pPr>
            <w:r w:rsidRPr="008B26DE">
              <w:t>-$</w:t>
            </w:r>
            <w:r w:rsidR="00913226">
              <w:rPr>
                <w:noProof/>
                <w:color w:val="000000"/>
                <w:highlight w:val="black"/>
              </w:rPr>
              <w:t>'''''''''''''''''''''''</w:t>
            </w:r>
            <w:r w:rsidR="00EF6AC8">
              <w:rPr>
                <w:vertAlign w:val="superscript"/>
              </w:rPr>
              <w:t>4</w:t>
            </w:r>
          </w:p>
        </w:tc>
      </w:tr>
      <w:tr w:rsidR="00073601" w:rsidRPr="008B26DE" w:rsidTr="00073601">
        <w:trPr>
          <w:trHeight w:val="170"/>
        </w:trPr>
        <w:tc>
          <w:tcPr>
            <w:tcW w:w="1255" w:type="pct"/>
            <w:noWrap/>
            <w:tcMar>
              <w:left w:w="57" w:type="dxa"/>
              <w:right w:w="57" w:type="dxa"/>
            </w:tcMar>
            <w:hideMark/>
          </w:tcPr>
          <w:p w:rsidR="005938EE" w:rsidRPr="008B26DE" w:rsidRDefault="005938EE" w:rsidP="00073601">
            <w:pPr>
              <w:pStyle w:val="TableText0"/>
              <w:keepLines/>
            </w:pPr>
            <w:r w:rsidRPr="008B26DE">
              <w:t>Net cost</w:t>
            </w:r>
            <w:r w:rsidR="00405F59" w:rsidRPr="008B26DE">
              <w:t xml:space="preserve"> to the PBS/RPBS</w:t>
            </w:r>
            <w:r w:rsidR="0081661A" w:rsidRPr="008B26DE">
              <w:rPr>
                <w:vertAlign w:val="superscript"/>
              </w:rPr>
              <w:t>1</w:t>
            </w:r>
          </w:p>
        </w:tc>
        <w:tc>
          <w:tcPr>
            <w:tcW w:w="629" w:type="pct"/>
            <w:noWrap/>
            <w:tcMar>
              <w:left w:w="57" w:type="dxa"/>
              <w:right w:w="57" w:type="dxa"/>
            </w:tcMar>
            <w:vAlign w:val="center"/>
            <w:hideMark/>
          </w:tcPr>
          <w:p w:rsidR="005938EE" w:rsidRPr="008B26DE" w:rsidRDefault="005938EE" w:rsidP="00320593">
            <w:pPr>
              <w:pStyle w:val="TableText0"/>
              <w:keepLines/>
              <w:jc w:val="right"/>
            </w:pPr>
            <w:r w:rsidRPr="008B26DE">
              <w:t>$</w:t>
            </w:r>
            <w:r w:rsidR="00913226">
              <w:rPr>
                <w:noProof/>
                <w:color w:val="000000"/>
                <w:highlight w:val="black"/>
              </w:rPr>
              <w:t>'''''''''''''''''''''''</w:t>
            </w:r>
            <w:r w:rsidR="00EF6AC8">
              <w:rPr>
                <w:vertAlign w:val="superscript"/>
              </w:rPr>
              <w:t>4</w:t>
            </w:r>
          </w:p>
        </w:tc>
        <w:tc>
          <w:tcPr>
            <w:tcW w:w="629" w:type="pct"/>
            <w:noWrap/>
            <w:tcMar>
              <w:left w:w="57" w:type="dxa"/>
              <w:right w:w="57" w:type="dxa"/>
            </w:tcMar>
            <w:vAlign w:val="center"/>
            <w:hideMark/>
          </w:tcPr>
          <w:p w:rsidR="005938EE" w:rsidRPr="008B26DE" w:rsidRDefault="005938EE" w:rsidP="00320593">
            <w:pPr>
              <w:pStyle w:val="TableText0"/>
              <w:keepLines/>
              <w:jc w:val="right"/>
            </w:pPr>
            <w:r w:rsidRPr="008B26DE">
              <w:t>$</w:t>
            </w:r>
            <w:r w:rsidR="00913226">
              <w:rPr>
                <w:noProof/>
                <w:color w:val="000000"/>
                <w:highlight w:val="black"/>
              </w:rPr>
              <w:t>'''''''''''''''''''''''''</w:t>
            </w:r>
            <w:r w:rsidR="00EF6AC8">
              <w:rPr>
                <w:vertAlign w:val="superscript"/>
              </w:rPr>
              <w:t>5</w:t>
            </w:r>
          </w:p>
        </w:tc>
        <w:tc>
          <w:tcPr>
            <w:tcW w:w="629" w:type="pct"/>
            <w:noWrap/>
            <w:tcMar>
              <w:left w:w="57" w:type="dxa"/>
              <w:right w:w="57" w:type="dxa"/>
            </w:tcMar>
            <w:vAlign w:val="center"/>
            <w:hideMark/>
          </w:tcPr>
          <w:p w:rsidR="005938EE" w:rsidRPr="008B26DE" w:rsidRDefault="005938EE" w:rsidP="00320593">
            <w:pPr>
              <w:pStyle w:val="TableText0"/>
              <w:keepLines/>
              <w:jc w:val="right"/>
            </w:pPr>
            <w:r w:rsidRPr="008B26DE">
              <w:t>$</w:t>
            </w:r>
            <w:r w:rsidR="001936D5">
              <w:rPr>
                <w:noProof/>
                <w:color w:val="000000"/>
                <w:highlight w:val="black"/>
              </w:rPr>
              <w:t>''''''''''''''''''''</w:t>
            </w:r>
            <w:r w:rsidR="00913226">
              <w:rPr>
                <w:noProof/>
                <w:color w:val="000000"/>
                <w:highlight w:val="black"/>
              </w:rPr>
              <w:t>'''''''</w:t>
            </w:r>
            <w:r w:rsidR="00EF6AC8">
              <w:rPr>
                <w:vertAlign w:val="superscript"/>
              </w:rPr>
              <w:t>6</w:t>
            </w:r>
          </w:p>
        </w:tc>
        <w:tc>
          <w:tcPr>
            <w:tcW w:w="629" w:type="pct"/>
            <w:noWrap/>
            <w:tcMar>
              <w:left w:w="57" w:type="dxa"/>
              <w:right w:w="57" w:type="dxa"/>
            </w:tcMar>
            <w:vAlign w:val="center"/>
            <w:hideMark/>
          </w:tcPr>
          <w:p w:rsidR="005938EE" w:rsidRPr="008B26DE" w:rsidRDefault="005938EE" w:rsidP="00320593">
            <w:pPr>
              <w:pStyle w:val="TableText0"/>
              <w:keepLines/>
              <w:jc w:val="right"/>
            </w:pPr>
            <w:r w:rsidRPr="008B26DE">
              <w:t>$</w:t>
            </w:r>
            <w:r w:rsidR="001936D5">
              <w:rPr>
                <w:noProof/>
                <w:color w:val="000000"/>
                <w:highlight w:val="black"/>
              </w:rPr>
              <w:t>''''''''''''''''''</w:t>
            </w:r>
            <w:r w:rsidR="00913226">
              <w:rPr>
                <w:noProof/>
                <w:color w:val="000000"/>
                <w:highlight w:val="black"/>
              </w:rPr>
              <w:t>'''''</w:t>
            </w:r>
            <w:r w:rsidR="00EF6AC8">
              <w:rPr>
                <w:vertAlign w:val="superscript"/>
              </w:rPr>
              <w:t>7</w:t>
            </w:r>
          </w:p>
        </w:tc>
        <w:tc>
          <w:tcPr>
            <w:tcW w:w="629" w:type="pct"/>
            <w:noWrap/>
            <w:tcMar>
              <w:left w:w="57" w:type="dxa"/>
              <w:right w:w="57" w:type="dxa"/>
            </w:tcMar>
            <w:vAlign w:val="center"/>
            <w:hideMark/>
          </w:tcPr>
          <w:p w:rsidR="005938EE" w:rsidRPr="008B26DE" w:rsidRDefault="005938EE" w:rsidP="00320593">
            <w:pPr>
              <w:pStyle w:val="TableText0"/>
              <w:keepLines/>
              <w:jc w:val="right"/>
            </w:pPr>
            <w:r w:rsidRPr="008B26DE">
              <w:t>$</w:t>
            </w:r>
            <w:r w:rsidR="001936D5">
              <w:rPr>
                <w:noProof/>
                <w:color w:val="000000"/>
                <w:highlight w:val="black"/>
              </w:rPr>
              <w:t>''''''''''''''''''''''</w:t>
            </w:r>
            <w:r w:rsidR="00913226">
              <w:rPr>
                <w:noProof/>
                <w:color w:val="000000"/>
                <w:highlight w:val="black"/>
              </w:rPr>
              <w:t>'''''</w:t>
            </w:r>
            <w:r w:rsidR="00EF6AC8">
              <w:rPr>
                <w:vertAlign w:val="superscript"/>
              </w:rPr>
              <w:t>7</w:t>
            </w:r>
          </w:p>
        </w:tc>
        <w:tc>
          <w:tcPr>
            <w:tcW w:w="600" w:type="pct"/>
            <w:noWrap/>
            <w:tcMar>
              <w:left w:w="57" w:type="dxa"/>
              <w:right w:w="57" w:type="dxa"/>
            </w:tcMar>
            <w:vAlign w:val="center"/>
            <w:hideMark/>
          </w:tcPr>
          <w:p w:rsidR="005938EE" w:rsidRPr="008B26DE" w:rsidRDefault="005938EE" w:rsidP="00320593">
            <w:pPr>
              <w:pStyle w:val="TableText0"/>
              <w:keepLines/>
              <w:jc w:val="right"/>
            </w:pPr>
            <w:r w:rsidRPr="008B26DE">
              <w:t>$</w:t>
            </w:r>
            <w:r w:rsidR="001936D5">
              <w:rPr>
                <w:noProof/>
                <w:color w:val="000000"/>
                <w:highlight w:val="black"/>
              </w:rPr>
              <w:t>''''''''''''''''</w:t>
            </w:r>
            <w:r w:rsidR="00913226">
              <w:rPr>
                <w:noProof/>
                <w:color w:val="000000"/>
                <w:highlight w:val="black"/>
              </w:rPr>
              <w:t>''''''''</w:t>
            </w:r>
            <w:r w:rsidR="00EF6AC8">
              <w:rPr>
                <w:vertAlign w:val="superscript"/>
              </w:rPr>
              <w:t>7</w:t>
            </w:r>
          </w:p>
        </w:tc>
      </w:tr>
      <w:tr w:rsidR="009E0CB7" w:rsidRPr="008B26DE" w:rsidTr="00073601">
        <w:trPr>
          <w:trHeight w:val="73"/>
        </w:trPr>
        <w:tc>
          <w:tcPr>
            <w:tcW w:w="5000" w:type="pct"/>
            <w:gridSpan w:val="7"/>
            <w:noWrap/>
            <w:tcMar>
              <w:left w:w="57" w:type="dxa"/>
              <w:right w:w="57" w:type="dxa"/>
            </w:tcMar>
          </w:tcPr>
          <w:p w:rsidR="009E0CB7" w:rsidRPr="008B26DE" w:rsidRDefault="009E0CB7" w:rsidP="007D4230">
            <w:pPr>
              <w:pStyle w:val="TableText0"/>
              <w:keepLines/>
              <w:rPr>
                <w:b/>
              </w:rPr>
            </w:pPr>
            <w:r w:rsidRPr="008B26DE">
              <w:rPr>
                <w:b/>
              </w:rPr>
              <w:t>High case</w:t>
            </w:r>
          </w:p>
        </w:tc>
      </w:tr>
      <w:tr w:rsidR="00073601" w:rsidRPr="008B26DE" w:rsidTr="00073601">
        <w:trPr>
          <w:trHeight w:val="261"/>
        </w:trPr>
        <w:tc>
          <w:tcPr>
            <w:tcW w:w="1255" w:type="pct"/>
            <w:noWrap/>
            <w:tcMar>
              <w:left w:w="57" w:type="dxa"/>
              <w:right w:w="57" w:type="dxa"/>
            </w:tcMar>
          </w:tcPr>
          <w:p w:rsidR="009E0CB7" w:rsidRPr="008B26DE" w:rsidRDefault="009E0CB7" w:rsidP="00073601">
            <w:pPr>
              <w:pStyle w:val="TableText0"/>
              <w:keepLines/>
            </w:pPr>
            <w:r w:rsidRPr="008B26DE">
              <w:t>Net cost to the PBS/RPBS</w:t>
            </w:r>
            <w:r w:rsidR="0081661A" w:rsidRPr="008B26DE">
              <w:rPr>
                <w:vertAlign w:val="superscript"/>
              </w:rPr>
              <w:t>1</w:t>
            </w:r>
          </w:p>
        </w:tc>
        <w:tc>
          <w:tcPr>
            <w:tcW w:w="629" w:type="pct"/>
            <w:shd w:val="clear" w:color="auto" w:fill="auto"/>
            <w:noWrap/>
            <w:tcMar>
              <w:left w:w="57" w:type="dxa"/>
              <w:right w:w="57" w:type="dxa"/>
            </w:tcMar>
            <w:vAlign w:val="center"/>
          </w:tcPr>
          <w:p w:rsidR="009E0CB7" w:rsidRPr="00913226" w:rsidRDefault="009E0CB7" w:rsidP="00320593">
            <w:pPr>
              <w:pStyle w:val="TableText0"/>
              <w:keepLines/>
              <w:jc w:val="right"/>
              <w:rPr>
                <w:rFonts w:cs="Arial"/>
                <w:color w:val="000000"/>
                <w:szCs w:val="20"/>
              </w:rPr>
            </w:pPr>
            <w:r w:rsidRPr="008B26DE">
              <w:t>$</w:t>
            </w:r>
            <w:r w:rsidR="001936D5">
              <w:rPr>
                <w:noProof/>
                <w:color w:val="000000"/>
                <w:highlight w:val="black"/>
              </w:rPr>
              <w:t>'''''''''''''''</w:t>
            </w:r>
            <w:r w:rsidR="00913226">
              <w:rPr>
                <w:noProof/>
                <w:color w:val="000000"/>
                <w:highlight w:val="black"/>
              </w:rPr>
              <w:t>''''''''''''</w:t>
            </w:r>
            <w:r w:rsidR="00F75764">
              <w:rPr>
                <w:vertAlign w:val="superscript"/>
              </w:rPr>
              <w:t>9</w:t>
            </w:r>
          </w:p>
        </w:tc>
        <w:tc>
          <w:tcPr>
            <w:tcW w:w="629" w:type="pct"/>
            <w:shd w:val="clear" w:color="auto" w:fill="auto"/>
            <w:noWrap/>
            <w:tcMar>
              <w:left w:w="57" w:type="dxa"/>
              <w:right w:w="57" w:type="dxa"/>
            </w:tcMar>
            <w:vAlign w:val="center"/>
          </w:tcPr>
          <w:p w:rsidR="009E0CB7" w:rsidRPr="00913226" w:rsidRDefault="009E0CB7" w:rsidP="00320593">
            <w:pPr>
              <w:pStyle w:val="TableText0"/>
              <w:keepLines/>
              <w:jc w:val="right"/>
              <w:rPr>
                <w:rFonts w:cs="Arial"/>
                <w:color w:val="000000"/>
                <w:szCs w:val="20"/>
              </w:rPr>
            </w:pPr>
            <w:r w:rsidRPr="008B26DE">
              <w:t>$</w:t>
            </w:r>
            <w:r w:rsidR="001936D5">
              <w:rPr>
                <w:noProof/>
                <w:color w:val="000000"/>
                <w:highlight w:val="black"/>
              </w:rPr>
              <w:t>''''''''''''''''''''</w:t>
            </w:r>
            <w:r w:rsidR="00913226">
              <w:rPr>
                <w:noProof/>
                <w:color w:val="000000"/>
                <w:highlight w:val="black"/>
              </w:rPr>
              <w:t>''''''</w:t>
            </w:r>
            <w:r w:rsidR="00F75764">
              <w:rPr>
                <w:vertAlign w:val="superscript"/>
              </w:rPr>
              <w:t>7</w:t>
            </w:r>
          </w:p>
        </w:tc>
        <w:tc>
          <w:tcPr>
            <w:tcW w:w="629" w:type="pct"/>
            <w:shd w:val="clear" w:color="auto" w:fill="auto"/>
            <w:noWrap/>
            <w:tcMar>
              <w:left w:w="57" w:type="dxa"/>
              <w:right w:w="57" w:type="dxa"/>
            </w:tcMar>
            <w:vAlign w:val="center"/>
          </w:tcPr>
          <w:p w:rsidR="009E0CB7" w:rsidRPr="00913226" w:rsidRDefault="009E0CB7" w:rsidP="00320593">
            <w:pPr>
              <w:pStyle w:val="TableText0"/>
              <w:keepLines/>
              <w:jc w:val="right"/>
              <w:rPr>
                <w:rFonts w:cs="Arial"/>
                <w:color w:val="000000"/>
                <w:szCs w:val="20"/>
              </w:rPr>
            </w:pPr>
            <w:r w:rsidRPr="008B26DE">
              <w:t>$</w:t>
            </w:r>
            <w:r w:rsidR="001936D5">
              <w:rPr>
                <w:noProof/>
                <w:color w:val="000000"/>
                <w:highlight w:val="black"/>
              </w:rPr>
              <w:t>'''''''''''''''''''''</w:t>
            </w:r>
            <w:r w:rsidR="00913226">
              <w:rPr>
                <w:noProof/>
                <w:color w:val="000000"/>
                <w:highlight w:val="black"/>
              </w:rPr>
              <w:t>'''''</w:t>
            </w:r>
            <w:r w:rsidR="00F75764">
              <w:rPr>
                <w:vertAlign w:val="superscript"/>
              </w:rPr>
              <w:t>8</w:t>
            </w:r>
          </w:p>
        </w:tc>
        <w:tc>
          <w:tcPr>
            <w:tcW w:w="629" w:type="pct"/>
            <w:shd w:val="clear" w:color="auto" w:fill="auto"/>
            <w:noWrap/>
            <w:tcMar>
              <w:left w:w="57" w:type="dxa"/>
              <w:right w:w="57" w:type="dxa"/>
            </w:tcMar>
            <w:vAlign w:val="center"/>
          </w:tcPr>
          <w:p w:rsidR="009E0CB7" w:rsidRPr="00913226" w:rsidRDefault="009E0CB7" w:rsidP="00320593">
            <w:pPr>
              <w:pStyle w:val="TableText0"/>
              <w:keepLines/>
              <w:jc w:val="right"/>
              <w:rPr>
                <w:rFonts w:cs="Arial"/>
                <w:color w:val="000000"/>
                <w:szCs w:val="20"/>
                <w:vertAlign w:val="superscript"/>
              </w:rPr>
            </w:pPr>
            <w:r w:rsidRPr="008B26DE">
              <w:t>$</w:t>
            </w:r>
            <w:r w:rsidR="001936D5">
              <w:rPr>
                <w:noProof/>
                <w:color w:val="000000"/>
                <w:highlight w:val="black"/>
              </w:rPr>
              <w:t>''''''''''''''''''''''</w:t>
            </w:r>
            <w:r w:rsidR="00913226">
              <w:rPr>
                <w:noProof/>
                <w:color w:val="000000"/>
                <w:highlight w:val="black"/>
              </w:rPr>
              <w:t>''</w:t>
            </w:r>
            <w:r w:rsidR="00F75764">
              <w:t xml:space="preserve"> </w:t>
            </w:r>
            <w:r w:rsidR="00F75764">
              <w:rPr>
                <w:vertAlign w:val="superscript"/>
              </w:rPr>
              <w:t>10</w:t>
            </w:r>
          </w:p>
        </w:tc>
        <w:tc>
          <w:tcPr>
            <w:tcW w:w="629" w:type="pct"/>
            <w:shd w:val="clear" w:color="auto" w:fill="auto"/>
            <w:noWrap/>
            <w:tcMar>
              <w:left w:w="57" w:type="dxa"/>
              <w:right w:w="57" w:type="dxa"/>
            </w:tcMar>
            <w:vAlign w:val="center"/>
          </w:tcPr>
          <w:p w:rsidR="009E0CB7" w:rsidRPr="00913226" w:rsidRDefault="009E0CB7" w:rsidP="00320593">
            <w:pPr>
              <w:pStyle w:val="TableText0"/>
              <w:keepLines/>
              <w:jc w:val="right"/>
              <w:rPr>
                <w:rFonts w:cs="Arial"/>
                <w:color w:val="000000"/>
                <w:szCs w:val="20"/>
                <w:vertAlign w:val="superscript"/>
              </w:rPr>
            </w:pPr>
            <w:r w:rsidRPr="008B26DE">
              <w:t>$</w:t>
            </w:r>
            <w:r w:rsidR="00913226">
              <w:rPr>
                <w:noProof/>
                <w:color w:val="000000"/>
                <w:highlight w:val="black"/>
              </w:rPr>
              <w:t>''''''''''''''''''''''''</w:t>
            </w:r>
            <w:r w:rsidR="00F75764">
              <w:t xml:space="preserve"> </w:t>
            </w:r>
            <w:r w:rsidR="00F75764">
              <w:rPr>
                <w:vertAlign w:val="superscript"/>
              </w:rPr>
              <w:t>11</w:t>
            </w:r>
          </w:p>
        </w:tc>
        <w:tc>
          <w:tcPr>
            <w:tcW w:w="600" w:type="pct"/>
            <w:noWrap/>
            <w:tcMar>
              <w:left w:w="57" w:type="dxa"/>
              <w:right w:w="57" w:type="dxa"/>
            </w:tcMar>
            <w:vAlign w:val="center"/>
          </w:tcPr>
          <w:p w:rsidR="009E0CB7" w:rsidRPr="00913226" w:rsidRDefault="009E0CB7" w:rsidP="00320593">
            <w:pPr>
              <w:pStyle w:val="TableText0"/>
              <w:keepLines/>
              <w:jc w:val="right"/>
              <w:rPr>
                <w:rFonts w:cs="Arial"/>
                <w:color w:val="000000"/>
                <w:szCs w:val="20"/>
                <w:vertAlign w:val="superscript"/>
              </w:rPr>
            </w:pPr>
            <w:r w:rsidRPr="008B26DE">
              <w:t>$</w:t>
            </w:r>
            <w:r w:rsidR="00913226">
              <w:rPr>
                <w:noProof/>
                <w:color w:val="000000"/>
                <w:highlight w:val="black"/>
              </w:rPr>
              <w:t>''''''''''''''''''''''''</w:t>
            </w:r>
            <w:r w:rsidR="00F75764">
              <w:rPr>
                <w:vertAlign w:val="superscript"/>
              </w:rPr>
              <w:t>11</w:t>
            </w:r>
          </w:p>
        </w:tc>
      </w:tr>
      <w:tr w:rsidR="00D85C78" w:rsidRPr="008B26DE" w:rsidTr="00073601">
        <w:trPr>
          <w:trHeight w:val="288"/>
        </w:trPr>
        <w:tc>
          <w:tcPr>
            <w:tcW w:w="5000" w:type="pct"/>
            <w:gridSpan w:val="7"/>
            <w:noWrap/>
            <w:tcMar>
              <w:left w:w="57" w:type="dxa"/>
              <w:right w:w="57" w:type="dxa"/>
            </w:tcMar>
          </w:tcPr>
          <w:p w:rsidR="00D85C78" w:rsidRPr="008B26DE" w:rsidRDefault="00D85C78" w:rsidP="007D4230">
            <w:pPr>
              <w:pStyle w:val="TableText0"/>
              <w:keepLines/>
            </w:pPr>
            <w:r w:rsidRPr="008B26DE">
              <w:rPr>
                <w:b/>
              </w:rPr>
              <w:t>Submission considered July 2019</w:t>
            </w:r>
          </w:p>
        </w:tc>
      </w:tr>
      <w:tr w:rsidR="00073601" w:rsidRPr="008B26DE" w:rsidTr="00073601">
        <w:trPr>
          <w:trHeight w:val="75"/>
        </w:trPr>
        <w:tc>
          <w:tcPr>
            <w:tcW w:w="1255" w:type="pct"/>
            <w:noWrap/>
            <w:tcMar>
              <w:left w:w="57" w:type="dxa"/>
              <w:right w:w="57" w:type="dxa"/>
            </w:tcMar>
          </w:tcPr>
          <w:p w:rsidR="00D85C78" w:rsidRPr="008B26DE" w:rsidRDefault="00D85C78" w:rsidP="00073601">
            <w:pPr>
              <w:pStyle w:val="TableText0"/>
              <w:keepLines/>
            </w:pPr>
            <w:r w:rsidRPr="008B26DE">
              <w:t>Net cost to the PBS/RPBS</w:t>
            </w:r>
            <w:r w:rsidR="0081661A" w:rsidRPr="008B26DE">
              <w:rPr>
                <w:vertAlign w:val="superscript"/>
              </w:rPr>
              <w:t>2</w:t>
            </w:r>
            <w:r w:rsidRPr="008B26DE">
              <w:t xml:space="preserve"> </w:t>
            </w:r>
          </w:p>
        </w:tc>
        <w:tc>
          <w:tcPr>
            <w:tcW w:w="629" w:type="pct"/>
            <w:shd w:val="clear" w:color="auto" w:fill="auto"/>
            <w:noWrap/>
            <w:tcMar>
              <w:left w:w="57" w:type="dxa"/>
              <w:right w:w="57" w:type="dxa"/>
            </w:tcMar>
            <w:vAlign w:val="center"/>
          </w:tcPr>
          <w:p w:rsidR="00D85C78" w:rsidRPr="008B26DE" w:rsidRDefault="00D85C78" w:rsidP="00320593">
            <w:pPr>
              <w:pStyle w:val="TableText0"/>
              <w:keepLines/>
              <w:jc w:val="right"/>
            </w:pPr>
            <w:r w:rsidRPr="008B26DE">
              <w:t>$</w:t>
            </w:r>
            <w:r w:rsidR="00913226">
              <w:rPr>
                <w:noProof/>
                <w:color w:val="000000"/>
                <w:highlight w:val="black"/>
              </w:rPr>
              <w:t>'''''''''''''''''''''''</w:t>
            </w:r>
            <w:r w:rsidR="00EF6AC8">
              <w:rPr>
                <w:vertAlign w:val="superscript"/>
              </w:rPr>
              <w:t>4</w:t>
            </w:r>
          </w:p>
        </w:tc>
        <w:tc>
          <w:tcPr>
            <w:tcW w:w="629" w:type="pct"/>
            <w:shd w:val="clear" w:color="auto" w:fill="auto"/>
            <w:noWrap/>
            <w:tcMar>
              <w:left w:w="57" w:type="dxa"/>
              <w:right w:w="57" w:type="dxa"/>
            </w:tcMar>
            <w:vAlign w:val="center"/>
          </w:tcPr>
          <w:p w:rsidR="00D85C78" w:rsidRPr="008B26DE" w:rsidRDefault="00D85C78" w:rsidP="00320593">
            <w:pPr>
              <w:pStyle w:val="TableText0"/>
              <w:keepLines/>
              <w:jc w:val="right"/>
            </w:pPr>
            <w:r w:rsidRPr="008B26DE">
              <w:t>$</w:t>
            </w:r>
            <w:r w:rsidR="00913226">
              <w:rPr>
                <w:noProof/>
                <w:color w:val="000000"/>
                <w:highlight w:val="black"/>
              </w:rPr>
              <w:t>''''''''''''''''''''''''''</w:t>
            </w:r>
            <w:r w:rsidR="00EF6AC8">
              <w:rPr>
                <w:vertAlign w:val="superscript"/>
              </w:rPr>
              <w:t>4</w:t>
            </w:r>
          </w:p>
        </w:tc>
        <w:tc>
          <w:tcPr>
            <w:tcW w:w="629" w:type="pct"/>
            <w:shd w:val="clear" w:color="auto" w:fill="auto"/>
            <w:noWrap/>
            <w:tcMar>
              <w:left w:w="57" w:type="dxa"/>
              <w:right w:w="57" w:type="dxa"/>
            </w:tcMar>
            <w:vAlign w:val="center"/>
          </w:tcPr>
          <w:p w:rsidR="00D85C78" w:rsidRPr="008B26DE" w:rsidRDefault="00D85C78" w:rsidP="00320593">
            <w:pPr>
              <w:pStyle w:val="TableText0"/>
              <w:keepLines/>
              <w:jc w:val="right"/>
            </w:pPr>
            <w:r w:rsidRPr="008B26DE">
              <w:t>$</w:t>
            </w:r>
            <w:r w:rsidR="00913226">
              <w:rPr>
                <w:noProof/>
                <w:color w:val="000000"/>
                <w:highlight w:val="black"/>
              </w:rPr>
              <w:t>''''''''''''''''''''''</w:t>
            </w:r>
            <w:r w:rsidR="00EF6AC8">
              <w:rPr>
                <w:vertAlign w:val="superscript"/>
              </w:rPr>
              <w:t>4</w:t>
            </w:r>
          </w:p>
        </w:tc>
        <w:tc>
          <w:tcPr>
            <w:tcW w:w="629" w:type="pct"/>
            <w:shd w:val="clear" w:color="auto" w:fill="auto"/>
            <w:noWrap/>
            <w:tcMar>
              <w:left w:w="57" w:type="dxa"/>
              <w:right w:w="57" w:type="dxa"/>
            </w:tcMar>
            <w:vAlign w:val="center"/>
          </w:tcPr>
          <w:p w:rsidR="00D85C78" w:rsidRPr="008B26DE" w:rsidRDefault="00D85C78" w:rsidP="00320593">
            <w:pPr>
              <w:pStyle w:val="TableText0"/>
              <w:keepLines/>
              <w:jc w:val="right"/>
            </w:pPr>
            <w:r w:rsidRPr="008B26DE">
              <w:t>$</w:t>
            </w:r>
            <w:r w:rsidR="00913226">
              <w:rPr>
                <w:noProof/>
                <w:color w:val="000000"/>
                <w:highlight w:val="black"/>
              </w:rPr>
              <w:t>'''''''''''''''''''''</w:t>
            </w:r>
            <w:r w:rsidR="00EF6AC8">
              <w:rPr>
                <w:vertAlign w:val="superscript"/>
              </w:rPr>
              <w:t>4</w:t>
            </w:r>
          </w:p>
        </w:tc>
        <w:tc>
          <w:tcPr>
            <w:tcW w:w="629" w:type="pct"/>
            <w:shd w:val="clear" w:color="auto" w:fill="auto"/>
            <w:noWrap/>
            <w:tcMar>
              <w:left w:w="57" w:type="dxa"/>
              <w:right w:w="57" w:type="dxa"/>
            </w:tcMar>
            <w:vAlign w:val="center"/>
          </w:tcPr>
          <w:p w:rsidR="00D85C78" w:rsidRPr="008B26DE" w:rsidRDefault="00D85C78" w:rsidP="00320593">
            <w:pPr>
              <w:pStyle w:val="TableText0"/>
              <w:keepLines/>
              <w:jc w:val="right"/>
            </w:pPr>
            <w:r w:rsidRPr="008B26DE">
              <w:t>$</w:t>
            </w:r>
            <w:r w:rsidR="00913226">
              <w:rPr>
                <w:noProof/>
                <w:color w:val="000000"/>
                <w:highlight w:val="black"/>
              </w:rPr>
              <w:t>''''''''''''''''''''''''''</w:t>
            </w:r>
            <w:r w:rsidR="00EF6AC8">
              <w:rPr>
                <w:vertAlign w:val="superscript"/>
              </w:rPr>
              <w:t>4</w:t>
            </w:r>
          </w:p>
        </w:tc>
        <w:tc>
          <w:tcPr>
            <w:tcW w:w="600" w:type="pct"/>
            <w:noWrap/>
            <w:tcMar>
              <w:left w:w="57" w:type="dxa"/>
              <w:right w:w="57" w:type="dxa"/>
            </w:tcMar>
            <w:vAlign w:val="center"/>
          </w:tcPr>
          <w:p w:rsidR="00D85C78" w:rsidRPr="008B26DE" w:rsidRDefault="00D85C78" w:rsidP="00320593">
            <w:pPr>
              <w:pStyle w:val="TableText0"/>
              <w:keepLines/>
              <w:jc w:val="right"/>
            </w:pPr>
            <w:r w:rsidRPr="008B26DE">
              <w:t>$</w:t>
            </w:r>
            <w:r w:rsidR="001936D5">
              <w:rPr>
                <w:noProof/>
                <w:color w:val="000000"/>
                <w:highlight w:val="black"/>
              </w:rPr>
              <w:t>''''''''''''''''</w:t>
            </w:r>
            <w:r w:rsidR="00913226">
              <w:rPr>
                <w:noProof/>
                <w:color w:val="000000"/>
                <w:highlight w:val="black"/>
              </w:rPr>
              <w:t>''''''''</w:t>
            </w:r>
            <w:r w:rsidR="00F75764">
              <w:rPr>
                <w:vertAlign w:val="superscript"/>
              </w:rPr>
              <w:t>9</w:t>
            </w:r>
          </w:p>
        </w:tc>
      </w:tr>
    </w:tbl>
    <w:p w:rsidR="0081661A" w:rsidRPr="008B26DE" w:rsidRDefault="0081661A" w:rsidP="00D85C78">
      <w:pPr>
        <w:pStyle w:val="Caption"/>
        <w:numPr>
          <w:ilvl w:val="0"/>
          <w:numId w:val="17"/>
        </w:numPr>
        <w:spacing w:after="0"/>
        <w:rPr>
          <w:b w:val="0"/>
          <w:sz w:val="18"/>
        </w:rPr>
      </w:pPr>
      <w:r w:rsidRPr="008B26DE">
        <w:rPr>
          <w:b w:val="0"/>
          <w:sz w:val="18"/>
        </w:rPr>
        <w:t>November 2020 chronic migraine: c</w:t>
      </w:r>
      <w:r w:rsidR="00D85C78" w:rsidRPr="008B26DE">
        <w:rPr>
          <w:b w:val="0"/>
          <w:sz w:val="18"/>
        </w:rPr>
        <w:t>alculated using</w:t>
      </w:r>
      <w:r w:rsidRPr="008B26DE">
        <w:rPr>
          <w:b w:val="0"/>
          <w:sz w:val="18"/>
        </w:rPr>
        <w:t xml:space="preserve"> </w:t>
      </w:r>
      <w:proofErr w:type="spellStart"/>
      <w:r w:rsidRPr="008B26DE">
        <w:rPr>
          <w:b w:val="0"/>
          <w:sz w:val="18"/>
        </w:rPr>
        <w:t>galcanezumab</w:t>
      </w:r>
      <w:proofErr w:type="spellEnd"/>
      <w:r w:rsidRPr="008B26DE">
        <w:rPr>
          <w:b w:val="0"/>
          <w:sz w:val="18"/>
        </w:rPr>
        <w:t xml:space="preserve"> AEMP $</w:t>
      </w:r>
      <w:r w:rsidR="00913226">
        <w:rPr>
          <w:b w:val="0"/>
          <w:noProof/>
          <w:color w:val="000000"/>
          <w:sz w:val="18"/>
          <w:highlight w:val="black"/>
        </w:rPr>
        <w:t>''''''''''''''''''</w:t>
      </w:r>
      <w:r w:rsidRPr="008B26DE">
        <w:rPr>
          <w:b w:val="0"/>
          <w:sz w:val="18"/>
        </w:rPr>
        <w:t xml:space="preserve"> and Botox AEMP $</w:t>
      </w:r>
      <w:r w:rsidR="00913226">
        <w:rPr>
          <w:b w:val="0"/>
          <w:noProof/>
          <w:color w:val="000000"/>
          <w:sz w:val="18"/>
          <w:highlight w:val="black"/>
        </w:rPr>
        <w:t>'''''''''''''''</w:t>
      </w:r>
    </w:p>
    <w:p w:rsidR="0081661A" w:rsidRPr="008B26DE" w:rsidRDefault="00D85C78" w:rsidP="00D85C78">
      <w:pPr>
        <w:pStyle w:val="Caption"/>
        <w:numPr>
          <w:ilvl w:val="0"/>
          <w:numId w:val="17"/>
        </w:numPr>
        <w:spacing w:after="0"/>
        <w:rPr>
          <w:b w:val="0"/>
          <w:sz w:val="18"/>
        </w:rPr>
      </w:pPr>
      <w:r w:rsidRPr="008B26DE">
        <w:rPr>
          <w:b w:val="0"/>
          <w:sz w:val="18"/>
        </w:rPr>
        <w:t>July 2019 chronic migraine:</w:t>
      </w:r>
      <w:r w:rsidR="0081661A" w:rsidRPr="008B26DE">
        <w:rPr>
          <w:b w:val="0"/>
          <w:sz w:val="18"/>
        </w:rPr>
        <w:t xml:space="preserve"> calculated using</w:t>
      </w:r>
      <w:r w:rsidRPr="008B26DE">
        <w:rPr>
          <w:b w:val="0"/>
          <w:sz w:val="18"/>
        </w:rPr>
        <w:t xml:space="preserve"> </w:t>
      </w:r>
      <w:proofErr w:type="spellStart"/>
      <w:r w:rsidR="0081661A" w:rsidRPr="008B26DE">
        <w:rPr>
          <w:b w:val="0"/>
          <w:sz w:val="18"/>
        </w:rPr>
        <w:t>galcanezumab</w:t>
      </w:r>
      <w:proofErr w:type="spellEnd"/>
      <w:r w:rsidR="0081661A" w:rsidRPr="008B26DE">
        <w:rPr>
          <w:b w:val="0"/>
          <w:sz w:val="18"/>
        </w:rPr>
        <w:t xml:space="preserve"> </w:t>
      </w:r>
      <w:r w:rsidRPr="008B26DE">
        <w:rPr>
          <w:b w:val="0"/>
          <w:sz w:val="18"/>
        </w:rPr>
        <w:t>AEMP $</w:t>
      </w:r>
      <w:r w:rsidR="00913226">
        <w:rPr>
          <w:b w:val="0"/>
          <w:noProof/>
          <w:color w:val="000000"/>
          <w:sz w:val="18"/>
          <w:highlight w:val="black"/>
        </w:rPr>
        <w:t>''''''''''''''''</w:t>
      </w:r>
      <w:r w:rsidR="0081661A" w:rsidRPr="008B26DE">
        <w:rPr>
          <w:b w:val="0"/>
          <w:sz w:val="18"/>
        </w:rPr>
        <w:t xml:space="preserve"> and Botox AEMP $</w:t>
      </w:r>
      <w:r w:rsidR="00913226">
        <w:rPr>
          <w:b w:val="0"/>
          <w:noProof/>
          <w:color w:val="000000"/>
          <w:sz w:val="18"/>
          <w:highlight w:val="black"/>
        </w:rPr>
        <w:t>'''''''''''''''''</w:t>
      </w:r>
    </w:p>
    <w:p w:rsidR="00F75764" w:rsidRDefault="005938EE" w:rsidP="00F75764">
      <w:pPr>
        <w:pStyle w:val="Caption"/>
        <w:rPr>
          <w:b w:val="0"/>
          <w:sz w:val="18"/>
        </w:rPr>
      </w:pPr>
      <w:r w:rsidRPr="008B26DE">
        <w:rPr>
          <w:b w:val="0"/>
          <w:sz w:val="18"/>
          <w:u w:val="single"/>
        </w:rPr>
        <w:t>Source</w:t>
      </w:r>
      <w:r w:rsidRPr="008B26DE">
        <w:rPr>
          <w:b w:val="0"/>
          <w:sz w:val="18"/>
        </w:rPr>
        <w:t xml:space="preserve">: Scripts – Row 40, 3d.Impact CGRP EFF; Cost of </w:t>
      </w:r>
      <w:proofErr w:type="spellStart"/>
      <w:r w:rsidRPr="008B26DE">
        <w:rPr>
          <w:b w:val="0"/>
          <w:sz w:val="18"/>
        </w:rPr>
        <w:t>galcanezumab</w:t>
      </w:r>
      <w:proofErr w:type="spellEnd"/>
      <w:r w:rsidRPr="008B26DE">
        <w:rPr>
          <w:b w:val="0"/>
          <w:sz w:val="18"/>
        </w:rPr>
        <w:t>: Row 25, 3d. Impact CGRP EFF; Row 26, Cost Botox: 4b. Displaced EFF; Net cost: Row, 18, 7. Net changes Health.</w:t>
      </w:r>
    </w:p>
    <w:p w:rsidR="00F75764" w:rsidRPr="00F45687" w:rsidRDefault="00F75764" w:rsidP="00F45687">
      <w:pPr>
        <w:rPr>
          <w:rFonts w:ascii="Arial Narrow" w:hAnsi="Arial Narrow"/>
          <w:i/>
          <w:sz w:val="18"/>
          <w:szCs w:val="18"/>
        </w:rPr>
      </w:pPr>
      <w:r w:rsidRPr="00F45687">
        <w:rPr>
          <w:rFonts w:ascii="Arial Narrow" w:hAnsi="Arial Narrow"/>
          <w:i/>
          <w:sz w:val="18"/>
          <w:szCs w:val="18"/>
        </w:rPr>
        <w:t>The redacted values correspond to the following ranges:</w:t>
      </w:r>
    </w:p>
    <w:p w:rsidR="00F75764" w:rsidRPr="00F45687" w:rsidRDefault="00F75764" w:rsidP="00F45687">
      <w:pPr>
        <w:rPr>
          <w:rFonts w:ascii="Arial Narrow" w:hAnsi="Arial Narrow"/>
          <w:i/>
          <w:sz w:val="18"/>
          <w:szCs w:val="18"/>
        </w:rPr>
      </w:pPr>
      <w:r w:rsidRPr="00F45687">
        <w:rPr>
          <w:rFonts w:ascii="Arial Narrow" w:hAnsi="Arial Narrow"/>
          <w:i/>
          <w:sz w:val="18"/>
          <w:szCs w:val="18"/>
          <w:vertAlign w:val="superscript"/>
        </w:rPr>
        <w:t>1</w:t>
      </w:r>
      <w:r w:rsidRPr="00F45687">
        <w:rPr>
          <w:rFonts w:ascii="Arial Narrow" w:hAnsi="Arial Narrow"/>
          <w:i/>
          <w:sz w:val="18"/>
          <w:szCs w:val="18"/>
        </w:rPr>
        <w:t xml:space="preserve"> 40,000 to &lt; 50,000</w:t>
      </w:r>
    </w:p>
    <w:p w:rsidR="00F75764" w:rsidRPr="00F45687" w:rsidRDefault="00F75764" w:rsidP="00F45687">
      <w:pPr>
        <w:rPr>
          <w:rFonts w:ascii="Arial Narrow" w:hAnsi="Arial Narrow"/>
          <w:i/>
          <w:sz w:val="18"/>
          <w:szCs w:val="18"/>
        </w:rPr>
      </w:pPr>
      <w:r w:rsidRPr="00F45687">
        <w:rPr>
          <w:rFonts w:ascii="Arial Narrow" w:hAnsi="Arial Narrow"/>
          <w:i/>
          <w:sz w:val="18"/>
          <w:szCs w:val="18"/>
          <w:vertAlign w:val="superscript"/>
        </w:rPr>
        <w:t>2</w:t>
      </w:r>
      <w:r w:rsidRPr="00F45687">
        <w:rPr>
          <w:rFonts w:ascii="Arial Narrow" w:hAnsi="Arial Narrow"/>
          <w:i/>
          <w:sz w:val="18"/>
          <w:szCs w:val="18"/>
        </w:rPr>
        <w:t xml:space="preserve"> 100,000 to &lt; 200,000</w:t>
      </w:r>
    </w:p>
    <w:p w:rsidR="00F75764" w:rsidRPr="00F45687" w:rsidRDefault="00F45687" w:rsidP="00F45687">
      <w:pPr>
        <w:rPr>
          <w:rFonts w:ascii="Arial Narrow" w:hAnsi="Arial Narrow"/>
          <w:i/>
          <w:sz w:val="18"/>
          <w:szCs w:val="18"/>
        </w:rPr>
      </w:pPr>
      <w:r w:rsidRPr="00F45687">
        <w:rPr>
          <w:rFonts w:ascii="Arial Narrow" w:hAnsi="Arial Narrow"/>
          <w:i/>
          <w:sz w:val="18"/>
          <w:szCs w:val="18"/>
          <w:vertAlign w:val="superscript"/>
        </w:rPr>
        <w:t>3</w:t>
      </w:r>
      <w:r w:rsidRPr="00F45687">
        <w:rPr>
          <w:rFonts w:ascii="Arial Narrow" w:hAnsi="Arial Narrow"/>
          <w:i/>
          <w:sz w:val="18"/>
          <w:szCs w:val="18"/>
        </w:rPr>
        <w:t xml:space="preserve"> 200,000 to &lt; 300,000</w:t>
      </w:r>
    </w:p>
    <w:p w:rsidR="00F45687" w:rsidRPr="00F45687" w:rsidRDefault="00F45687" w:rsidP="00F45687">
      <w:pPr>
        <w:rPr>
          <w:rFonts w:ascii="Arial Narrow" w:hAnsi="Arial Narrow"/>
          <w:i/>
          <w:sz w:val="18"/>
          <w:szCs w:val="18"/>
        </w:rPr>
      </w:pPr>
      <w:r w:rsidRPr="00F45687">
        <w:rPr>
          <w:rFonts w:ascii="Arial Narrow" w:hAnsi="Arial Narrow"/>
          <w:i/>
          <w:sz w:val="18"/>
          <w:szCs w:val="18"/>
          <w:vertAlign w:val="superscript"/>
        </w:rPr>
        <w:t>4</w:t>
      </w:r>
      <w:r w:rsidRPr="00F45687">
        <w:rPr>
          <w:rFonts w:ascii="Arial Narrow" w:hAnsi="Arial Narrow"/>
          <w:i/>
          <w:sz w:val="18"/>
          <w:szCs w:val="18"/>
        </w:rPr>
        <w:t xml:space="preserve"> $0 to &lt; $10 million</w:t>
      </w:r>
    </w:p>
    <w:p w:rsidR="00F45687" w:rsidRPr="00F45687" w:rsidRDefault="00F45687" w:rsidP="00F45687">
      <w:pPr>
        <w:rPr>
          <w:rFonts w:ascii="Arial Narrow" w:hAnsi="Arial Narrow"/>
          <w:i/>
          <w:sz w:val="18"/>
          <w:szCs w:val="18"/>
        </w:rPr>
      </w:pPr>
      <w:r w:rsidRPr="00F45687">
        <w:rPr>
          <w:rFonts w:ascii="Arial Narrow" w:hAnsi="Arial Narrow"/>
          <w:i/>
          <w:sz w:val="18"/>
          <w:szCs w:val="18"/>
          <w:vertAlign w:val="superscript"/>
        </w:rPr>
        <w:t>5</w:t>
      </w:r>
      <w:r w:rsidRPr="00F45687">
        <w:rPr>
          <w:rFonts w:ascii="Arial Narrow" w:hAnsi="Arial Narrow"/>
          <w:i/>
          <w:sz w:val="18"/>
          <w:szCs w:val="18"/>
        </w:rPr>
        <w:t xml:space="preserve"> $20 million to &lt; $30 million</w:t>
      </w:r>
    </w:p>
    <w:p w:rsidR="00F45687" w:rsidRPr="00F45687" w:rsidRDefault="00F45687" w:rsidP="00F45687">
      <w:pPr>
        <w:rPr>
          <w:rFonts w:ascii="Arial Narrow" w:hAnsi="Arial Narrow"/>
          <w:i/>
          <w:sz w:val="18"/>
          <w:szCs w:val="18"/>
        </w:rPr>
      </w:pPr>
      <w:r w:rsidRPr="00F45687">
        <w:rPr>
          <w:rFonts w:ascii="Arial Narrow" w:hAnsi="Arial Narrow"/>
          <w:i/>
          <w:sz w:val="18"/>
          <w:szCs w:val="18"/>
          <w:vertAlign w:val="superscript"/>
        </w:rPr>
        <w:t>6</w:t>
      </w:r>
      <w:r w:rsidRPr="00F45687">
        <w:rPr>
          <w:rFonts w:ascii="Arial Narrow" w:hAnsi="Arial Narrow"/>
          <w:i/>
          <w:sz w:val="18"/>
          <w:szCs w:val="18"/>
        </w:rPr>
        <w:t xml:space="preserve"> $30 million to &lt; $40 million</w:t>
      </w:r>
    </w:p>
    <w:p w:rsidR="00F45687" w:rsidRPr="00F45687" w:rsidRDefault="00F45687" w:rsidP="00F45687">
      <w:pPr>
        <w:rPr>
          <w:rFonts w:ascii="Arial Narrow" w:hAnsi="Arial Narrow"/>
          <w:i/>
          <w:sz w:val="18"/>
          <w:szCs w:val="18"/>
        </w:rPr>
      </w:pPr>
      <w:r w:rsidRPr="00F45687">
        <w:rPr>
          <w:rFonts w:ascii="Arial Narrow" w:hAnsi="Arial Narrow"/>
          <w:i/>
          <w:sz w:val="18"/>
          <w:szCs w:val="18"/>
          <w:vertAlign w:val="superscript"/>
        </w:rPr>
        <w:t>7</w:t>
      </w:r>
      <w:r w:rsidRPr="00F45687">
        <w:rPr>
          <w:rFonts w:ascii="Arial Narrow" w:hAnsi="Arial Narrow"/>
          <w:i/>
          <w:sz w:val="18"/>
          <w:szCs w:val="18"/>
        </w:rPr>
        <w:t xml:space="preserve"> $40 million to &lt; $50 million</w:t>
      </w:r>
    </w:p>
    <w:p w:rsidR="00F45687" w:rsidRPr="00F45687" w:rsidRDefault="00F45687" w:rsidP="00F45687">
      <w:pPr>
        <w:rPr>
          <w:rFonts w:ascii="Arial Narrow" w:hAnsi="Arial Narrow"/>
          <w:i/>
          <w:sz w:val="18"/>
          <w:szCs w:val="18"/>
        </w:rPr>
      </w:pPr>
      <w:r w:rsidRPr="00F45687">
        <w:rPr>
          <w:rFonts w:ascii="Arial Narrow" w:hAnsi="Arial Narrow"/>
          <w:i/>
          <w:sz w:val="18"/>
          <w:szCs w:val="18"/>
          <w:vertAlign w:val="superscript"/>
        </w:rPr>
        <w:t>8</w:t>
      </w:r>
      <w:r w:rsidRPr="00F45687">
        <w:rPr>
          <w:rFonts w:ascii="Arial Narrow" w:hAnsi="Arial Narrow"/>
          <w:i/>
          <w:sz w:val="18"/>
          <w:szCs w:val="18"/>
        </w:rPr>
        <w:t xml:space="preserve"> $50 million to &lt; $60 million </w:t>
      </w:r>
    </w:p>
    <w:p w:rsidR="00F45687" w:rsidRPr="00F45687" w:rsidRDefault="00F45687" w:rsidP="00F45687">
      <w:pPr>
        <w:rPr>
          <w:rFonts w:ascii="Arial Narrow" w:hAnsi="Arial Narrow"/>
          <w:i/>
          <w:sz w:val="18"/>
          <w:szCs w:val="18"/>
        </w:rPr>
      </w:pPr>
      <w:r w:rsidRPr="00F45687">
        <w:rPr>
          <w:rFonts w:ascii="Arial Narrow" w:hAnsi="Arial Narrow"/>
          <w:i/>
          <w:sz w:val="18"/>
          <w:szCs w:val="18"/>
          <w:vertAlign w:val="superscript"/>
        </w:rPr>
        <w:t>9</w:t>
      </w:r>
      <w:r w:rsidRPr="00F45687">
        <w:rPr>
          <w:rFonts w:ascii="Arial Narrow" w:hAnsi="Arial Narrow"/>
          <w:i/>
          <w:sz w:val="18"/>
          <w:szCs w:val="18"/>
        </w:rPr>
        <w:t xml:space="preserve"> $10 million to &lt; $20 million</w:t>
      </w:r>
    </w:p>
    <w:p w:rsidR="00F45687" w:rsidRPr="00F45687" w:rsidRDefault="00F45687" w:rsidP="00F45687">
      <w:pPr>
        <w:rPr>
          <w:rFonts w:ascii="Arial Narrow" w:hAnsi="Arial Narrow"/>
          <w:i/>
          <w:sz w:val="18"/>
          <w:szCs w:val="18"/>
        </w:rPr>
      </w:pPr>
      <w:r w:rsidRPr="00F45687">
        <w:rPr>
          <w:rFonts w:ascii="Arial Narrow" w:hAnsi="Arial Narrow"/>
          <w:i/>
          <w:sz w:val="18"/>
          <w:szCs w:val="18"/>
          <w:vertAlign w:val="superscript"/>
        </w:rPr>
        <w:t xml:space="preserve">10 </w:t>
      </w:r>
      <w:r w:rsidRPr="00F45687">
        <w:rPr>
          <w:rFonts w:ascii="Arial Narrow" w:hAnsi="Arial Narrow"/>
          <w:i/>
          <w:sz w:val="18"/>
          <w:szCs w:val="18"/>
        </w:rPr>
        <w:t>$60 million to &lt; $70 million</w:t>
      </w:r>
    </w:p>
    <w:p w:rsidR="00F45687" w:rsidRPr="00F45687" w:rsidRDefault="00F45687" w:rsidP="00F45687">
      <w:pPr>
        <w:rPr>
          <w:rFonts w:ascii="Arial Narrow" w:hAnsi="Arial Narrow"/>
          <w:i/>
          <w:sz w:val="18"/>
          <w:szCs w:val="18"/>
        </w:rPr>
      </w:pPr>
      <w:r w:rsidRPr="00F45687">
        <w:rPr>
          <w:rFonts w:ascii="Arial Narrow" w:hAnsi="Arial Narrow"/>
          <w:i/>
          <w:sz w:val="18"/>
          <w:szCs w:val="18"/>
          <w:vertAlign w:val="superscript"/>
        </w:rPr>
        <w:t>11</w:t>
      </w:r>
      <w:r w:rsidRPr="00F45687">
        <w:rPr>
          <w:rFonts w:ascii="Arial Narrow" w:hAnsi="Arial Narrow"/>
          <w:i/>
          <w:sz w:val="18"/>
          <w:szCs w:val="18"/>
        </w:rPr>
        <w:t xml:space="preserve"> $70 million to &lt; $80 million</w:t>
      </w:r>
    </w:p>
    <w:p w:rsidR="00E171A3" w:rsidRPr="008B26DE" w:rsidRDefault="00405F59" w:rsidP="0081661A">
      <w:pPr>
        <w:pStyle w:val="3Bodytext"/>
        <w:spacing w:before="240"/>
      </w:pPr>
      <w:r w:rsidRPr="008B26DE">
        <w:t xml:space="preserve">The net cost to the PBS/RPBS of listing </w:t>
      </w:r>
      <w:proofErr w:type="spellStart"/>
      <w:r w:rsidRPr="008B26DE">
        <w:t>galcanezumab</w:t>
      </w:r>
      <w:proofErr w:type="spellEnd"/>
      <w:r w:rsidRPr="008B26DE">
        <w:t xml:space="preserve"> </w:t>
      </w:r>
      <w:r w:rsidR="003C1120" w:rsidRPr="008B26DE">
        <w:t xml:space="preserve">(including </w:t>
      </w:r>
      <w:r w:rsidR="006D16C5" w:rsidRPr="008B26DE">
        <w:t xml:space="preserve">offsets due to a </w:t>
      </w:r>
      <w:r w:rsidR="003C1120" w:rsidRPr="008B26DE">
        <w:t xml:space="preserve">reduction in </w:t>
      </w:r>
      <w:r w:rsidR="006D16C5" w:rsidRPr="008B26DE">
        <w:t xml:space="preserve">the </w:t>
      </w:r>
      <w:r w:rsidR="003C1120" w:rsidRPr="008B26DE">
        <w:t xml:space="preserve">use of Botox) </w:t>
      </w:r>
      <w:r w:rsidRPr="008B26DE">
        <w:t xml:space="preserve">was estimated to be </w:t>
      </w:r>
      <w:r w:rsidR="00B01146">
        <w:t>$40 million to &lt; $50 million</w:t>
      </w:r>
      <w:r w:rsidRPr="008B26DE">
        <w:t xml:space="preserve"> in Year 6, and a total of </w:t>
      </w:r>
      <w:r w:rsidR="00B01146">
        <w:t>$100 million to &lt; $200 million</w:t>
      </w:r>
      <w:r w:rsidRPr="008B26DE">
        <w:t xml:space="preserve"> in the first 6 years of listing. </w:t>
      </w:r>
      <w:r w:rsidR="00320593">
        <w:t xml:space="preserve">The PBAC noted the net cost to the PBS/ RPBS excluding offsets was </w:t>
      </w:r>
      <w:r w:rsidR="00B01146">
        <w:t>$200 million to &lt; $300 million</w:t>
      </w:r>
      <w:r w:rsidR="00320593">
        <w:t xml:space="preserve"> in the first 6 years of listing. </w:t>
      </w:r>
    </w:p>
    <w:p w:rsidR="00962D4C" w:rsidRPr="00BF130A" w:rsidRDefault="006B7DB0" w:rsidP="00B0493F">
      <w:pPr>
        <w:pStyle w:val="3Bodytext"/>
      </w:pPr>
      <w:r w:rsidRPr="00980A4E">
        <w:t xml:space="preserve">The resubmission presented a </w:t>
      </w:r>
      <w:r w:rsidR="004B24E8" w:rsidRPr="00980A4E">
        <w:t>‘</w:t>
      </w:r>
      <w:r w:rsidRPr="00980A4E">
        <w:t>high case scenario</w:t>
      </w:r>
      <w:r w:rsidR="004B24E8" w:rsidRPr="00980A4E">
        <w:t>’</w:t>
      </w:r>
      <w:r w:rsidRPr="00980A4E">
        <w:t xml:space="preserve"> that assumed a higher proportion of patients would be treated. </w:t>
      </w:r>
      <w:r w:rsidR="00962D4C" w:rsidRPr="00BF130A">
        <w:t>This scenario assumed (</w:t>
      </w:r>
      <w:proofErr w:type="spellStart"/>
      <w:r w:rsidR="00962D4C" w:rsidRPr="00BF130A">
        <w:t>i</w:t>
      </w:r>
      <w:proofErr w:type="spellEnd"/>
      <w:r w:rsidR="00962D4C" w:rsidRPr="00BF130A">
        <w:t xml:space="preserve">) the proportion of prevalent patients captured by </w:t>
      </w:r>
      <w:proofErr w:type="spellStart"/>
      <w:r w:rsidR="00962D4C" w:rsidRPr="00BF130A">
        <w:t>galcanezumab</w:t>
      </w:r>
      <w:proofErr w:type="spellEnd"/>
      <w:r w:rsidR="00962D4C" w:rsidRPr="00BF130A">
        <w:t xml:space="preserve"> </w:t>
      </w:r>
      <w:r w:rsidR="002F5758" w:rsidRPr="00BF130A">
        <w:t xml:space="preserve">increased </w:t>
      </w:r>
      <w:r w:rsidR="00962D4C" w:rsidRPr="00BF130A">
        <w:t>from 35</w:t>
      </w:r>
      <w:r w:rsidR="00962D4C" w:rsidRPr="00980A4E">
        <w:t xml:space="preserve">% over 36 months to 80% over 24 months (ii) the proportion of the net increase in Botox initiations captured </w:t>
      </w:r>
      <w:r w:rsidR="002F5758" w:rsidRPr="00BF130A">
        <w:t xml:space="preserve">increased </w:t>
      </w:r>
      <w:r w:rsidR="00962D4C" w:rsidRPr="00BF130A">
        <w:t xml:space="preserve">from 30% in Year 1 (and 50% in Year 6) to 60% in Year 1 (and 90% in Year 6)  and (iii) the proportion of patients not treated with Botox </w:t>
      </w:r>
      <w:r w:rsidR="002F5758" w:rsidRPr="00BF130A">
        <w:t xml:space="preserve">treated with </w:t>
      </w:r>
      <w:proofErr w:type="spellStart"/>
      <w:r w:rsidR="002F5758" w:rsidRPr="00BF130A">
        <w:t>galcanezumab</w:t>
      </w:r>
      <w:proofErr w:type="spellEnd"/>
      <w:r w:rsidR="002F5758" w:rsidRPr="00BF130A">
        <w:t xml:space="preserve"> </w:t>
      </w:r>
      <w:r w:rsidR="00962D4C" w:rsidRPr="00BF130A">
        <w:t>increased from 21% in Year 1 (and 6% in Year 6) to 35.3% in Year 1</w:t>
      </w:r>
      <w:r w:rsidR="002F5758" w:rsidRPr="00BF130A">
        <w:t xml:space="preserve"> (and 8.5% in Year 6). </w:t>
      </w:r>
    </w:p>
    <w:p w:rsidR="006B7DB0" w:rsidRPr="008B26DE" w:rsidRDefault="002F5758" w:rsidP="00B0493F">
      <w:pPr>
        <w:pStyle w:val="3Bodytext"/>
      </w:pPr>
      <w:r w:rsidRPr="008B26DE">
        <w:t xml:space="preserve">The high case scenario estimated </w:t>
      </w:r>
      <w:r w:rsidR="007E0BDD">
        <w:t xml:space="preserve">10,000 to &lt; 20,000 </w:t>
      </w:r>
      <w:r w:rsidRPr="008B26DE">
        <w:t xml:space="preserve">patients would initiate treatment with </w:t>
      </w:r>
      <w:proofErr w:type="spellStart"/>
      <w:r w:rsidRPr="008B26DE">
        <w:t>galcanezumab</w:t>
      </w:r>
      <w:proofErr w:type="spellEnd"/>
      <w:r w:rsidRPr="008B26DE">
        <w:t xml:space="preserve"> in Year 1 (compared to 7,480 in the base case scenario) and a total of </w:t>
      </w:r>
      <w:r w:rsidR="007E0BDD">
        <w:t>30,000 to &lt; 40,000</w:t>
      </w:r>
      <w:r w:rsidRPr="008B26DE">
        <w:t xml:space="preserve"> patients would be treated with </w:t>
      </w:r>
      <w:proofErr w:type="spellStart"/>
      <w:r w:rsidRPr="008B26DE">
        <w:t>galcanezumab</w:t>
      </w:r>
      <w:proofErr w:type="spellEnd"/>
      <w:r w:rsidRPr="008B26DE">
        <w:t xml:space="preserve"> in Year 6 (compared to </w:t>
      </w:r>
      <w:r w:rsidR="007E0BDD">
        <w:t>20,000 to &lt; 30,000</w:t>
      </w:r>
      <w:r w:rsidRPr="008B26DE">
        <w:t xml:space="preserve"> in the base case scenario). </w:t>
      </w:r>
      <w:r w:rsidR="00B0493F" w:rsidRPr="008B26DE">
        <w:t xml:space="preserve">The net cost of listing </w:t>
      </w:r>
      <w:proofErr w:type="spellStart"/>
      <w:r w:rsidR="00B0493F" w:rsidRPr="008B26DE">
        <w:lastRenderedPageBreak/>
        <w:t>galcanezumab</w:t>
      </w:r>
      <w:proofErr w:type="spellEnd"/>
      <w:r w:rsidR="00B0493F" w:rsidRPr="008B26DE">
        <w:t xml:space="preserve"> on the PBS over the first six years for the high case scenario was estimated to be </w:t>
      </w:r>
      <w:r w:rsidR="007E0BDD">
        <w:t>$300 million to &lt; $400 million</w:t>
      </w:r>
      <w:r w:rsidR="00320593">
        <w:t xml:space="preserve"> including Botox offsets and </w:t>
      </w:r>
      <w:r w:rsidR="00BF4008">
        <w:t>$300 million to &lt; $400 million</w:t>
      </w:r>
      <w:r w:rsidR="00320593">
        <w:t xml:space="preserve"> excluding Botox offsets</w:t>
      </w:r>
      <w:r w:rsidR="008B26DE">
        <w:t xml:space="preserve">. </w:t>
      </w:r>
    </w:p>
    <w:p w:rsidR="00A4353C" w:rsidRPr="008B26DE" w:rsidRDefault="00A4353C" w:rsidP="007D4230">
      <w:pPr>
        <w:pStyle w:val="3Bodytext"/>
      </w:pPr>
      <w:r w:rsidRPr="001452E2">
        <w:t>The resubmission acknowledged the challenges associated with estimating the number of patients that may be treated with this new class of medicine and considered</w:t>
      </w:r>
      <w:r w:rsidR="00207BF0" w:rsidRPr="001452E2">
        <w:t xml:space="preserve"> any RSA “needs to be both affordable to the Commonwealth and commercial</w:t>
      </w:r>
      <w:r w:rsidR="005C6706" w:rsidRPr="008B26DE">
        <w:t>ly</w:t>
      </w:r>
      <w:r w:rsidR="00207BF0" w:rsidRPr="008B26DE">
        <w:t xml:space="preserve"> viable for the sponsor”.</w:t>
      </w:r>
    </w:p>
    <w:p w:rsidR="009854E9" w:rsidRPr="008B26DE" w:rsidRDefault="009854E9" w:rsidP="009854E9">
      <w:pPr>
        <w:pStyle w:val="4-SubsectionHeading"/>
        <w:rPr>
          <w:lang w:eastAsia="en-US"/>
        </w:rPr>
      </w:pPr>
      <w:r w:rsidRPr="008B26DE">
        <w:rPr>
          <w:lang w:eastAsia="en-US"/>
        </w:rPr>
        <w:t xml:space="preserve">Risk sharing arrangement </w:t>
      </w:r>
    </w:p>
    <w:p w:rsidR="00B54A53" w:rsidRPr="008B26DE" w:rsidRDefault="00B54A53" w:rsidP="00B54A53">
      <w:pPr>
        <w:pStyle w:val="3Bodytext"/>
      </w:pPr>
      <w:r w:rsidRPr="008B26DE">
        <w:t xml:space="preserve">In July 2019, the PBAC considered it would be appropriate for </w:t>
      </w:r>
      <w:proofErr w:type="spellStart"/>
      <w:r w:rsidRPr="008B26DE">
        <w:t>galcanezumab</w:t>
      </w:r>
      <w:proofErr w:type="spellEnd"/>
      <w:r w:rsidRPr="008B26DE">
        <w:t xml:space="preserve"> and Botox to be in the same RSA to ensure the </w:t>
      </w:r>
      <w:proofErr w:type="spellStart"/>
      <w:r w:rsidRPr="008B26DE">
        <w:t>galcanezumab</w:t>
      </w:r>
      <w:proofErr w:type="spellEnd"/>
      <w:r w:rsidRPr="008B26DE">
        <w:t xml:space="preserve"> patient population is restricted to the same high need patient population as for Botox. Correspondence from the Australian and New Zealand Headache Society (ANZHS) provided with the resubmission stated </w:t>
      </w:r>
      <w:r w:rsidR="00666A94" w:rsidRPr="008B26DE">
        <w:t>“</w:t>
      </w:r>
      <w:r w:rsidRPr="008B26DE">
        <w:t xml:space="preserve">constraining availability </w:t>
      </w:r>
      <w:r w:rsidR="00666A94" w:rsidRPr="008B26DE">
        <w:t xml:space="preserve">of Botox and </w:t>
      </w:r>
      <w:r w:rsidRPr="008B26DE">
        <w:t>CGRP inhibitors to the level of the current Botox cap</w:t>
      </w:r>
      <w:r w:rsidR="00666A94" w:rsidRPr="008B26DE">
        <w:t>, while no doubt economically attractive,</w:t>
      </w:r>
      <w:r w:rsidRPr="008B26DE">
        <w:t xml:space="preserve"> is not</w:t>
      </w:r>
      <w:r w:rsidR="00666A94" w:rsidRPr="008B26DE">
        <w:t xml:space="preserve"> rational when assessed on purely</w:t>
      </w:r>
      <w:r w:rsidRPr="008B26DE">
        <w:t xml:space="preserve"> clinical grounds</w:t>
      </w:r>
      <w:r w:rsidR="00666A94" w:rsidRPr="008B26DE">
        <w:t>”</w:t>
      </w:r>
      <w:r w:rsidR="008B26DE">
        <w:t xml:space="preserve">. </w:t>
      </w:r>
    </w:p>
    <w:p w:rsidR="00933247" w:rsidRPr="008B26DE" w:rsidRDefault="0081237D" w:rsidP="00B54A53">
      <w:pPr>
        <w:pStyle w:val="3Bodytext"/>
      </w:pPr>
      <w:r w:rsidRPr="001452E2">
        <w:t>The r</w:t>
      </w:r>
      <w:r w:rsidR="00B54A53" w:rsidRPr="001452E2">
        <w:t>esubmission propose</w:t>
      </w:r>
      <w:r w:rsidRPr="001452E2">
        <w:t>d</w:t>
      </w:r>
      <w:r w:rsidR="00B54A53" w:rsidRPr="001452E2">
        <w:t xml:space="preserve"> </w:t>
      </w:r>
      <w:r w:rsidRPr="001452E2">
        <w:t>a ‘t</w:t>
      </w:r>
      <w:r w:rsidR="00B54A53" w:rsidRPr="001452E2">
        <w:t>wo cap</w:t>
      </w:r>
      <w:r w:rsidRPr="00EE01BD">
        <w:t>’</w:t>
      </w:r>
      <w:r w:rsidR="00B54A53" w:rsidRPr="00EE01BD">
        <w:t xml:space="preserve"> system</w:t>
      </w:r>
      <w:r w:rsidRPr="00EE01BD">
        <w:t xml:space="preserve"> for </w:t>
      </w:r>
      <w:proofErr w:type="spellStart"/>
      <w:r w:rsidRPr="00EE01BD">
        <w:t>galcanezumab</w:t>
      </w:r>
      <w:proofErr w:type="spellEnd"/>
      <w:r w:rsidRPr="00EE01BD">
        <w:t xml:space="preserve"> with some expenditure included in the current Botox cap and some included in a new CGRP inhibitor cap. To inform the ‘two cap’ approach, the resubmission sought advice from the ANZHS on whether there were pote</w:t>
      </w:r>
      <w:r w:rsidRPr="008B26DE">
        <w:t>ntial differences in patient characteristics between a Botox patient and a CGRP inhibitor patient that may direct a choice between the two treatments. The ANZHS advice</w:t>
      </w:r>
      <w:r w:rsidR="00933247" w:rsidRPr="008B26DE">
        <w:t xml:space="preserve"> provided included the following statements:</w:t>
      </w:r>
    </w:p>
    <w:p w:rsidR="00B54A53" w:rsidRPr="008B26DE" w:rsidRDefault="00933247" w:rsidP="00933247">
      <w:pPr>
        <w:pStyle w:val="3Bodytext"/>
        <w:numPr>
          <w:ilvl w:val="0"/>
          <w:numId w:val="41"/>
        </w:numPr>
      </w:pPr>
      <w:r w:rsidRPr="008B26DE">
        <w:t>“We do not believe that there are any</w:t>
      </w:r>
      <w:r w:rsidR="000073F7">
        <w:t xml:space="preserve"> </w:t>
      </w:r>
      <w:r w:rsidR="004A20D5" w:rsidRPr="008B26DE">
        <w:t xml:space="preserve">reliable clinical predictors </w:t>
      </w:r>
      <w:r w:rsidRPr="008B26DE">
        <w:t xml:space="preserve">that one or other strategy will produce a better response”; </w:t>
      </w:r>
      <w:r w:rsidR="004A20D5" w:rsidRPr="008B26DE">
        <w:t xml:space="preserve"> </w:t>
      </w:r>
    </w:p>
    <w:p w:rsidR="00933247" w:rsidRPr="008B26DE" w:rsidRDefault="00933247" w:rsidP="00933247">
      <w:pPr>
        <w:pStyle w:val="3Bodytext"/>
        <w:numPr>
          <w:ilvl w:val="0"/>
          <w:numId w:val="41"/>
        </w:numPr>
      </w:pPr>
      <w:r w:rsidRPr="008B26DE">
        <w:t xml:space="preserve">“In practice, one or other option will be chosen and the response monitored. An inadequate response would suggest that the patient be switched to the other option”. </w:t>
      </w:r>
    </w:p>
    <w:p w:rsidR="0081661A" w:rsidRPr="008B26DE" w:rsidRDefault="0081661A" w:rsidP="0081661A">
      <w:pPr>
        <w:pStyle w:val="3Bodytext"/>
      </w:pPr>
      <w:r w:rsidRPr="008B26DE">
        <w:t xml:space="preserve">The resubmission proposed that </w:t>
      </w:r>
      <w:r w:rsidR="00913226">
        <w:rPr>
          <w:noProof/>
          <w:color w:val="000000"/>
          <w:highlight w:val="black"/>
        </w:rPr>
        <w:t>''</w:t>
      </w:r>
      <w:r w:rsidRPr="008B26DE">
        <w:t xml:space="preserve">% of the </w:t>
      </w:r>
      <w:proofErr w:type="spellStart"/>
      <w:r w:rsidRPr="008B26DE">
        <w:t>galcanezumab</w:t>
      </w:r>
      <w:proofErr w:type="spellEnd"/>
      <w:r w:rsidRPr="008B26DE">
        <w:t xml:space="preserve"> script volume would be included in the Botox expenditure caps (rather than the </w:t>
      </w:r>
      <w:proofErr w:type="spellStart"/>
      <w:r w:rsidRPr="008B26DE">
        <w:t>galcanezumab</w:t>
      </w:r>
      <w:proofErr w:type="spellEnd"/>
      <w:r w:rsidRPr="008B26DE">
        <w:t xml:space="preserve"> expenditure caps). The sponsor proposed allocating </w:t>
      </w:r>
      <w:proofErr w:type="spellStart"/>
      <w:r w:rsidRPr="008B26DE">
        <w:t>galcanezumab</w:t>
      </w:r>
      <w:proofErr w:type="spellEnd"/>
      <w:r w:rsidRPr="008B26DE">
        <w:t xml:space="preserve"> prescriptions to either the </w:t>
      </w:r>
      <w:proofErr w:type="spellStart"/>
      <w:r w:rsidRPr="008B26DE">
        <w:t>galcanezumab</w:t>
      </w:r>
      <w:proofErr w:type="spellEnd"/>
      <w:r w:rsidRPr="008B26DE">
        <w:t xml:space="preserve"> expenditure cap or the Botox expenditure cap based on what treatment a patient was receiving 6 months after initiation of </w:t>
      </w:r>
      <w:proofErr w:type="spellStart"/>
      <w:r w:rsidRPr="008B26DE">
        <w:t>galcanezumab</w:t>
      </w:r>
      <w:proofErr w:type="spellEnd"/>
      <w:r w:rsidRPr="008B26DE">
        <w:t xml:space="preserve"> (</w:t>
      </w:r>
      <w:r w:rsidR="005C6C6C" w:rsidRPr="008B26DE">
        <w:t>i.e.</w:t>
      </w:r>
      <w:r w:rsidRPr="008B26DE">
        <w:t xml:space="preserve">, in month 7). The resubmission stated that while this could be determined with prescription data, a nominal </w:t>
      </w:r>
      <w:r w:rsidR="00913226">
        <w:rPr>
          <w:noProof/>
          <w:color w:val="000000"/>
          <w:highlight w:val="black"/>
        </w:rPr>
        <w:t>'''</w:t>
      </w:r>
      <w:r w:rsidRPr="008B26DE">
        <w:t xml:space="preserve">% allocation of </w:t>
      </w:r>
      <w:proofErr w:type="spellStart"/>
      <w:r w:rsidRPr="008B26DE">
        <w:t>galcanezumab</w:t>
      </w:r>
      <w:proofErr w:type="spellEnd"/>
      <w:r w:rsidRPr="008B26DE">
        <w:t xml:space="preserve"> script volume was considered reasonable based on the modelling provided</w:t>
      </w:r>
      <w:r w:rsidR="008B26DE">
        <w:t xml:space="preserve">. </w:t>
      </w:r>
    </w:p>
    <w:p w:rsidR="0081661A" w:rsidRPr="008B26DE" w:rsidRDefault="0081661A" w:rsidP="0081661A">
      <w:pPr>
        <w:pStyle w:val="3Bodytext"/>
      </w:pPr>
      <w:r w:rsidRPr="001452E2">
        <w:t xml:space="preserve">The resubmission proposed the Botox expenditure caps be increased by </w:t>
      </w:r>
      <w:r w:rsidR="00913226">
        <w:rPr>
          <w:noProof/>
          <w:color w:val="000000"/>
          <w:highlight w:val="black"/>
        </w:rPr>
        <w:t>'''''''''</w:t>
      </w:r>
      <w:r w:rsidRPr="001452E2">
        <w:t>%</w:t>
      </w:r>
      <w:r w:rsidRPr="008B26DE">
        <w:rPr>
          <w:rStyle w:val="FootnoteReference"/>
        </w:rPr>
        <w:footnoteReference w:id="1"/>
      </w:r>
      <w:r w:rsidRPr="008B26DE">
        <w:t xml:space="preserve"> consistent with the PBAC recommendation that allowed for an increase in the Botox </w:t>
      </w:r>
      <w:r w:rsidRPr="008B26DE">
        <w:lastRenderedPageBreak/>
        <w:t xml:space="preserve">cap to reflect the higher drug cost for </w:t>
      </w:r>
      <w:proofErr w:type="spellStart"/>
      <w:r w:rsidRPr="008B26DE">
        <w:t>galcanezumab</w:t>
      </w:r>
      <w:proofErr w:type="spellEnd"/>
      <w:r w:rsidRPr="001452E2">
        <w:t>. The Botox Tier 1 expenditure cap would increase from $</w:t>
      </w:r>
      <w:r w:rsidR="00913226">
        <w:rPr>
          <w:noProof/>
          <w:color w:val="000000"/>
          <w:highlight w:val="black"/>
        </w:rPr>
        <w:t>''''''''''</w:t>
      </w:r>
      <w:r w:rsidRPr="001452E2">
        <w:t xml:space="preserve"> to $</w:t>
      </w:r>
      <w:r w:rsidR="00913226">
        <w:rPr>
          <w:noProof/>
          <w:color w:val="000000"/>
          <w:highlight w:val="black"/>
        </w:rPr>
        <w:t>'''''''''''''</w:t>
      </w:r>
      <w:r w:rsidRPr="001452E2">
        <w:t xml:space="preserve"> and the Tier 2 expenditure cap would increase from $</w:t>
      </w:r>
      <w:r w:rsidR="00913226">
        <w:rPr>
          <w:noProof/>
          <w:color w:val="000000"/>
          <w:highlight w:val="black"/>
        </w:rPr>
        <w:t>'''''''''''''</w:t>
      </w:r>
      <w:r w:rsidRPr="001452E2">
        <w:t xml:space="preserve"> to $</w:t>
      </w:r>
      <w:r w:rsidR="00913226">
        <w:rPr>
          <w:noProof/>
          <w:color w:val="000000"/>
          <w:highlight w:val="black"/>
        </w:rPr>
        <w:t>'''''''''''</w:t>
      </w:r>
      <w:r w:rsidRPr="001452E2">
        <w:t xml:space="preserve">. The rebate between Tier 1 and Tier 2 would remain as </w:t>
      </w:r>
      <w:r w:rsidR="00913226">
        <w:rPr>
          <w:noProof/>
          <w:color w:val="000000"/>
          <w:highlight w:val="black"/>
        </w:rPr>
        <w:t>''''''</w:t>
      </w:r>
      <w:r w:rsidRPr="001452E2">
        <w:t xml:space="preserve">% with </w:t>
      </w:r>
      <w:r w:rsidR="00913226">
        <w:rPr>
          <w:noProof/>
          <w:color w:val="000000"/>
          <w:highlight w:val="black"/>
        </w:rPr>
        <w:t>'''''</w:t>
      </w:r>
      <w:r w:rsidRPr="001452E2">
        <w:t xml:space="preserve">% rebate for expenditure over Tier 2. The resubmission acknowledged that increasing the entire expenditure cap </w:t>
      </w:r>
      <w:r w:rsidRPr="00461357">
        <w:t xml:space="preserve">by </w:t>
      </w:r>
      <w:r w:rsidR="00913226">
        <w:rPr>
          <w:noProof/>
          <w:color w:val="000000"/>
          <w:highlight w:val="black"/>
        </w:rPr>
        <w:t>''''''''</w:t>
      </w:r>
      <w:r w:rsidRPr="00461357">
        <w:t xml:space="preserve">% is higher than the increase in costs due to </w:t>
      </w:r>
      <w:r w:rsidR="00913226">
        <w:rPr>
          <w:noProof/>
          <w:color w:val="000000"/>
          <w:highlight w:val="black"/>
        </w:rPr>
        <w:t>'''</w:t>
      </w:r>
      <w:r w:rsidRPr="00461357">
        <w:t xml:space="preserve">% of </w:t>
      </w:r>
      <w:proofErr w:type="spellStart"/>
      <w:r w:rsidRPr="00461357">
        <w:t>galcanezumab</w:t>
      </w:r>
      <w:proofErr w:type="spellEnd"/>
      <w:r w:rsidRPr="00461357">
        <w:t xml:space="preserve"> scripts being allocated</w:t>
      </w:r>
      <w:r w:rsidRPr="001452E2">
        <w:t xml:space="preserve"> to the caps (</w:t>
      </w:r>
      <w:r w:rsidRPr="001827BF">
        <w:t>paragraph 4.2</w:t>
      </w:r>
      <w:r w:rsidR="00855F31" w:rsidRPr="001827BF">
        <w:t>5</w:t>
      </w:r>
      <w:r w:rsidRPr="001452E2">
        <w:t xml:space="preserve">). However, the resubmission considered this was justified based on the significant concern that the current Botox cap is potentially one reason </w:t>
      </w:r>
      <w:r w:rsidR="004A20D5" w:rsidRPr="008B26DE">
        <w:t>that there are currently no CGRP inhibitors listed on the PBS</w:t>
      </w:r>
      <w:r w:rsidRPr="008B26DE">
        <w:t xml:space="preserve">. </w:t>
      </w:r>
    </w:p>
    <w:p w:rsidR="000E7017" w:rsidRPr="008B26DE" w:rsidRDefault="00152F25" w:rsidP="000E7017">
      <w:pPr>
        <w:pStyle w:val="3Bodytext"/>
      </w:pPr>
      <w:r w:rsidRPr="008B26DE">
        <w:t>The resubmission proposed a</w:t>
      </w:r>
      <w:r w:rsidR="00462658" w:rsidRPr="008B26DE">
        <w:t xml:space="preserve"> </w:t>
      </w:r>
      <w:r w:rsidRPr="008B26DE">
        <w:t xml:space="preserve">RSA with expenditure caps </w:t>
      </w:r>
      <w:r w:rsidR="004E6CF7" w:rsidRPr="008B26DE">
        <w:t xml:space="preserve">for </w:t>
      </w:r>
      <w:proofErr w:type="spellStart"/>
      <w:r w:rsidR="004E6CF7" w:rsidRPr="008B26DE">
        <w:t>galcanezumab</w:t>
      </w:r>
      <w:proofErr w:type="spellEnd"/>
      <w:r w:rsidR="004E6CF7" w:rsidRPr="008B26DE">
        <w:t xml:space="preserve"> </w:t>
      </w:r>
      <w:r w:rsidRPr="008B26DE">
        <w:t xml:space="preserve">as summarised in </w:t>
      </w:r>
      <w:r w:rsidR="009908B3" w:rsidRPr="008B26DE">
        <w:t xml:space="preserve">Table </w:t>
      </w:r>
      <w:r w:rsidR="00073601">
        <w:t>8</w:t>
      </w:r>
      <w:r w:rsidRPr="008B26DE">
        <w:t xml:space="preserve">. The resubmission stated the expenditure caps were selected to span the base case and high case volume estimates and significantly reduce the risk of withdrawal from the market for commercial reasons. </w:t>
      </w:r>
    </w:p>
    <w:p w:rsidR="006330A9" w:rsidRPr="008B26DE" w:rsidRDefault="006330A9" w:rsidP="006330A9">
      <w:pPr>
        <w:pStyle w:val="Caption"/>
      </w:pPr>
      <w:bookmarkStart w:id="7" w:name="_Ref54099580"/>
      <w:r w:rsidRPr="008B26DE">
        <w:t>Table</w:t>
      </w:r>
      <w:bookmarkEnd w:id="7"/>
      <w:r w:rsidR="00073601">
        <w:t xml:space="preserve"> 8</w:t>
      </w:r>
      <w:r w:rsidRPr="008B26DE">
        <w:t xml:space="preserve">: Proposed </w:t>
      </w:r>
      <w:proofErr w:type="spellStart"/>
      <w:r w:rsidRPr="008B26DE">
        <w:t>galcanezumab</w:t>
      </w:r>
      <w:proofErr w:type="spellEnd"/>
      <w:r w:rsidRPr="008B26DE">
        <w:t xml:space="preserve"> expenditure caps</w:t>
      </w:r>
      <w:r w:rsidR="00152F25" w:rsidRPr="008B26DE">
        <w:t xml:space="preserve"> </w:t>
      </w:r>
    </w:p>
    <w:tbl>
      <w:tblPr>
        <w:tblStyle w:val="TableGrid"/>
        <w:tblW w:w="9067" w:type="dxa"/>
        <w:tblLook w:val="04A0" w:firstRow="1" w:lastRow="0" w:firstColumn="1" w:lastColumn="0" w:noHBand="0" w:noVBand="1"/>
        <w:tblCaption w:val="Table 8: Proposed galcanezumab expenditure caps "/>
      </w:tblPr>
      <w:tblGrid>
        <w:gridCol w:w="2547"/>
        <w:gridCol w:w="2126"/>
        <w:gridCol w:w="2292"/>
        <w:gridCol w:w="2102"/>
      </w:tblGrid>
      <w:tr w:rsidR="006330A9" w:rsidRPr="008B26DE" w:rsidTr="00B42D6B">
        <w:trPr>
          <w:trHeight w:val="194"/>
          <w:tblHeader/>
        </w:trPr>
        <w:tc>
          <w:tcPr>
            <w:tcW w:w="2547" w:type="dxa"/>
            <w:noWrap/>
            <w:hideMark/>
          </w:tcPr>
          <w:p w:rsidR="006330A9" w:rsidRPr="001452E2" w:rsidRDefault="006330A9" w:rsidP="006330A9">
            <w:pPr>
              <w:jc w:val="left"/>
              <w:rPr>
                <w:rFonts w:ascii="Arial Narrow" w:hAnsi="Arial Narrow" w:cs="Calibri"/>
                <w:b/>
                <w:sz w:val="20"/>
                <w:szCs w:val="20"/>
              </w:rPr>
            </w:pPr>
            <w:r w:rsidRPr="001452E2">
              <w:rPr>
                <w:rFonts w:ascii="Arial Narrow" w:hAnsi="Arial Narrow" w:cs="Calibri"/>
                <w:b/>
                <w:sz w:val="20"/>
                <w:szCs w:val="20"/>
              </w:rPr>
              <w:t> </w:t>
            </w:r>
          </w:p>
        </w:tc>
        <w:tc>
          <w:tcPr>
            <w:tcW w:w="2126" w:type="dxa"/>
            <w:hideMark/>
          </w:tcPr>
          <w:p w:rsidR="006330A9" w:rsidRPr="001452E2" w:rsidRDefault="006330A9" w:rsidP="006330A9">
            <w:pPr>
              <w:jc w:val="center"/>
              <w:rPr>
                <w:rFonts w:ascii="Arial Narrow" w:hAnsi="Arial Narrow" w:cs="Calibri"/>
                <w:b/>
                <w:sz w:val="20"/>
                <w:szCs w:val="20"/>
              </w:rPr>
            </w:pPr>
            <w:r w:rsidRPr="001452E2">
              <w:rPr>
                <w:rFonts w:ascii="Arial Narrow" w:hAnsi="Arial Narrow" w:cs="Calibri"/>
                <w:b/>
                <w:sz w:val="20"/>
                <w:szCs w:val="20"/>
              </w:rPr>
              <w:t>Tier Min</w:t>
            </w:r>
          </w:p>
        </w:tc>
        <w:tc>
          <w:tcPr>
            <w:tcW w:w="2292" w:type="dxa"/>
            <w:hideMark/>
          </w:tcPr>
          <w:p w:rsidR="006330A9" w:rsidRPr="008B26DE" w:rsidRDefault="006330A9" w:rsidP="006330A9">
            <w:pPr>
              <w:jc w:val="center"/>
              <w:rPr>
                <w:rFonts w:ascii="Arial Narrow" w:hAnsi="Arial Narrow" w:cs="Calibri"/>
                <w:b/>
                <w:sz w:val="20"/>
                <w:szCs w:val="20"/>
              </w:rPr>
            </w:pPr>
            <w:r w:rsidRPr="008B26DE">
              <w:rPr>
                <w:rFonts w:ascii="Arial Narrow" w:hAnsi="Arial Narrow" w:cs="Calibri"/>
                <w:b/>
                <w:sz w:val="20"/>
                <w:szCs w:val="20"/>
              </w:rPr>
              <w:t>Tier Max</w:t>
            </w:r>
          </w:p>
        </w:tc>
        <w:tc>
          <w:tcPr>
            <w:tcW w:w="2102" w:type="dxa"/>
            <w:hideMark/>
          </w:tcPr>
          <w:p w:rsidR="006330A9" w:rsidRPr="008B26DE" w:rsidRDefault="006330A9" w:rsidP="006330A9">
            <w:pPr>
              <w:jc w:val="center"/>
              <w:rPr>
                <w:rFonts w:ascii="Arial Narrow" w:hAnsi="Arial Narrow" w:cs="Calibri"/>
                <w:b/>
                <w:sz w:val="20"/>
                <w:szCs w:val="20"/>
              </w:rPr>
            </w:pPr>
            <w:r w:rsidRPr="008B26DE">
              <w:rPr>
                <w:rFonts w:ascii="Arial Narrow" w:hAnsi="Arial Narrow" w:cs="Calibri"/>
                <w:b/>
                <w:sz w:val="20"/>
                <w:szCs w:val="20"/>
              </w:rPr>
              <w:t>% rebate for this tier</w:t>
            </w:r>
          </w:p>
        </w:tc>
      </w:tr>
      <w:tr w:rsidR="006330A9" w:rsidRPr="008B26DE" w:rsidTr="00E161E7">
        <w:trPr>
          <w:trHeight w:val="239"/>
        </w:trPr>
        <w:tc>
          <w:tcPr>
            <w:tcW w:w="2547" w:type="dxa"/>
            <w:noWrap/>
            <w:hideMark/>
          </w:tcPr>
          <w:p w:rsidR="006330A9" w:rsidRPr="008B26DE" w:rsidRDefault="006330A9" w:rsidP="006330A9">
            <w:pPr>
              <w:jc w:val="left"/>
              <w:rPr>
                <w:rFonts w:ascii="Arial Narrow" w:hAnsi="Arial Narrow" w:cs="Calibri"/>
                <w:color w:val="000000"/>
                <w:sz w:val="20"/>
                <w:szCs w:val="20"/>
              </w:rPr>
            </w:pPr>
            <w:r w:rsidRPr="008B26DE">
              <w:rPr>
                <w:rFonts w:ascii="Arial Narrow" w:hAnsi="Arial Narrow" w:cs="Calibri"/>
                <w:color w:val="000000"/>
                <w:sz w:val="20"/>
                <w:szCs w:val="20"/>
              </w:rPr>
              <w:t> </w:t>
            </w:r>
          </w:p>
        </w:tc>
        <w:tc>
          <w:tcPr>
            <w:tcW w:w="2126" w:type="dxa"/>
            <w:noWrap/>
            <w:hideMark/>
          </w:tcPr>
          <w:p w:rsidR="006330A9" w:rsidRPr="008B26DE" w:rsidRDefault="006330A9" w:rsidP="006330A9">
            <w:pPr>
              <w:jc w:val="center"/>
              <w:rPr>
                <w:rFonts w:ascii="Arial Narrow" w:hAnsi="Arial Narrow" w:cs="Calibri"/>
                <w:color w:val="000000"/>
                <w:sz w:val="20"/>
                <w:szCs w:val="20"/>
              </w:rPr>
            </w:pPr>
            <w:r w:rsidRPr="008B26DE">
              <w:rPr>
                <w:rFonts w:ascii="Arial Narrow" w:hAnsi="Arial Narrow" w:cs="Calibri"/>
                <w:color w:val="000000"/>
                <w:sz w:val="20"/>
                <w:szCs w:val="20"/>
              </w:rPr>
              <w:t> </w:t>
            </w:r>
          </w:p>
        </w:tc>
        <w:tc>
          <w:tcPr>
            <w:tcW w:w="2292" w:type="dxa"/>
            <w:noWrap/>
            <w:hideMark/>
          </w:tcPr>
          <w:p w:rsidR="006330A9" w:rsidRPr="008B26DE" w:rsidRDefault="006330A9" w:rsidP="006330A9">
            <w:pPr>
              <w:jc w:val="center"/>
              <w:rPr>
                <w:rFonts w:ascii="Arial Narrow" w:hAnsi="Arial Narrow" w:cs="Calibri"/>
                <w:color w:val="000000"/>
                <w:sz w:val="20"/>
                <w:szCs w:val="20"/>
              </w:rPr>
            </w:pPr>
            <w:r w:rsidRPr="008B26DE">
              <w:rPr>
                <w:rFonts w:ascii="Arial Narrow" w:hAnsi="Arial Narrow" w:cs="Calibri"/>
                <w:color w:val="000000"/>
                <w:sz w:val="20"/>
                <w:szCs w:val="20"/>
              </w:rPr>
              <w:t>$</w:t>
            </w:r>
            <w:r w:rsidR="00913226">
              <w:rPr>
                <w:rFonts w:ascii="Arial Narrow" w:hAnsi="Arial Narrow" w:cs="Calibri"/>
                <w:noProof/>
                <w:color w:val="000000"/>
                <w:sz w:val="20"/>
                <w:szCs w:val="20"/>
                <w:highlight w:val="black"/>
              </w:rPr>
              <w:t>'''''''''''''''''''''''''''</w:t>
            </w:r>
          </w:p>
        </w:tc>
        <w:tc>
          <w:tcPr>
            <w:tcW w:w="2102" w:type="dxa"/>
            <w:noWrap/>
            <w:hideMark/>
          </w:tcPr>
          <w:p w:rsidR="006330A9" w:rsidRPr="008B26DE" w:rsidRDefault="00913226" w:rsidP="006330A9">
            <w:pPr>
              <w:jc w:val="center"/>
              <w:rPr>
                <w:rFonts w:ascii="Arial Narrow" w:hAnsi="Arial Narrow" w:cs="Calibri"/>
                <w:color w:val="000000"/>
                <w:sz w:val="20"/>
                <w:szCs w:val="20"/>
              </w:rPr>
            </w:pPr>
            <w:r>
              <w:rPr>
                <w:rFonts w:ascii="Arial Narrow" w:hAnsi="Arial Narrow" w:cs="Calibri"/>
                <w:noProof/>
                <w:color w:val="000000"/>
                <w:sz w:val="20"/>
                <w:szCs w:val="20"/>
                <w:highlight w:val="black"/>
              </w:rPr>
              <w:t>'''</w:t>
            </w:r>
            <w:r w:rsidR="00661C0F">
              <w:rPr>
                <w:rFonts w:ascii="Arial Narrow" w:hAnsi="Arial Narrow" w:cs="Calibri"/>
                <w:color w:val="000000"/>
                <w:sz w:val="20"/>
                <w:szCs w:val="20"/>
              </w:rPr>
              <w:t>%</w:t>
            </w:r>
          </w:p>
        </w:tc>
      </w:tr>
      <w:tr w:rsidR="006330A9" w:rsidRPr="008B26DE" w:rsidTr="00E161E7">
        <w:trPr>
          <w:trHeight w:val="115"/>
        </w:trPr>
        <w:tc>
          <w:tcPr>
            <w:tcW w:w="2547" w:type="dxa"/>
            <w:noWrap/>
            <w:hideMark/>
          </w:tcPr>
          <w:p w:rsidR="006330A9" w:rsidRPr="008B26DE" w:rsidRDefault="006330A9" w:rsidP="006330A9">
            <w:pPr>
              <w:jc w:val="left"/>
              <w:rPr>
                <w:rFonts w:ascii="Arial Narrow" w:hAnsi="Arial Narrow" w:cs="Calibri"/>
                <w:color w:val="000000"/>
                <w:sz w:val="20"/>
                <w:szCs w:val="20"/>
              </w:rPr>
            </w:pPr>
            <w:r w:rsidRPr="008B26DE">
              <w:rPr>
                <w:rFonts w:ascii="Arial Narrow" w:hAnsi="Arial Narrow" w:cs="Calibri"/>
                <w:color w:val="000000"/>
                <w:sz w:val="20"/>
                <w:szCs w:val="20"/>
              </w:rPr>
              <w:t xml:space="preserve">Financial Cap </w:t>
            </w:r>
            <w:r w:rsidR="003E5592" w:rsidRPr="008B26DE">
              <w:rPr>
                <w:rFonts w:ascii="Arial Narrow" w:hAnsi="Arial Narrow" w:cs="Calibri"/>
                <w:color w:val="000000"/>
                <w:sz w:val="20"/>
                <w:szCs w:val="20"/>
              </w:rPr>
              <w:t xml:space="preserve">Tier </w:t>
            </w:r>
            <w:r w:rsidRPr="008B26DE">
              <w:rPr>
                <w:rFonts w:ascii="Arial Narrow" w:hAnsi="Arial Narrow" w:cs="Calibri"/>
                <w:color w:val="000000"/>
                <w:sz w:val="20"/>
                <w:szCs w:val="20"/>
              </w:rPr>
              <w:t>1</w:t>
            </w:r>
          </w:p>
        </w:tc>
        <w:tc>
          <w:tcPr>
            <w:tcW w:w="2126" w:type="dxa"/>
            <w:noWrap/>
            <w:hideMark/>
          </w:tcPr>
          <w:p w:rsidR="006330A9" w:rsidRPr="008B26DE" w:rsidRDefault="006330A9" w:rsidP="006330A9">
            <w:pPr>
              <w:jc w:val="center"/>
              <w:rPr>
                <w:rFonts w:ascii="Arial Narrow" w:hAnsi="Arial Narrow" w:cs="Calibri"/>
                <w:color w:val="000000"/>
                <w:sz w:val="20"/>
                <w:szCs w:val="20"/>
              </w:rPr>
            </w:pPr>
            <w:r w:rsidRPr="008B26DE">
              <w:rPr>
                <w:rFonts w:ascii="Arial Narrow" w:hAnsi="Arial Narrow" w:cs="Calibri"/>
                <w:color w:val="000000"/>
                <w:sz w:val="20"/>
                <w:szCs w:val="20"/>
              </w:rPr>
              <w:t>$</w:t>
            </w:r>
            <w:r w:rsidR="00913226">
              <w:rPr>
                <w:rFonts w:ascii="Arial Narrow" w:hAnsi="Arial Narrow" w:cs="Calibri"/>
                <w:noProof/>
                <w:color w:val="000000"/>
                <w:sz w:val="20"/>
                <w:szCs w:val="20"/>
                <w:highlight w:val="black"/>
              </w:rPr>
              <w:t>''''''''''''''''''''''''''''</w:t>
            </w:r>
          </w:p>
        </w:tc>
        <w:tc>
          <w:tcPr>
            <w:tcW w:w="2292" w:type="dxa"/>
            <w:noWrap/>
            <w:hideMark/>
          </w:tcPr>
          <w:p w:rsidR="006330A9" w:rsidRPr="008B26DE" w:rsidRDefault="006330A9" w:rsidP="006330A9">
            <w:pPr>
              <w:jc w:val="center"/>
              <w:rPr>
                <w:rFonts w:ascii="Arial Narrow" w:hAnsi="Arial Narrow" w:cs="Calibri"/>
                <w:color w:val="000000"/>
                <w:sz w:val="20"/>
                <w:szCs w:val="20"/>
              </w:rPr>
            </w:pPr>
            <w:r w:rsidRPr="008B26DE">
              <w:rPr>
                <w:rFonts w:ascii="Arial Narrow" w:hAnsi="Arial Narrow" w:cs="Calibri"/>
                <w:color w:val="000000"/>
                <w:sz w:val="20"/>
                <w:szCs w:val="20"/>
              </w:rPr>
              <w:t>$</w:t>
            </w:r>
            <w:r w:rsidR="00913226">
              <w:rPr>
                <w:rFonts w:ascii="Arial Narrow" w:hAnsi="Arial Narrow" w:cs="Calibri"/>
                <w:noProof/>
                <w:color w:val="000000"/>
                <w:sz w:val="20"/>
                <w:szCs w:val="20"/>
                <w:highlight w:val="black"/>
              </w:rPr>
              <w:t>'''''''''''''''''''''''''''</w:t>
            </w:r>
          </w:p>
        </w:tc>
        <w:tc>
          <w:tcPr>
            <w:tcW w:w="2102" w:type="dxa"/>
            <w:noWrap/>
            <w:hideMark/>
          </w:tcPr>
          <w:p w:rsidR="006330A9" w:rsidRPr="008B26DE" w:rsidRDefault="00913226" w:rsidP="006330A9">
            <w:pPr>
              <w:jc w:val="center"/>
              <w:rPr>
                <w:rFonts w:ascii="Arial Narrow" w:hAnsi="Arial Narrow" w:cs="Calibri"/>
                <w:color w:val="000000"/>
                <w:sz w:val="20"/>
                <w:szCs w:val="20"/>
              </w:rPr>
            </w:pPr>
            <w:r>
              <w:rPr>
                <w:rFonts w:ascii="Arial Narrow" w:hAnsi="Arial Narrow" w:cs="Calibri"/>
                <w:noProof/>
                <w:color w:val="000000"/>
                <w:sz w:val="20"/>
                <w:szCs w:val="20"/>
                <w:highlight w:val="black"/>
              </w:rPr>
              <w:t>''''''</w:t>
            </w:r>
            <w:r w:rsidR="006330A9" w:rsidRPr="008B26DE">
              <w:rPr>
                <w:rFonts w:ascii="Arial Narrow" w:hAnsi="Arial Narrow" w:cs="Calibri"/>
                <w:color w:val="000000"/>
                <w:sz w:val="20"/>
                <w:szCs w:val="20"/>
              </w:rPr>
              <w:t>%</w:t>
            </w:r>
          </w:p>
        </w:tc>
      </w:tr>
      <w:tr w:rsidR="006330A9" w:rsidRPr="008B26DE" w:rsidTr="00E161E7">
        <w:trPr>
          <w:trHeight w:val="46"/>
        </w:trPr>
        <w:tc>
          <w:tcPr>
            <w:tcW w:w="2547" w:type="dxa"/>
            <w:noWrap/>
            <w:hideMark/>
          </w:tcPr>
          <w:p w:rsidR="006330A9" w:rsidRPr="008B26DE" w:rsidRDefault="006330A9" w:rsidP="006330A9">
            <w:pPr>
              <w:jc w:val="left"/>
              <w:rPr>
                <w:rFonts w:ascii="Arial Narrow" w:hAnsi="Arial Narrow" w:cs="Calibri"/>
                <w:color w:val="000000"/>
                <w:sz w:val="20"/>
                <w:szCs w:val="20"/>
              </w:rPr>
            </w:pPr>
            <w:r w:rsidRPr="008B26DE">
              <w:rPr>
                <w:rFonts w:ascii="Arial Narrow" w:hAnsi="Arial Narrow" w:cs="Calibri"/>
                <w:color w:val="000000"/>
                <w:sz w:val="20"/>
                <w:szCs w:val="20"/>
              </w:rPr>
              <w:t xml:space="preserve">Financial Cap </w:t>
            </w:r>
            <w:r w:rsidR="003E5592" w:rsidRPr="008B26DE">
              <w:rPr>
                <w:rFonts w:ascii="Arial Narrow" w:hAnsi="Arial Narrow" w:cs="Calibri"/>
                <w:color w:val="000000"/>
                <w:sz w:val="20"/>
                <w:szCs w:val="20"/>
              </w:rPr>
              <w:t xml:space="preserve">Tier </w:t>
            </w:r>
            <w:r w:rsidRPr="008B26DE">
              <w:rPr>
                <w:rFonts w:ascii="Arial Narrow" w:hAnsi="Arial Narrow" w:cs="Calibri"/>
                <w:color w:val="000000"/>
                <w:sz w:val="20"/>
                <w:szCs w:val="20"/>
              </w:rPr>
              <w:t>2</w:t>
            </w:r>
          </w:p>
        </w:tc>
        <w:tc>
          <w:tcPr>
            <w:tcW w:w="2126" w:type="dxa"/>
            <w:noWrap/>
            <w:hideMark/>
          </w:tcPr>
          <w:p w:rsidR="006330A9" w:rsidRPr="008B26DE" w:rsidRDefault="006330A9" w:rsidP="006330A9">
            <w:pPr>
              <w:jc w:val="center"/>
              <w:rPr>
                <w:rFonts w:ascii="Arial Narrow" w:hAnsi="Arial Narrow" w:cs="Calibri"/>
                <w:color w:val="000000"/>
                <w:sz w:val="20"/>
                <w:szCs w:val="20"/>
              </w:rPr>
            </w:pPr>
            <w:r w:rsidRPr="008B26DE">
              <w:rPr>
                <w:rFonts w:ascii="Arial Narrow" w:hAnsi="Arial Narrow" w:cs="Calibri"/>
                <w:color w:val="000000"/>
                <w:sz w:val="20"/>
                <w:szCs w:val="20"/>
              </w:rPr>
              <w:t>$</w:t>
            </w:r>
            <w:r w:rsidR="00913226">
              <w:rPr>
                <w:rFonts w:ascii="Arial Narrow" w:hAnsi="Arial Narrow" w:cs="Calibri"/>
                <w:noProof/>
                <w:color w:val="000000"/>
                <w:sz w:val="20"/>
                <w:szCs w:val="20"/>
                <w:highlight w:val="black"/>
              </w:rPr>
              <w:t>'''''''''''''''''''''''''''</w:t>
            </w:r>
          </w:p>
        </w:tc>
        <w:tc>
          <w:tcPr>
            <w:tcW w:w="2292" w:type="dxa"/>
            <w:noWrap/>
            <w:hideMark/>
          </w:tcPr>
          <w:p w:rsidR="006330A9" w:rsidRPr="008B26DE" w:rsidRDefault="006330A9" w:rsidP="006330A9">
            <w:pPr>
              <w:jc w:val="center"/>
              <w:rPr>
                <w:rFonts w:ascii="Arial Narrow" w:hAnsi="Arial Narrow" w:cs="Calibri"/>
                <w:color w:val="000000"/>
                <w:sz w:val="20"/>
                <w:szCs w:val="20"/>
              </w:rPr>
            </w:pPr>
            <w:r w:rsidRPr="008B26DE">
              <w:rPr>
                <w:rFonts w:ascii="Arial Narrow" w:hAnsi="Arial Narrow" w:cs="Calibri"/>
                <w:color w:val="000000"/>
                <w:sz w:val="20"/>
                <w:szCs w:val="20"/>
              </w:rPr>
              <w:t> </w:t>
            </w:r>
          </w:p>
        </w:tc>
        <w:tc>
          <w:tcPr>
            <w:tcW w:w="2102" w:type="dxa"/>
            <w:noWrap/>
            <w:hideMark/>
          </w:tcPr>
          <w:p w:rsidR="006330A9" w:rsidRPr="008B26DE" w:rsidRDefault="00913226" w:rsidP="006330A9">
            <w:pPr>
              <w:jc w:val="center"/>
              <w:rPr>
                <w:rFonts w:ascii="Arial Narrow" w:hAnsi="Arial Narrow" w:cs="Calibri"/>
                <w:color w:val="000000"/>
                <w:sz w:val="20"/>
                <w:szCs w:val="20"/>
              </w:rPr>
            </w:pPr>
            <w:r>
              <w:rPr>
                <w:rFonts w:ascii="Arial Narrow" w:hAnsi="Arial Narrow" w:cs="Calibri"/>
                <w:noProof/>
                <w:color w:val="000000"/>
                <w:sz w:val="20"/>
                <w:szCs w:val="20"/>
                <w:highlight w:val="black"/>
              </w:rPr>
              <w:t>''''''</w:t>
            </w:r>
            <w:r w:rsidR="006330A9" w:rsidRPr="008B26DE">
              <w:rPr>
                <w:rFonts w:ascii="Arial Narrow" w:hAnsi="Arial Narrow" w:cs="Calibri"/>
                <w:color w:val="000000"/>
                <w:sz w:val="20"/>
                <w:szCs w:val="20"/>
              </w:rPr>
              <w:t>%</w:t>
            </w:r>
          </w:p>
        </w:tc>
      </w:tr>
    </w:tbl>
    <w:p w:rsidR="00152F25" w:rsidRPr="008B26DE" w:rsidRDefault="0055246B" w:rsidP="00152F25">
      <w:pPr>
        <w:pStyle w:val="3Bodytext"/>
        <w:numPr>
          <w:ilvl w:val="0"/>
          <w:numId w:val="0"/>
        </w:numPr>
        <w:rPr>
          <w:rFonts w:ascii="Arial Narrow" w:hAnsi="Arial Narrow"/>
          <w:sz w:val="18"/>
        </w:rPr>
      </w:pPr>
      <w:r w:rsidRPr="008B26DE">
        <w:rPr>
          <w:rFonts w:ascii="Arial Narrow" w:hAnsi="Arial Narrow"/>
          <w:sz w:val="18"/>
          <w:u w:val="single"/>
        </w:rPr>
        <w:t>Source</w:t>
      </w:r>
      <w:r w:rsidRPr="008B26DE">
        <w:rPr>
          <w:rFonts w:ascii="Arial Narrow" w:hAnsi="Arial Narrow"/>
          <w:sz w:val="18"/>
        </w:rPr>
        <w:t>: Table 4.1, page 21 of resubmission</w:t>
      </w:r>
    </w:p>
    <w:p w:rsidR="00996417" w:rsidRPr="008B26DE" w:rsidRDefault="00996417" w:rsidP="00996417">
      <w:pPr>
        <w:pStyle w:val="3Bodytext"/>
      </w:pPr>
      <w:r w:rsidRPr="008B26DE">
        <w:t xml:space="preserve">The resubmission considered there was a significant risk of </w:t>
      </w:r>
      <w:r w:rsidR="004E6CF7" w:rsidRPr="008B26DE">
        <w:t xml:space="preserve">the sponsor not being able to continue to supply </w:t>
      </w:r>
      <w:proofErr w:type="spellStart"/>
      <w:r w:rsidR="004E6CF7" w:rsidRPr="008B26DE">
        <w:t>galcanezumab</w:t>
      </w:r>
      <w:proofErr w:type="spellEnd"/>
      <w:r w:rsidR="004E6CF7" w:rsidRPr="008B26DE">
        <w:t xml:space="preserve"> for commercial reasons (referred to in the resubmission as an </w:t>
      </w:r>
      <w:r w:rsidRPr="008B26DE">
        <w:t>“access failure”</w:t>
      </w:r>
      <w:r w:rsidR="004E6CF7" w:rsidRPr="008B26DE">
        <w:t>)</w:t>
      </w:r>
      <w:r w:rsidRPr="008B26DE">
        <w:t xml:space="preserve"> with a 6 year RSA and requested the PBAC consider recommending a 3 year RSA could be negotiated</w:t>
      </w:r>
      <w:r w:rsidR="008B26DE">
        <w:t xml:space="preserve">. </w:t>
      </w:r>
    </w:p>
    <w:p w:rsidR="006B7DB0" w:rsidRPr="008B26DE" w:rsidRDefault="00996417" w:rsidP="00917D69">
      <w:pPr>
        <w:pStyle w:val="3Bodytext"/>
      </w:pPr>
      <w:r w:rsidRPr="001452E2">
        <w:t xml:space="preserve">The resubmission requested the PBAC consider recommending a “Maximum Ceiling Rebate” to mitigate the risk associated with the low patient number cap, high discount level and strong likelihood of initiating a large untreated population. </w:t>
      </w:r>
      <w:r w:rsidR="00685ABC" w:rsidRPr="001452E2">
        <w:t>The maximum ceiling rebate is proposed as the cumulative maximum dollar amount payable as a rebate over the life of the deed period</w:t>
      </w:r>
      <w:r w:rsidR="008B26DE">
        <w:t xml:space="preserve">. </w:t>
      </w:r>
      <w:r w:rsidR="00685ABC" w:rsidRPr="008B26DE">
        <w:t xml:space="preserve">It </w:t>
      </w:r>
      <w:r w:rsidR="000073F7">
        <w:t>was</w:t>
      </w:r>
      <w:r w:rsidR="00685ABC" w:rsidRPr="008B26DE">
        <w:t xml:space="preserve"> proposed the PBAC would recommend this mech</w:t>
      </w:r>
      <w:r w:rsidR="00685ABC" w:rsidRPr="001452E2">
        <w:t xml:space="preserve">anism but the details </w:t>
      </w:r>
      <w:r w:rsidR="005C69D3" w:rsidRPr="001452E2">
        <w:t xml:space="preserve">would be </w:t>
      </w:r>
      <w:r w:rsidR="00685ABC" w:rsidRPr="001452E2">
        <w:t xml:space="preserve">negotiated with the Commonwealth during </w:t>
      </w:r>
      <w:r w:rsidR="005C69D3" w:rsidRPr="008B26DE">
        <w:t xml:space="preserve">post-PBAC </w:t>
      </w:r>
      <w:r w:rsidR="00685ABC" w:rsidRPr="008B26DE">
        <w:t>pricing</w:t>
      </w:r>
      <w:r w:rsidR="005C69D3" w:rsidRPr="008B26DE">
        <w:t xml:space="preserve"> processes.</w:t>
      </w:r>
      <w:r w:rsidR="00685ABC" w:rsidRPr="008B26DE">
        <w:t xml:space="preserve"> </w:t>
      </w:r>
    </w:p>
    <w:p w:rsidR="00775888" w:rsidRPr="008B26DE" w:rsidRDefault="00775888" w:rsidP="00775888">
      <w:pPr>
        <w:pStyle w:val="Heading1"/>
        <w:keepLines/>
        <w:numPr>
          <w:ilvl w:val="0"/>
          <w:numId w:val="3"/>
        </w:numPr>
        <w:spacing w:before="240"/>
        <w:ind w:left="709" w:hanging="709"/>
        <w:rPr>
          <w:sz w:val="32"/>
          <w:szCs w:val="32"/>
        </w:rPr>
      </w:pPr>
      <w:r w:rsidRPr="008B26DE">
        <w:rPr>
          <w:sz w:val="32"/>
          <w:szCs w:val="32"/>
        </w:rPr>
        <w:t>PBAC Outcome</w:t>
      </w:r>
    </w:p>
    <w:p w:rsidR="00977369" w:rsidRPr="008B26DE" w:rsidRDefault="00977369" w:rsidP="00B302B7">
      <w:pPr>
        <w:pStyle w:val="3Bodytext"/>
      </w:pPr>
      <w:r w:rsidRPr="008B26DE">
        <w:t>The PBAC provided further advice in regard to its July 2019</w:t>
      </w:r>
      <w:r w:rsidRPr="001452E2">
        <w:t xml:space="preserve"> recommendation for the listing of </w:t>
      </w:r>
      <w:proofErr w:type="spellStart"/>
      <w:r w:rsidRPr="001452E2">
        <w:t>galcanezumab</w:t>
      </w:r>
      <w:proofErr w:type="spellEnd"/>
      <w:r w:rsidRPr="001452E2">
        <w:t xml:space="preserve"> for the treatment of chronic migraine. </w:t>
      </w:r>
      <w:r w:rsidR="00B302B7" w:rsidRPr="001452E2">
        <w:t xml:space="preserve">The PBAC considered </w:t>
      </w:r>
      <w:proofErr w:type="spellStart"/>
      <w:r w:rsidR="00B302B7" w:rsidRPr="001452E2">
        <w:t>galcanezumab</w:t>
      </w:r>
      <w:proofErr w:type="spellEnd"/>
      <w:r w:rsidR="00B302B7" w:rsidRPr="001452E2">
        <w:t xml:space="preserve"> was cost effective </w:t>
      </w:r>
      <w:r w:rsidR="00B64B30">
        <w:t>if cost-minimised to Botox</w:t>
      </w:r>
      <w:r w:rsidR="00B302B7" w:rsidRPr="008B26DE">
        <w:t xml:space="preserve">. The PBAC considered a separate risk sharing arrangement for </w:t>
      </w:r>
      <w:proofErr w:type="spellStart"/>
      <w:r w:rsidR="00B302B7" w:rsidRPr="008B26DE">
        <w:t>galcanezumab</w:t>
      </w:r>
      <w:proofErr w:type="spellEnd"/>
      <w:r w:rsidR="00B302B7" w:rsidRPr="008B26DE">
        <w:t xml:space="preserve"> was reasonable, however advised revisions to the financial estimates, expenditure caps and rebate levels would be required to ensure cost-effective use</w:t>
      </w:r>
      <w:r w:rsidR="008B26DE">
        <w:t xml:space="preserve">. </w:t>
      </w:r>
      <w:r w:rsidR="00B302B7" w:rsidRPr="008B26DE">
        <w:t xml:space="preserve">   </w:t>
      </w:r>
    </w:p>
    <w:p w:rsidR="00C4219C" w:rsidRPr="008B26DE" w:rsidRDefault="00B70E9F" w:rsidP="00D90E8C">
      <w:pPr>
        <w:pStyle w:val="3Bodytext"/>
      </w:pPr>
      <w:r w:rsidRPr="008B26DE">
        <w:lastRenderedPageBreak/>
        <w:t xml:space="preserve">The PBAC considered the equi-effective doses were </w:t>
      </w:r>
      <w:proofErr w:type="spellStart"/>
      <w:r w:rsidRPr="008B26DE">
        <w:t>galcanezumab</w:t>
      </w:r>
      <w:proofErr w:type="spellEnd"/>
      <w:r w:rsidRPr="008B26DE">
        <w:t xml:space="preserve"> 240 mg as a loading dose followed </w:t>
      </w:r>
      <w:r w:rsidR="00287681" w:rsidRPr="008B26DE">
        <w:t xml:space="preserve">by </w:t>
      </w:r>
      <w:r w:rsidRPr="001452E2">
        <w:t xml:space="preserve">120 mg every 30 days and Botox 164U every 3 months. The PBAC considered that, consistent with the </w:t>
      </w:r>
      <w:proofErr w:type="spellStart"/>
      <w:r w:rsidRPr="001452E2">
        <w:t>galcanezumab</w:t>
      </w:r>
      <w:proofErr w:type="spellEnd"/>
      <w:r w:rsidRPr="001452E2">
        <w:t xml:space="preserve"> recommendation in July 2019 and the </w:t>
      </w:r>
      <w:proofErr w:type="spellStart"/>
      <w:r w:rsidRPr="001452E2">
        <w:t>fremanezumab</w:t>
      </w:r>
      <w:proofErr w:type="spellEnd"/>
      <w:r w:rsidRPr="001452E2">
        <w:t xml:space="preserve"> recommendation in March 2020, it remained appropriate to base the equi-effective doses on the clinical trial evidence that was used to support non-inferiority. </w:t>
      </w:r>
      <w:r w:rsidR="00D90E8C" w:rsidRPr="001452E2">
        <w:t>The PBAC noted that an average dose of Botox of 164U would require an average of two vials and considered it reasonable for the cost-minimisation analysis t</w:t>
      </w:r>
      <w:r w:rsidR="001F2947">
        <w:t>o include the cost of two vials</w:t>
      </w:r>
      <w:r w:rsidR="00695F2F" w:rsidRPr="008B26DE">
        <w:t xml:space="preserve">. </w:t>
      </w:r>
      <w:r w:rsidR="00BB68AF">
        <w:t xml:space="preserve">The PBAC noted this was consistent with July 2013 </w:t>
      </w:r>
      <w:r w:rsidR="00A03AF0">
        <w:t xml:space="preserve">consideration </w:t>
      </w:r>
      <w:r w:rsidR="00BB68AF">
        <w:t xml:space="preserve">for Botox in which the economic analysis assumed 2 vials per administration (paragraph </w:t>
      </w:r>
      <w:r w:rsidR="0092682D">
        <w:t xml:space="preserve">6.39, Botox PSD, March 2018). </w:t>
      </w:r>
      <w:r w:rsidR="00C4219C" w:rsidRPr="008B26DE">
        <w:t xml:space="preserve"> The PBAC </w:t>
      </w:r>
      <w:r w:rsidR="00C4219C" w:rsidRPr="001452E2">
        <w:t xml:space="preserve">noted that a comparison of the outcomes from REGAIN and TRIUMPH </w:t>
      </w:r>
      <w:r w:rsidR="009614B9" w:rsidRPr="001452E2">
        <w:t xml:space="preserve">(paragraph </w:t>
      </w:r>
      <w:r w:rsidR="009614B9" w:rsidRPr="001827BF">
        <w:t>4.9</w:t>
      </w:r>
      <w:r w:rsidR="009614B9" w:rsidRPr="001452E2">
        <w:t xml:space="preserve">) </w:t>
      </w:r>
      <w:r w:rsidR="00C4219C" w:rsidRPr="00EE01BD">
        <w:t xml:space="preserve">would not inform the equi-effective doses of </w:t>
      </w:r>
      <w:proofErr w:type="spellStart"/>
      <w:r w:rsidR="00C4219C" w:rsidRPr="00EE01BD">
        <w:t>galcanezumab</w:t>
      </w:r>
      <w:proofErr w:type="spellEnd"/>
      <w:r w:rsidR="00C4219C" w:rsidRPr="00EE01BD">
        <w:t xml:space="preserve"> or Botox and was unlikely to be informative. </w:t>
      </w:r>
      <w:r w:rsidR="00D90E8C" w:rsidRPr="008B26DE">
        <w:t xml:space="preserve"> </w:t>
      </w:r>
      <w:r w:rsidR="00E11ED6" w:rsidRPr="008B26DE">
        <w:t xml:space="preserve">The PBAC noted </w:t>
      </w:r>
      <w:r w:rsidR="00D90E8C" w:rsidRPr="008B26DE">
        <w:t xml:space="preserve">that conducting </w:t>
      </w:r>
      <w:r w:rsidR="00D90E8C" w:rsidRPr="001452E2">
        <w:t xml:space="preserve">the cost-minimisation analysis over a 2 or 3 year </w:t>
      </w:r>
      <w:r w:rsidR="00E11ED6" w:rsidRPr="001452E2">
        <w:t xml:space="preserve">time </w:t>
      </w:r>
      <w:r w:rsidR="00D90E8C" w:rsidRPr="001452E2">
        <w:t>period had minimal impact on the result</w:t>
      </w:r>
      <w:r w:rsidR="00D90E8C" w:rsidRPr="008B26DE">
        <w:t xml:space="preserve"> </w:t>
      </w:r>
      <w:r w:rsidR="00E11ED6" w:rsidRPr="008B26DE">
        <w:t xml:space="preserve">and </w:t>
      </w:r>
      <w:r w:rsidR="00D90E8C" w:rsidRPr="008B26DE">
        <w:t>considered a 3 year time horizon to be reasonable.</w:t>
      </w:r>
    </w:p>
    <w:p w:rsidR="00D90E8C" w:rsidRPr="008B26DE" w:rsidRDefault="00D90E8C" w:rsidP="00D90E8C">
      <w:pPr>
        <w:pStyle w:val="3Bodytext"/>
      </w:pPr>
      <w:r w:rsidRPr="008B26DE">
        <w:t xml:space="preserve">The PBAC considered the estimated number of patients likely to initiate treatment with </w:t>
      </w:r>
      <w:proofErr w:type="spellStart"/>
      <w:r w:rsidRPr="008B26DE">
        <w:t>galcanezumab</w:t>
      </w:r>
      <w:proofErr w:type="spellEnd"/>
      <w:r w:rsidRPr="008B26DE">
        <w:t xml:space="preserve">, as outlined in Table </w:t>
      </w:r>
      <w:r w:rsidR="00073601">
        <w:t>6</w:t>
      </w:r>
      <w:r w:rsidRPr="008B26DE">
        <w:t>, was reasonable</w:t>
      </w:r>
      <w:r w:rsidR="008B26DE">
        <w:t xml:space="preserve">. </w:t>
      </w:r>
      <w:r w:rsidRPr="008B26DE">
        <w:t xml:space="preserve">The PBAC noted that over the first three years of listing, approximately half of the eligible prevalent patient pool would initiate treatment with </w:t>
      </w:r>
      <w:proofErr w:type="spellStart"/>
      <w:r w:rsidRPr="008B26DE">
        <w:t>galcanezumab</w:t>
      </w:r>
      <w:proofErr w:type="spellEnd"/>
      <w:r w:rsidR="008B26DE">
        <w:t xml:space="preserve">. </w:t>
      </w:r>
    </w:p>
    <w:p w:rsidR="008F1010" w:rsidRDefault="002434CF" w:rsidP="009700A1">
      <w:pPr>
        <w:pStyle w:val="3Bodytext"/>
      </w:pPr>
      <w:r w:rsidRPr="001452E2">
        <w:t xml:space="preserve">The PBAC noted the persistence rates applied to the financial estimates </w:t>
      </w:r>
      <w:r w:rsidR="00C6230A">
        <w:t xml:space="preserve">for </w:t>
      </w:r>
      <w:proofErr w:type="spellStart"/>
      <w:r w:rsidR="00C6230A">
        <w:t>galcanezumab</w:t>
      </w:r>
      <w:proofErr w:type="spellEnd"/>
      <w:r w:rsidR="00C6230A">
        <w:t xml:space="preserve"> </w:t>
      </w:r>
      <w:r w:rsidRPr="001452E2">
        <w:t xml:space="preserve">were </w:t>
      </w:r>
      <w:r w:rsidR="00C6230A">
        <w:t xml:space="preserve">based on </w:t>
      </w:r>
      <w:r w:rsidR="00652AD0">
        <w:t xml:space="preserve">the </w:t>
      </w:r>
      <w:r w:rsidR="00C6230A">
        <w:t xml:space="preserve">persistence observed for Botox </w:t>
      </w:r>
      <w:r w:rsidR="00652AD0">
        <w:t xml:space="preserve">(using utilisation data) with a higher rate assumed </w:t>
      </w:r>
      <w:r w:rsidR="00C6230A">
        <w:t xml:space="preserve">due to </w:t>
      </w:r>
      <w:r w:rsidR="00652AD0">
        <w:t xml:space="preserve">better persistence relative to Botox and to account for use of a </w:t>
      </w:r>
      <w:r w:rsidR="00C6230A">
        <w:t>second CGRP inhibitor</w:t>
      </w:r>
      <w:r w:rsidR="00652AD0">
        <w:t xml:space="preserve"> </w:t>
      </w:r>
      <w:r w:rsidRPr="001452E2">
        <w:t xml:space="preserve"> (</w:t>
      </w:r>
      <w:r w:rsidRPr="001827BF">
        <w:t>paragraph 4.1</w:t>
      </w:r>
      <w:r w:rsidR="001827BF" w:rsidRPr="001827BF">
        <w:t>3</w:t>
      </w:r>
      <w:r w:rsidRPr="001827BF">
        <w:t>)</w:t>
      </w:r>
      <w:r w:rsidR="009614B9" w:rsidRPr="001827BF">
        <w:t>.</w:t>
      </w:r>
      <w:r w:rsidR="009614B9" w:rsidRPr="00EE01BD">
        <w:t xml:space="preserve"> The PBAC considered the rates were overestimated and not consistent with the proposed restriction criteria </w:t>
      </w:r>
      <w:r w:rsidR="009700A1" w:rsidRPr="008B26DE">
        <w:t xml:space="preserve">which only </w:t>
      </w:r>
      <w:r w:rsidR="009614B9" w:rsidRPr="008B26DE">
        <w:t xml:space="preserve">allows for people with a 50% reduction in MHD to continue treatment with </w:t>
      </w:r>
      <w:proofErr w:type="spellStart"/>
      <w:r w:rsidR="009614B9" w:rsidRPr="008B26DE">
        <w:t>galcanezumab</w:t>
      </w:r>
      <w:proofErr w:type="spellEnd"/>
      <w:r w:rsidR="009614B9" w:rsidRPr="008B26DE">
        <w:t xml:space="preserve">. </w:t>
      </w:r>
      <w:r w:rsidR="00AC3208" w:rsidRPr="008B26DE">
        <w:t>The PBAC noted there are currently no CGRP inhibitors listed on the PBS and it</w:t>
      </w:r>
      <w:r w:rsidR="007D41D2" w:rsidRPr="008B26DE">
        <w:t xml:space="preserve"> </w:t>
      </w:r>
      <w:r w:rsidR="00287681" w:rsidRPr="008B26DE">
        <w:t xml:space="preserve">was </w:t>
      </w:r>
      <w:r w:rsidR="007D41D2" w:rsidRPr="008B26DE">
        <w:t xml:space="preserve">not </w:t>
      </w:r>
      <w:r w:rsidR="00AC3208" w:rsidRPr="008B26DE">
        <w:t xml:space="preserve">reasonable to include </w:t>
      </w:r>
      <w:r w:rsidRPr="008B26DE">
        <w:t xml:space="preserve">higher persistence due to </w:t>
      </w:r>
      <w:r w:rsidR="00AC3208" w:rsidRPr="008B26DE">
        <w:t>sequential treatment with a second CGRP inhibitor</w:t>
      </w:r>
      <w:r w:rsidRPr="008B26DE">
        <w:t xml:space="preserve"> </w:t>
      </w:r>
      <w:r w:rsidR="00AC3208" w:rsidRPr="008B26DE">
        <w:t xml:space="preserve">in the financial estimates. </w:t>
      </w:r>
      <w:r w:rsidR="007D41D2" w:rsidRPr="008B26DE">
        <w:t xml:space="preserve">The PBAC considered the magnitude of the </w:t>
      </w:r>
      <w:proofErr w:type="spellStart"/>
      <w:r w:rsidR="007D41D2" w:rsidRPr="008B26DE">
        <w:t>galcanezumab</w:t>
      </w:r>
      <w:proofErr w:type="spellEnd"/>
      <w:r w:rsidR="007D41D2" w:rsidRPr="008B26DE">
        <w:t xml:space="preserve"> persistence benefit compared </w:t>
      </w:r>
      <w:r w:rsidR="00596317" w:rsidRPr="008B26DE">
        <w:t xml:space="preserve">with that for </w:t>
      </w:r>
      <w:r w:rsidR="007D41D2" w:rsidRPr="008B26DE">
        <w:t>Botox was not well supported</w:t>
      </w:r>
      <w:r w:rsidR="008B26DE">
        <w:t xml:space="preserve">. </w:t>
      </w:r>
    </w:p>
    <w:p w:rsidR="0074037E" w:rsidRDefault="00EF0054" w:rsidP="005A3E69">
      <w:pPr>
        <w:pStyle w:val="3Bodytext"/>
      </w:pPr>
      <w:r w:rsidRPr="008F1010">
        <w:t>The PBAC considered it would be reasonable for any assumptions regarding continuation and persistence to be consistent with those applied to Botox</w:t>
      </w:r>
      <w:r w:rsidR="008F1010">
        <w:t xml:space="preserve"> during i</w:t>
      </w:r>
      <w:r w:rsidR="005A3E69">
        <w:t>ts consideration in July 2013</w:t>
      </w:r>
      <w:r w:rsidRPr="008F1010">
        <w:t>.</w:t>
      </w:r>
      <w:r>
        <w:t xml:space="preserve"> The PBAC recalled </w:t>
      </w:r>
      <w:r w:rsidR="00052434">
        <w:t xml:space="preserve">that its consideration </w:t>
      </w:r>
      <w:r w:rsidR="008F1010">
        <w:t>for Botox w</w:t>
      </w:r>
      <w:r w:rsidR="00052434">
        <w:t>as</w:t>
      </w:r>
      <w:r w:rsidR="008F1010">
        <w:t xml:space="preserve"> based</w:t>
      </w:r>
      <w:r w:rsidR="005A3E69">
        <w:t xml:space="preserve"> on the assumption that</w:t>
      </w:r>
      <w:r w:rsidR="008F1010">
        <w:t xml:space="preserve"> </w:t>
      </w:r>
      <w:r w:rsidR="003D1DF1">
        <w:t xml:space="preserve">37% to 42% </w:t>
      </w:r>
      <w:r w:rsidR="008F1010">
        <w:t>of patients</w:t>
      </w:r>
      <w:r w:rsidR="005A3E69">
        <w:t xml:space="preserve"> would achieve</w:t>
      </w:r>
      <w:r w:rsidR="008F1010">
        <w:t xml:space="preserve"> a 50% </w:t>
      </w:r>
      <w:r w:rsidR="005A3E69">
        <w:t xml:space="preserve">reduction in headache days </w:t>
      </w:r>
      <w:r w:rsidR="008F1010">
        <w:t xml:space="preserve">at 24 weeks </w:t>
      </w:r>
      <w:r w:rsidR="003D1DF1">
        <w:t>(paragraph 6.20, Botox PSD, March 2018 PBAC meeting</w:t>
      </w:r>
      <w:r w:rsidR="006069F6">
        <w:t xml:space="preserve">) </w:t>
      </w:r>
      <w:r w:rsidR="008F1010">
        <w:t xml:space="preserve">and </w:t>
      </w:r>
      <w:r w:rsidR="005A3E69">
        <w:t>the</w:t>
      </w:r>
      <w:r w:rsidR="005A3E69" w:rsidRPr="005A3E69">
        <w:t xml:space="preserve"> proportion of patients persisting with therapy at other assessment time points was </w:t>
      </w:r>
      <w:r w:rsidR="005B09D0">
        <w:t xml:space="preserve">also </w:t>
      </w:r>
      <w:r w:rsidR="005A3E69" w:rsidRPr="005A3E69">
        <w:t>based on the Botox clinical trial data</w:t>
      </w:r>
      <w:r w:rsidR="005B09D0">
        <w:t>.</w:t>
      </w:r>
      <w:r w:rsidR="005A3E69" w:rsidRPr="005A3E69">
        <w:t xml:space="preserve"> </w:t>
      </w:r>
    </w:p>
    <w:p w:rsidR="00F5303D" w:rsidRPr="00D40127" w:rsidRDefault="00F5303D" w:rsidP="00F5303D">
      <w:pPr>
        <w:pStyle w:val="3Bodytext"/>
      </w:pPr>
      <w:r>
        <w:t xml:space="preserve">The PBAC considered the assumptions used to model Botox usage (with and without </w:t>
      </w:r>
      <w:proofErr w:type="spellStart"/>
      <w:r>
        <w:t>galcanezumab</w:t>
      </w:r>
      <w:proofErr w:type="spellEnd"/>
      <w:r>
        <w:t xml:space="preserve"> being PBS listed) and the proportion of Botox patients that would be treated with </w:t>
      </w:r>
      <w:proofErr w:type="spellStart"/>
      <w:r>
        <w:t>galcanezumab</w:t>
      </w:r>
      <w:proofErr w:type="spellEnd"/>
      <w:r>
        <w:t xml:space="preserve"> were not adequately supported and therefore the estimated Botox offsets were highly uncertain.  The PBAC considered that, in view of the advice from the ANZHS that patients may switch between Botox and CGRP </w:t>
      </w:r>
      <w:r>
        <w:lastRenderedPageBreak/>
        <w:t>inhibitors (</w:t>
      </w:r>
      <w:r w:rsidRPr="001827BF">
        <w:t>paragraph 4.2</w:t>
      </w:r>
      <w:r w:rsidR="00121697" w:rsidRPr="001827BF">
        <w:t>4</w:t>
      </w:r>
      <w:r w:rsidRPr="001827BF">
        <w:t>),</w:t>
      </w:r>
      <w:r>
        <w:t xml:space="preserve"> it may be reasonable to assume no offsets for reduced Botox use would be </w:t>
      </w:r>
      <w:r w:rsidRPr="00D40127">
        <w:t xml:space="preserve">realised once </w:t>
      </w:r>
      <w:proofErr w:type="spellStart"/>
      <w:r w:rsidRPr="00D40127">
        <w:t>galcanezumab</w:t>
      </w:r>
      <w:proofErr w:type="spellEnd"/>
      <w:r w:rsidRPr="00D40127">
        <w:t xml:space="preserve"> is listed on the PBS. </w:t>
      </w:r>
    </w:p>
    <w:p w:rsidR="00DA406A" w:rsidRDefault="00DA406A" w:rsidP="00DA406A">
      <w:pPr>
        <w:pStyle w:val="3Bodytext"/>
      </w:pPr>
      <w:r w:rsidRPr="001452E2">
        <w:t xml:space="preserve">The PBAC considered the request for an RSA with expenditure caps separate to Botox was reasonable as there was likely to be a significant pool of prevalent patients with chronic migraine that would qualify for treatment with </w:t>
      </w:r>
      <w:proofErr w:type="spellStart"/>
      <w:r w:rsidRPr="001452E2">
        <w:t>galcanezumab</w:t>
      </w:r>
      <w:proofErr w:type="spellEnd"/>
      <w:r w:rsidRPr="001452E2">
        <w:t xml:space="preserve"> but were not currently being treated with Botox. </w:t>
      </w:r>
      <w:r>
        <w:t xml:space="preserve"> </w:t>
      </w:r>
      <w:r w:rsidRPr="00212AE7">
        <w:t xml:space="preserve">The PBAC noted the financial model provided with the resubmission was overly complicated in part due to the proposal to include a proportion of the </w:t>
      </w:r>
      <w:proofErr w:type="spellStart"/>
      <w:r w:rsidRPr="00212AE7">
        <w:t>galcanezumab</w:t>
      </w:r>
      <w:proofErr w:type="spellEnd"/>
      <w:r w:rsidRPr="00212AE7">
        <w:t xml:space="preserve"> volu</w:t>
      </w:r>
      <w:r>
        <w:t>me in the Botox expenditure cap</w:t>
      </w:r>
      <w:r w:rsidRPr="00212AE7">
        <w:t>.  The PBAC considered th</w:t>
      </w:r>
      <w:r>
        <w:t>at, in light of a separate RSA</w:t>
      </w:r>
      <w:r w:rsidRPr="00212AE7">
        <w:t>, a complicated model was no longer necessary</w:t>
      </w:r>
      <w:r>
        <w:t xml:space="preserve"> and revised financial estimates using the current Section 4 ‘Utilisation and cost model workbook’ template will be required to progress PBS listing</w:t>
      </w:r>
      <w:r w:rsidRPr="00212AE7">
        <w:t xml:space="preserve">. </w:t>
      </w:r>
    </w:p>
    <w:p w:rsidR="00185A3C" w:rsidRDefault="00185A3C" w:rsidP="00185A3C">
      <w:pPr>
        <w:pStyle w:val="3Bodytext"/>
      </w:pPr>
      <w:r>
        <w:t xml:space="preserve">The PBAC considered that the revised </w:t>
      </w:r>
      <w:r w:rsidR="00594B92">
        <w:t xml:space="preserve">financial </w:t>
      </w:r>
      <w:r>
        <w:t>estim</w:t>
      </w:r>
      <w:r w:rsidR="000E188D">
        <w:t>a</w:t>
      </w:r>
      <w:r>
        <w:t>tes should be based on:</w:t>
      </w:r>
    </w:p>
    <w:p w:rsidR="00185A3C" w:rsidRDefault="00185A3C" w:rsidP="00594B92">
      <w:pPr>
        <w:pStyle w:val="3Bodytext"/>
        <w:numPr>
          <w:ilvl w:val="0"/>
          <w:numId w:val="45"/>
        </w:numPr>
      </w:pPr>
      <w:r>
        <w:t xml:space="preserve">Number of initiating patients as per the base case with </w:t>
      </w:r>
      <w:r w:rsidR="00BF4008">
        <w:rPr>
          <w:color w:val="000000"/>
        </w:rPr>
        <w:t>5,000 to &lt; 10,000</w:t>
      </w:r>
      <w:r>
        <w:rPr>
          <w:color w:val="000000"/>
        </w:rPr>
        <w:t xml:space="preserve"> patient initiating in Year 1 and </w:t>
      </w:r>
      <w:r w:rsidR="00BF4008">
        <w:rPr>
          <w:color w:val="000000"/>
        </w:rPr>
        <w:t>500 to &lt; 5,000</w:t>
      </w:r>
      <w:r>
        <w:rPr>
          <w:color w:val="000000"/>
        </w:rPr>
        <w:t xml:space="preserve"> in Year 6</w:t>
      </w:r>
      <w:r>
        <w:t>.</w:t>
      </w:r>
    </w:p>
    <w:p w:rsidR="00185A3C" w:rsidRPr="005164AB" w:rsidRDefault="00185A3C" w:rsidP="00594B92">
      <w:pPr>
        <w:pStyle w:val="3Bodytext"/>
        <w:numPr>
          <w:ilvl w:val="0"/>
          <w:numId w:val="45"/>
        </w:numPr>
      </w:pPr>
      <w:r>
        <w:t xml:space="preserve">Initiation criteria allowing for 2 injections with 1 </w:t>
      </w:r>
      <w:r w:rsidRPr="005164AB">
        <w:t>repeat (12 weeks treatment), and continuing criteria 1 injection with 5 repeats; and</w:t>
      </w:r>
    </w:p>
    <w:p w:rsidR="00185A3C" w:rsidRDefault="00185A3C" w:rsidP="00594B92">
      <w:pPr>
        <w:pStyle w:val="3Bodytext"/>
        <w:numPr>
          <w:ilvl w:val="0"/>
          <w:numId w:val="45"/>
        </w:numPr>
      </w:pPr>
      <w:r w:rsidRPr="005164AB">
        <w:t xml:space="preserve">40% of patients achieving a 50% </w:t>
      </w:r>
      <w:r w:rsidR="005A3E69" w:rsidRPr="005164AB">
        <w:t xml:space="preserve">reduction in migraine headache days </w:t>
      </w:r>
      <w:proofErr w:type="spellStart"/>
      <w:r w:rsidRPr="005164AB">
        <w:t>at</w:t>
      </w:r>
      <w:proofErr w:type="spellEnd"/>
      <w:r w:rsidRPr="005164AB">
        <w:t xml:space="preserve"> Week 12,</w:t>
      </w:r>
      <w:r>
        <w:t xml:space="preserve"> 95% of responding patients continuing treatment each subsequent year. </w:t>
      </w:r>
    </w:p>
    <w:p w:rsidR="00AC3208" w:rsidRDefault="00204078" w:rsidP="00C14BC5">
      <w:pPr>
        <w:pStyle w:val="3Bodytext"/>
      </w:pPr>
      <w:r>
        <w:t xml:space="preserve">The PBAC considered it would be appropriate for </w:t>
      </w:r>
      <w:r w:rsidR="0064258B">
        <w:t xml:space="preserve">the </w:t>
      </w:r>
      <w:proofErr w:type="spellStart"/>
      <w:r>
        <w:t>galcanezumab</w:t>
      </w:r>
      <w:proofErr w:type="spellEnd"/>
      <w:r>
        <w:t xml:space="preserve"> </w:t>
      </w:r>
      <w:r w:rsidR="0074037E">
        <w:t>RSA</w:t>
      </w:r>
      <w:r w:rsidR="0064258B">
        <w:t>, including expenditure caps and rebates,</w:t>
      </w:r>
      <w:r w:rsidR="0074037E">
        <w:t xml:space="preserve"> </w:t>
      </w:r>
      <w:r w:rsidR="0064258B">
        <w:t xml:space="preserve">to be structured in a similar way to the Botox RSA. </w:t>
      </w:r>
      <w:r>
        <w:t xml:space="preserve">The PBAC </w:t>
      </w:r>
      <w:r w:rsidR="005A3E69">
        <w:t xml:space="preserve">considered </w:t>
      </w:r>
      <w:r w:rsidR="00185A3C">
        <w:t xml:space="preserve">it would be appropriate for the Tier 1 Cap for </w:t>
      </w:r>
      <w:proofErr w:type="spellStart"/>
      <w:r w:rsidR="00185A3C">
        <w:t>galcanezumab</w:t>
      </w:r>
      <w:proofErr w:type="spellEnd"/>
      <w:r w:rsidR="00185A3C">
        <w:t xml:space="preserve"> to be set at the level fo</w:t>
      </w:r>
      <w:r w:rsidR="005A3E69">
        <w:t>r</w:t>
      </w:r>
      <w:r w:rsidR="00185A3C">
        <w:t xml:space="preserve"> the updated financial estimates as per </w:t>
      </w:r>
      <w:r w:rsidR="00185A3C" w:rsidRPr="001827BF">
        <w:t>paragraph 5.</w:t>
      </w:r>
      <w:r w:rsidR="005A3E69" w:rsidRPr="001827BF">
        <w:t>8</w:t>
      </w:r>
      <w:r w:rsidR="007C4DB0" w:rsidRPr="001827BF">
        <w:t>.</w:t>
      </w:r>
      <w:r w:rsidR="007C4DB0">
        <w:t xml:space="preserve"> </w:t>
      </w:r>
      <w:r w:rsidR="00C14BC5" w:rsidRPr="00C14BC5">
        <w:t>The PBAC recalled the experience with the utilisation of Botox in this</w:t>
      </w:r>
      <w:r w:rsidR="00C14BC5">
        <w:t xml:space="preserve"> indication and considered that it would be appropriate for the </w:t>
      </w:r>
      <w:r>
        <w:t xml:space="preserve">Tier 2 </w:t>
      </w:r>
      <w:r w:rsidR="007C4DB0">
        <w:t xml:space="preserve">expenditure </w:t>
      </w:r>
      <w:r>
        <w:t xml:space="preserve">caps </w:t>
      </w:r>
      <w:r w:rsidR="00C14BC5">
        <w:t xml:space="preserve">to be </w:t>
      </w:r>
      <w:r>
        <w:t xml:space="preserve">based on </w:t>
      </w:r>
      <w:r w:rsidR="00AB1B00">
        <w:t>the assum</w:t>
      </w:r>
      <w:r w:rsidR="00B23460">
        <w:t xml:space="preserve">ption that </w:t>
      </w:r>
      <w:r w:rsidR="005B09D0">
        <w:t xml:space="preserve">60% of patients </w:t>
      </w:r>
      <w:r w:rsidR="007C4DB0">
        <w:t>achiev</w:t>
      </w:r>
      <w:r w:rsidR="005B09D0">
        <w:t>e</w:t>
      </w:r>
      <w:r w:rsidR="001827BF">
        <w:t xml:space="preserve"> </w:t>
      </w:r>
      <w:r w:rsidR="007C4DB0">
        <w:t xml:space="preserve">a 30% reduction in </w:t>
      </w:r>
      <w:r w:rsidR="000B2B21">
        <w:t xml:space="preserve">migraine </w:t>
      </w:r>
      <w:r w:rsidR="007C4DB0">
        <w:t>headache days at the response assessment time point</w:t>
      </w:r>
      <w:r>
        <w:t>.</w:t>
      </w:r>
      <w:r w:rsidR="00652AD0" w:rsidRPr="00652AD0">
        <w:t xml:space="preserve"> </w:t>
      </w:r>
      <w:r w:rsidR="003D1DF1">
        <w:t>T</w:t>
      </w:r>
      <w:r w:rsidR="007C12E1">
        <w:t>he PBAC considered that t</w:t>
      </w:r>
      <w:r w:rsidR="000555C4" w:rsidRPr="000555C4">
        <w:t xml:space="preserve">he rebate between Tier 1 and Tier 2 </w:t>
      </w:r>
      <w:r w:rsidR="000555C4">
        <w:t xml:space="preserve">should be </w:t>
      </w:r>
      <w:r w:rsidR="00913226">
        <w:rPr>
          <w:noProof/>
          <w:color w:val="000000"/>
          <w:highlight w:val="black"/>
        </w:rPr>
        <w:t>'''''</w:t>
      </w:r>
      <w:r w:rsidR="000555C4" w:rsidRPr="000555C4">
        <w:t xml:space="preserve">% with </w:t>
      </w:r>
      <w:r w:rsidR="001827BF">
        <w:t xml:space="preserve">a </w:t>
      </w:r>
      <w:r w:rsidR="00913226">
        <w:rPr>
          <w:noProof/>
          <w:color w:val="000000"/>
          <w:highlight w:val="black"/>
        </w:rPr>
        <w:t>'''''</w:t>
      </w:r>
      <w:r w:rsidR="000555C4" w:rsidRPr="000555C4">
        <w:t>% rebate for expenditure over Tier 2.</w:t>
      </w:r>
    </w:p>
    <w:p w:rsidR="00652AD0" w:rsidRPr="00D40127" w:rsidRDefault="00D40127" w:rsidP="00652AD0">
      <w:pPr>
        <w:pStyle w:val="3Bodytext"/>
      </w:pPr>
      <w:r w:rsidRPr="00D40127">
        <w:t xml:space="preserve">The PBAC considered an RSA of 3 years duration would not adequately manage the risks to the Commonwealth associated with </w:t>
      </w:r>
      <w:r w:rsidR="00A53D7C">
        <w:t xml:space="preserve">the proposed </w:t>
      </w:r>
      <w:r w:rsidRPr="00D40127">
        <w:t xml:space="preserve">listing </w:t>
      </w:r>
      <w:r w:rsidR="00A53D7C">
        <w:t xml:space="preserve">of </w:t>
      </w:r>
      <w:proofErr w:type="spellStart"/>
      <w:r w:rsidRPr="00D40127">
        <w:t>galcanezumab</w:t>
      </w:r>
      <w:proofErr w:type="spellEnd"/>
      <w:r w:rsidR="00A53D7C">
        <w:t>, and that a standard 5 year RSA would be required to manage the risk of</w:t>
      </w:r>
      <w:r w:rsidR="00A23B70">
        <w:t xml:space="preserve"> use that is not cost</w:t>
      </w:r>
      <w:r w:rsidR="00A53D7C">
        <w:t xml:space="preserve"> effective use of </w:t>
      </w:r>
      <w:proofErr w:type="spellStart"/>
      <w:r w:rsidR="00A53D7C">
        <w:t>galcanezumab</w:t>
      </w:r>
      <w:proofErr w:type="spellEnd"/>
      <w:r w:rsidR="00A53D7C">
        <w:t xml:space="preserve"> over the forward years</w:t>
      </w:r>
      <w:r w:rsidRPr="00D40127">
        <w:t xml:space="preserve">. The PBAC </w:t>
      </w:r>
      <w:r>
        <w:t xml:space="preserve">noted </w:t>
      </w:r>
      <w:r w:rsidRPr="00D40127">
        <w:t xml:space="preserve">the request to </w:t>
      </w:r>
      <w:r>
        <w:t xml:space="preserve">recommend a ‘maximum ceiling rebate’ but considered </w:t>
      </w:r>
      <w:r w:rsidR="0006066F">
        <w:t xml:space="preserve">this was not </w:t>
      </w:r>
      <w:r w:rsidR="00583EA5">
        <w:t xml:space="preserve">consistent with the intent of expenditure caps and RSAs.  </w:t>
      </w:r>
    </w:p>
    <w:p w:rsidR="00C26019" w:rsidRPr="001452E2" w:rsidRDefault="003D7580" w:rsidP="00977369">
      <w:pPr>
        <w:pStyle w:val="3Bodytext"/>
      </w:pPr>
      <w:r w:rsidRPr="00D40127">
        <w:t xml:space="preserve">The PBAC recalled it had previously considered </w:t>
      </w:r>
      <w:proofErr w:type="spellStart"/>
      <w:r w:rsidRPr="00D40127">
        <w:t>fremanezumab</w:t>
      </w:r>
      <w:proofErr w:type="spellEnd"/>
      <w:r w:rsidRPr="00D40127">
        <w:t xml:space="preserve"> non-inferior to </w:t>
      </w:r>
      <w:proofErr w:type="spellStart"/>
      <w:r w:rsidRPr="00D40127">
        <w:t>galcanezumab</w:t>
      </w:r>
      <w:proofErr w:type="spellEnd"/>
      <w:r w:rsidRPr="00D40127">
        <w:t xml:space="preserve"> in terms of effectiveness</w:t>
      </w:r>
      <w:r w:rsidRPr="001452E2">
        <w:t xml:space="preserve"> and safety and that the equi-effective doses were </w:t>
      </w:r>
      <w:proofErr w:type="spellStart"/>
      <w:r w:rsidRPr="001452E2">
        <w:t>fremanezumab</w:t>
      </w:r>
      <w:proofErr w:type="spellEnd"/>
      <w:r w:rsidRPr="001452E2">
        <w:t xml:space="preserve"> 225 mg every month and </w:t>
      </w:r>
      <w:proofErr w:type="spellStart"/>
      <w:r w:rsidRPr="001452E2">
        <w:t>galcanezumab</w:t>
      </w:r>
      <w:proofErr w:type="spellEnd"/>
      <w:r w:rsidRPr="001452E2">
        <w:t xml:space="preserve"> 240 mg initially followed by 120 mg every month (paragraph 6.9, </w:t>
      </w:r>
      <w:proofErr w:type="spellStart"/>
      <w:r w:rsidRPr="001452E2">
        <w:t>fremanezumab</w:t>
      </w:r>
      <w:proofErr w:type="spellEnd"/>
      <w:r w:rsidRPr="001452E2">
        <w:t xml:space="preserve"> PSD, March 2020 PBAC meeting. </w:t>
      </w:r>
    </w:p>
    <w:p w:rsidR="00CA0291" w:rsidRDefault="00CA0291" w:rsidP="00977369">
      <w:pPr>
        <w:pStyle w:val="3Bodytext"/>
      </w:pPr>
      <w:r w:rsidRPr="008B26DE">
        <w:lastRenderedPageBreak/>
        <w:t xml:space="preserve">The PBAC recommended that </w:t>
      </w:r>
      <w:proofErr w:type="spellStart"/>
      <w:r w:rsidRPr="008B26DE">
        <w:t>galcanezumab</w:t>
      </w:r>
      <w:proofErr w:type="spellEnd"/>
      <w:r w:rsidRPr="008B26DE">
        <w:t xml:space="preserve"> should not be treated as interchangeable on an individual patient basis with Botox but could be treated as interchangeable on an individual patient basis with </w:t>
      </w:r>
      <w:proofErr w:type="spellStart"/>
      <w:r w:rsidRPr="008B26DE">
        <w:t>fremanezumab</w:t>
      </w:r>
      <w:proofErr w:type="spellEnd"/>
      <w:r w:rsidR="00AF76B0" w:rsidRPr="008B26DE">
        <w:t xml:space="preserve"> should both be listed on the PBS</w:t>
      </w:r>
      <w:r w:rsidRPr="008B26DE">
        <w:t xml:space="preserve">. </w:t>
      </w:r>
    </w:p>
    <w:p w:rsidR="005164AB" w:rsidRPr="008B26DE" w:rsidRDefault="005164AB" w:rsidP="00977369">
      <w:pPr>
        <w:pStyle w:val="3Bodytext"/>
      </w:pPr>
      <w:r>
        <w:t xml:space="preserve">The PBAC considered that should another CGRP inhibitor be listed on the PBS the restriction for all CGRP inhibitors should be amended to exclude sequential use (except in the circumstance of intolerance) until such time evidence is provided </w:t>
      </w:r>
      <w:r w:rsidR="000F41D7">
        <w:t xml:space="preserve">to </w:t>
      </w:r>
      <w:r>
        <w:t xml:space="preserve">the PBAC to demonstrate the clinical benefit and cost-effectiveness of sequential use. </w:t>
      </w:r>
    </w:p>
    <w:p w:rsidR="00CA0291" w:rsidRPr="008B26DE" w:rsidRDefault="00CA0291" w:rsidP="00977369">
      <w:pPr>
        <w:pStyle w:val="3Bodytext"/>
      </w:pPr>
      <w:r w:rsidRPr="008B26DE">
        <w:t xml:space="preserve">The PBAC noted that this resubmission is not eligible for an Independent Review. </w:t>
      </w:r>
    </w:p>
    <w:p w:rsidR="00DF6BC9" w:rsidRPr="008B26DE" w:rsidRDefault="00DF6BC9" w:rsidP="00073601">
      <w:pPr>
        <w:keepNext/>
        <w:jc w:val="left"/>
        <w:rPr>
          <w:b/>
        </w:rPr>
      </w:pPr>
      <w:r w:rsidRPr="008B26DE">
        <w:rPr>
          <w:b/>
        </w:rPr>
        <w:t xml:space="preserve">Outcome: </w:t>
      </w:r>
    </w:p>
    <w:p w:rsidR="00DF6BC9" w:rsidRPr="008B26DE" w:rsidRDefault="00BB68AF" w:rsidP="00073601">
      <w:pPr>
        <w:keepNext/>
        <w:jc w:val="left"/>
      </w:pPr>
      <w:r>
        <w:t>Advised</w:t>
      </w:r>
    </w:p>
    <w:p w:rsidR="001C473B" w:rsidRPr="008B26DE" w:rsidRDefault="001C473B" w:rsidP="00D8784C">
      <w:pPr>
        <w:pStyle w:val="Heading1"/>
        <w:keepLines/>
        <w:numPr>
          <w:ilvl w:val="0"/>
          <w:numId w:val="3"/>
        </w:numPr>
        <w:spacing w:before="240"/>
        <w:ind w:left="709" w:hanging="709"/>
        <w:rPr>
          <w:sz w:val="32"/>
          <w:szCs w:val="32"/>
        </w:rPr>
      </w:pPr>
      <w:r w:rsidRPr="008B26DE">
        <w:rPr>
          <w:sz w:val="32"/>
          <w:szCs w:val="32"/>
        </w:rPr>
        <w:t>Recommended listing</w:t>
      </w:r>
    </w:p>
    <w:p w:rsidR="001C473B" w:rsidRPr="008B26DE" w:rsidRDefault="001C473B" w:rsidP="00D8784C">
      <w:pPr>
        <w:pStyle w:val="3Bodytext"/>
        <w:rPr>
          <w:b/>
          <w:snapToGrid w:val="0"/>
        </w:rPr>
      </w:pPr>
      <w:r w:rsidRPr="008B26DE">
        <w:rPr>
          <w:rFonts w:cs="Arial"/>
          <w:bCs/>
          <w:snapToGrid w:val="0"/>
        </w:rPr>
        <w:t>Add new</w:t>
      </w:r>
      <w:r w:rsidR="00EA5100">
        <w:rPr>
          <w:rFonts w:cs="Arial"/>
          <w:bCs/>
          <w:snapToGrid w:val="0"/>
        </w:rPr>
        <w:t xml:space="preserve"> medicinal product as per the July 2019 PBAC meeting recommendation</w:t>
      </w:r>
      <w:r w:rsidR="002A3F32">
        <w:rPr>
          <w:rFonts w:cs="Arial"/>
          <w:bCs/>
          <w:snapToGrid w:val="0"/>
        </w:rPr>
        <w:t>, but with the following updated PBS-listing</w:t>
      </w:r>
      <w:r w:rsidRPr="008B26DE">
        <w:rPr>
          <w:rFonts w:cs="Arial"/>
          <w:bCs/>
          <w:snapToGrid w:val="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694"/>
        <w:gridCol w:w="992"/>
        <w:gridCol w:w="850"/>
        <w:gridCol w:w="851"/>
        <w:gridCol w:w="832"/>
        <w:gridCol w:w="1668"/>
      </w:tblGrid>
      <w:tr w:rsidR="00411E9E" w:rsidRPr="008B26DE" w:rsidTr="00073601">
        <w:trPr>
          <w:trHeight w:val="454"/>
        </w:trPr>
        <w:tc>
          <w:tcPr>
            <w:tcW w:w="3823" w:type="dxa"/>
            <w:gridSpan w:val="2"/>
            <w:vAlign w:val="center"/>
          </w:tcPr>
          <w:p w:rsidR="00411E9E" w:rsidRDefault="00411E9E" w:rsidP="00411E9E">
            <w:pPr>
              <w:jc w:val="left"/>
              <w:rPr>
                <w:rFonts w:ascii="Arial Narrow" w:hAnsi="Arial Narrow"/>
                <w:b/>
                <w:sz w:val="18"/>
                <w:szCs w:val="20"/>
              </w:rPr>
            </w:pPr>
            <w:r>
              <w:rPr>
                <w:rFonts w:ascii="Arial Narrow" w:hAnsi="Arial Narrow"/>
                <w:b/>
                <w:sz w:val="18"/>
                <w:szCs w:val="20"/>
              </w:rPr>
              <w:t>MEDICINAL PRODUCT</w:t>
            </w:r>
          </w:p>
          <w:p w:rsidR="00411E9E" w:rsidRPr="008B26DE" w:rsidRDefault="00411E9E" w:rsidP="00411E9E">
            <w:pPr>
              <w:jc w:val="left"/>
              <w:rPr>
                <w:rFonts w:ascii="Arial Narrow" w:hAnsi="Arial Narrow"/>
                <w:b/>
                <w:bCs/>
                <w:sz w:val="18"/>
                <w:szCs w:val="20"/>
              </w:rPr>
            </w:pPr>
            <w:r>
              <w:rPr>
                <w:rFonts w:ascii="Arial Narrow" w:hAnsi="Arial Narrow"/>
                <w:b/>
                <w:sz w:val="18"/>
                <w:szCs w:val="20"/>
              </w:rPr>
              <w:t>medicinal product pack</w:t>
            </w:r>
          </w:p>
        </w:tc>
        <w:tc>
          <w:tcPr>
            <w:tcW w:w="992" w:type="dxa"/>
          </w:tcPr>
          <w:p w:rsidR="00411E9E" w:rsidRPr="008B26DE" w:rsidRDefault="00411E9E" w:rsidP="00FE7267">
            <w:pPr>
              <w:jc w:val="center"/>
              <w:rPr>
                <w:rFonts w:ascii="Arial Narrow" w:hAnsi="Arial Narrow"/>
                <w:b/>
                <w:sz w:val="18"/>
                <w:szCs w:val="20"/>
              </w:rPr>
            </w:pPr>
            <w:r>
              <w:rPr>
                <w:rFonts w:ascii="Arial Narrow" w:hAnsi="Arial Narrow"/>
                <w:b/>
                <w:sz w:val="18"/>
                <w:szCs w:val="20"/>
              </w:rPr>
              <w:t>PBS item code</w:t>
            </w:r>
          </w:p>
        </w:tc>
        <w:tc>
          <w:tcPr>
            <w:tcW w:w="850" w:type="dxa"/>
            <w:vAlign w:val="center"/>
          </w:tcPr>
          <w:p w:rsidR="00411E9E" w:rsidRPr="008B26DE" w:rsidRDefault="00411E9E" w:rsidP="00411E9E">
            <w:pPr>
              <w:jc w:val="center"/>
              <w:rPr>
                <w:rFonts w:ascii="Arial Narrow" w:hAnsi="Arial Narrow"/>
                <w:b/>
                <w:bCs/>
                <w:sz w:val="18"/>
                <w:szCs w:val="20"/>
              </w:rPr>
            </w:pPr>
            <w:r w:rsidRPr="008B26DE">
              <w:rPr>
                <w:rFonts w:ascii="Arial Narrow" w:hAnsi="Arial Narrow"/>
                <w:b/>
                <w:sz w:val="18"/>
                <w:szCs w:val="20"/>
              </w:rPr>
              <w:t>Max</w:t>
            </w:r>
            <w:r>
              <w:rPr>
                <w:rFonts w:ascii="Arial Narrow" w:hAnsi="Arial Narrow"/>
                <w:b/>
                <w:sz w:val="18"/>
                <w:szCs w:val="20"/>
              </w:rPr>
              <w:t xml:space="preserve">. Qty </w:t>
            </w:r>
            <w:r w:rsidRPr="008B26DE">
              <w:rPr>
                <w:rFonts w:ascii="Arial Narrow" w:hAnsi="Arial Narrow"/>
                <w:b/>
                <w:sz w:val="18"/>
                <w:szCs w:val="20"/>
              </w:rPr>
              <w:t>(packs)</w:t>
            </w:r>
          </w:p>
        </w:tc>
        <w:tc>
          <w:tcPr>
            <w:tcW w:w="851" w:type="dxa"/>
            <w:vAlign w:val="center"/>
          </w:tcPr>
          <w:p w:rsidR="00411E9E" w:rsidRPr="008B26DE" w:rsidRDefault="00411E9E" w:rsidP="00411E9E">
            <w:pPr>
              <w:jc w:val="center"/>
              <w:rPr>
                <w:rFonts w:ascii="Arial Narrow" w:hAnsi="Arial Narrow"/>
                <w:b/>
                <w:bCs/>
                <w:sz w:val="18"/>
                <w:szCs w:val="20"/>
              </w:rPr>
            </w:pPr>
            <w:r>
              <w:rPr>
                <w:rFonts w:ascii="Arial Narrow" w:hAnsi="Arial Narrow"/>
                <w:b/>
                <w:sz w:val="18"/>
                <w:szCs w:val="20"/>
              </w:rPr>
              <w:t>Max. Qty</w:t>
            </w:r>
            <w:r w:rsidRPr="008B26DE">
              <w:rPr>
                <w:rFonts w:ascii="Arial Narrow" w:hAnsi="Arial Narrow"/>
                <w:b/>
                <w:sz w:val="18"/>
                <w:szCs w:val="20"/>
              </w:rPr>
              <w:t xml:space="preserve"> (units)</w:t>
            </w:r>
          </w:p>
        </w:tc>
        <w:tc>
          <w:tcPr>
            <w:tcW w:w="832" w:type="dxa"/>
            <w:vAlign w:val="center"/>
          </w:tcPr>
          <w:p w:rsidR="00411E9E" w:rsidRDefault="00411E9E" w:rsidP="00411E9E">
            <w:pPr>
              <w:jc w:val="center"/>
              <w:rPr>
                <w:rFonts w:ascii="Arial Narrow" w:hAnsi="Arial Narrow"/>
                <w:b/>
                <w:sz w:val="18"/>
                <w:szCs w:val="20"/>
              </w:rPr>
            </w:pPr>
            <w:r w:rsidRPr="008B26DE">
              <w:rPr>
                <w:rFonts w:ascii="Arial Narrow" w:hAnsi="Arial Narrow"/>
                <w:b/>
                <w:sz w:val="18"/>
                <w:szCs w:val="20"/>
              </w:rPr>
              <w:t>No. of</w:t>
            </w:r>
          </w:p>
          <w:p w:rsidR="00411E9E" w:rsidRPr="008B26DE" w:rsidRDefault="00411E9E" w:rsidP="00411E9E">
            <w:pPr>
              <w:jc w:val="center"/>
              <w:rPr>
                <w:rFonts w:ascii="Arial Narrow" w:hAnsi="Arial Narrow"/>
                <w:b/>
                <w:bCs/>
                <w:sz w:val="18"/>
                <w:szCs w:val="20"/>
              </w:rPr>
            </w:pPr>
            <w:r w:rsidRPr="008B26DE">
              <w:rPr>
                <w:rFonts w:ascii="Arial Narrow" w:hAnsi="Arial Narrow"/>
                <w:b/>
                <w:sz w:val="18"/>
                <w:szCs w:val="20"/>
              </w:rPr>
              <w:t>repeats</w:t>
            </w:r>
          </w:p>
        </w:tc>
        <w:tc>
          <w:tcPr>
            <w:tcW w:w="1668" w:type="dxa"/>
            <w:vAlign w:val="center"/>
          </w:tcPr>
          <w:p w:rsidR="00411E9E" w:rsidRPr="008B26DE" w:rsidRDefault="00411E9E" w:rsidP="00411E9E">
            <w:pPr>
              <w:ind w:right="803"/>
              <w:rPr>
                <w:rFonts w:ascii="Arial Narrow" w:hAnsi="Arial Narrow"/>
                <w:b/>
                <w:bCs/>
                <w:sz w:val="18"/>
                <w:szCs w:val="20"/>
              </w:rPr>
            </w:pPr>
            <w:r>
              <w:rPr>
                <w:rFonts w:ascii="Arial Narrow" w:hAnsi="Arial Narrow"/>
                <w:b/>
                <w:sz w:val="18"/>
                <w:szCs w:val="20"/>
              </w:rPr>
              <w:t>Available brands</w:t>
            </w:r>
          </w:p>
        </w:tc>
      </w:tr>
      <w:tr w:rsidR="00411E9E" w:rsidRPr="008B26DE" w:rsidTr="00073601">
        <w:trPr>
          <w:trHeight w:val="546"/>
        </w:trPr>
        <w:tc>
          <w:tcPr>
            <w:tcW w:w="3823" w:type="dxa"/>
            <w:gridSpan w:val="2"/>
            <w:vAlign w:val="center"/>
          </w:tcPr>
          <w:p w:rsidR="00411E9E" w:rsidRPr="008B26DE" w:rsidRDefault="00411E9E" w:rsidP="00073601">
            <w:pPr>
              <w:pStyle w:val="Tabletext"/>
              <w:spacing w:after="0"/>
              <w:rPr>
                <w:sz w:val="18"/>
              </w:rPr>
            </w:pPr>
            <w:r w:rsidRPr="008B26DE">
              <w:rPr>
                <w:sz w:val="18"/>
              </w:rPr>
              <w:t>GALCANEZUMAB</w:t>
            </w:r>
          </w:p>
          <w:p w:rsidR="00411E9E" w:rsidRPr="008B26DE" w:rsidRDefault="00411E9E" w:rsidP="00073601">
            <w:pPr>
              <w:pStyle w:val="Tabletext"/>
              <w:spacing w:after="0"/>
              <w:rPr>
                <w:b/>
                <w:bCs/>
                <w:sz w:val="18"/>
              </w:rPr>
            </w:pPr>
            <w:proofErr w:type="spellStart"/>
            <w:r>
              <w:rPr>
                <w:sz w:val="18"/>
              </w:rPr>
              <w:t>galcanezumab</w:t>
            </w:r>
            <w:proofErr w:type="spellEnd"/>
            <w:r>
              <w:rPr>
                <w:sz w:val="18"/>
              </w:rPr>
              <w:t xml:space="preserve"> </w:t>
            </w:r>
            <w:r w:rsidRPr="008B26DE">
              <w:rPr>
                <w:sz w:val="18"/>
              </w:rPr>
              <w:t>120 mg/1 mL</w:t>
            </w:r>
            <w:r>
              <w:rPr>
                <w:sz w:val="18"/>
              </w:rPr>
              <w:t xml:space="preserve"> injection</w:t>
            </w:r>
            <w:r w:rsidRPr="008B26DE">
              <w:rPr>
                <w:sz w:val="18"/>
              </w:rPr>
              <w:t xml:space="preserve">, </w:t>
            </w:r>
            <w:r>
              <w:rPr>
                <w:sz w:val="18"/>
              </w:rPr>
              <w:t xml:space="preserve">1 mL </w:t>
            </w:r>
            <w:r w:rsidRPr="008B26DE">
              <w:rPr>
                <w:sz w:val="18"/>
              </w:rPr>
              <w:t>pen</w:t>
            </w:r>
            <w:r>
              <w:rPr>
                <w:sz w:val="18"/>
              </w:rPr>
              <w:t xml:space="preserve"> device</w:t>
            </w:r>
          </w:p>
        </w:tc>
        <w:tc>
          <w:tcPr>
            <w:tcW w:w="992" w:type="dxa"/>
            <w:vAlign w:val="center"/>
          </w:tcPr>
          <w:p w:rsidR="00411E9E" w:rsidRPr="008B26DE" w:rsidRDefault="00411E9E" w:rsidP="00073601">
            <w:pPr>
              <w:pStyle w:val="Tabletext"/>
              <w:spacing w:after="0"/>
              <w:jc w:val="center"/>
              <w:rPr>
                <w:sz w:val="18"/>
              </w:rPr>
            </w:pPr>
            <w:r>
              <w:rPr>
                <w:sz w:val="18"/>
              </w:rPr>
              <w:t>NEW</w:t>
            </w:r>
          </w:p>
        </w:tc>
        <w:tc>
          <w:tcPr>
            <w:tcW w:w="850" w:type="dxa"/>
            <w:vAlign w:val="center"/>
          </w:tcPr>
          <w:p w:rsidR="00411E9E" w:rsidRPr="008B26DE" w:rsidRDefault="00411E9E" w:rsidP="00073601">
            <w:pPr>
              <w:pStyle w:val="Tabletext"/>
              <w:spacing w:after="0"/>
              <w:jc w:val="center"/>
              <w:rPr>
                <w:sz w:val="18"/>
              </w:rPr>
            </w:pPr>
            <w:r w:rsidRPr="008B26DE">
              <w:rPr>
                <w:sz w:val="18"/>
              </w:rPr>
              <w:t>2</w:t>
            </w:r>
          </w:p>
        </w:tc>
        <w:tc>
          <w:tcPr>
            <w:tcW w:w="851" w:type="dxa"/>
            <w:vAlign w:val="center"/>
          </w:tcPr>
          <w:p w:rsidR="00411E9E" w:rsidRPr="008B26DE" w:rsidRDefault="00411E9E" w:rsidP="00073601">
            <w:pPr>
              <w:pStyle w:val="Tabletext"/>
              <w:spacing w:after="0"/>
              <w:jc w:val="center"/>
              <w:rPr>
                <w:sz w:val="18"/>
              </w:rPr>
            </w:pPr>
            <w:r w:rsidRPr="008B26DE">
              <w:rPr>
                <w:sz w:val="18"/>
              </w:rPr>
              <w:t>2</w:t>
            </w:r>
          </w:p>
        </w:tc>
        <w:tc>
          <w:tcPr>
            <w:tcW w:w="832" w:type="dxa"/>
            <w:vAlign w:val="center"/>
          </w:tcPr>
          <w:p w:rsidR="00411E9E" w:rsidRPr="008B26DE" w:rsidRDefault="00411E9E" w:rsidP="00073601">
            <w:pPr>
              <w:pStyle w:val="Tabletext"/>
              <w:spacing w:after="0"/>
              <w:jc w:val="center"/>
              <w:rPr>
                <w:strike/>
                <w:sz w:val="18"/>
              </w:rPr>
            </w:pPr>
            <w:r w:rsidRPr="008B26DE">
              <w:rPr>
                <w:sz w:val="18"/>
              </w:rPr>
              <w:t>1</w:t>
            </w:r>
          </w:p>
        </w:tc>
        <w:tc>
          <w:tcPr>
            <w:tcW w:w="1668" w:type="dxa"/>
            <w:vAlign w:val="center"/>
          </w:tcPr>
          <w:p w:rsidR="00411E9E" w:rsidRPr="008B26DE" w:rsidRDefault="00411E9E" w:rsidP="00073601">
            <w:pPr>
              <w:pStyle w:val="Tabletext"/>
              <w:spacing w:after="0"/>
              <w:rPr>
                <w:sz w:val="18"/>
              </w:rPr>
            </w:pPr>
            <w:proofErr w:type="spellStart"/>
            <w:r w:rsidRPr="008B26DE">
              <w:rPr>
                <w:sz w:val="18"/>
              </w:rPr>
              <w:t>Emgality</w:t>
            </w:r>
            <w:proofErr w:type="spellEnd"/>
          </w:p>
        </w:tc>
      </w:tr>
      <w:tr w:rsidR="00411E9E" w:rsidRPr="008B26DE" w:rsidTr="00411E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54"/>
        </w:trPr>
        <w:tc>
          <w:tcPr>
            <w:tcW w:w="9016" w:type="dxa"/>
            <w:gridSpan w:val="7"/>
            <w:tcBorders>
              <w:top w:val="single" w:sz="4" w:space="0" w:color="auto"/>
              <w:left w:val="single" w:sz="4" w:space="0" w:color="auto"/>
              <w:right w:val="single" w:sz="4" w:space="0" w:color="auto"/>
            </w:tcBorders>
          </w:tcPr>
          <w:p w:rsidR="00411E9E" w:rsidRPr="008B26DE" w:rsidRDefault="00411E9E" w:rsidP="00D31BEC">
            <w:pPr>
              <w:pStyle w:val="Tabletext"/>
              <w:spacing w:after="0"/>
              <w:rPr>
                <w:b/>
                <w:sz w:val="18"/>
                <w:szCs w:val="18"/>
              </w:rPr>
            </w:pPr>
          </w:p>
        </w:tc>
      </w:tr>
      <w:tr w:rsidR="00411E9E" w:rsidRPr="008B26DE" w:rsidTr="00411E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54"/>
        </w:trPr>
        <w:tc>
          <w:tcPr>
            <w:tcW w:w="9016" w:type="dxa"/>
            <w:gridSpan w:val="7"/>
            <w:tcBorders>
              <w:top w:val="single" w:sz="4" w:space="0" w:color="auto"/>
              <w:left w:val="single" w:sz="4" w:space="0" w:color="auto"/>
              <w:right w:val="single" w:sz="4" w:space="0" w:color="auto"/>
            </w:tcBorders>
          </w:tcPr>
          <w:p w:rsidR="00411E9E" w:rsidRPr="008B26DE" w:rsidRDefault="00411E9E" w:rsidP="00D31BEC">
            <w:pPr>
              <w:pStyle w:val="Tabletext"/>
              <w:spacing w:after="0"/>
              <w:rPr>
                <w:b/>
                <w:sz w:val="18"/>
                <w:szCs w:val="18"/>
              </w:rPr>
            </w:pPr>
            <w:r w:rsidRPr="00411E9E">
              <w:rPr>
                <w:b/>
                <w:sz w:val="18"/>
                <w:szCs w:val="18"/>
              </w:rPr>
              <w:t>Restriction summary [new]:</w:t>
            </w:r>
          </w:p>
        </w:tc>
      </w:tr>
      <w:tr w:rsidR="007D2AC8" w:rsidRPr="008B26DE" w:rsidTr="00411E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54"/>
        </w:trPr>
        <w:tc>
          <w:tcPr>
            <w:tcW w:w="1129" w:type="dxa"/>
            <w:vMerge w:val="restart"/>
            <w:tcBorders>
              <w:top w:val="single" w:sz="4" w:space="0" w:color="auto"/>
              <w:left w:val="single" w:sz="4" w:space="0" w:color="auto"/>
              <w:right w:val="single" w:sz="4" w:space="0" w:color="auto"/>
            </w:tcBorders>
          </w:tcPr>
          <w:p w:rsidR="007D2AC8" w:rsidRPr="00EA5100" w:rsidRDefault="007D2AC8" w:rsidP="00EA5100">
            <w:pPr>
              <w:pStyle w:val="Tabletext"/>
              <w:spacing w:after="0"/>
              <w:jc w:val="center"/>
              <w:rPr>
                <w:b/>
                <w:sz w:val="18"/>
                <w:szCs w:val="18"/>
              </w:rPr>
            </w:pPr>
            <w:r w:rsidRPr="00EA5100">
              <w:rPr>
                <w:b/>
                <w:sz w:val="18"/>
                <w:szCs w:val="18"/>
              </w:rPr>
              <w:t>Concept Id:</w:t>
            </w:r>
          </w:p>
          <w:p w:rsidR="00EA5100" w:rsidRDefault="00EA5100" w:rsidP="00EA5100">
            <w:pPr>
              <w:pStyle w:val="Tabletext"/>
              <w:spacing w:after="0"/>
              <w:jc w:val="center"/>
              <w:rPr>
                <w:sz w:val="18"/>
                <w:szCs w:val="18"/>
              </w:rPr>
            </w:pPr>
          </w:p>
          <w:p w:rsidR="007D2AC8" w:rsidRPr="00EA5100" w:rsidRDefault="007D2AC8" w:rsidP="00EA5100">
            <w:pPr>
              <w:pStyle w:val="Tabletext"/>
              <w:spacing w:after="0"/>
              <w:jc w:val="center"/>
              <w:rPr>
                <w:sz w:val="18"/>
                <w:szCs w:val="18"/>
              </w:rPr>
            </w:pPr>
            <w:r w:rsidRPr="00EA5100">
              <w:rPr>
                <w:sz w:val="18"/>
                <w:szCs w:val="18"/>
              </w:rPr>
              <w:t>(for internal Dept. use)</w:t>
            </w:r>
          </w:p>
        </w:tc>
        <w:tc>
          <w:tcPr>
            <w:tcW w:w="7887" w:type="dxa"/>
            <w:gridSpan w:val="6"/>
            <w:tcBorders>
              <w:top w:val="single" w:sz="4" w:space="0" w:color="auto"/>
              <w:left w:val="single" w:sz="4" w:space="0" w:color="auto"/>
              <w:bottom w:val="single" w:sz="4" w:space="0" w:color="auto"/>
              <w:right w:val="single" w:sz="4" w:space="0" w:color="auto"/>
            </w:tcBorders>
            <w:vAlign w:val="center"/>
          </w:tcPr>
          <w:p w:rsidR="007D2AC8" w:rsidRPr="008B26DE" w:rsidRDefault="007D2AC8" w:rsidP="00D31BEC">
            <w:pPr>
              <w:pStyle w:val="Tabletext"/>
              <w:spacing w:after="0"/>
              <w:rPr>
                <w:sz w:val="18"/>
                <w:szCs w:val="18"/>
              </w:rPr>
            </w:pPr>
            <w:r w:rsidRPr="008B26DE">
              <w:rPr>
                <w:b/>
                <w:sz w:val="18"/>
                <w:szCs w:val="18"/>
              </w:rPr>
              <w:t xml:space="preserve">Category/Program: </w:t>
            </w:r>
            <w:r w:rsidRPr="008B26DE">
              <w:rPr>
                <w:sz w:val="18"/>
                <w:szCs w:val="18"/>
              </w:rPr>
              <w:t>Section 85 - General Schedule – Code (GE)</w:t>
            </w:r>
          </w:p>
        </w:tc>
      </w:tr>
      <w:tr w:rsidR="007D2AC8" w:rsidRPr="008B26DE" w:rsidTr="00411E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54"/>
        </w:trPr>
        <w:tc>
          <w:tcPr>
            <w:tcW w:w="1129" w:type="dxa"/>
            <w:vMerge/>
            <w:tcBorders>
              <w:left w:val="single" w:sz="4" w:space="0" w:color="auto"/>
              <w:right w:val="single" w:sz="4" w:space="0" w:color="auto"/>
            </w:tcBorders>
          </w:tcPr>
          <w:p w:rsidR="007D2AC8" w:rsidRPr="008B26DE" w:rsidRDefault="007D2AC8" w:rsidP="00D31BEC">
            <w:pPr>
              <w:pStyle w:val="Tabletext"/>
              <w:spacing w:after="0"/>
              <w:rPr>
                <w:sz w:val="18"/>
                <w:szCs w:val="18"/>
              </w:rPr>
            </w:pPr>
          </w:p>
        </w:tc>
        <w:tc>
          <w:tcPr>
            <w:tcW w:w="7887" w:type="dxa"/>
            <w:gridSpan w:val="6"/>
            <w:tcBorders>
              <w:top w:val="single" w:sz="4" w:space="0" w:color="auto"/>
              <w:left w:val="single" w:sz="4" w:space="0" w:color="auto"/>
              <w:bottom w:val="single" w:sz="4" w:space="0" w:color="auto"/>
              <w:right w:val="single" w:sz="4" w:space="0" w:color="auto"/>
            </w:tcBorders>
            <w:vAlign w:val="center"/>
          </w:tcPr>
          <w:p w:rsidR="007D2AC8" w:rsidRPr="008B26DE" w:rsidRDefault="007D2AC8" w:rsidP="00D31BEC">
            <w:pPr>
              <w:pStyle w:val="Tabletext"/>
              <w:spacing w:after="0"/>
              <w:rPr>
                <w:sz w:val="18"/>
                <w:szCs w:val="18"/>
              </w:rPr>
            </w:pPr>
            <w:r w:rsidRPr="008B26DE">
              <w:rPr>
                <w:b/>
                <w:sz w:val="18"/>
                <w:szCs w:val="18"/>
              </w:rPr>
              <w:t xml:space="preserve">Prescriber type: </w:t>
            </w:r>
            <w:r w:rsidRPr="00F5303D">
              <w:rPr>
                <w:sz w:val="18"/>
                <w:szCs w:val="18"/>
              </w:rPr>
              <w:fldChar w:fldCharType="begin">
                <w:ffData>
                  <w:name w:val=""/>
                  <w:enabled/>
                  <w:calcOnExit w:val="0"/>
                  <w:checkBox>
                    <w:sizeAuto/>
                    <w:default w:val="1"/>
                  </w:checkBox>
                </w:ffData>
              </w:fldChar>
            </w:r>
            <w:r w:rsidRPr="008B26DE">
              <w:rPr>
                <w:sz w:val="18"/>
                <w:szCs w:val="18"/>
              </w:rPr>
              <w:instrText xml:space="preserve"> FORMCHECKBOX </w:instrText>
            </w:r>
            <w:r w:rsidR="001936D5">
              <w:rPr>
                <w:sz w:val="18"/>
                <w:szCs w:val="18"/>
              </w:rPr>
            </w:r>
            <w:r w:rsidR="001936D5">
              <w:rPr>
                <w:sz w:val="18"/>
                <w:szCs w:val="18"/>
              </w:rPr>
              <w:fldChar w:fldCharType="separate"/>
            </w:r>
            <w:r w:rsidRPr="00F5303D">
              <w:rPr>
                <w:sz w:val="18"/>
                <w:szCs w:val="18"/>
              </w:rPr>
              <w:fldChar w:fldCharType="end"/>
            </w:r>
            <w:r w:rsidR="00EA5100">
              <w:rPr>
                <w:sz w:val="18"/>
                <w:szCs w:val="18"/>
              </w:rPr>
              <w:t xml:space="preserve"> </w:t>
            </w:r>
            <w:r w:rsidRPr="008B26DE">
              <w:rPr>
                <w:sz w:val="18"/>
                <w:szCs w:val="18"/>
              </w:rPr>
              <w:t xml:space="preserve">Medical Practitioners  </w:t>
            </w:r>
          </w:p>
        </w:tc>
      </w:tr>
      <w:tr w:rsidR="007D2AC8" w:rsidRPr="008B26DE" w:rsidTr="00411E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1129" w:type="dxa"/>
            <w:vMerge/>
            <w:tcBorders>
              <w:left w:val="single" w:sz="4" w:space="0" w:color="auto"/>
              <w:bottom w:val="single" w:sz="4" w:space="0" w:color="auto"/>
              <w:right w:val="single" w:sz="4" w:space="0" w:color="auto"/>
            </w:tcBorders>
          </w:tcPr>
          <w:p w:rsidR="007D2AC8" w:rsidRPr="008B26DE" w:rsidRDefault="007D2AC8" w:rsidP="00D31BEC">
            <w:pPr>
              <w:pStyle w:val="Tabletext"/>
              <w:spacing w:after="0"/>
              <w:rPr>
                <w:sz w:val="18"/>
                <w:szCs w:val="18"/>
              </w:rPr>
            </w:pPr>
          </w:p>
        </w:tc>
        <w:tc>
          <w:tcPr>
            <w:tcW w:w="7887" w:type="dxa"/>
            <w:gridSpan w:val="6"/>
            <w:tcBorders>
              <w:top w:val="single" w:sz="4" w:space="0" w:color="auto"/>
              <w:left w:val="single" w:sz="4" w:space="0" w:color="auto"/>
              <w:bottom w:val="single" w:sz="4" w:space="0" w:color="auto"/>
              <w:right w:val="single" w:sz="4" w:space="0" w:color="auto"/>
            </w:tcBorders>
            <w:vAlign w:val="center"/>
          </w:tcPr>
          <w:p w:rsidR="007D2AC8" w:rsidRPr="008B26DE" w:rsidRDefault="007D2AC8" w:rsidP="00FE7267">
            <w:pPr>
              <w:pStyle w:val="Tabletext"/>
              <w:spacing w:after="0"/>
              <w:rPr>
                <w:sz w:val="18"/>
                <w:szCs w:val="18"/>
              </w:rPr>
            </w:pPr>
            <w:r w:rsidRPr="008B26DE">
              <w:rPr>
                <w:b/>
                <w:sz w:val="18"/>
                <w:szCs w:val="18"/>
              </w:rPr>
              <w:t xml:space="preserve">Restriction type/ method: </w:t>
            </w:r>
            <w:r w:rsidRPr="00F5303D">
              <w:rPr>
                <w:sz w:val="18"/>
                <w:szCs w:val="18"/>
              </w:rPr>
              <w:fldChar w:fldCharType="begin">
                <w:ffData>
                  <w:name w:val="Check3"/>
                  <w:enabled/>
                  <w:calcOnExit w:val="0"/>
                  <w:checkBox>
                    <w:sizeAuto/>
                    <w:default w:val="1"/>
                  </w:checkBox>
                </w:ffData>
              </w:fldChar>
            </w:r>
            <w:bookmarkStart w:id="8" w:name="Check3"/>
            <w:r w:rsidRPr="008B26DE">
              <w:rPr>
                <w:sz w:val="18"/>
                <w:szCs w:val="18"/>
              </w:rPr>
              <w:instrText xml:space="preserve"> FORMCHECKBOX </w:instrText>
            </w:r>
            <w:r w:rsidR="001936D5">
              <w:rPr>
                <w:sz w:val="18"/>
                <w:szCs w:val="18"/>
              </w:rPr>
            </w:r>
            <w:r w:rsidR="001936D5">
              <w:rPr>
                <w:sz w:val="18"/>
                <w:szCs w:val="18"/>
              </w:rPr>
              <w:fldChar w:fldCharType="separate"/>
            </w:r>
            <w:r w:rsidRPr="00F5303D">
              <w:rPr>
                <w:sz w:val="18"/>
                <w:szCs w:val="18"/>
              </w:rPr>
              <w:fldChar w:fldCharType="end"/>
            </w:r>
            <w:bookmarkEnd w:id="8"/>
            <w:r w:rsidRPr="008B26DE">
              <w:rPr>
                <w:sz w:val="18"/>
                <w:szCs w:val="18"/>
              </w:rPr>
              <w:t>Authority Required – immediate/real time assessment by Services Australia (telephone/online)</w:t>
            </w:r>
          </w:p>
        </w:tc>
      </w:tr>
      <w:tr w:rsidR="00A301D8" w:rsidRPr="008B26DE" w:rsidTr="00411E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140"/>
        </w:trPr>
        <w:tc>
          <w:tcPr>
            <w:tcW w:w="1129" w:type="dxa"/>
            <w:tcBorders>
              <w:top w:val="single" w:sz="4" w:space="0" w:color="auto"/>
              <w:left w:val="single" w:sz="4" w:space="0" w:color="auto"/>
              <w:bottom w:val="single" w:sz="4" w:space="0" w:color="auto"/>
              <w:right w:val="single" w:sz="4" w:space="0" w:color="auto"/>
            </w:tcBorders>
          </w:tcPr>
          <w:p w:rsidR="00A301D8" w:rsidRPr="008B26DE" w:rsidRDefault="00A301D8" w:rsidP="00EA5100">
            <w:pPr>
              <w:pStyle w:val="Tabletext"/>
              <w:spacing w:after="0"/>
              <w:jc w:val="center"/>
              <w:rPr>
                <w:sz w:val="18"/>
                <w:szCs w:val="18"/>
              </w:rPr>
            </w:pPr>
          </w:p>
        </w:tc>
        <w:tc>
          <w:tcPr>
            <w:tcW w:w="7887" w:type="dxa"/>
            <w:gridSpan w:val="6"/>
            <w:tcBorders>
              <w:top w:val="single" w:sz="4" w:space="0" w:color="auto"/>
              <w:left w:val="single" w:sz="4" w:space="0" w:color="auto"/>
              <w:bottom w:val="single" w:sz="4" w:space="0" w:color="auto"/>
              <w:right w:val="single" w:sz="4" w:space="0" w:color="auto"/>
            </w:tcBorders>
            <w:vAlign w:val="center"/>
          </w:tcPr>
          <w:p w:rsidR="00A301D8" w:rsidRPr="008B26DE" w:rsidRDefault="00A301D8" w:rsidP="00680EE8">
            <w:pPr>
              <w:pStyle w:val="Tabletext"/>
              <w:spacing w:after="0"/>
              <w:rPr>
                <w:sz w:val="18"/>
                <w:szCs w:val="18"/>
              </w:rPr>
            </w:pPr>
            <w:r w:rsidRPr="008B26DE">
              <w:rPr>
                <w:b/>
                <w:sz w:val="18"/>
                <w:szCs w:val="18"/>
              </w:rPr>
              <w:t>PBS indication:</w:t>
            </w:r>
            <w:r w:rsidRPr="008B26DE">
              <w:rPr>
                <w:sz w:val="18"/>
                <w:szCs w:val="18"/>
              </w:rPr>
              <w:t xml:space="preserve"> Chronic migraine</w:t>
            </w:r>
          </w:p>
        </w:tc>
      </w:tr>
      <w:tr w:rsidR="00A301D8" w:rsidRPr="008B26DE" w:rsidTr="00411E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229"/>
        </w:trPr>
        <w:tc>
          <w:tcPr>
            <w:tcW w:w="1129" w:type="dxa"/>
            <w:tcBorders>
              <w:top w:val="single" w:sz="4" w:space="0" w:color="auto"/>
              <w:left w:val="single" w:sz="4" w:space="0" w:color="auto"/>
              <w:bottom w:val="single" w:sz="4" w:space="0" w:color="auto"/>
              <w:right w:val="single" w:sz="4" w:space="0" w:color="auto"/>
            </w:tcBorders>
          </w:tcPr>
          <w:p w:rsidR="00A301D8" w:rsidRPr="008B26DE" w:rsidRDefault="00A301D8" w:rsidP="00EA5100">
            <w:pPr>
              <w:pStyle w:val="Tabletext"/>
              <w:spacing w:after="0"/>
              <w:jc w:val="center"/>
              <w:rPr>
                <w:sz w:val="18"/>
                <w:szCs w:val="18"/>
              </w:rPr>
            </w:pPr>
          </w:p>
        </w:tc>
        <w:tc>
          <w:tcPr>
            <w:tcW w:w="7887" w:type="dxa"/>
            <w:gridSpan w:val="6"/>
            <w:tcBorders>
              <w:top w:val="single" w:sz="4" w:space="0" w:color="auto"/>
              <w:left w:val="single" w:sz="4" w:space="0" w:color="auto"/>
              <w:bottom w:val="single" w:sz="4" w:space="0" w:color="auto"/>
              <w:right w:val="single" w:sz="4" w:space="0" w:color="auto"/>
            </w:tcBorders>
            <w:vAlign w:val="center"/>
          </w:tcPr>
          <w:p w:rsidR="00A301D8" w:rsidRPr="008B26DE" w:rsidRDefault="00A301D8" w:rsidP="00680EE8">
            <w:pPr>
              <w:pStyle w:val="Tabletext"/>
              <w:spacing w:after="0"/>
              <w:rPr>
                <w:sz w:val="18"/>
                <w:szCs w:val="18"/>
              </w:rPr>
            </w:pPr>
            <w:r w:rsidRPr="008B26DE">
              <w:rPr>
                <w:b/>
                <w:sz w:val="18"/>
                <w:szCs w:val="18"/>
              </w:rPr>
              <w:t>Treatment phase:</w:t>
            </w:r>
            <w:r w:rsidRPr="008B26DE">
              <w:rPr>
                <w:sz w:val="18"/>
                <w:szCs w:val="18"/>
              </w:rPr>
              <w:t xml:space="preserve"> Initial </w:t>
            </w:r>
            <w:r w:rsidRPr="008B26DE">
              <w:rPr>
                <w:color w:val="333333"/>
                <w:sz w:val="18"/>
                <w:szCs w:val="18"/>
              </w:rPr>
              <w:t>treatment covering the loading dose and doses at week 4 and week 8</w:t>
            </w:r>
          </w:p>
        </w:tc>
      </w:tr>
      <w:tr w:rsidR="00E67F5E" w:rsidRPr="008B26DE" w:rsidTr="00411E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1129" w:type="dxa"/>
            <w:tcBorders>
              <w:top w:val="single" w:sz="4" w:space="0" w:color="auto"/>
              <w:left w:val="single" w:sz="4" w:space="0" w:color="auto"/>
              <w:bottom w:val="single" w:sz="4" w:space="0" w:color="auto"/>
              <w:right w:val="single" w:sz="4" w:space="0" w:color="auto"/>
            </w:tcBorders>
          </w:tcPr>
          <w:p w:rsidR="00E67F5E" w:rsidRPr="008B26DE" w:rsidRDefault="00E67F5E" w:rsidP="00EA5100">
            <w:pPr>
              <w:pStyle w:val="Tabletext"/>
              <w:spacing w:after="0"/>
              <w:jc w:val="center"/>
              <w:rPr>
                <w:sz w:val="18"/>
                <w:szCs w:val="18"/>
              </w:rPr>
            </w:pPr>
          </w:p>
        </w:tc>
        <w:tc>
          <w:tcPr>
            <w:tcW w:w="7887" w:type="dxa"/>
            <w:gridSpan w:val="6"/>
            <w:tcBorders>
              <w:top w:val="single" w:sz="4" w:space="0" w:color="auto"/>
              <w:left w:val="single" w:sz="4" w:space="0" w:color="auto"/>
              <w:bottom w:val="single" w:sz="4" w:space="0" w:color="auto"/>
              <w:right w:val="single" w:sz="4" w:space="0" w:color="auto"/>
            </w:tcBorders>
            <w:vAlign w:val="center"/>
          </w:tcPr>
          <w:p w:rsidR="00E67F5E" w:rsidRPr="008B26DE" w:rsidRDefault="00E67F5E" w:rsidP="00680EE8">
            <w:pPr>
              <w:pStyle w:val="Tabletext"/>
              <w:spacing w:after="0"/>
              <w:rPr>
                <w:rFonts w:cs="Arial"/>
                <w:sz w:val="18"/>
                <w:szCs w:val="18"/>
              </w:rPr>
            </w:pPr>
            <w:r w:rsidRPr="008B26DE">
              <w:rPr>
                <w:b/>
                <w:sz w:val="18"/>
                <w:szCs w:val="18"/>
              </w:rPr>
              <w:t>Treatment criteria:</w:t>
            </w:r>
            <w:r w:rsidRPr="008B26DE">
              <w:rPr>
                <w:sz w:val="18"/>
                <w:szCs w:val="18"/>
              </w:rPr>
              <w:t xml:space="preserve"> </w:t>
            </w:r>
          </w:p>
        </w:tc>
      </w:tr>
      <w:tr w:rsidR="00A301D8" w:rsidRPr="008B26DE" w:rsidTr="00411E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1129" w:type="dxa"/>
            <w:tcBorders>
              <w:top w:val="single" w:sz="4" w:space="0" w:color="auto"/>
              <w:left w:val="single" w:sz="4" w:space="0" w:color="auto"/>
              <w:bottom w:val="single" w:sz="4" w:space="0" w:color="auto"/>
              <w:right w:val="single" w:sz="4" w:space="0" w:color="auto"/>
            </w:tcBorders>
          </w:tcPr>
          <w:p w:rsidR="00A301D8" w:rsidRPr="008B26DE" w:rsidRDefault="00A301D8" w:rsidP="00EA5100">
            <w:pPr>
              <w:pStyle w:val="Tabletext"/>
              <w:spacing w:after="0"/>
              <w:jc w:val="center"/>
              <w:rPr>
                <w:sz w:val="18"/>
                <w:szCs w:val="18"/>
              </w:rPr>
            </w:pPr>
          </w:p>
        </w:tc>
        <w:tc>
          <w:tcPr>
            <w:tcW w:w="7887" w:type="dxa"/>
            <w:gridSpan w:val="6"/>
            <w:tcBorders>
              <w:top w:val="single" w:sz="4" w:space="0" w:color="auto"/>
              <w:left w:val="single" w:sz="4" w:space="0" w:color="auto"/>
              <w:bottom w:val="single" w:sz="4" w:space="0" w:color="auto"/>
              <w:right w:val="single" w:sz="4" w:space="0" w:color="auto"/>
            </w:tcBorders>
            <w:vAlign w:val="center"/>
          </w:tcPr>
          <w:p w:rsidR="00A301D8" w:rsidRPr="008B26DE" w:rsidRDefault="00AC73FC" w:rsidP="00680EE8">
            <w:pPr>
              <w:pStyle w:val="Tabletext"/>
              <w:spacing w:after="0"/>
              <w:rPr>
                <w:b/>
                <w:sz w:val="18"/>
                <w:szCs w:val="18"/>
              </w:rPr>
            </w:pPr>
            <w:r w:rsidRPr="008B26DE">
              <w:rPr>
                <w:sz w:val="18"/>
                <w:szCs w:val="18"/>
              </w:rPr>
              <w:t>Must be treated by a neurologist</w:t>
            </w:r>
          </w:p>
        </w:tc>
      </w:tr>
      <w:tr w:rsidR="00A301D8" w:rsidRPr="008B26DE" w:rsidTr="00411E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1129" w:type="dxa"/>
            <w:tcBorders>
              <w:top w:val="single" w:sz="4" w:space="0" w:color="auto"/>
              <w:left w:val="single" w:sz="4" w:space="0" w:color="auto"/>
              <w:bottom w:val="single" w:sz="4" w:space="0" w:color="auto"/>
              <w:right w:val="single" w:sz="4" w:space="0" w:color="auto"/>
            </w:tcBorders>
          </w:tcPr>
          <w:p w:rsidR="00A301D8" w:rsidRPr="008B26DE" w:rsidRDefault="00A301D8" w:rsidP="00EA5100">
            <w:pPr>
              <w:pStyle w:val="Tabletext"/>
              <w:spacing w:after="0"/>
              <w:jc w:val="center"/>
              <w:rPr>
                <w:sz w:val="18"/>
                <w:szCs w:val="18"/>
              </w:rPr>
            </w:pPr>
          </w:p>
        </w:tc>
        <w:tc>
          <w:tcPr>
            <w:tcW w:w="7887" w:type="dxa"/>
            <w:gridSpan w:val="6"/>
            <w:tcBorders>
              <w:top w:val="single" w:sz="4" w:space="0" w:color="auto"/>
              <w:left w:val="single" w:sz="4" w:space="0" w:color="auto"/>
              <w:bottom w:val="single" w:sz="4" w:space="0" w:color="auto"/>
              <w:right w:val="single" w:sz="4" w:space="0" w:color="auto"/>
            </w:tcBorders>
            <w:vAlign w:val="center"/>
          </w:tcPr>
          <w:p w:rsidR="00A301D8" w:rsidRPr="008B26DE" w:rsidRDefault="00AC73FC" w:rsidP="00680EE8">
            <w:pPr>
              <w:pStyle w:val="Tabletext"/>
              <w:spacing w:after="0"/>
              <w:rPr>
                <w:b/>
                <w:sz w:val="18"/>
                <w:szCs w:val="18"/>
              </w:rPr>
            </w:pPr>
            <w:r w:rsidRPr="008B26DE">
              <w:rPr>
                <w:b/>
                <w:sz w:val="18"/>
                <w:szCs w:val="18"/>
              </w:rPr>
              <w:t>Clinical criteria:</w:t>
            </w:r>
          </w:p>
        </w:tc>
      </w:tr>
      <w:tr w:rsidR="00516B63" w:rsidRPr="008B26DE" w:rsidTr="00411E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1129" w:type="dxa"/>
            <w:tcBorders>
              <w:top w:val="single" w:sz="4" w:space="0" w:color="auto"/>
              <w:left w:val="single" w:sz="4" w:space="0" w:color="auto"/>
              <w:bottom w:val="single" w:sz="4" w:space="0" w:color="auto"/>
              <w:right w:val="single" w:sz="4" w:space="0" w:color="auto"/>
            </w:tcBorders>
          </w:tcPr>
          <w:p w:rsidR="00516B63" w:rsidRPr="008B26DE" w:rsidRDefault="00516B63" w:rsidP="00EA5100">
            <w:pPr>
              <w:pStyle w:val="Tabletext"/>
              <w:spacing w:after="0"/>
              <w:jc w:val="center"/>
              <w:rPr>
                <w:sz w:val="18"/>
                <w:szCs w:val="18"/>
              </w:rPr>
            </w:pPr>
          </w:p>
        </w:tc>
        <w:tc>
          <w:tcPr>
            <w:tcW w:w="7887" w:type="dxa"/>
            <w:gridSpan w:val="6"/>
            <w:tcBorders>
              <w:top w:val="single" w:sz="4" w:space="0" w:color="auto"/>
              <w:left w:val="single" w:sz="4" w:space="0" w:color="auto"/>
              <w:bottom w:val="single" w:sz="4" w:space="0" w:color="auto"/>
              <w:right w:val="single" w:sz="4" w:space="0" w:color="auto"/>
            </w:tcBorders>
            <w:vAlign w:val="center"/>
          </w:tcPr>
          <w:p w:rsidR="00516B63" w:rsidRPr="008B26DE" w:rsidRDefault="00191F9C" w:rsidP="006B0D2F">
            <w:pPr>
              <w:pStyle w:val="Tabletext"/>
              <w:spacing w:after="0"/>
              <w:rPr>
                <w:sz w:val="18"/>
                <w:szCs w:val="18"/>
              </w:rPr>
            </w:pPr>
            <w:r w:rsidRPr="008B26DE">
              <w:rPr>
                <w:sz w:val="18"/>
                <w:szCs w:val="18"/>
              </w:rPr>
              <w:t xml:space="preserve">Patient must have experienced an average of 15 or more headache days per month, with at least 8 days of migraine, over a period of at least 6 months, prior to commencement of treatment with this drug </w:t>
            </w:r>
            <w:r w:rsidR="00627E1C" w:rsidRPr="008B26DE">
              <w:rPr>
                <w:sz w:val="18"/>
                <w:szCs w:val="18"/>
              </w:rPr>
              <w:t>for this condition</w:t>
            </w:r>
          </w:p>
        </w:tc>
      </w:tr>
      <w:tr w:rsidR="00516B63" w:rsidRPr="008B26DE" w:rsidTr="00411E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1129" w:type="dxa"/>
            <w:tcBorders>
              <w:top w:val="single" w:sz="4" w:space="0" w:color="auto"/>
              <w:left w:val="single" w:sz="4" w:space="0" w:color="auto"/>
              <w:bottom w:val="single" w:sz="4" w:space="0" w:color="auto"/>
              <w:right w:val="single" w:sz="4" w:space="0" w:color="auto"/>
            </w:tcBorders>
          </w:tcPr>
          <w:p w:rsidR="00516B63" w:rsidRPr="008B26DE" w:rsidRDefault="00516B63" w:rsidP="00EA5100">
            <w:pPr>
              <w:pStyle w:val="Tabletext"/>
              <w:spacing w:after="0"/>
              <w:jc w:val="center"/>
              <w:rPr>
                <w:sz w:val="18"/>
                <w:szCs w:val="18"/>
              </w:rPr>
            </w:pPr>
          </w:p>
        </w:tc>
        <w:tc>
          <w:tcPr>
            <w:tcW w:w="7887" w:type="dxa"/>
            <w:gridSpan w:val="6"/>
            <w:tcBorders>
              <w:top w:val="single" w:sz="4" w:space="0" w:color="auto"/>
              <w:left w:val="single" w:sz="4" w:space="0" w:color="auto"/>
              <w:bottom w:val="single" w:sz="4" w:space="0" w:color="auto"/>
              <w:right w:val="single" w:sz="4" w:space="0" w:color="auto"/>
            </w:tcBorders>
            <w:vAlign w:val="center"/>
          </w:tcPr>
          <w:p w:rsidR="00516B63" w:rsidRPr="00EA5100" w:rsidRDefault="00516B63" w:rsidP="00680EE8">
            <w:pPr>
              <w:pStyle w:val="Tabletext"/>
              <w:spacing w:after="0"/>
              <w:rPr>
                <w:b/>
                <w:sz w:val="18"/>
                <w:szCs w:val="18"/>
              </w:rPr>
            </w:pPr>
            <w:r w:rsidRPr="00EA5100">
              <w:rPr>
                <w:b/>
                <w:sz w:val="18"/>
                <w:szCs w:val="18"/>
              </w:rPr>
              <w:t>AND</w:t>
            </w:r>
          </w:p>
        </w:tc>
      </w:tr>
      <w:tr w:rsidR="00516B63" w:rsidRPr="008B26DE" w:rsidTr="00411E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1129" w:type="dxa"/>
            <w:tcBorders>
              <w:top w:val="single" w:sz="4" w:space="0" w:color="auto"/>
              <w:left w:val="single" w:sz="4" w:space="0" w:color="auto"/>
              <w:bottom w:val="single" w:sz="4" w:space="0" w:color="auto"/>
              <w:right w:val="single" w:sz="4" w:space="0" w:color="auto"/>
            </w:tcBorders>
          </w:tcPr>
          <w:p w:rsidR="00516B63" w:rsidRPr="008B26DE" w:rsidRDefault="00516B63" w:rsidP="00EA5100">
            <w:pPr>
              <w:pStyle w:val="Tabletext"/>
              <w:spacing w:after="0"/>
              <w:jc w:val="center"/>
              <w:rPr>
                <w:sz w:val="18"/>
                <w:szCs w:val="18"/>
              </w:rPr>
            </w:pPr>
          </w:p>
        </w:tc>
        <w:tc>
          <w:tcPr>
            <w:tcW w:w="7887" w:type="dxa"/>
            <w:gridSpan w:val="6"/>
            <w:tcBorders>
              <w:top w:val="single" w:sz="4" w:space="0" w:color="auto"/>
              <w:left w:val="single" w:sz="4" w:space="0" w:color="auto"/>
              <w:bottom w:val="single" w:sz="4" w:space="0" w:color="auto"/>
              <w:right w:val="single" w:sz="4" w:space="0" w:color="auto"/>
            </w:tcBorders>
            <w:vAlign w:val="center"/>
          </w:tcPr>
          <w:p w:rsidR="00516B63" w:rsidRPr="008B26DE" w:rsidRDefault="00191F9C" w:rsidP="00680EE8">
            <w:pPr>
              <w:pStyle w:val="Tabletext"/>
              <w:spacing w:after="0"/>
              <w:rPr>
                <w:sz w:val="18"/>
                <w:szCs w:val="18"/>
              </w:rPr>
            </w:pPr>
            <w:r w:rsidRPr="008B26DE">
              <w:rPr>
                <w:sz w:val="18"/>
                <w:szCs w:val="18"/>
              </w:rPr>
              <w:t>Patient must have experienced an inadequate response, intolerance or a contraindication to at least three prophylactic migraine medications prior to commencement of treatment with this drug for this condition</w:t>
            </w:r>
          </w:p>
        </w:tc>
      </w:tr>
      <w:tr w:rsidR="00516B63" w:rsidRPr="008B26DE" w:rsidTr="00411E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1129" w:type="dxa"/>
            <w:tcBorders>
              <w:top w:val="single" w:sz="4" w:space="0" w:color="auto"/>
              <w:left w:val="single" w:sz="4" w:space="0" w:color="auto"/>
              <w:bottom w:val="single" w:sz="4" w:space="0" w:color="auto"/>
              <w:right w:val="single" w:sz="4" w:space="0" w:color="auto"/>
            </w:tcBorders>
          </w:tcPr>
          <w:p w:rsidR="00516B63" w:rsidRPr="008B26DE" w:rsidRDefault="00516B63" w:rsidP="00EA5100">
            <w:pPr>
              <w:pStyle w:val="Tabletext"/>
              <w:spacing w:after="0"/>
              <w:jc w:val="center"/>
              <w:rPr>
                <w:sz w:val="18"/>
                <w:szCs w:val="18"/>
              </w:rPr>
            </w:pPr>
          </w:p>
        </w:tc>
        <w:tc>
          <w:tcPr>
            <w:tcW w:w="7887" w:type="dxa"/>
            <w:gridSpan w:val="6"/>
            <w:tcBorders>
              <w:top w:val="single" w:sz="4" w:space="0" w:color="auto"/>
              <w:left w:val="single" w:sz="4" w:space="0" w:color="auto"/>
              <w:bottom w:val="single" w:sz="4" w:space="0" w:color="auto"/>
              <w:right w:val="single" w:sz="4" w:space="0" w:color="auto"/>
            </w:tcBorders>
            <w:vAlign w:val="center"/>
          </w:tcPr>
          <w:p w:rsidR="00516B63" w:rsidRPr="00EA5100" w:rsidRDefault="00191F9C" w:rsidP="00680EE8">
            <w:pPr>
              <w:pStyle w:val="Tabletext"/>
              <w:spacing w:after="0"/>
              <w:rPr>
                <w:b/>
                <w:sz w:val="18"/>
                <w:szCs w:val="18"/>
              </w:rPr>
            </w:pPr>
            <w:r w:rsidRPr="00EA5100">
              <w:rPr>
                <w:b/>
                <w:sz w:val="18"/>
                <w:szCs w:val="18"/>
              </w:rPr>
              <w:t>AND</w:t>
            </w:r>
          </w:p>
        </w:tc>
      </w:tr>
      <w:tr w:rsidR="00516B63" w:rsidRPr="008B26DE" w:rsidTr="00411E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1129" w:type="dxa"/>
            <w:tcBorders>
              <w:top w:val="single" w:sz="4" w:space="0" w:color="auto"/>
              <w:left w:val="single" w:sz="4" w:space="0" w:color="auto"/>
              <w:bottom w:val="single" w:sz="4" w:space="0" w:color="auto"/>
              <w:right w:val="single" w:sz="4" w:space="0" w:color="auto"/>
            </w:tcBorders>
          </w:tcPr>
          <w:p w:rsidR="00516B63" w:rsidRPr="008B26DE" w:rsidRDefault="00516B63" w:rsidP="00EA5100">
            <w:pPr>
              <w:pStyle w:val="Tabletext"/>
              <w:spacing w:after="0"/>
              <w:jc w:val="center"/>
              <w:rPr>
                <w:sz w:val="18"/>
                <w:szCs w:val="18"/>
              </w:rPr>
            </w:pPr>
          </w:p>
        </w:tc>
        <w:tc>
          <w:tcPr>
            <w:tcW w:w="7887" w:type="dxa"/>
            <w:gridSpan w:val="6"/>
            <w:tcBorders>
              <w:top w:val="single" w:sz="4" w:space="0" w:color="auto"/>
              <w:left w:val="single" w:sz="4" w:space="0" w:color="auto"/>
              <w:bottom w:val="single" w:sz="4" w:space="0" w:color="auto"/>
              <w:right w:val="single" w:sz="4" w:space="0" w:color="auto"/>
            </w:tcBorders>
            <w:vAlign w:val="center"/>
          </w:tcPr>
          <w:p w:rsidR="00516B63" w:rsidRPr="008B26DE" w:rsidRDefault="00191F9C" w:rsidP="00680EE8">
            <w:pPr>
              <w:pStyle w:val="Tabletext"/>
              <w:spacing w:after="0"/>
              <w:rPr>
                <w:sz w:val="18"/>
                <w:szCs w:val="18"/>
              </w:rPr>
            </w:pPr>
            <w:r w:rsidRPr="008B26DE">
              <w:rPr>
                <w:sz w:val="18"/>
                <w:szCs w:val="18"/>
              </w:rPr>
              <w:t>The treatment must not be in combination with botulinum toxin</w:t>
            </w:r>
          </w:p>
        </w:tc>
      </w:tr>
      <w:tr w:rsidR="00191F9C" w:rsidRPr="008B26DE" w:rsidTr="00411E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1129" w:type="dxa"/>
            <w:tcBorders>
              <w:top w:val="single" w:sz="4" w:space="0" w:color="auto"/>
              <w:left w:val="single" w:sz="4" w:space="0" w:color="auto"/>
              <w:bottom w:val="single" w:sz="4" w:space="0" w:color="auto"/>
              <w:right w:val="single" w:sz="4" w:space="0" w:color="auto"/>
            </w:tcBorders>
          </w:tcPr>
          <w:p w:rsidR="00191F9C" w:rsidRPr="008B26DE" w:rsidRDefault="00191F9C" w:rsidP="00EA5100">
            <w:pPr>
              <w:jc w:val="center"/>
              <w:rPr>
                <w:sz w:val="18"/>
                <w:szCs w:val="18"/>
              </w:rPr>
            </w:pPr>
          </w:p>
        </w:tc>
        <w:tc>
          <w:tcPr>
            <w:tcW w:w="7887" w:type="dxa"/>
            <w:gridSpan w:val="6"/>
            <w:tcBorders>
              <w:top w:val="single" w:sz="4" w:space="0" w:color="auto"/>
              <w:left w:val="single" w:sz="4" w:space="0" w:color="auto"/>
              <w:bottom w:val="single" w:sz="4" w:space="0" w:color="auto"/>
              <w:right w:val="single" w:sz="4" w:space="0" w:color="auto"/>
            </w:tcBorders>
            <w:vAlign w:val="center"/>
          </w:tcPr>
          <w:p w:rsidR="00191F9C" w:rsidRPr="00EA5100" w:rsidRDefault="00191F9C" w:rsidP="00680EE8">
            <w:pPr>
              <w:pStyle w:val="Tabletext"/>
              <w:spacing w:after="0"/>
              <w:rPr>
                <w:b/>
                <w:sz w:val="18"/>
                <w:szCs w:val="18"/>
              </w:rPr>
            </w:pPr>
            <w:r w:rsidRPr="00EA5100">
              <w:rPr>
                <w:b/>
                <w:sz w:val="18"/>
                <w:szCs w:val="18"/>
              </w:rPr>
              <w:t>AND</w:t>
            </w:r>
          </w:p>
        </w:tc>
      </w:tr>
      <w:tr w:rsidR="00191F9C" w:rsidRPr="008B26DE" w:rsidTr="00411E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1129" w:type="dxa"/>
            <w:tcBorders>
              <w:top w:val="single" w:sz="4" w:space="0" w:color="auto"/>
              <w:left w:val="single" w:sz="4" w:space="0" w:color="auto"/>
              <w:bottom w:val="single" w:sz="4" w:space="0" w:color="auto"/>
              <w:right w:val="single" w:sz="4" w:space="0" w:color="auto"/>
            </w:tcBorders>
          </w:tcPr>
          <w:p w:rsidR="00191F9C" w:rsidRPr="008B26DE" w:rsidRDefault="00191F9C" w:rsidP="00EA5100">
            <w:pPr>
              <w:pStyle w:val="Tabletext"/>
              <w:spacing w:after="0"/>
              <w:jc w:val="center"/>
              <w:rPr>
                <w:sz w:val="18"/>
                <w:szCs w:val="18"/>
              </w:rPr>
            </w:pPr>
          </w:p>
        </w:tc>
        <w:tc>
          <w:tcPr>
            <w:tcW w:w="7887" w:type="dxa"/>
            <w:gridSpan w:val="6"/>
            <w:tcBorders>
              <w:top w:val="single" w:sz="4" w:space="0" w:color="auto"/>
              <w:left w:val="single" w:sz="4" w:space="0" w:color="auto"/>
              <w:bottom w:val="single" w:sz="4" w:space="0" w:color="auto"/>
              <w:right w:val="single" w:sz="4" w:space="0" w:color="auto"/>
            </w:tcBorders>
            <w:vAlign w:val="center"/>
          </w:tcPr>
          <w:p w:rsidR="00191F9C" w:rsidRPr="008B26DE" w:rsidRDefault="00191F9C" w:rsidP="00680EE8">
            <w:pPr>
              <w:pStyle w:val="Tabletext"/>
              <w:spacing w:after="0"/>
              <w:rPr>
                <w:sz w:val="18"/>
                <w:szCs w:val="18"/>
              </w:rPr>
            </w:pPr>
            <w:r w:rsidRPr="008B26DE">
              <w:rPr>
                <w:sz w:val="18"/>
                <w:szCs w:val="18"/>
              </w:rPr>
              <w:t>Patient must be appropriately managed by his or her practitioner for medication overuse headache, prior to initiation of treatment with this drug</w:t>
            </w:r>
          </w:p>
        </w:tc>
      </w:tr>
      <w:tr w:rsidR="00191F9C" w:rsidRPr="008B26DE" w:rsidTr="00411E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1129" w:type="dxa"/>
            <w:tcBorders>
              <w:top w:val="single" w:sz="4" w:space="0" w:color="auto"/>
              <w:left w:val="single" w:sz="4" w:space="0" w:color="auto"/>
              <w:bottom w:val="single" w:sz="4" w:space="0" w:color="auto"/>
              <w:right w:val="single" w:sz="4" w:space="0" w:color="auto"/>
            </w:tcBorders>
          </w:tcPr>
          <w:p w:rsidR="00191F9C" w:rsidRPr="008B26DE" w:rsidRDefault="00191F9C" w:rsidP="00EA5100">
            <w:pPr>
              <w:pStyle w:val="Tabletext"/>
              <w:spacing w:after="0"/>
              <w:jc w:val="center"/>
              <w:rPr>
                <w:sz w:val="18"/>
                <w:szCs w:val="18"/>
              </w:rPr>
            </w:pPr>
          </w:p>
        </w:tc>
        <w:tc>
          <w:tcPr>
            <w:tcW w:w="7887" w:type="dxa"/>
            <w:gridSpan w:val="6"/>
            <w:tcBorders>
              <w:top w:val="single" w:sz="4" w:space="0" w:color="auto"/>
              <w:left w:val="single" w:sz="4" w:space="0" w:color="auto"/>
              <w:bottom w:val="single" w:sz="4" w:space="0" w:color="auto"/>
              <w:right w:val="single" w:sz="4" w:space="0" w:color="auto"/>
            </w:tcBorders>
            <w:vAlign w:val="center"/>
          </w:tcPr>
          <w:p w:rsidR="00191F9C" w:rsidRPr="008B26DE" w:rsidRDefault="00C61161" w:rsidP="00680EE8">
            <w:pPr>
              <w:pStyle w:val="Tabletext"/>
              <w:spacing w:after="0"/>
              <w:rPr>
                <w:b/>
                <w:sz w:val="18"/>
                <w:szCs w:val="18"/>
              </w:rPr>
            </w:pPr>
            <w:r w:rsidRPr="008B26DE">
              <w:rPr>
                <w:b/>
                <w:sz w:val="18"/>
                <w:szCs w:val="18"/>
              </w:rPr>
              <w:t>Population criteria:</w:t>
            </w:r>
          </w:p>
        </w:tc>
      </w:tr>
      <w:tr w:rsidR="00191F9C" w:rsidRPr="008B26DE" w:rsidTr="00411E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1129" w:type="dxa"/>
            <w:tcBorders>
              <w:top w:val="single" w:sz="4" w:space="0" w:color="auto"/>
              <w:left w:val="single" w:sz="4" w:space="0" w:color="auto"/>
              <w:bottom w:val="single" w:sz="4" w:space="0" w:color="auto"/>
              <w:right w:val="single" w:sz="4" w:space="0" w:color="auto"/>
            </w:tcBorders>
          </w:tcPr>
          <w:p w:rsidR="00191F9C" w:rsidRPr="008B26DE" w:rsidRDefault="00191F9C" w:rsidP="00EA5100">
            <w:pPr>
              <w:pStyle w:val="Tabletext"/>
              <w:spacing w:after="0"/>
              <w:jc w:val="center"/>
              <w:rPr>
                <w:sz w:val="18"/>
                <w:szCs w:val="18"/>
              </w:rPr>
            </w:pPr>
          </w:p>
        </w:tc>
        <w:tc>
          <w:tcPr>
            <w:tcW w:w="7887" w:type="dxa"/>
            <w:gridSpan w:val="6"/>
            <w:tcBorders>
              <w:top w:val="single" w:sz="4" w:space="0" w:color="auto"/>
              <w:left w:val="single" w:sz="4" w:space="0" w:color="auto"/>
              <w:bottom w:val="single" w:sz="4" w:space="0" w:color="auto"/>
              <w:right w:val="single" w:sz="4" w:space="0" w:color="auto"/>
            </w:tcBorders>
            <w:vAlign w:val="center"/>
          </w:tcPr>
          <w:p w:rsidR="00191F9C" w:rsidRPr="008B26DE" w:rsidRDefault="00C61161" w:rsidP="00680EE8">
            <w:pPr>
              <w:pStyle w:val="Tabletext"/>
              <w:spacing w:after="0"/>
              <w:rPr>
                <w:sz w:val="18"/>
                <w:szCs w:val="18"/>
              </w:rPr>
            </w:pPr>
            <w:r w:rsidRPr="008B26DE">
              <w:rPr>
                <w:sz w:val="18"/>
                <w:szCs w:val="18"/>
              </w:rPr>
              <w:t>Patient must be aged 18 years or older</w:t>
            </w:r>
          </w:p>
        </w:tc>
      </w:tr>
      <w:tr w:rsidR="00DA45AB" w:rsidRPr="008B26DE" w:rsidTr="00411E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620"/>
        </w:trPr>
        <w:tc>
          <w:tcPr>
            <w:tcW w:w="1129" w:type="dxa"/>
            <w:tcBorders>
              <w:top w:val="single" w:sz="4" w:space="0" w:color="auto"/>
              <w:left w:val="single" w:sz="4" w:space="0" w:color="auto"/>
              <w:right w:val="single" w:sz="4" w:space="0" w:color="auto"/>
            </w:tcBorders>
          </w:tcPr>
          <w:p w:rsidR="00DA45AB" w:rsidRDefault="00DA45AB" w:rsidP="00EA5100">
            <w:pPr>
              <w:jc w:val="center"/>
              <w:rPr>
                <w:rFonts w:ascii="Arial Narrow" w:hAnsi="Arial Narrow"/>
                <w:sz w:val="18"/>
                <w:szCs w:val="18"/>
                <w:lang w:eastAsia="en-US"/>
              </w:rPr>
            </w:pPr>
          </w:p>
          <w:p w:rsidR="00DA45AB" w:rsidRPr="008B26DE" w:rsidRDefault="00DA45AB" w:rsidP="00EA5100">
            <w:pPr>
              <w:jc w:val="center"/>
              <w:rPr>
                <w:sz w:val="18"/>
                <w:szCs w:val="18"/>
              </w:rPr>
            </w:pPr>
          </w:p>
        </w:tc>
        <w:tc>
          <w:tcPr>
            <w:tcW w:w="7887" w:type="dxa"/>
            <w:gridSpan w:val="6"/>
            <w:tcBorders>
              <w:top w:val="single" w:sz="4" w:space="0" w:color="auto"/>
              <w:left w:val="single" w:sz="4" w:space="0" w:color="auto"/>
              <w:right w:val="single" w:sz="4" w:space="0" w:color="auto"/>
            </w:tcBorders>
            <w:vAlign w:val="center"/>
          </w:tcPr>
          <w:p w:rsidR="00DA45AB" w:rsidRPr="008B26DE" w:rsidRDefault="00DA45AB" w:rsidP="00680EE8">
            <w:pPr>
              <w:pStyle w:val="Tabletext"/>
              <w:spacing w:after="0"/>
              <w:rPr>
                <w:b/>
                <w:sz w:val="18"/>
                <w:szCs w:val="18"/>
              </w:rPr>
            </w:pPr>
            <w:r w:rsidRPr="008B26DE">
              <w:rPr>
                <w:b/>
                <w:sz w:val="18"/>
                <w:szCs w:val="18"/>
              </w:rPr>
              <w:t>Prescriber instructions:</w:t>
            </w:r>
          </w:p>
          <w:p w:rsidR="00DA45AB" w:rsidRPr="008B26DE" w:rsidRDefault="00DA45AB" w:rsidP="00680EE8">
            <w:pPr>
              <w:pStyle w:val="Tabletext"/>
              <w:spacing w:after="0"/>
              <w:rPr>
                <w:b/>
                <w:sz w:val="18"/>
                <w:szCs w:val="18"/>
              </w:rPr>
            </w:pPr>
            <w:r w:rsidRPr="008B26DE">
              <w:rPr>
                <w:sz w:val="18"/>
                <w:szCs w:val="18"/>
              </w:rPr>
              <w:t xml:space="preserve">Prophylactic migraine medications are propranolol, amitriptyline, </w:t>
            </w:r>
            <w:proofErr w:type="spellStart"/>
            <w:r w:rsidRPr="008B26DE">
              <w:rPr>
                <w:sz w:val="18"/>
                <w:szCs w:val="18"/>
              </w:rPr>
              <w:t>pizotifen</w:t>
            </w:r>
            <w:proofErr w:type="spellEnd"/>
            <w:r w:rsidRPr="008B26DE">
              <w:rPr>
                <w:sz w:val="18"/>
                <w:szCs w:val="18"/>
              </w:rPr>
              <w:t xml:space="preserve">, candesartan, verapamil, nortriptyline, sodium valproate or </w:t>
            </w:r>
            <w:proofErr w:type="spellStart"/>
            <w:r w:rsidRPr="008B26DE">
              <w:rPr>
                <w:sz w:val="18"/>
                <w:szCs w:val="18"/>
              </w:rPr>
              <w:t>topiramate</w:t>
            </w:r>
            <w:proofErr w:type="spellEnd"/>
          </w:p>
        </w:tc>
      </w:tr>
      <w:tr w:rsidR="00DA45AB" w:rsidRPr="008B26DE" w:rsidTr="00411E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1129" w:type="dxa"/>
            <w:tcBorders>
              <w:top w:val="single" w:sz="4" w:space="0" w:color="auto"/>
              <w:left w:val="single" w:sz="4" w:space="0" w:color="auto"/>
              <w:bottom w:val="single" w:sz="4" w:space="0" w:color="auto"/>
              <w:right w:val="single" w:sz="4" w:space="0" w:color="auto"/>
            </w:tcBorders>
          </w:tcPr>
          <w:p w:rsidR="00DA45AB" w:rsidRPr="008B26DE" w:rsidRDefault="00DA45AB" w:rsidP="00EA5100">
            <w:pPr>
              <w:jc w:val="center"/>
              <w:rPr>
                <w:rFonts w:ascii="Arial Narrow" w:hAnsi="Arial Narrow"/>
                <w:sz w:val="18"/>
                <w:szCs w:val="18"/>
                <w:lang w:eastAsia="en-US"/>
              </w:rPr>
            </w:pPr>
          </w:p>
        </w:tc>
        <w:tc>
          <w:tcPr>
            <w:tcW w:w="7887" w:type="dxa"/>
            <w:gridSpan w:val="6"/>
            <w:tcBorders>
              <w:top w:val="single" w:sz="4" w:space="0" w:color="auto"/>
              <w:left w:val="single" w:sz="4" w:space="0" w:color="auto"/>
              <w:bottom w:val="single" w:sz="4" w:space="0" w:color="auto"/>
              <w:right w:val="single" w:sz="4" w:space="0" w:color="auto"/>
            </w:tcBorders>
            <w:vAlign w:val="center"/>
          </w:tcPr>
          <w:p w:rsidR="00DA45AB" w:rsidRPr="00DA45AB" w:rsidRDefault="00DA45AB" w:rsidP="00680EE8">
            <w:pPr>
              <w:pStyle w:val="Tabletext"/>
              <w:spacing w:after="0"/>
              <w:rPr>
                <w:b/>
                <w:sz w:val="18"/>
                <w:szCs w:val="18"/>
              </w:rPr>
            </w:pPr>
            <w:r>
              <w:rPr>
                <w:b/>
                <w:sz w:val="18"/>
                <w:szCs w:val="18"/>
              </w:rPr>
              <w:t>Prescriber instructions:</w:t>
            </w:r>
          </w:p>
          <w:p w:rsidR="00DA45AB" w:rsidRPr="008B26DE" w:rsidRDefault="00DA45AB" w:rsidP="00680EE8">
            <w:pPr>
              <w:pStyle w:val="Tabletext"/>
              <w:spacing w:after="0"/>
              <w:rPr>
                <w:sz w:val="18"/>
                <w:szCs w:val="18"/>
              </w:rPr>
            </w:pPr>
            <w:r w:rsidRPr="00DA45AB">
              <w:rPr>
                <w:sz w:val="18"/>
                <w:szCs w:val="18"/>
              </w:rPr>
              <w:t>Patient must have the number of migraine days per month documented in their medical records.</w:t>
            </w:r>
          </w:p>
        </w:tc>
      </w:tr>
      <w:tr w:rsidR="006B0D2F" w:rsidRPr="008B26DE" w:rsidTr="00411E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1129" w:type="dxa"/>
            <w:tcBorders>
              <w:top w:val="single" w:sz="4" w:space="0" w:color="auto"/>
              <w:left w:val="single" w:sz="4" w:space="0" w:color="auto"/>
              <w:bottom w:val="single" w:sz="4" w:space="0" w:color="auto"/>
              <w:right w:val="single" w:sz="4" w:space="0" w:color="auto"/>
            </w:tcBorders>
          </w:tcPr>
          <w:p w:rsidR="006B0D2F" w:rsidRPr="008B26DE" w:rsidRDefault="006B0D2F" w:rsidP="00EA5100">
            <w:pPr>
              <w:jc w:val="center"/>
              <w:rPr>
                <w:rFonts w:ascii="Arial Narrow" w:hAnsi="Arial Narrow"/>
                <w:sz w:val="18"/>
                <w:szCs w:val="18"/>
                <w:lang w:eastAsia="en-US"/>
              </w:rPr>
            </w:pPr>
          </w:p>
        </w:tc>
        <w:tc>
          <w:tcPr>
            <w:tcW w:w="7887" w:type="dxa"/>
            <w:gridSpan w:val="6"/>
            <w:tcBorders>
              <w:top w:val="single" w:sz="4" w:space="0" w:color="auto"/>
              <w:left w:val="single" w:sz="4" w:space="0" w:color="auto"/>
              <w:bottom w:val="single" w:sz="4" w:space="0" w:color="auto"/>
              <w:right w:val="single" w:sz="4" w:space="0" w:color="auto"/>
            </w:tcBorders>
            <w:vAlign w:val="center"/>
          </w:tcPr>
          <w:p w:rsidR="006B0D2F" w:rsidRPr="008B26DE" w:rsidRDefault="006B0D2F" w:rsidP="00680EE8">
            <w:pPr>
              <w:pStyle w:val="Tabletext"/>
              <w:spacing w:after="0"/>
              <w:rPr>
                <w:sz w:val="18"/>
                <w:szCs w:val="18"/>
              </w:rPr>
            </w:pPr>
            <w:r w:rsidRPr="008B26DE">
              <w:rPr>
                <w:b/>
                <w:sz w:val="18"/>
                <w:szCs w:val="18"/>
              </w:rPr>
              <w:t>Administrative advice:</w:t>
            </w:r>
          </w:p>
        </w:tc>
      </w:tr>
      <w:tr w:rsidR="006B0D2F" w:rsidRPr="008B26DE" w:rsidTr="00411E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1129" w:type="dxa"/>
            <w:tcBorders>
              <w:top w:val="single" w:sz="4" w:space="0" w:color="auto"/>
              <w:left w:val="single" w:sz="4" w:space="0" w:color="auto"/>
              <w:bottom w:val="single" w:sz="4" w:space="0" w:color="auto"/>
              <w:right w:val="single" w:sz="4" w:space="0" w:color="auto"/>
            </w:tcBorders>
          </w:tcPr>
          <w:p w:rsidR="006B0D2F" w:rsidRPr="008B26DE" w:rsidRDefault="006B0D2F" w:rsidP="00EA5100">
            <w:pPr>
              <w:jc w:val="center"/>
              <w:rPr>
                <w:rFonts w:ascii="Arial Narrow" w:hAnsi="Arial Narrow"/>
                <w:sz w:val="18"/>
                <w:szCs w:val="18"/>
                <w:lang w:eastAsia="en-US"/>
              </w:rPr>
            </w:pPr>
          </w:p>
        </w:tc>
        <w:tc>
          <w:tcPr>
            <w:tcW w:w="7887" w:type="dxa"/>
            <w:gridSpan w:val="6"/>
            <w:tcBorders>
              <w:top w:val="single" w:sz="4" w:space="0" w:color="auto"/>
              <w:left w:val="single" w:sz="4" w:space="0" w:color="auto"/>
              <w:bottom w:val="single" w:sz="4" w:space="0" w:color="auto"/>
              <w:right w:val="single" w:sz="4" w:space="0" w:color="auto"/>
            </w:tcBorders>
            <w:vAlign w:val="center"/>
          </w:tcPr>
          <w:p w:rsidR="006B0D2F" w:rsidRPr="008B26DE" w:rsidRDefault="006B0D2F" w:rsidP="00680EE8">
            <w:pPr>
              <w:pStyle w:val="Tabletext"/>
              <w:spacing w:after="0"/>
              <w:rPr>
                <w:sz w:val="18"/>
                <w:szCs w:val="18"/>
              </w:rPr>
            </w:pPr>
            <w:r w:rsidRPr="008B26DE">
              <w:rPr>
                <w:sz w:val="18"/>
                <w:szCs w:val="18"/>
              </w:rPr>
              <w:t>No increase in the maximum quantity or number of units may be authorised.</w:t>
            </w:r>
          </w:p>
        </w:tc>
      </w:tr>
      <w:tr w:rsidR="006B0D2F" w:rsidRPr="008B26DE" w:rsidTr="00411E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70"/>
        </w:trPr>
        <w:tc>
          <w:tcPr>
            <w:tcW w:w="1129" w:type="dxa"/>
            <w:tcBorders>
              <w:top w:val="single" w:sz="4" w:space="0" w:color="auto"/>
              <w:left w:val="single" w:sz="4" w:space="0" w:color="auto"/>
              <w:bottom w:val="single" w:sz="4" w:space="0" w:color="auto"/>
              <w:right w:val="single" w:sz="4" w:space="0" w:color="auto"/>
            </w:tcBorders>
          </w:tcPr>
          <w:p w:rsidR="006B0D2F" w:rsidRPr="008B26DE" w:rsidRDefault="006B0D2F" w:rsidP="00EA5100">
            <w:pPr>
              <w:jc w:val="center"/>
              <w:rPr>
                <w:rFonts w:ascii="Arial Narrow" w:hAnsi="Arial Narrow"/>
                <w:sz w:val="18"/>
                <w:szCs w:val="18"/>
                <w:lang w:eastAsia="en-US"/>
              </w:rPr>
            </w:pPr>
          </w:p>
        </w:tc>
        <w:tc>
          <w:tcPr>
            <w:tcW w:w="7887" w:type="dxa"/>
            <w:gridSpan w:val="6"/>
            <w:tcBorders>
              <w:top w:val="single" w:sz="4" w:space="0" w:color="auto"/>
              <w:left w:val="single" w:sz="4" w:space="0" w:color="auto"/>
              <w:bottom w:val="single" w:sz="4" w:space="0" w:color="auto"/>
              <w:right w:val="single" w:sz="4" w:space="0" w:color="auto"/>
            </w:tcBorders>
            <w:vAlign w:val="center"/>
          </w:tcPr>
          <w:p w:rsidR="006B0D2F" w:rsidRPr="008B26DE" w:rsidRDefault="006B0D2F" w:rsidP="00680EE8">
            <w:pPr>
              <w:pStyle w:val="Tabletext"/>
              <w:spacing w:after="0"/>
              <w:rPr>
                <w:sz w:val="18"/>
                <w:szCs w:val="18"/>
              </w:rPr>
            </w:pPr>
            <w:r w:rsidRPr="008B26DE">
              <w:rPr>
                <w:sz w:val="18"/>
                <w:szCs w:val="18"/>
              </w:rPr>
              <w:t>No increase in the maximum number of repeats may be authorised.</w:t>
            </w:r>
          </w:p>
        </w:tc>
      </w:tr>
    </w:tbl>
    <w:p w:rsidR="001936D5" w:rsidRDefault="001936D5"/>
    <w:p w:rsidR="00B71A7C" w:rsidRDefault="001936D5" w:rsidP="001936D5">
      <w:pPr>
        <w:jc w:val="left"/>
      </w:pPr>
      <w:r>
        <w:br w:type="page"/>
      </w:r>
      <w:bookmarkStart w:id="9" w:name="_GoBack"/>
      <w:bookmarkEnd w:id="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835"/>
        <w:gridCol w:w="993"/>
        <w:gridCol w:w="850"/>
        <w:gridCol w:w="851"/>
        <w:gridCol w:w="850"/>
        <w:gridCol w:w="1508"/>
      </w:tblGrid>
      <w:tr w:rsidR="00411E9E" w:rsidRPr="008B26DE" w:rsidTr="00FE7267">
        <w:trPr>
          <w:trHeight w:val="512"/>
        </w:trPr>
        <w:tc>
          <w:tcPr>
            <w:tcW w:w="3964" w:type="dxa"/>
            <w:gridSpan w:val="2"/>
            <w:vAlign w:val="center"/>
          </w:tcPr>
          <w:p w:rsidR="00411E9E" w:rsidRDefault="00411E9E" w:rsidP="00EA5100">
            <w:pPr>
              <w:jc w:val="left"/>
              <w:rPr>
                <w:rFonts w:ascii="Arial Narrow" w:hAnsi="Arial Narrow"/>
                <w:b/>
                <w:sz w:val="18"/>
                <w:szCs w:val="20"/>
              </w:rPr>
            </w:pPr>
            <w:r>
              <w:rPr>
                <w:rFonts w:ascii="Arial Narrow" w:hAnsi="Arial Narrow"/>
                <w:b/>
                <w:sz w:val="18"/>
                <w:szCs w:val="20"/>
              </w:rPr>
              <w:lastRenderedPageBreak/>
              <w:t>MEDICINAL PRODUCT</w:t>
            </w:r>
          </w:p>
          <w:p w:rsidR="00411E9E" w:rsidRPr="008B26DE" w:rsidRDefault="00411E9E" w:rsidP="00EA5100">
            <w:pPr>
              <w:jc w:val="left"/>
              <w:rPr>
                <w:rFonts w:ascii="Arial Narrow" w:hAnsi="Arial Narrow"/>
                <w:b/>
                <w:bCs/>
                <w:sz w:val="18"/>
                <w:szCs w:val="20"/>
              </w:rPr>
            </w:pPr>
            <w:r>
              <w:rPr>
                <w:rFonts w:ascii="Arial Narrow" w:hAnsi="Arial Narrow"/>
                <w:b/>
                <w:sz w:val="18"/>
                <w:szCs w:val="20"/>
              </w:rPr>
              <w:t>medicinal product pack</w:t>
            </w:r>
          </w:p>
        </w:tc>
        <w:tc>
          <w:tcPr>
            <w:tcW w:w="993" w:type="dxa"/>
          </w:tcPr>
          <w:p w:rsidR="00411E9E" w:rsidRPr="008B26DE" w:rsidRDefault="00411E9E" w:rsidP="00FE7267">
            <w:pPr>
              <w:jc w:val="center"/>
              <w:rPr>
                <w:rFonts w:ascii="Arial Narrow" w:hAnsi="Arial Narrow"/>
                <w:b/>
                <w:sz w:val="18"/>
                <w:szCs w:val="20"/>
              </w:rPr>
            </w:pPr>
            <w:r>
              <w:rPr>
                <w:rFonts w:ascii="Arial Narrow" w:hAnsi="Arial Narrow"/>
                <w:b/>
                <w:sz w:val="18"/>
                <w:szCs w:val="20"/>
              </w:rPr>
              <w:t>PBS item code</w:t>
            </w:r>
          </w:p>
        </w:tc>
        <w:tc>
          <w:tcPr>
            <w:tcW w:w="850" w:type="dxa"/>
            <w:vAlign w:val="center"/>
          </w:tcPr>
          <w:p w:rsidR="00411E9E" w:rsidRPr="008B26DE" w:rsidRDefault="00411E9E" w:rsidP="00EA5100">
            <w:pPr>
              <w:jc w:val="center"/>
              <w:rPr>
                <w:rFonts w:ascii="Arial Narrow" w:hAnsi="Arial Narrow"/>
                <w:b/>
                <w:bCs/>
                <w:sz w:val="18"/>
                <w:szCs w:val="20"/>
              </w:rPr>
            </w:pPr>
            <w:r w:rsidRPr="008B26DE">
              <w:rPr>
                <w:rFonts w:ascii="Arial Narrow" w:hAnsi="Arial Narrow"/>
                <w:b/>
                <w:sz w:val="18"/>
                <w:szCs w:val="20"/>
              </w:rPr>
              <w:t>Max</w:t>
            </w:r>
            <w:r>
              <w:rPr>
                <w:rFonts w:ascii="Arial Narrow" w:hAnsi="Arial Narrow"/>
                <w:b/>
                <w:sz w:val="18"/>
                <w:szCs w:val="20"/>
              </w:rPr>
              <w:t xml:space="preserve">. Qty </w:t>
            </w:r>
            <w:r w:rsidRPr="008B26DE">
              <w:rPr>
                <w:rFonts w:ascii="Arial Narrow" w:hAnsi="Arial Narrow"/>
                <w:b/>
                <w:sz w:val="18"/>
                <w:szCs w:val="20"/>
              </w:rPr>
              <w:t>(packs)</w:t>
            </w:r>
          </w:p>
        </w:tc>
        <w:tc>
          <w:tcPr>
            <w:tcW w:w="851" w:type="dxa"/>
            <w:vAlign w:val="center"/>
          </w:tcPr>
          <w:p w:rsidR="00411E9E" w:rsidRPr="008B26DE" w:rsidRDefault="00411E9E" w:rsidP="00EA5100">
            <w:pPr>
              <w:jc w:val="center"/>
              <w:rPr>
                <w:rFonts w:ascii="Arial Narrow" w:hAnsi="Arial Narrow"/>
                <w:b/>
                <w:bCs/>
                <w:sz w:val="18"/>
                <w:szCs w:val="20"/>
              </w:rPr>
            </w:pPr>
            <w:r>
              <w:rPr>
                <w:rFonts w:ascii="Arial Narrow" w:hAnsi="Arial Narrow"/>
                <w:b/>
                <w:sz w:val="18"/>
                <w:szCs w:val="20"/>
              </w:rPr>
              <w:t>Max. Qty</w:t>
            </w:r>
            <w:r w:rsidRPr="008B26DE">
              <w:rPr>
                <w:rFonts w:ascii="Arial Narrow" w:hAnsi="Arial Narrow"/>
                <w:b/>
                <w:sz w:val="18"/>
                <w:szCs w:val="20"/>
              </w:rPr>
              <w:t xml:space="preserve"> (units)</w:t>
            </w:r>
          </w:p>
        </w:tc>
        <w:tc>
          <w:tcPr>
            <w:tcW w:w="850" w:type="dxa"/>
            <w:vAlign w:val="center"/>
          </w:tcPr>
          <w:p w:rsidR="00411E9E" w:rsidRDefault="00411E9E" w:rsidP="00EA5100">
            <w:pPr>
              <w:jc w:val="center"/>
              <w:rPr>
                <w:rFonts w:ascii="Arial Narrow" w:hAnsi="Arial Narrow"/>
                <w:b/>
                <w:sz w:val="18"/>
                <w:szCs w:val="20"/>
              </w:rPr>
            </w:pPr>
            <w:r w:rsidRPr="008B26DE">
              <w:rPr>
                <w:rFonts w:ascii="Arial Narrow" w:hAnsi="Arial Narrow"/>
                <w:b/>
                <w:sz w:val="18"/>
                <w:szCs w:val="20"/>
              </w:rPr>
              <w:t>No. of</w:t>
            </w:r>
          </w:p>
          <w:p w:rsidR="00411E9E" w:rsidRPr="008B26DE" w:rsidRDefault="00411E9E" w:rsidP="00EA5100">
            <w:pPr>
              <w:jc w:val="center"/>
              <w:rPr>
                <w:rFonts w:ascii="Arial Narrow" w:hAnsi="Arial Narrow"/>
                <w:b/>
                <w:bCs/>
                <w:sz w:val="18"/>
                <w:szCs w:val="20"/>
              </w:rPr>
            </w:pPr>
            <w:r w:rsidRPr="008B26DE">
              <w:rPr>
                <w:rFonts w:ascii="Arial Narrow" w:hAnsi="Arial Narrow"/>
                <w:b/>
                <w:sz w:val="18"/>
                <w:szCs w:val="20"/>
              </w:rPr>
              <w:t>repeats</w:t>
            </w:r>
          </w:p>
        </w:tc>
        <w:tc>
          <w:tcPr>
            <w:tcW w:w="1508" w:type="dxa"/>
            <w:vAlign w:val="center"/>
          </w:tcPr>
          <w:p w:rsidR="00411E9E" w:rsidRPr="008B26DE" w:rsidRDefault="00411E9E" w:rsidP="00EA5100">
            <w:pPr>
              <w:ind w:left="175"/>
              <w:rPr>
                <w:rFonts w:ascii="Arial Narrow" w:hAnsi="Arial Narrow"/>
                <w:b/>
                <w:bCs/>
                <w:sz w:val="18"/>
                <w:szCs w:val="20"/>
              </w:rPr>
            </w:pPr>
            <w:r>
              <w:rPr>
                <w:rFonts w:ascii="Arial Narrow" w:hAnsi="Arial Narrow"/>
                <w:b/>
                <w:sz w:val="18"/>
                <w:szCs w:val="20"/>
              </w:rPr>
              <w:t>Available brands</w:t>
            </w:r>
          </w:p>
        </w:tc>
      </w:tr>
      <w:tr w:rsidR="00411E9E" w:rsidRPr="008B26DE" w:rsidTr="00073601">
        <w:trPr>
          <w:trHeight w:val="570"/>
        </w:trPr>
        <w:tc>
          <w:tcPr>
            <w:tcW w:w="3964" w:type="dxa"/>
            <w:gridSpan w:val="2"/>
            <w:vAlign w:val="center"/>
          </w:tcPr>
          <w:p w:rsidR="00411E9E" w:rsidRPr="008B26DE" w:rsidRDefault="00411E9E" w:rsidP="00073601">
            <w:pPr>
              <w:pStyle w:val="Tabletext"/>
              <w:spacing w:after="0"/>
              <w:rPr>
                <w:sz w:val="18"/>
              </w:rPr>
            </w:pPr>
            <w:r w:rsidRPr="008B26DE">
              <w:rPr>
                <w:sz w:val="18"/>
              </w:rPr>
              <w:t>GALCANEZUMAB</w:t>
            </w:r>
          </w:p>
          <w:p w:rsidR="00411E9E" w:rsidRPr="008B26DE" w:rsidRDefault="00411E9E" w:rsidP="00073601">
            <w:pPr>
              <w:pStyle w:val="Tabletext"/>
              <w:spacing w:after="0"/>
              <w:rPr>
                <w:b/>
                <w:bCs/>
                <w:sz w:val="18"/>
              </w:rPr>
            </w:pPr>
            <w:proofErr w:type="spellStart"/>
            <w:r>
              <w:rPr>
                <w:sz w:val="18"/>
              </w:rPr>
              <w:t>galcanezumab</w:t>
            </w:r>
            <w:proofErr w:type="spellEnd"/>
            <w:r>
              <w:rPr>
                <w:sz w:val="18"/>
              </w:rPr>
              <w:t xml:space="preserve"> </w:t>
            </w:r>
            <w:r w:rsidRPr="008B26DE">
              <w:rPr>
                <w:sz w:val="18"/>
              </w:rPr>
              <w:t>120 mg/1 mL</w:t>
            </w:r>
            <w:r>
              <w:rPr>
                <w:sz w:val="18"/>
              </w:rPr>
              <w:t xml:space="preserve"> injection</w:t>
            </w:r>
            <w:r w:rsidRPr="008B26DE">
              <w:rPr>
                <w:sz w:val="18"/>
              </w:rPr>
              <w:t xml:space="preserve">, </w:t>
            </w:r>
            <w:r>
              <w:rPr>
                <w:sz w:val="18"/>
              </w:rPr>
              <w:t xml:space="preserve">1 mL </w:t>
            </w:r>
            <w:r w:rsidRPr="008B26DE">
              <w:rPr>
                <w:sz w:val="18"/>
              </w:rPr>
              <w:t>pen</w:t>
            </w:r>
            <w:r>
              <w:rPr>
                <w:sz w:val="18"/>
              </w:rPr>
              <w:t xml:space="preserve"> device</w:t>
            </w:r>
          </w:p>
        </w:tc>
        <w:tc>
          <w:tcPr>
            <w:tcW w:w="993" w:type="dxa"/>
            <w:vAlign w:val="center"/>
          </w:tcPr>
          <w:p w:rsidR="00411E9E" w:rsidRDefault="00411E9E" w:rsidP="00073601">
            <w:pPr>
              <w:pStyle w:val="Tabletext"/>
              <w:spacing w:after="0"/>
              <w:jc w:val="center"/>
              <w:rPr>
                <w:sz w:val="18"/>
              </w:rPr>
            </w:pPr>
            <w:r>
              <w:rPr>
                <w:sz w:val="18"/>
              </w:rPr>
              <w:t>NEW</w:t>
            </w:r>
          </w:p>
        </w:tc>
        <w:tc>
          <w:tcPr>
            <w:tcW w:w="850" w:type="dxa"/>
            <w:vAlign w:val="center"/>
          </w:tcPr>
          <w:p w:rsidR="00411E9E" w:rsidRPr="008B26DE" w:rsidRDefault="00411E9E" w:rsidP="00073601">
            <w:pPr>
              <w:pStyle w:val="Tabletext"/>
              <w:spacing w:after="0"/>
              <w:jc w:val="center"/>
              <w:rPr>
                <w:sz w:val="18"/>
              </w:rPr>
            </w:pPr>
            <w:r>
              <w:rPr>
                <w:sz w:val="18"/>
              </w:rPr>
              <w:t>1</w:t>
            </w:r>
          </w:p>
        </w:tc>
        <w:tc>
          <w:tcPr>
            <w:tcW w:w="851" w:type="dxa"/>
            <w:vAlign w:val="center"/>
          </w:tcPr>
          <w:p w:rsidR="00411E9E" w:rsidRPr="008B26DE" w:rsidRDefault="00411E9E" w:rsidP="00073601">
            <w:pPr>
              <w:pStyle w:val="Tabletext"/>
              <w:spacing w:after="0"/>
              <w:jc w:val="center"/>
              <w:rPr>
                <w:sz w:val="18"/>
              </w:rPr>
            </w:pPr>
            <w:r>
              <w:rPr>
                <w:sz w:val="18"/>
              </w:rPr>
              <w:t>1</w:t>
            </w:r>
          </w:p>
        </w:tc>
        <w:tc>
          <w:tcPr>
            <w:tcW w:w="850" w:type="dxa"/>
            <w:vAlign w:val="center"/>
          </w:tcPr>
          <w:p w:rsidR="00411E9E" w:rsidRPr="008B26DE" w:rsidRDefault="00411E9E" w:rsidP="00073601">
            <w:pPr>
              <w:pStyle w:val="Tabletext"/>
              <w:spacing w:after="0"/>
              <w:jc w:val="center"/>
              <w:rPr>
                <w:strike/>
                <w:sz w:val="18"/>
              </w:rPr>
            </w:pPr>
            <w:r>
              <w:rPr>
                <w:sz w:val="18"/>
              </w:rPr>
              <w:t>5</w:t>
            </w:r>
          </w:p>
        </w:tc>
        <w:tc>
          <w:tcPr>
            <w:tcW w:w="1508" w:type="dxa"/>
            <w:vAlign w:val="center"/>
          </w:tcPr>
          <w:p w:rsidR="00411E9E" w:rsidRPr="008B26DE" w:rsidRDefault="00411E9E" w:rsidP="00073601">
            <w:pPr>
              <w:pStyle w:val="Tabletext"/>
              <w:spacing w:after="0"/>
              <w:ind w:left="175"/>
              <w:rPr>
                <w:sz w:val="18"/>
              </w:rPr>
            </w:pPr>
            <w:proofErr w:type="spellStart"/>
            <w:r w:rsidRPr="008B26DE">
              <w:rPr>
                <w:sz w:val="18"/>
              </w:rPr>
              <w:t>Emgality</w:t>
            </w:r>
            <w:proofErr w:type="spellEnd"/>
          </w:p>
        </w:tc>
      </w:tr>
      <w:tr w:rsidR="00411E9E" w:rsidRPr="008B26DE" w:rsidTr="00411E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54"/>
        </w:trPr>
        <w:tc>
          <w:tcPr>
            <w:tcW w:w="9016" w:type="dxa"/>
            <w:gridSpan w:val="7"/>
            <w:tcBorders>
              <w:top w:val="single" w:sz="4" w:space="0" w:color="auto"/>
              <w:left w:val="single" w:sz="4" w:space="0" w:color="auto"/>
              <w:right w:val="single" w:sz="4" w:space="0" w:color="auto"/>
            </w:tcBorders>
          </w:tcPr>
          <w:p w:rsidR="00411E9E" w:rsidRPr="008B26DE" w:rsidRDefault="00411E9E" w:rsidP="009A587C">
            <w:pPr>
              <w:pStyle w:val="Tabletext"/>
              <w:spacing w:after="0"/>
              <w:rPr>
                <w:b/>
                <w:sz w:val="18"/>
                <w:szCs w:val="18"/>
              </w:rPr>
            </w:pPr>
          </w:p>
        </w:tc>
      </w:tr>
      <w:tr w:rsidR="00411E9E" w:rsidRPr="008B26DE" w:rsidTr="00411E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54"/>
        </w:trPr>
        <w:tc>
          <w:tcPr>
            <w:tcW w:w="9016" w:type="dxa"/>
            <w:gridSpan w:val="7"/>
            <w:tcBorders>
              <w:top w:val="single" w:sz="4" w:space="0" w:color="auto"/>
              <w:left w:val="single" w:sz="4" w:space="0" w:color="auto"/>
              <w:right w:val="single" w:sz="4" w:space="0" w:color="auto"/>
            </w:tcBorders>
          </w:tcPr>
          <w:p w:rsidR="00411E9E" w:rsidRPr="008B26DE" w:rsidRDefault="00411E9E" w:rsidP="009A587C">
            <w:pPr>
              <w:pStyle w:val="Tabletext"/>
              <w:spacing w:after="0"/>
              <w:rPr>
                <w:b/>
                <w:sz w:val="18"/>
                <w:szCs w:val="18"/>
              </w:rPr>
            </w:pPr>
            <w:r>
              <w:rPr>
                <w:b/>
                <w:sz w:val="18"/>
                <w:szCs w:val="18"/>
              </w:rPr>
              <w:t>Restriction summary [new]</w:t>
            </w:r>
          </w:p>
        </w:tc>
      </w:tr>
      <w:tr w:rsidR="00565428" w:rsidRPr="008B26DE" w:rsidTr="00411E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54"/>
        </w:trPr>
        <w:tc>
          <w:tcPr>
            <w:tcW w:w="1129" w:type="dxa"/>
            <w:vMerge w:val="restart"/>
            <w:tcBorders>
              <w:top w:val="single" w:sz="4" w:space="0" w:color="auto"/>
              <w:left w:val="single" w:sz="4" w:space="0" w:color="auto"/>
              <w:right w:val="single" w:sz="4" w:space="0" w:color="auto"/>
            </w:tcBorders>
          </w:tcPr>
          <w:p w:rsidR="00565428" w:rsidRPr="00EA5100" w:rsidRDefault="00565428" w:rsidP="00EA5100">
            <w:pPr>
              <w:pStyle w:val="Tabletext"/>
              <w:spacing w:after="0"/>
              <w:jc w:val="center"/>
              <w:rPr>
                <w:b/>
                <w:sz w:val="18"/>
                <w:szCs w:val="18"/>
              </w:rPr>
            </w:pPr>
            <w:r w:rsidRPr="00EA5100">
              <w:rPr>
                <w:b/>
                <w:sz w:val="18"/>
                <w:szCs w:val="18"/>
              </w:rPr>
              <w:t>Concept Id:</w:t>
            </w:r>
          </w:p>
          <w:p w:rsidR="00EA5100" w:rsidRDefault="00EA5100" w:rsidP="00EA5100">
            <w:pPr>
              <w:pStyle w:val="Tabletext"/>
              <w:spacing w:after="0"/>
              <w:jc w:val="center"/>
              <w:rPr>
                <w:sz w:val="18"/>
                <w:szCs w:val="18"/>
              </w:rPr>
            </w:pPr>
          </w:p>
          <w:p w:rsidR="00565428" w:rsidRPr="008B26DE" w:rsidRDefault="00565428" w:rsidP="00EA5100">
            <w:pPr>
              <w:pStyle w:val="Tabletext"/>
              <w:spacing w:after="0"/>
              <w:jc w:val="center"/>
              <w:rPr>
                <w:sz w:val="18"/>
                <w:szCs w:val="18"/>
              </w:rPr>
            </w:pPr>
            <w:r w:rsidRPr="008B26DE">
              <w:rPr>
                <w:sz w:val="18"/>
                <w:szCs w:val="18"/>
              </w:rPr>
              <w:t>(for internal Dept. use)</w:t>
            </w:r>
          </w:p>
        </w:tc>
        <w:tc>
          <w:tcPr>
            <w:tcW w:w="7887" w:type="dxa"/>
            <w:gridSpan w:val="6"/>
            <w:tcBorders>
              <w:top w:val="single" w:sz="4" w:space="0" w:color="auto"/>
              <w:left w:val="single" w:sz="4" w:space="0" w:color="auto"/>
              <w:bottom w:val="single" w:sz="4" w:space="0" w:color="auto"/>
              <w:right w:val="single" w:sz="4" w:space="0" w:color="auto"/>
            </w:tcBorders>
            <w:vAlign w:val="center"/>
          </w:tcPr>
          <w:p w:rsidR="00565428" w:rsidRPr="008B26DE" w:rsidRDefault="00565428" w:rsidP="009A587C">
            <w:pPr>
              <w:pStyle w:val="Tabletext"/>
              <w:spacing w:after="0"/>
              <w:rPr>
                <w:sz w:val="18"/>
                <w:szCs w:val="18"/>
              </w:rPr>
            </w:pPr>
            <w:r w:rsidRPr="008B26DE">
              <w:rPr>
                <w:b/>
                <w:sz w:val="18"/>
                <w:szCs w:val="18"/>
              </w:rPr>
              <w:t xml:space="preserve">Category/Program: </w:t>
            </w:r>
            <w:r w:rsidRPr="008B26DE">
              <w:rPr>
                <w:sz w:val="18"/>
                <w:szCs w:val="18"/>
              </w:rPr>
              <w:t>Section 85 - General Schedule – Code (GE)</w:t>
            </w:r>
          </w:p>
        </w:tc>
      </w:tr>
      <w:tr w:rsidR="00565428" w:rsidRPr="008B26DE" w:rsidTr="00411E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54"/>
        </w:trPr>
        <w:tc>
          <w:tcPr>
            <w:tcW w:w="1129" w:type="dxa"/>
            <w:vMerge/>
            <w:tcBorders>
              <w:left w:val="single" w:sz="4" w:space="0" w:color="auto"/>
              <w:right w:val="single" w:sz="4" w:space="0" w:color="auto"/>
            </w:tcBorders>
          </w:tcPr>
          <w:p w:rsidR="00565428" w:rsidRPr="008B26DE" w:rsidRDefault="00565428" w:rsidP="009A587C">
            <w:pPr>
              <w:pStyle w:val="Tabletext"/>
              <w:spacing w:after="0"/>
              <w:rPr>
                <w:sz w:val="18"/>
                <w:szCs w:val="18"/>
              </w:rPr>
            </w:pPr>
          </w:p>
        </w:tc>
        <w:tc>
          <w:tcPr>
            <w:tcW w:w="7887" w:type="dxa"/>
            <w:gridSpan w:val="6"/>
            <w:tcBorders>
              <w:top w:val="single" w:sz="4" w:space="0" w:color="auto"/>
              <w:left w:val="single" w:sz="4" w:space="0" w:color="auto"/>
              <w:bottom w:val="single" w:sz="4" w:space="0" w:color="auto"/>
              <w:right w:val="single" w:sz="4" w:space="0" w:color="auto"/>
            </w:tcBorders>
            <w:vAlign w:val="center"/>
          </w:tcPr>
          <w:p w:rsidR="00565428" w:rsidRPr="008B26DE" w:rsidRDefault="00565428" w:rsidP="009A587C">
            <w:pPr>
              <w:pStyle w:val="Tabletext"/>
              <w:spacing w:after="0"/>
              <w:rPr>
                <w:sz w:val="18"/>
                <w:szCs w:val="18"/>
              </w:rPr>
            </w:pPr>
            <w:r w:rsidRPr="008B26DE">
              <w:rPr>
                <w:b/>
                <w:sz w:val="18"/>
                <w:szCs w:val="18"/>
              </w:rPr>
              <w:t xml:space="preserve">Prescriber type: </w:t>
            </w:r>
            <w:r w:rsidRPr="00CE1E8D">
              <w:rPr>
                <w:sz w:val="18"/>
                <w:szCs w:val="18"/>
              </w:rPr>
              <w:fldChar w:fldCharType="begin">
                <w:ffData>
                  <w:name w:val=""/>
                  <w:enabled/>
                  <w:calcOnExit w:val="0"/>
                  <w:checkBox>
                    <w:sizeAuto/>
                    <w:default w:val="1"/>
                  </w:checkBox>
                </w:ffData>
              </w:fldChar>
            </w:r>
            <w:r w:rsidRPr="008B26DE">
              <w:rPr>
                <w:sz w:val="18"/>
                <w:szCs w:val="18"/>
              </w:rPr>
              <w:instrText xml:space="preserve"> FORMCHECKBOX </w:instrText>
            </w:r>
            <w:r w:rsidR="001936D5">
              <w:rPr>
                <w:sz w:val="18"/>
                <w:szCs w:val="18"/>
              </w:rPr>
            </w:r>
            <w:r w:rsidR="001936D5">
              <w:rPr>
                <w:sz w:val="18"/>
                <w:szCs w:val="18"/>
              </w:rPr>
              <w:fldChar w:fldCharType="separate"/>
            </w:r>
            <w:r w:rsidRPr="00CE1E8D">
              <w:rPr>
                <w:sz w:val="18"/>
                <w:szCs w:val="18"/>
              </w:rPr>
              <w:fldChar w:fldCharType="end"/>
            </w:r>
            <w:r w:rsidRPr="008B26DE">
              <w:rPr>
                <w:sz w:val="18"/>
                <w:szCs w:val="18"/>
              </w:rPr>
              <w:t xml:space="preserve">Medical Practitioners  </w:t>
            </w:r>
          </w:p>
        </w:tc>
      </w:tr>
      <w:tr w:rsidR="00565428" w:rsidRPr="008B26DE" w:rsidTr="00411E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1129" w:type="dxa"/>
            <w:vMerge/>
            <w:tcBorders>
              <w:left w:val="single" w:sz="4" w:space="0" w:color="auto"/>
              <w:bottom w:val="single" w:sz="4" w:space="0" w:color="auto"/>
              <w:right w:val="single" w:sz="4" w:space="0" w:color="auto"/>
            </w:tcBorders>
          </w:tcPr>
          <w:p w:rsidR="00565428" w:rsidRPr="008B26DE" w:rsidRDefault="00565428" w:rsidP="009A587C">
            <w:pPr>
              <w:pStyle w:val="Tabletext"/>
              <w:spacing w:after="0"/>
              <w:rPr>
                <w:sz w:val="18"/>
                <w:szCs w:val="18"/>
              </w:rPr>
            </w:pPr>
          </w:p>
        </w:tc>
        <w:tc>
          <w:tcPr>
            <w:tcW w:w="7887" w:type="dxa"/>
            <w:gridSpan w:val="6"/>
            <w:tcBorders>
              <w:top w:val="single" w:sz="4" w:space="0" w:color="auto"/>
              <w:left w:val="single" w:sz="4" w:space="0" w:color="auto"/>
              <w:bottom w:val="single" w:sz="4" w:space="0" w:color="auto"/>
              <w:right w:val="single" w:sz="4" w:space="0" w:color="auto"/>
            </w:tcBorders>
            <w:vAlign w:val="center"/>
          </w:tcPr>
          <w:p w:rsidR="00565428" w:rsidRPr="008B26DE" w:rsidRDefault="00565428" w:rsidP="009A587C">
            <w:pPr>
              <w:pStyle w:val="Tabletext"/>
              <w:spacing w:after="0"/>
              <w:rPr>
                <w:sz w:val="18"/>
                <w:szCs w:val="18"/>
              </w:rPr>
            </w:pPr>
            <w:r w:rsidRPr="008B26DE">
              <w:rPr>
                <w:b/>
                <w:sz w:val="18"/>
                <w:szCs w:val="18"/>
              </w:rPr>
              <w:t xml:space="preserve">Restriction type/ method: </w:t>
            </w:r>
            <w:r w:rsidRPr="00CE1E8D">
              <w:rPr>
                <w:sz w:val="18"/>
                <w:szCs w:val="18"/>
              </w:rPr>
              <w:fldChar w:fldCharType="begin">
                <w:ffData>
                  <w:name w:val="Check3"/>
                  <w:enabled/>
                  <w:calcOnExit w:val="0"/>
                  <w:checkBox>
                    <w:sizeAuto/>
                    <w:default w:val="1"/>
                  </w:checkBox>
                </w:ffData>
              </w:fldChar>
            </w:r>
            <w:r w:rsidRPr="008B26DE">
              <w:rPr>
                <w:sz w:val="18"/>
                <w:szCs w:val="18"/>
              </w:rPr>
              <w:instrText xml:space="preserve"> FORMCHECKBOX </w:instrText>
            </w:r>
            <w:r w:rsidR="001936D5">
              <w:rPr>
                <w:sz w:val="18"/>
                <w:szCs w:val="18"/>
              </w:rPr>
            </w:r>
            <w:r w:rsidR="001936D5">
              <w:rPr>
                <w:sz w:val="18"/>
                <w:szCs w:val="18"/>
              </w:rPr>
              <w:fldChar w:fldCharType="separate"/>
            </w:r>
            <w:r w:rsidRPr="00CE1E8D">
              <w:rPr>
                <w:sz w:val="18"/>
                <w:szCs w:val="18"/>
              </w:rPr>
              <w:fldChar w:fldCharType="end"/>
            </w:r>
            <w:r w:rsidR="00EA5100">
              <w:rPr>
                <w:sz w:val="18"/>
                <w:szCs w:val="18"/>
              </w:rPr>
              <w:t xml:space="preserve"> </w:t>
            </w:r>
            <w:r w:rsidRPr="008B26DE">
              <w:rPr>
                <w:sz w:val="18"/>
                <w:szCs w:val="18"/>
              </w:rPr>
              <w:t>Authority Required – immediate/real time assessment by Services Australia (telephone/online)</w:t>
            </w:r>
          </w:p>
        </w:tc>
      </w:tr>
      <w:tr w:rsidR="00565428" w:rsidRPr="008B26DE" w:rsidTr="00411E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140"/>
        </w:trPr>
        <w:tc>
          <w:tcPr>
            <w:tcW w:w="1129" w:type="dxa"/>
            <w:tcBorders>
              <w:top w:val="single" w:sz="4" w:space="0" w:color="auto"/>
              <w:left w:val="single" w:sz="4" w:space="0" w:color="auto"/>
              <w:bottom w:val="single" w:sz="4" w:space="0" w:color="auto"/>
              <w:right w:val="single" w:sz="4" w:space="0" w:color="auto"/>
            </w:tcBorders>
          </w:tcPr>
          <w:p w:rsidR="00565428" w:rsidRPr="008B26DE" w:rsidRDefault="00565428" w:rsidP="00EA5100">
            <w:pPr>
              <w:pStyle w:val="Tabletext"/>
              <w:spacing w:after="0"/>
              <w:jc w:val="center"/>
              <w:rPr>
                <w:sz w:val="18"/>
                <w:szCs w:val="18"/>
              </w:rPr>
            </w:pPr>
          </w:p>
        </w:tc>
        <w:tc>
          <w:tcPr>
            <w:tcW w:w="7887" w:type="dxa"/>
            <w:gridSpan w:val="6"/>
            <w:tcBorders>
              <w:top w:val="single" w:sz="4" w:space="0" w:color="auto"/>
              <w:left w:val="single" w:sz="4" w:space="0" w:color="auto"/>
              <w:bottom w:val="single" w:sz="4" w:space="0" w:color="auto"/>
              <w:right w:val="single" w:sz="4" w:space="0" w:color="auto"/>
            </w:tcBorders>
            <w:vAlign w:val="center"/>
          </w:tcPr>
          <w:p w:rsidR="00565428" w:rsidRPr="008B26DE" w:rsidRDefault="00565428" w:rsidP="009A587C">
            <w:pPr>
              <w:pStyle w:val="Tabletext"/>
              <w:spacing w:after="0"/>
              <w:rPr>
                <w:sz w:val="18"/>
                <w:szCs w:val="18"/>
              </w:rPr>
            </w:pPr>
            <w:r w:rsidRPr="008B26DE">
              <w:rPr>
                <w:b/>
                <w:sz w:val="18"/>
                <w:szCs w:val="18"/>
              </w:rPr>
              <w:t>PBS indication:</w:t>
            </w:r>
            <w:r w:rsidRPr="008B26DE">
              <w:rPr>
                <w:sz w:val="18"/>
                <w:szCs w:val="18"/>
              </w:rPr>
              <w:t xml:space="preserve"> Chronic migraine</w:t>
            </w:r>
          </w:p>
        </w:tc>
      </w:tr>
      <w:tr w:rsidR="00565428" w:rsidRPr="008B26DE" w:rsidTr="00411E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229"/>
        </w:trPr>
        <w:tc>
          <w:tcPr>
            <w:tcW w:w="1129" w:type="dxa"/>
            <w:tcBorders>
              <w:top w:val="single" w:sz="4" w:space="0" w:color="auto"/>
              <w:left w:val="single" w:sz="4" w:space="0" w:color="auto"/>
              <w:bottom w:val="single" w:sz="4" w:space="0" w:color="auto"/>
              <w:right w:val="single" w:sz="4" w:space="0" w:color="auto"/>
            </w:tcBorders>
          </w:tcPr>
          <w:p w:rsidR="00565428" w:rsidRPr="008B26DE" w:rsidRDefault="00565428" w:rsidP="00EA5100">
            <w:pPr>
              <w:pStyle w:val="Tabletext"/>
              <w:spacing w:after="0"/>
              <w:jc w:val="center"/>
              <w:rPr>
                <w:sz w:val="18"/>
                <w:szCs w:val="18"/>
              </w:rPr>
            </w:pPr>
          </w:p>
        </w:tc>
        <w:tc>
          <w:tcPr>
            <w:tcW w:w="7887" w:type="dxa"/>
            <w:gridSpan w:val="6"/>
            <w:tcBorders>
              <w:top w:val="single" w:sz="4" w:space="0" w:color="auto"/>
              <w:left w:val="single" w:sz="4" w:space="0" w:color="auto"/>
              <w:bottom w:val="single" w:sz="4" w:space="0" w:color="auto"/>
              <w:right w:val="single" w:sz="4" w:space="0" w:color="auto"/>
            </w:tcBorders>
            <w:vAlign w:val="center"/>
          </w:tcPr>
          <w:p w:rsidR="00565428" w:rsidRPr="008B26DE" w:rsidRDefault="00565428" w:rsidP="00565428">
            <w:pPr>
              <w:pStyle w:val="Tabletext"/>
              <w:spacing w:after="0"/>
              <w:rPr>
                <w:sz w:val="18"/>
                <w:szCs w:val="18"/>
              </w:rPr>
            </w:pPr>
            <w:r w:rsidRPr="008B26DE">
              <w:rPr>
                <w:b/>
                <w:sz w:val="18"/>
                <w:szCs w:val="18"/>
              </w:rPr>
              <w:t>Treatment phase:</w:t>
            </w:r>
            <w:r w:rsidRPr="008B26DE">
              <w:rPr>
                <w:sz w:val="18"/>
                <w:szCs w:val="18"/>
              </w:rPr>
              <w:t xml:space="preserve"> Continuing treatment from week 12 onwards</w:t>
            </w:r>
          </w:p>
        </w:tc>
      </w:tr>
      <w:tr w:rsidR="00565428" w:rsidRPr="008B26DE" w:rsidTr="00411E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1129" w:type="dxa"/>
            <w:tcBorders>
              <w:top w:val="single" w:sz="4" w:space="0" w:color="auto"/>
              <w:left w:val="single" w:sz="4" w:space="0" w:color="auto"/>
              <w:bottom w:val="single" w:sz="4" w:space="0" w:color="auto"/>
              <w:right w:val="single" w:sz="4" w:space="0" w:color="auto"/>
            </w:tcBorders>
          </w:tcPr>
          <w:p w:rsidR="00565428" w:rsidRPr="008B26DE" w:rsidRDefault="00565428" w:rsidP="00EA5100">
            <w:pPr>
              <w:pStyle w:val="Tabletext"/>
              <w:spacing w:after="0"/>
              <w:jc w:val="center"/>
              <w:rPr>
                <w:sz w:val="18"/>
                <w:szCs w:val="18"/>
              </w:rPr>
            </w:pPr>
          </w:p>
        </w:tc>
        <w:tc>
          <w:tcPr>
            <w:tcW w:w="7887" w:type="dxa"/>
            <w:gridSpan w:val="6"/>
            <w:tcBorders>
              <w:top w:val="single" w:sz="4" w:space="0" w:color="auto"/>
              <w:left w:val="single" w:sz="4" w:space="0" w:color="auto"/>
              <w:bottom w:val="single" w:sz="4" w:space="0" w:color="auto"/>
              <w:right w:val="single" w:sz="4" w:space="0" w:color="auto"/>
            </w:tcBorders>
            <w:vAlign w:val="center"/>
          </w:tcPr>
          <w:p w:rsidR="00565428" w:rsidRPr="008B26DE" w:rsidRDefault="00565428" w:rsidP="009A587C">
            <w:pPr>
              <w:pStyle w:val="Tabletext"/>
              <w:spacing w:after="0"/>
              <w:rPr>
                <w:rFonts w:cs="Arial"/>
                <w:sz w:val="18"/>
                <w:szCs w:val="18"/>
              </w:rPr>
            </w:pPr>
            <w:r w:rsidRPr="008B26DE">
              <w:rPr>
                <w:b/>
                <w:sz w:val="18"/>
                <w:szCs w:val="18"/>
              </w:rPr>
              <w:t>Treatment criteria:</w:t>
            </w:r>
            <w:r w:rsidRPr="008B26DE">
              <w:rPr>
                <w:sz w:val="18"/>
                <w:szCs w:val="18"/>
              </w:rPr>
              <w:t xml:space="preserve"> </w:t>
            </w:r>
          </w:p>
        </w:tc>
      </w:tr>
      <w:tr w:rsidR="00565428" w:rsidRPr="008B26DE" w:rsidTr="00411E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1129" w:type="dxa"/>
            <w:tcBorders>
              <w:top w:val="single" w:sz="4" w:space="0" w:color="auto"/>
              <w:left w:val="single" w:sz="4" w:space="0" w:color="auto"/>
              <w:bottom w:val="single" w:sz="4" w:space="0" w:color="auto"/>
              <w:right w:val="single" w:sz="4" w:space="0" w:color="auto"/>
            </w:tcBorders>
          </w:tcPr>
          <w:p w:rsidR="00565428" w:rsidRPr="008B26DE" w:rsidRDefault="00565428" w:rsidP="00EA5100">
            <w:pPr>
              <w:pStyle w:val="Tabletext"/>
              <w:spacing w:after="0"/>
              <w:jc w:val="center"/>
              <w:rPr>
                <w:sz w:val="18"/>
                <w:szCs w:val="18"/>
              </w:rPr>
            </w:pPr>
          </w:p>
        </w:tc>
        <w:tc>
          <w:tcPr>
            <w:tcW w:w="7887" w:type="dxa"/>
            <w:gridSpan w:val="6"/>
            <w:tcBorders>
              <w:top w:val="single" w:sz="4" w:space="0" w:color="auto"/>
              <w:left w:val="single" w:sz="4" w:space="0" w:color="auto"/>
              <w:bottom w:val="single" w:sz="4" w:space="0" w:color="auto"/>
              <w:right w:val="single" w:sz="4" w:space="0" w:color="auto"/>
            </w:tcBorders>
            <w:vAlign w:val="center"/>
          </w:tcPr>
          <w:p w:rsidR="00565428" w:rsidRPr="008B26DE" w:rsidRDefault="00565428" w:rsidP="009A587C">
            <w:pPr>
              <w:pStyle w:val="Tabletext"/>
              <w:spacing w:after="0"/>
              <w:rPr>
                <w:b/>
                <w:sz w:val="18"/>
                <w:szCs w:val="18"/>
              </w:rPr>
            </w:pPr>
            <w:r w:rsidRPr="008B26DE">
              <w:rPr>
                <w:sz w:val="18"/>
                <w:szCs w:val="18"/>
              </w:rPr>
              <w:t>Must be treated by a specialist neurologist or in consultation with a specialist neurologist</w:t>
            </w:r>
          </w:p>
        </w:tc>
      </w:tr>
      <w:tr w:rsidR="00565428" w:rsidRPr="008B26DE" w:rsidTr="00411E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1129" w:type="dxa"/>
            <w:tcBorders>
              <w:top w:val="single" w:sz="4" w:space="0" w:color="auto"/>
              <w:left w:val="single" w:sz="4" w:space="0" w:color="auto"/>
              <w:bottom w:val="single" w:sz="4" w:space="0" w:color="auto"/>
              <w:right w:val="single" w:sz="4" w:space="0" w:color="auto"/>
            </w:tcBorders>
          </w:tcPr>
          <w:p w:rsidR="00565428" w:rsidRPr="008B26DE" w:rsidRDefault="00565428" w:rsidP="00EA5100">
            <w:pPr>
              <w:pStyle w:val="Tabletext"/>
              <w:spacing w:after="0"/>
              <w:jc w:val="center"/>
              <w:rPr>
                <w:sz w:val="18"/>
                <w:szCs w:val="18"/>
              </w:rPr>
            </w:pPr>
          </w:p>
        </w:tc>
        <w:tc>
          <w:tcPr>
            <w:tcW w:w="7887" w:type="dxa"/>
            <w:gridSpan w:val="6"/>
            <w:tcBorders>
              <w:top w:val="single" w:sz="4" w:space="0" w:color="auto"/>
              <w:left w:val="single" w:sz="4" w:space="0" w:color="auto"/>
              <w:bottom w:val="single" w:sz="4" w:space="0" w:color="auto"/>
              <w:right w:val="single" w:sz="4" w:space="0" w:color="auto"/>
            </w:tcBorders>
            <w:vAlign w:val="center"/>
          </w:tcPr>
          <w:p w:rsidR="00565428" w:rsidRPr="008B26DE" w:rsidRDefault="00565428" w:rsidP="009A587C">
            <w:pPr>
              <w:pStyle w:val="Tabletext"/>
              <w:spacing w:after="0"/>
              <w:rPr>
                <w:b/>
                <w:sz w:val="18"/>
                <w:szCs w:val="18"/>
              </w:rPr>
            </w:pPr>
            <w:r w:rsidRPr="008B26DE">
              <w:rPr>
                <w:b/>
                <w:sz w:val="18"/>
                <w:szCs w:val="18"/>
              </w:rPr>
              <w:t>Clinical criteria:</w:t>
            </w:r>
          </w:p>
        </w:tc>
      </w:tr>
      <w:tr w:rsidR="00565428" w:rsidRPr="008B26DE" w:rsidTr="00411E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1129" w:type="dxa"/>
            <w:tcBorders>
              <w:top w:val="single" w:sz="4" w:space="0" w:color="auto"/>
              <w:left w:val="single" w:sz="4" w:space="0" w:color="auto"/>
              <w:bottom w:val="single" w:sz="4" w:space="0" w:color="auto"/>
              <w:right w:val="single" w:sz="4" w:space="0" w:color="auto"/>
            </w:tcBorders>
          </w:tcPr>
          <w:p w:rsidR="00565428" w:rsidRPr="008B26DE" w:rsidRDefault="00565428" w:rsidP="00EA5100">
            <w:pPr>
              <w:pStyle w:val="Tabletext"/>
              <w:spacing w:after="0"/>
              <w:jc w:val="center"/>
              <w:rPr>
                <w:sz w:val="18"/>
                <w:szCs w:val="18"/>
              </w:rPr>
            </w:pPr>
          </w:p>
        </w:tc>
        <w:tc>
          <w:tcPr>
            <w:tcW w:w="7887" w:type="dxa"/>
            <w:gridSpan w:val="6"/>
            <w:tcBorders>
              <w:top w:val="single" w:sz="4" w:space="0" w:color="auto"/>
              <w:left w:val="single" w:sz="4" w:space="0" w:color="auto"/>
              <w:bottom w:val="single" w:sz="4" w:space="0" w:color="auto"/>
              <w:right w:val="single" w:sz="4" w:space="0" w:color="auto"/>
            </w:tcBorders>
            <w:vAlign w:val="center"/>
          </w:tcPr>
          <w:p w:rsidR="00565428" w:rsidRPr="008B26DE" w:rsidRDefault="00565428" w:rsidP="009A587C">
            <w:pPr>
              <w:pStyle w:val="Tabletext"/>
              <w:spacing w:after="0"/>
              <w:rPr>
                <w:sz w:val="18"/>
                <w:szCs w:val="18"/>
              </w:rPr>
            </w:pPr>
            <w:r w:rsidRPr="008B26DE">
              <w:rPr>
                <w:sz w:val="18"/>
                <w:szCs w:val="18"/>
              </w:rPr>
              <w:t>Patient must have previously received PBS-subsidised treatment with this drug for this condition</w:t>
            </w:r>
          </w:p>
        </w:tc>
      </w:tr>
      <w:tr w:rsidR="00565428" w:rsidRPr="008B26DE" w:rsidTr="00411E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1129" w:type="dxa"/>
            <w:tcBorders>
              <w:top w:val="single" w:sz="4" w:space="0" w:color="auto"/>
              <w:left w:val="single" w:sz="4" w:space="0" w:color="auto"/>
              <w:bottom w:val="single" w:sz="4" w:space="0" w:color="auto"/>
              <w:right w:val="single" w:sz="4" w:space="0" w:color="auto"/>
            </w:tcBorders>
          </w:tcPr>
          <w:p w:rsidR="00565428" w:rsidRPr="008B26DE" w:rsidRDefault="00565428" w:rsidP="00EA5100">
            <w:pPr>
              <w:pStyle w:val="Tabletext"/>
              <w:spacing w:after="0"/>
              <w:jc w:val="center"/>
              <w:rPr>
                <w:sz w:val="18"/>
                <w:szCs w:val="18"/>
              </w:rPr>
            </w:pPr>
          </w:p>
        </w:tc>
        <w:tc>
          <w:tcPr>
            <w:tcW w:w="7887" w:type="dxa"/>
            <w:gridSpan w:val="6"/>
            <w:tcBorders>
              <w:top w:val="single" w:sz="4" w:space="0" w:color="auto"/>
              <w:left w:val="single" w:sz="4" w:space="0" w:color="auto"/>
              <w:bottom w:val="single" w:sz="4" w:space="0" w:color="auto"/>
              <w:right w:val="single" w:sz="4" w:space="0" w:color="auto"/>
            </w:tcBorders>
            <w:vAlign w:val="center"/>
          </w:tcPr>
          <w:p w:rsidR="00565428" w:rsidRPr="00EA5100" w:rsidRDefault="00565428" w:rsidP="009A587C">
            <w:pPr>
              <w:pStyle w:val="Tabletext"/>
              <w:spacing w:after="0"/>
              <w:rPr>
                <w:b/>
                <w:sz w:val="18"/>
                <w:szCs w:val="18"/>
              </w:rPr>
            </w:pPr>
            <w:r w:rsidRPr="00EA5100">
              <w:rPr>
                <w:b/>
                <w:sz w:val="18"/>
                <w:szCs w:val="18"/>
              </w:rPr>
              <w:t>AND</w:t>
            </w:r>
          </w:p>
        </w:tc>
      </w:tr>
      <w:tr w:rsidR="00565428" w:rsidRPr="008B26DE" w:rsidTr="00411E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1129" w:type="dxa"/>
            <w:tcBorders>
              <w:top w:val="single" w:sz="4" w:space="0" w:color="auto"/>
              <w:left w:val="single" w:sz="4" w:space="0" w:color="auto"/>
              <w:bottom w:val="single" w:sz="4" w:space="0" w:color="auto"/>
              <w:right w:val="single" w:sz="4" w:space="0" w:color="auto"/>
            </w:tcBorders>
          </w:tcPr>
          <w:p w:rsidR="00565428" w:rsidRPr="008B26DE" w:rsidRDefault="00565428" w:rsidP="00EA5100">
            <w:pPr>
              <w:pStyle w:val="Tabletext"/>
              <w:spacing w:after="0"/>
              <w:jc w:val="center"/>
              <w:rPr>
                <w:sz w:val="18"/>
                <w:szCs w:val="18"/>
              </w:rPr>
            </w:pPr>
          </w:p>
        </w:tc>
        <w:tc>
          <w:tcPr>
            <w:tcW w:w="7887" w:type="dxa"/>
            <w:gridSpan w:val="6"/>
            <w:tcBorders>
              <w:top w:val="single" w:sz="4" w:space="0" w:color="auto"/>
              <w:left w:val="single" w:sz="4" w:space="0" w:color="auto"/>
              <w:bottom w:val="single" w:sz="4" w:space="0" w:color="auto"/>
              <w:right w:val="single" w:sz="4" w:space="0" w:color="auto"/>
            </w:tcBorders>
            <w:vAlign w:val="center"/>
          </w:tcPr>
          <w:p w:rsidR="00565428" w:rsidRPr="008B26DE" w:rsidRDefault="00565428" w:rsidP="009A587C">
            <w:pPr>
              <w:pStyle w:val="Tabletext"/>
              <w:spacing w:after="0"/>
              <w:rPr>
                <w:sz w:val="18"/>
                <w:szCs w:val="18"/>
              </w:rPr>
            </w:pPr>
            <w:r w:rsidRPr="008B26DE">
              <w:rPr>
                <w:sz w:val="18"/>
                <w:szCs w:val="18"/>
              </w:rPr>
              <w:t>Patient must have achieved and maintained a 50% or greater reduction from baseline in the number of migraine days per month</w:t>
            </w:r>
          </w:p>
        </w:tc>
      </w:tr>
      <w:tr w:rsidR="00565428" w:rsidRPr="008B26DE" w:rsidTr="00411E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1129" w:type="dxa"/>
            <w:tcBorders>
              <w:top w:val="single" w:sz="4" w:space="0" w:color="auto"/>
              <w:left w:val="single" w:sz="4" w:space="0" w:color="auto"/>
              <w:bottom w:val="single" w:sz="4" w:space="0" w:color="auto"/>
              <w:right w:val="single" w:sz="4" w:space="0" w:color="auto"/>
            </w:tcBorders>
          </w:tcPr>
          <w:p w:rsidR="00565428" w:rsidRPr="008B26DE" w:rsidRDefault="00565428" w:rsidP="00EA5100">
            <w:pPr>
              <w:pStyle w:val="Tabletext"/>
              <w:spacing w:after="0"/>
              <w:jc w:val="center"/>
              <w:rPr>
                <w:sz w:val="18"/>
                <w:szCs w:val="18"/>
              </w:rPr>
            </w:pPr>
          </w:p>
        </w:tc>
        <w:tc>
          <w:tcPr>
            <w:tcW w:w="7887" w:type="dxa"/>
            <w:gridSpan w:val="6"/>
            <w:tcBorders>
              <w:top w:val="single" w:sz="4" w:space="0" w:color="auto"/>
              <w:left w:val="single" w:sz="4" w:space="0" w:color="auto"/>
              <w:bottom w:val="single" w:sz="4" w:space="0" w:color="auto"/>
              <w:right w:val="single" w:sz="4" w:space="0" w:color="auto"/>
            </w:tcBorders>
            <w:vAlign w:val="center"/>
          </w:tcPr>
          <w:p w:rsidR="00565428" w:rsidRPr="00EA5100" w:rsidRDefault="00565428" w:rsidP="009A587C">
            <w:pPr>
              <w:pStyle w:val="Tabletext"/>
              <w:spacing w:after="0"/>
              <w:rPr>
                <w:b/>
                <w:sz w:val="18"/>
                <w:szCs w:val="18"/>
              </w:rPr>
            </w:pPr>
            <w:r w:rsidRPr="00EA5100">
              <w:rPr>
                <w:b/>
                <w:sz w:val="18"/>
                <w:szCs w:val="18"/>
              </w:rPr>
              <w:t>AND</w:t>
            </w:r>
          </w:p>
        </w:tc>
      </w:tr>
      <w:tr w:rsidR="00565428" w:rsidRPr="008B26DE" w:rsidTr="00411E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1129" w:type="dxa"/>
            <w:tcBorders>
              <w:top w:val="single" w:sz="4" w:space="0" w:color="auto"/>
              <w:left w:val="single" w:sz="4" w:space="0" w:color="auto"/>
              <w:bottom w:val="single" w:sz="4" w:space="0" w:color="auto"/>
              <w:right w:val="single" w:sz="4" w:space="0" w:color="auto"/>
            </w:tcBorders>
          </w:tcPr>
          <w:p w:rsidR="00565428" w:rsidRPr="008B26DE" w:rsidRDefault="00565428" w:rsidP="00EA5100">
            <w:pPr>
              <w:pStyle w:val="Tabletext"/>
              <w:spacing w:after="0"/>
              <w:jc w:val="center"/>
              <w:rPr>
                <w:sz w:val="18"/>
                <w:szCs w:val="18"/>
              </w:rPr>
            </w:pPr>
          </w:p>
        </w:tc>
        <w:tc>
          <w:tcPr>
            <w:tcW w:w="7887" w:type="dxa"/>
            <w:gridSpan w:val="6"/>
            <w:tcBorders>
              <w:top w:val="single" w:sz="4" w:space="0" w:color="auto"/>
              <w:left w:val="single" w:sz="4" w:space="0" w:color="auto"/>
              <w:bottom w:val="single" w:sz="4" w:space="0" w:color="auto"/>
              <w:right w:val="single" w:sz="4" w:space="0" w:color="auto"/>
            </w:tcBorders>
            <w:vAlign w:val="center"/>
          </w:tcPr>
          <w:p w:rsidR="00565428" w:rsidRPr="008B26DE" w:rsidRDefault="00565428" w:rsidP="009A587C">
            <w:pPr>
              <w:pStyle w:val="Tabletext"/>
              <w:spacing w:after="0"/>
              <w:rPr>
                <w:sz w:val="18"/>
                <w:szCs w:val="18"/>
              </w:rPr>
            </w:pPr>
            <w:r w:rsidRPr="008B26DE">
              <w:rPr>
                <w:sz w:val="18"/>
                <w:szCs w:val="18"/>
              </w:rPr>
              <w:t>The treatment must not be in combination with botulinum toxin</w:t>
            </w:r>
          </w:p>
        </w:tc>
      </w:tr>
      <w:tr w:rsidR="00565428" w:rsidRPr="008B26DE" w:rsidTr="00411E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1129" w:type="dxa"/>
            <w:tcBorders>
              <w:top w:val="single" w:sz="4" w:space="0" w:color="auto"/>
              <w:left w:val="single" w:sz="4" w:space="0" w:color="auto"/>
              <w:bottom w:val="single" w:sz="4" w:space="0" w:color="auto"/>
              <w:right w:val="single" w:sz="4" w:space="0" w:color="auto"/>
            </w:tcBorders>
          </w:tcPr>
          <w:p w:rsidR="00565428" w:rsidRPr="008B26DE" w:rsidRDefault="00565428" w:rsidP="00EA5100">
            <w:pPr>
              <w:jc w:val="center"/>
              <w:rPr>
                <w:sz w:val="18"/>
                <w:szCs w:val="18"/>
              </w:rPr>
            </w:pPr>
          </w:p>
        </w:tc>
        <w:tc>
          <w:tcPr>
            <w:tcW w:w="7887" w:type="dxa"/>
            <w:gridSpan w:val="6"/>
            <w:tcBorders>
              <w:top w:val="single" w:sz="4" w:space="0" w:color="auto"/>
              <w:left w:val="single" w:sz="4" w:space="0" w:color="auto"/>
              <w:bottom w:val="single" w:sz="4" w:space="0" w:color="auto"/>
              <w:right w:val="single" w:sz="4" w:space="0" w:color="auto"/>
            </w:tcBorders>
            <w:vAlign w:val="center"/>
          </w:tcPr>
          <w:p w:rsidR="00565428" w:rsidRPr="00EA5100" w:rsidRDefault="00565428" w:rsidP="009A587C">
            <w:pPr>
              <w:pStyle w:val="Tabletext"/>
              <w:spacing w:after="0"/>
              <w:rPr>
                <w:b/>
                <w:sz w:val="18"/>
                <w:szCs w:val="18"/>
              </w:rPr>
            </w:pPr>
            <w:r w:rsidRPr="00EA5100">
              <w:rPr>
                <w:b/>
                <w:sz w:val="18"/>
                <w:szCs w:val="18"/>
              </w:rPr>
              <w:t>AND</w:t>
            </w:r>
          </w:p>
        </w:tc>
      </w:tr>
      <w:tr w:rsidR="00565428" w:rsidRPr="008B26DE" w:rsidTr="00411E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1129" w:type="dxa"/>
            <w:tcBorders>
              <w:top w:val="single" w:sz="4" w:space="0" w:color="auto"/>
              <w:left w:val="single" w:sz="4" w:space="0" w:color="auto"/>
              <w:bottom w:val="single" w:sz="4" w:space="0" w:color="auto"/>
              <w:right w:val="single" w:sz="4" w:space="0" w:color="auto"/>
            </w:tcBorders>
          </w:tcPr>
          <w:p w:rsidR="00565428" w:rsidRPr="008B26DE" w:rsidRDefault="00565428" w:rsidP="00EA5100">
            <w:pPr>
              <w:pStyle w:val="Tabletext"/>
              <w:spacing w:after="0"/>
              <w:jc w:val="center"/>
              <w:rPr>
                <w:sz w:val="18"/>
                <w:szCs w:val="18"/>
              </w:rPr>
            </w:pPr>
          </w:p>
        </w:tc>
        <w:tc>
          <w:tcPr>
            <w:tcW w:w="7887" w:type="dxa"/>
            <w:gridSpan w:val="6"/>
            <w:tcBorders>
              <w:top w:val="single" w:sz="4" w:space="0" w:color="auto"/>
              <w:left w:val="single" w:sz="4" w:space="0" w:color="auto"/>
              <w:bottom w:val="single" w:sz="4" w:space="0" w:color="auto"/>
              <w:right w:val="single" w:sz="4" w:space="0" w:color="auto"/>
            </w:tcBorders>
            <w:vAlign w:val="center"/>
          </w:tcPr>
          <w:p w:rsidR="00565428" w:rsidRPr="008B26DE" w:rsidRDefault="00565428" w:rsidP="009A587C">
            <w:pPr>
              <w:pStyle w:val="Tabletext"/>
              <w:spacing w:after="0"/>
              <w:rPr>
                <w:sz w:val="18"/>
                <w:szCs w:val="18"/>
              </w:rPr>
            </w:pPr>
            <w:r w:rsidRPr="008B26DE">
              <w:rPr>
                <w:sz w:val="18"/>
                <w:szCs w:val="18"/>
              </w:rPr>
              <w:t xml:space="preserve"> Patient must continue to be appropriately managed for medication overuse headache</w:t>
            </w:r>
          </w:p>
        </w:tc>
      </w:tr>
      <w:tr w:rsidR="00DA45AB" w:rsidRPr="008B26DE" w:rsidTr="00411E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1129" w:type="dxa"/>
            <w:tcBorders>
              <w:top w:val="single" w:sz="4" w:space="0" w:color="auto"/>
              <w:left w:val="single" w:sz="4" w:space="0" w:color="auto"/>
              <w:bottom w:val="single" w:sz="4" w:space="0" w:color="auto"/>
              <w:right w:val="single" w:sz="4" w:space="0" w:color="auto"/>
            </w:tcBorders>
          </w:tcPr>
          <w:p w:rsidR="00DA45AB" w:rsidRPr="008B26DE" w:rsidRDefault="00DA45AB" w:rsidP="00DA45AB">
            <w:pPr>
              <w:pStyle w:val="Tabletext"/>
              <w:spacing w:after="0"/>
              <w:jc w:val="center"/>
              <w:rPr>
                <w:sz w:val="18"/>
                <w:szCs w:val="18"/>
              </w:rPr>
            </w:pPr>
          </w:p>
        </w:tc>
        <w:tc>
          <w:tcPr>
            <w:tcW w:w="7887" w:type="dxa"/>
            <w:gridSpan w:val="6"/>
            <w:tcBorders>
              <w:top w:val="single" w:sz="4" w:space="0" w:color="auto"/>
              <w:left w:val="single" w:sz="4" w:space="0" w:color="auto"/>
              <w:bottom w:val="single" w:sz="4" w:space="0" w:color="auto"/>
              <w:right w:val="single" w:sz="4" w:space="0" w:color="auto"/>
            </w:tcBorders>
            <w:vAlign w:val="center"/>
          </w:tcPr>
          <w:p w:rsidR="00DA45AB" w:rsidRPr="00DA45AB" w:rsidRDefault="00DA45AB" w:rsidP="00DA45AB">
            <w:pPr>
              <w:pStyle w:val="Tabletext"/>
              <w:spacing w:after="0"/>
              <w:rPr>
                <w:b/>
                <w:sz w:val="18"/>
                <w:szCs w:val="18"/>
              </w:rPr>
            </w:pPr>
            <w:r>
              <w:rPr>
                <w:b/>
                <w:sz w:val="18"/>
                <w:szCs w:val="18"/>
              </w:rPr>
              <w:t>Prescriber instructions:</w:t>
            </w:r>
          </w:p>
          <w:p w:rsidR="00DA45AB" w:rsidRPr="008B26DE" w:rsidRDefault="00DA45AB" w:rsidP="00DA45AB">
            <w:pPr>
              <w:pStyle w:val="Tabletext"/>
              <w:spacing w:after="0"/>
              <w:rPr>
                <w:sz w:val="18"/>
                <w:szCs w:val="18"/>
              </w:rPr>
            </w:pPr>
            <w:r w:rsidRPr="00DA45AB">
              <w:rPr>
                <w:sz w:val="18"/>
                <w:szCs w:val="18"/>
              </w:rPr>
              <w:t>Patient must have the number of migraine days per month documented in their medical records.</w:t>
            </w:r>
          </w:p>
        </w:tc>
      </w:tr>
      <w:tr w:rsidR="00DA45AB" w:rsidRPr="008B26DE" w:rsidTr="00411E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1129" w:type="dxa"/>
            <w:tcBorders>
              <w:top w:val="single" w:sz="4" w:space="0" w:color="auto"/>
              <w:left w:val="single" w:sz="4" w:space="0" w:color="auto"/>
              <w:bottom w:val="single" w:sz="4" w:space="0" w:color="auto"/>
              <w:right w:val="single" w:sz="4" w:space="0" w:color="auto"/>
            </w:tcBorders>
          </w:tcPr>
          <w:p w:rsidR="00DA45AB" w:rsidRPr="008B26DE" w:rsidRDefault="00DA45AB" w:rsidP="00DA45AB">
            <w:pPr>
              <w:jc w:val="center"/>
              <w:rPr>
                <w:rFonts w:ascii="Arial Narrow" w:hAnsi="Arial Narrow"/>
                <w:sz w:val="18"/>
                <w:szCs w:val="18"/>
                <w:lang w:eastAsia="en-US"/>
              </w:rPr>
            </w:pPr>
          </w:p>
        </w:tc>
        <w:tc>
          <w:tcPr>
            <w:tcW w:w="7887" w:type="dxa"/>
            <w:gridSpan w:val="6"/>
            <w:tcBorders>
              <w:top w:val="single" w:sz="4" w:space="0" w:color="auto"/>
              <w:left w:val="single" w:sz="4" w:space="0" w:color="auto"/>
              <w:bottom w:val="single" w:sz="4" w:space="0" w:color="auto"/>
              <w:right w:val="single" w:sz="4" w:space="0" w:color="auto"/>
            </w:tcBorders>
            <w:vAlign w:val="center"/>
          </w:tcPr>
          <w:p w:rsidR="00DA45AB" w:rsidRPr="008B26DE" w:rsidRDefault="00DA45AB" w:rsidP="00DA45AB">
            <w:pPr>
              <w:pStyle w:val="Tabletext"/>
              <w:spacing w:after="0"/>
              <w:rPr>
                <w:sz w:val="18"/>
                <w:szCs w:val="18"/>
              </w:rPr>
            </w:pPr>
            <w:r w:rsidRPr="008B26DE">
              <w:rPr>
                <w:b/>
                <w:sz w:val="18"/>
                <w:szCs w:val="18"/>
              </w:rPr>
              <w:t>Administrative advice:</w:t>
            </w:r>
          </w:p>
        </w:tc>
      </w:tr>
      <w:tr w:rsidR="00DA45AB" w:rsidRPr="008B26DE" w:rsidTr="00411E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1129" w:type="dxa"/>
            <w:tcBorders>
              <w:top w:val="single" w:sz="4" w:space="0" w:color="auto"/>
              <w:left w:val="single" w:sz="4" w:space="0" w:color="auto"/>
              <w:bottom w:val="single" w:sz="4" w:space="0" w:color="auto"/>
              <w:right w:val="single" w:sz="4" w:space="0" w:color="auto"/>
            </w:tcBorders>
          </w:tcPr>
          <w:p w:rsidR="00DA45AB" w:rsidRPr="008B26DE" w:rsidRDefault="00DA45AB" w:rsidP="00DA45AB">
            <w:pPr>
              <w:jc w:val="center"/>
              <w:rPr>
                <w:rFonts w:ascii="Arial Narrow" w:hAnsi="Arial Narrow"/>
                <w:sz w:val="18"/>
                <w:szCs w:val="18"/>
                <w:lang w:eastAsia="en-US"/>
              </w:rPr>
            </w:pPr>
          </w:p>
        </w:tc>
        <w:tc>
          <w:tcPr>
            <w:tcW w:w="7887" w:type="dxa"/>
            <w:gridSpan w:val="6"/>
            <w:tcBorders>
              <w:top w:val="single" w:sz="4" w:space="0" w:color="auto"/>
              <w:left w:val="single" w:sz="4" w:space="0" w:color="auto"/>
              <w:bottom w:val="single" w:sz="4" w:space="0" w:color="auto"/>
              <w:right w:val="single" w:sz="4" w:space="0" w:color="auto"/>
            </w:tcBorders>
            <w:vAlign w:val="center"/>
          </w:tcPr>
          <w:p w:rsidR="00DA45AB" w:rsidRPr="008B26DE" w:rsidRDefault="00DA45AB" w:rsidP="00DA45AB">
            <w:pPr>
              <w:pStyle w:val="Tabletext"/>
              <w:spacing w:after="0"/>
              <w:rPr>
                <w:sz w:val="18"/>
                <w:szCs w:val="18"/>
              </w:rPr>
            </w:pPr>
            <w:r w:rsidRPr="008B26DE">
              <w:rPr>
                <w:sz w:val="18"/>
                <w:szCs w:val="18"/>
              </w:rPr>
              <w:t>No increase in the maximum quantity or number of units may be authorised.</w:t>
            </w:r>
          </w:p>
        </w:tc>
      </w:tr>
      <w:tr w:rsidR="00DA45AB" w:rsidRPr="008B26DE" w:rsidTr="00411E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1129" w:type="dxa"/>
            <w:tcBorders>
              <w:top w:val="single" w:sz="4" w:space="0" w:color="auto"/>
              <w:left w:val="single" w:sz="4" w:space="0" w:color="auto"/>
              <w:bottom w:val="single" w:sz="4" w:space="0" w:color="auto"/>
              <w:right w:val="single" w:sz="4" w:space="0" w:color="auto"/>
            </w:tcBorders>
          </w:tcPr>
          <w:p w:rsidR="00DA45AB" w:rsidRPr="008B26DE" w:rsidRDefault="00DA45AB" w:rsidP="00DA45AB">
            <w:pPr>
              <w:jc w:val="center"/>
              <w:rPr>
                <w:rFonts w:ascii="Arial Narrow" w:hAnsi="Arial Narrow"/>
                <w:sz w:val="18"/>
                <w:szCs w:val="18"/>
                <w:lang w:eastAsia="en-US"/>
              </w:rPr>
            </w:pPr>
          </w:p>
        </w:tc>
        <w:tc>
          <w:tcPr>
            <w:tcW w:w="7887" w:type="dxa"/>
            <w:gridSpan w:val="6"/>
            <w:tcBorders>
              <w:top w:val="single" w:sz="4" w:space="0" w:color="auto"/>
              <w:left w:val="single" w:sz="4" w:space="0" w:color="auto"/>
              <w:bottom w:val="single" w:sz="4" w:space="0" w:color="auto"/>
              <w:right w:val="single" w:sz="4" w:space="0" w:color="auto"/>
            </w:tcBorders>
            <w:vAlign w:val="center"/>
          </w:tcPr>
          <w:p w:rsidR="00DA45AB" w:rsidRPr="008B26DE" w:rsidRDefault="00DA45AB" w:rsidP="00DA45AB">
            <w:pPr>
              <w:pStyle w:val="Tabletext"/>
              <w:spacing w:after="0"/>
              <w:rPr>
                <w:sz w:val="18"/>
                <w:szCs w:val="18"/>
              </w:rPr>
            </w:pPr>
            <w:r w:rsidRPr="008B26DE">
              <w:rPr>
                <w:sz w:val="18"/>
                <w:szCs w:val="18"/>
              </w:rPr>
              <w:t>No increase in the maximum number of repeats may be authorised.</w:t>
            </w:r>
          </w:p>
        </w:tc>
      </w:tr>
    </w:tbl>
    <w:p w:rsidR="006B0D2F" w:rsidRPr="008B26DE" w:rsidRDefault="006B0D2F" w:rsidP="0072085D"/>
    <w:p w:rsidR="006B0D2F" w:rsidRPr="006C7364" w:rsidRDefault="00055C21" w:rsidP="006C7364">
      <w:pPr>
        <w:pStyle w:val="3Bodytext"/>
        <w:rPr>
          <w:rFonts w:cs="Arial"/>
          <w:bCs/>
          <w:snapToGrid w:val="0"/>
        </w:rPr>
      </w:pPr>
      <w:r w:rsidRPr="006C7364">
        <w:rPr>
          <w:rFonts w:cs="Arial"/>
          <w:bCs/>
          <w:snapToGrid w:val="0"/>
        </w:rPr>
        <w:t>As a flow-on change, update the list of prophylactic migraine medications in the botulinum toxin type A chronic migraine listing (PBS item code 11000Y, Treatment of Concept: 5262) to match that above (concept Id 24842).</w:t>
      </w:r>
    </w:p>
    <w:p w:rsidR="002A3D0F" w:rsidRPr="008B26DE" w:rsidRDefault="002A3D0F" w:rsidP="00D8784C">
      <w:pPr>
        <w:pStyle w:val="3Bodytext"/>
        <w:numPr>
          <w:ilvl w:val="0"/>
          <w:numId w:val="0"/>
        </w:numPr>
        <w:jc w:val="left"/>
      </w:pPr>
    </w:p>
    <w:p w:rsidR="005164AB" w:rsidRPr="000B7209" w:rsidRDefault="005164AB" w:rsidP="005164AB">
      <w:pPr>
        <w:widowControl w:val="0"/>
        <w:spacing w:before="120" w:after="120"/>
        <w:rPr>
          <w:rFonts w:asciiTheme="minorHAnsi" w:hAnsiTheme="minorHAnsi" w:cs="Arial"/>
          <w:b/>
          <w:bCs/>
          <w:i/>
          <w:snapToGrid w:val="0"/>
          <w:lang w:eastAsia="en-US"/>
        </w:rPr>
      </w:pPr>
      <w:r w:rsidRPr="000B7209">
        <w:rPr>
          <w:rFonts w:asciiTheme="minorHAnsi" w:hAnsiTheme="minorHAnsi" w:cs="Arial"/>
          <w:b/>
          <w:bCs/>
          <w:i/>
          <w:snapToGrid w:val="0"/>
          <w:lang w:eastAsia="en-US"/>
        </w:rPr>
        <w:t>These restrictions may be subject to further review. Should there be any changes made to the restriction the Sponsor will be informed.</w:t>
      </w:r>
    </w:p>
    <w:p w:rsidR="00E872BA" w:rsidRDefault="00E872BA" w:rsidP="00E872BA">
      <w:pPr>
        <w:pStyle w:val="2-SectionHeading"/>
        <w:rPr>
          <w:bCs/>
          <w:lang w:val="en-GB"/>
        </w:rPr>
      </w:pPr>
      <w:r w:rsidRPr="00C07617">
        <w:t>Context for Decision</w:t>
      </w:r>
    </w:p>
    <w:p w:rsidR="00E872BA" w:rsidRPr="007129F2" w:rsidRDefault="00E872BA" w:rsidP="00E872BA">
      <w:pPr>
        <w:spacing w:after="120"/>
        <w:rPr>
          <w:rFonts w:asciiTheme="minorHAnsi" w:hAnsiTheme="minorHAnsi" w:cs="Arial"/>
          <w:bCs/>
          <w:lang w:val="en-GB"/>
        </w:rPr>
      </w:pPr>
      <w:r w:rsidRPr="007129F2">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E872BA" w:rsidRPr="00C07617" w:rsidRDefault="00E872BA" w:rsidP="00E872BA">
      <w:pPr>
        <w:pStyle w:val="2-SectionHeading"/>
      </w:pPr>
      <w:r>
        <w:t>Sponsor’s Comment</w:t>
      </w:r>
    </w:p>
    <w:p w:rsidR="00BF27A0" w:rsidRPr="00B71A7C" w:rsidRDefault="00321E0D" w:rsidP="00B71A7C">
      <w:pPr>
        <w:spacing w:after="120"/>
        <w:rPr>
          <w:rFonts w:asciiTheme="minorHAnsi" w:hAnsiTheme="minorHAnsi" w:cs="Arial"/>
          <w:bCs/>
        </w:rPr>
      </w:pPr>
      <w:r w:rsidRPr="00E92CA9">
        <w:rPr>
          <w:rFonts w:asciiTheme="minorHAnsi" w:hAnsiTheme="minorHAnsi" w:cs="Arial"/>
          <w:bCs/>
          <w:lang w:val="en-GB"/>
        </w:rPr>
        <w:t xml:space="preserve">Lilly thanks the Committee for </w:t>
      </w:r>
      <w:r w:rsidR="00B71A7C" w:rsidRPr="00E92CA9">
        <w:rPr>
          <w:rFonts w:asciiTheme="minorHAnsi" w:hAnsiTheme="minorHAnsi" w:cs="Arial"/>
          <w:bCs/>
          <w:lang w:val="en-GB"/>
        </w:rPr>
        <w:t>its</w:t>
      </w:r>
      <w:r w:rsidRPr="00E92CA9">
        <w:rPr>
          <w:rFonts w:asciiTheme="minorHAnsi" w:hAnsiTheme="minorHAnsi" w:cs="Arial"/>
          <w:bCs/>
          <w:lang w:val="en-GB"/>
        </w:rPr>
        <w:t xml:space="preserve"> deep consideration and updated recommendation and all stakeholders for their feedback and input relating to this minor submission</w:t>
      </w:r>
      <w:r w:rsidRPr="00461357">
        <w:rPr>
          <w:rFonts w:asciiTheme="minorHAnsi" w:hAnsiTheme="minorHAnsi" w:cs="Arial"/>
          <w:bCs/>
          <w:lang w:val="en-GB"/>
        </w:rPr>
        <w:t>.</w:t>
      </w:r>
      <w:r>
        <w:rPr>
          <w:rFonts w:asciiTheme="minorHAnsi" w:hAnsiTheme="minorHAnsi" w:cs="Arial"/>
          <w:bCs/>
          <w:lang w:val="en-GB"/>
        </w:rPr>
        <w:t xml:space="preserve"> </w:t>
      </w:r>
    </w:p>
    <w:sectPr w:rsidR="00BF27A0" w:rsidRPr="00B71A7C" w:rsidSect="00C27B58">
      <w:headerReference w:type="even" r:id="rId8"/>
      <w:headerReference w:type="default" r:id="rId9"/>
      <w:footerReference w:type="even" r:id="rId10"/>
      <w:footerReference w:type="default" r:id="rId11"/>
      <w:footerReference w:type="first" r:id="rId12"/>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1001" w:rsidRDefault="00561001">
      <w:r>
        <w:separator/>
      </w:r>
    </w:p>
    <w:p w:rsidR="00561001" w:rsidRDefault="00561001"/>
  </w:endnote>
  <w:endnote w:type="continuationSeparator" w:id="0">
    <w:p w:rsidR="00561001" w:rsidRDefault="00561001">
      <w:r>
        <w:continuationSeparator/>
      </w:r>
    </w:p>
    <w:p w:rsidR="00561001" w:rsidRDefault="005610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rial Bold">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3821BE" w:rsidTr="005A3173">
      <w:trPr>
        <w:trHeight w:val="151"/>
      </w:trPr>
      <w:tc>
        <w:tcPr>
          <w:tcW w:w="2250" w:type="pct"/>
          <w:tcBorders>
            <w:top w:val="nil"/>
            <w:left w:val="nil"/>
            <w:bottom w:val="single" w:sz="4" w:space="0" w:color="4F81BD"/>
            <w:right w:val="nil"/>
          </w:tcBorders>
        </w:tcPr>
        <w:p w:rsidR="003821BE" w:rsidRPr="005A3173" w:rsidRDefault="003821BE" w:rsidP="005A3173">
          <w:pPr>
            <w:pStyle w:val="Header"/>
            <w:spacing w:line="276" w:lineRule="auto"/>
            <w:rPr>
              <w:rFonts w:eastAsia="MS Gothic"/>
              <w:b/>
              <w:bCs/>
              <w:color w:val="4F81BD"/>
            </w:rPr>
          </w:pPr>
        </w:p>
      </w:tc>
      <w:tc>
        <w:tcPr>
          <w:tcW w:w="500" w:type="pct"/>
          <w:vMerge w:val="restart"/>
          <w:noWrap/>
          <w:vAlign w:val="center"/>
          <w:hideMark/>
        </w:tcPr>
        <w:p w:rsidR="003821BE" w:rsidRPr="005A3173" w:rsidRDefault="003821BE"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3821BE" w:rsidRPr="005A3173" w:rsidRDefault="003821BE" w:rsidP="005A3173">
          <w:pPr>
            <w:pStyle w:val="Header"/>
            <w:spacing w:line="276" w:lineRule="auto"/>
            <w:rPr>
              <w:rFonts w:eastAsia="MS Gothic"/>
              <w:b/>
              <w:bCs/>
              <w:color w:val="4F81BD"/>
            </w:rPr>
          </w:pPr>
        </w:p>
      </w:tc>
    </w:tr>
    <w:tr w:rsidR="003821BE" w:rsidTr="005A3173">
      <w:trPr>
        <w:trHeight w:val="150"/>
      </w:trPr>
      <w:tc>
        <w:tcPr>
          <w:tcW w:w="2250" w:type="pct"/>
          <w:tcBorders>
            <w:top w:val="single" w:sz="4" w:space="0" w:color="4F81BD"/>
            <w:left w:val="nil"/>
            <w:bottom w:val="nil"/>
            <w:right w:val="nil"/>
          </w:tcBorders>
        </w:tcPr>
        <w:p w:rsidR="003821BE" w:rsidRPr="005A3173" w:rsidRDefault="003821BE" w:rsidP="005A3173">
          <w:pPr>
            <w:pStyle w:val="Header"/>
            <w:spacing w:line="276" w:lineRule="auto"/>
            <w:rPr>
              <w:rFonts w:eastAsia="MS Gothic"/>
              <w:b/>
              <w:bCs/>
              <w:color w:val="4F81BD"/>
            </w:rPr>
          </w:pPr>
        </w:p>
      </w:tc>
      <w:tc>
        <w:tcPr>
          <w:tcW w:w="0" w:type="auto"/>
          <w:vMerge/>
          <w:vAlign w:val="center"/>
          <w:hideMark/>
        </w:tcPr>
        <w:p w:rsidR="003821BE" w:rsidRPr="005A3173" w:rsidRDefault="003821BE" w:rsidP="005A3173">
          <w:pPr>
            <w:rPr>
              <w:color w:val="365F91"/>
              <w:sz w:val="22"/>
              <w:szCs w:val="22"/>
            </w:rPr>
          </w:pPr>
        </w:p>
      </w:tc>
      <w:tc>
        <w:tcPr>
          <w:tcW w:w="2250" w:type="pct"/>
          <w:tcBorders>
            <w:top w:val="single" w:sz="4" w:space="0" w:color="4F81BD"/>
            <w:left w:val="nil"/>
            <w:bottom w:val="nil"/>
            <w:right w:val="nil"/>
          </w:tcBorders>
        </w:tcPr>
        <w:p w:rsidR="003821BE" w:rsidRPr="005A3173" w:rsidRDefault="003821BE" w:rsidP="005A3173">
          <w:pPr>
            <w:pStyle w:val="Header"/>
            <w:spacing w:line="276" w:lineRule="auto"/>
            <w:rPr>
              <w:rFonts w:eastAsia="MS Gothic"/>
              <w:b/>
              <w:bCs/>
              <w:color w:val="4F81BD"/>
            </w:rPr>
          </w:pPr>
        </w:p>
      </w:tc>
    </w:tr>
  </w:tbl>
  <w:p w:rsidR="003821BE" w:rsidRDefault="003821BE"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821BE" w:rsidRDefault="003821BE">
    <w:pPr>
      <w:pStyle w:val="Footer"/>
    </w:pPr>
  </w:p>
  <w:p w:rsidR="003821BE" w:rsidRDefault="003821B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21BE" w:rsidRDefault="003821BE" w:rsidP="00E27234">
    <w:pPr>
      <w:pStyle w:val="PBACFooter"/>
      <w:rPr>
        <w:rFonts w:asciiTheme="minorHAnsi" w:hAnsiTheme="minorHAnsi" w:cstheme="minorHAnsi"/>
        <w:sz w:val="24"/>
      </w:rPr>
    </w:pPr>
  </w:p>
  <w:p w:rsidR="003821BE" w:rsidRPr="00E10293" w:rsidRDefault="003821BE" w:rsidP="00A510E4">
    <w:pPr>
      <w:pStyle w:val="PBACFooter"/>
      <w:rPr>
        <w:rFonts w:asciiTheme="minorHAnsi" w:hAnsiTheme="minorHAnsi" w:cstheme="minorHAnsi"/>
        <w:b w:val="0"/>
        <w:sz w:val="24"/>
      </w:rPr>
    </w:pPr>
    <w:r w:rsidRPr="00003BFA">
      <w:rPr>
        <w:rFonts w:asciiTheme="minorHAnsi" w:hAnsiTheme="minorHAnsi" w:cstheme="minorHAnsi"/>
        <w:b w:val="0"/>
        <w:sz w:val="24"/>
      </w:rPr>
      <w:fldChar w:fldCharType="begin"/>
    </w:r>
    <w:r w:rsidRPr="00003BFA">
      <w:rPr>
        <w:rFonts w:asciiTheme="minorHAnsi" w:hAnsiTheme="minorHAnsi" w:cstheme="minorHAnsi"/>
        <w:b w:val="0"/>
        <w:sz w:val="24"/>
      </w:rPr>
      <w:instrText xml:space="preserve"> PAGE   \* MERGEFORMAT </w:instrText>
    </w:r>
    <w:r w:rsidRPr="00003BFA">
      <w:rPr>
        <w:rFonts w:asciiTheme="minorHAnsi" w:hAnsiTheme="minorHAnsi" w:cstheme="minorHAnsi"/>
        <w:b w:val="0"/>
        <w:sz w:val="24"/>
      </w:rPr>
      <w:fldChar w:fldCharType="separate"/>
    </w:r>
    <w:r w:rsidR="001936D5">
      <w:rPr>
        <w:rFonts w:asciiTheme="minorHAnsi" w:hAnsiTheme="minorHAnsi" w:cstheme="minorHAnsi"/>
        <w:b w:val="0"/>
        <w:noProof/>
        <w:sz w:val="24"/>
      </w:rPr>
      <w:t>2</w:t>
    </w:r>
    <w:r w:rsidRPr="00003BFA">
      <w:rPr>
        <w:rFonts w:asciiTheme="minorHAnsi" w:hAnsiTheme="minorHAnsi" w:cstheme="minorHAnsi"/>
        <w:b w:val="0"/>
        <w:noProof/>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887"/>
      <w:gridCol w:w="1252"/>
      <w:gridCol w:w="3887"/>
    </w:tblGrid>
    <w:tr w:rsidR="003821BE" w:rsidTr="005A3173">
      <w:trPr>
        <w:trHeight w:val="151"/>
      </w:trPr>
      <w:tc>
        <w:tcPr>
          <w:tcW w:w="2250" w:type="pct"/>
          <w:tcBorders>
            <w:top w:val="nil"/>
            <w:left w:val="nil"/>
            <w:bottom w:val="single" w:sz="4" w:space="0" w:color="4F81BD"/>
            <w:right w:val="nil"/>
          </w:tcBorders>
        </w:tcPr>
        <w:p w:rsidR="003821BE" w:rsidRPr="005A3173" w:rsidRDefault="003821BE" w:rsidP="005A3173">
          <w:pPr>
            <w:pStyle w:val="Header"/>
            <w:spacing w:line="276" w:lineRule="auto"/>
            <w:rPr>
              <w:rFonts w:eastAsia="MS Gothic"/>
              <w:b/>
              <w:bCs/>
              <w:color w:val="4F81BD"/>
            </w:rPr>
          </w:pPr>
        </w:p>
      </w:tc>
      <w:tc>
        <w:tcPr>
          <w:tcW w:w="500" w:type="pct"/>
          <w:vMerge w:val="restart"/>
          <w:noWrap/>
          <w:vAlign w:val="center"/>
          <w:hideMark/>
        </w:tcPr>
        <w:p w:rsidR="003821BE" w:rsidRPr="005A3173" w:rsidRDefault="003821BE"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3821BE" w:rsidRPr="005A3173" w:rsidRDefault="003821BE" w:rsidP="005A3173">
          <w:pPr>
            <w:pStyle w:val="Header"/>
            <w:spacing w:line="276" w:lineRule="auto"/>
            <w:rPr>
              <w:rFonts w:eastAsia="MS Gothic"/>
              <w:b/>
              <w:bCs/>
              <w:color w:val="4F81BD"/>
            </w:rPr>
          </w:pPr>
        </w:p>
      </w:tc>
    </w:tr>
    <w:tr w:rsidR="003821BE" w:rsidTr="005A3173">
      <w:trPr>
        <w:trHeight w:val="150"/>
      </w:trPr>
      <w:tc>
        <w:tcPr>
          <w:tcW w:w="2250" w:type="pct"/>
          <w:tcBorders>
            <w:top w:val="single" w:sz="4" w:space="0" w:color="4F81BD"/>
            <w:left w:val="nil"/>
            <w:bottom w:val="nil"/>
            <w:right w:val="nil"/>
          </w:tcBorders>
        </w:tcPr>
        <w:p w:rsidR="003821BE" w:rsidRPr="005A3173" w:rsidRDefault="003821BE" w:rsidP="005A3173">
          <w:pPr>
            <w:pStyle w:val="Header"/>
            <w:spacing w:line="276" w:lineRule="auto"/>
            <w:rPr>
              <w:rFonts w:eastAsia="MS Gothic"/>
              <w:b/>
              <w:bCs/>
              <w:color w:val="4F81BD"/>
            </w:rPr>
          </w:pPr>
        </w:p>
      </w:tc>
      <w:tc>
        <w:tcPr>
          <w:tcW w:w="0" w:type="auto"/>
          <w:vMerge/>
          <w:vAlign w:val="center"/>
          <w:hideMark/>
        </w:tcPr>
        <w:p w:rsidR="003821BE" w:rsidRPr="005A3173" w:rsidRDefault="003821BE" w:rsidP="005A3173">
          <w:pPr>
            <w:rPr>
              <w:color w:val="365F91"/>
              <w:sz w:val="22"/>
              <w:szCs w:val="22"/>
            </w:rPr>
          </w:pPr>
        </w:p>
      </w:tc>
      <w:tc>
        <w:tcPr>
          <w:tcW w:w="2250" w:type="pct"/>
          <w:tcBorders>
            <w:top w:val="single" w:sz="4" w:space="0" w:color="4F81BD"/>
            <w:left w:val="nil"/>
            <w:bottom w:val="nil"/>
            <w:right w:val="nil"/>
          </w:tcBorders>
        </w:tcPr>
        <w:p w:rsidR="003821BE" w:rsidRPr="005A3173" w:rsidRDefault="003821BE"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3821BE" w:rsidTr="005A3173">
      <w:trPr>
        <w:trHeight w:val="151"/>
      </w:trPr>
      <w:tc>
        <w:tcPr>
          <w:tcW w:w="2250" w:type="pct"/>
          <w:tcBorders>
            <w:top w:val="nil"/>
            <w:left w:val="nil"/>
            <w:bottom w:val="single" w:sz="4" w:space="0" w:color="4F81BD"/>
            <w:right w:val="nil"/>
          </w:tcBorders>
        </w:tcPr>
        <w:p w:rsidR="003821BE" w:rsidRPr="005A3173" w:rsidRDefault="003821BE" w:rsidP="005A3173">
          <w:pPr>
            <w:pStyle w:val="Header"/>
            <w:spacing w:line="276" w:lineRule="auto"/>
            <w:rPr>
              <w:rFonts w:eastAsia="MS Gothic"/>
              <w:b/>
              <w:bCs/>
              <w:color w:val="4F81BD"/>
            </w:rPr>
          </w:pPr>
        </w:p>
      </w:tc>
      <w:tc>
        <w:tcPr>
          <w:tcW w:w="500" w:type="pct"/>
          <w:vMerge w:val="restart"/>
          <w:noWrap/>
          <w:vAlign w:val="center"/>
          <w:hideMark/>
        </w:tcPr>
        <w:p w:rsidR="003821BE" w:rsidRPr="005A3173" w:rsidRDefault="003821BE"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3821BE" w:rsidRPr="005A3173" w:rsidRDefault="003821BE" w:rsidP="005A3173">
          <w:pPr>
            <w:pStyle w:val="Header"/>
            <w:spacing w:line="276" w:lineRule="auto"/>
            <w:rPr>
              <w:rFonts w:eastAsia="MS Gothic"/>
              <w:b/>
              <w:bCs/>
              <w:color w:val="4F81BD"/>
            </w:rPr>
          </w:pPr>
        </w:p>
      </w:tc>
    </w:tr>
    <w:tr w:rsidR="003821BE" w:rsidTr="005A3173">
      <w:trPr>
        <w:trHeight w:val="150"/>
      </w:trPr>
      <w:tc>
        <w:tcPr>
          <w:tcW w:w="2250" w:type="pct"/>
          <w:tcBorders>
            <w:top w:val="single" w:sz="4" w:space="0" w:color="4F81BD"/>
            <w:left w:val="nil"/>
            <w:bottom w:val="nil"/>
            <w:right w:val="nil"/>
          </w:tcBorders>
        </w:tcPr>
        <w:p w:rsidR="003821BE" w:rsidRPr="005A3173" w:rsidRDefault="003821BE" w:rsidP="005A3173">
          <w:pPr>
            <w:pStyle w:val="Header"/>
            <w:spacing w:line="276" w:lineRule="auto"/>
            <w:rPr>
              <w:rFonts w:eastAsia="MS Gothic"/>
              <w:b/>
              <w:bCs/>
              <w:color w:val="4F81BD"/>
            </w:rPr>
          </w:pPr>
        </w:p>
      </w:tc>
      <w:tc>
        <w:tcPr>
          <w:tcW w:w="0" w:type="auto"/>
          <w:vMerge/>
          <w:vAlign w:val="center"/>
          <w:hideMark/>
        </w:tcPr>
        <w:p w:rsidR="003821BE" w:rsidRPr="005A3173" w:rsidRDefault="003821BE" w:rsidP="005A3173">
          <w:pPr>
            <w:rPr>
              <w:color w:val="365F91"/>
              <w:sz w:val="22"/>
              <w:szCs w:val="22"/>
            </w:rPr>
          </w:pPr>
        </w:p>
      </w:tc>
      <w:tc>
        <w:tcPr>
          <w:tcW w:w="2250" w:type="pct"/>
          <w:tcBorders>
            <w:top w:val="single" w:sz="4" w:space="0" w:color="4F81BD"/>
            <w:left w:val="nil"/>
            <w:bottom w:val="nil"/>
            <w:right w:val="nil"/>
          </w:tcBorders>
        </w:tcPr>
        <w:p w:rsidR="003821BE" w:rsidRPr="005A3173" w:rsidRDefault="003821BE" w:rsidP="005A3173">
          <w:pPr>
            <w:pStyle w:val="Header"/>
            <w:spacing w:line="276" w:lineRule="auto"/>
            <w:rPr>
              <w:rFonts w:eastAsia="MS Gothic"/>
              <w:b/>
              <w:bCs/>
              <w:color w:val="4F81BD"/>
            </w:rPr>
          </w:pPr>
        </w:p>
      </w:tc>
    </w:tr>
  </w:tbl>
  <w:p w:rsidR="003821BE" w:rsidRPr="007C0F57" w:rsidRDefault="003821BE"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sidR="00B42D6B">
      <w:rPr>
        <w:rStyle w:val="PageNumber"/>
        <w:noProof/>
      </w:rPr>
      <w:t>1</w:t>
    </w:r>
    <w:r>
      <w:rPr>
        <w:rStyle w:val="PageNumber"/>
      </w:rPr>
      <w:fldChar w:fldCharType="end"/>
    </w:r>
    <w:r w:rsidRPr="007C0F57">
      <w:rPr>
        <w:b/>
        <w:i/>
        <w:sz w:val="20"/>
        <w:szCs w:val="20"/>
      </w:rPr>
      <w:t>BAC Meeting</w:t>
    </w:r>
  </w:p>
  <w:p w:rsidR="003821BE" w:rsidRPr="007C0F57" w:rsidRDefault="003821BE" w:rsidP="007C0F57">
    <w:pPr>
      <w:pStyle w:val="Footer"/>
      <w:jc w:val="center"/>
      <w:rPr>
        <w:b/>
        <w:i/>
        <w:sz w:val="20"/>
        <w:szCs w:val="20"/>
      </w:rPr>
    </w:pPr>
    <w:r w:rsidRPr="007C0F57">
      <w:rPr>
        <w:b/>
        <w:i/>
        <w:sz w:val="20"/>
        <w:szCs w:val="20"/>
      </w:rPr>
      <w:t>Commercial-in-Confidence</w:t>
    </w:r>
  </w:p>
  <w:p w:rsidR="003821BE" w:rsidRDefault="003821B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1001" w:rsidRDefault="00561001">
      <w:r>
        <w:separator/>
      </w:r>
    </w:p>
    <w:p w:rsidR="00561001" w:rsidRDefault="00561001"/>
  </w:footnote>
  <w:footnote w:type="continuationSeparator" w:id="0">
    <w:p w:rsidR="00561001" w:rsidRDefault="00561001">
      <w:r>
        <w:continuationSeparator/>
      </w:r>
    </w:p>
    <w:p w:rsidR="00561001" w:rsidRDefault="00561001"/>
  </w:footnote>
  <w:footnote w:id="1">
    <w:p w:rsidR="003821BE" w:rsidRDefault="003821BE" w:rsidP="0081661A">
      <w:pPr>
        <w:pStyle w:val="FootnoteText"/>
      </w:pPr>
      <w:r>
        <w:rPr>
          <w:rStyle w:val="FootnoteReference"/>
        </w:rPr>
        <w:footnoteRef/>
      </w:r>
      <w:r>
        <w:t xml:space="preserve"> Based on the difference in drug cost in Table 2, calculated as </w:t>
      </w:r>
      <w:r w:rsidRPr="00A637FE">
        <w:t>$</w:t>
      </w:r>
      <w:r>
        <w:rPr>
          <w:noProof/>
          <w:color w:val="000000"/>
          <w:highlight w:val="black"/>
        </w:rPr>
        <w:t>''''''''''</w:t>
      </w:r>
      <w:r w:rsidRPr="00A637FE">
        <w:t>/ $</w:t>
      </w:r>
      <w:r>
        <w:rPr>
          <w:noProof/>
          <w:color w:val="000000"/>
          <w:highlight w:val="black"/>
        </w:rPr>
        <w:t>'''''''''''</w:t>
      </w:r>
    </w:p>
    <w:p w:rsidR="003821BE" w:rsidRDefault="003821BE" w:rsidP="0081661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3821BE" w:rsidRPr="008E0D90" w:rsidTr="00A06225">
      <w:trPr>
        <w:trHeight w:val="151"/>
      </w:trPr>
      <w:tc>
        <w:tcPr>
          <w:tcW w:w="2389" w:type="pct"/>
          <w:tcBorders>
            <w:top w:val="nil"/>
            <w:left w:val="nil"/>
            <w:bottom w:val="single" w:sz="4" w:space="0" w:color="4F81BD"/>
            <w:right w:val="nil"/>
          </w:tcBorders>
        </w:tcPr>
        <w:p w:rsidR="003821BE" w:rsidRPr="00A06225" w:rsidRDefault="003821BE">
          <w:pPr>
            <w:pStyle w:val="Header"/>
            <w:spacing w:line="276" w:lineRule="auto"/>
            <w:rPr>
              <w:rFonts w:ascii="Cambria" w:eastAsia="MS Gothic" w:hAnsi="Cambria"/>
              <w:b/>
              <w:bCs/>
              <w:color w:val="4F81BD"/>
            </w:rPr>
          </w:pPr>
        </w:p>
      </w:tc>
      <w:tc>
        <w:tcPr>
          <w:tcW w:w="333" w:type="pct"/>
          <w:vMerge w:val="restart"/>
          <w:noWrap/>
          <w:vAlign w:val="center"/>
          <w:hideMark/>
        </w:tcPr>
        <w:p w:rsidR="003821BE" w:rsidRPr="00A06225" w:rsidRDefault="003821BE"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3821BE" w:rsidRPr="00A06225" w:rsidRDefault="003821BE">
          <w:pPr>
            <w:pStyle w:val="Header"/>
            <w:spacing w:line="276" w:lineRule="auto"/>
            <w:rPr>
              <w:rFonts w:ascii="Cambria" w:eastAsia="MS Gothic" w:hAnsi="Cambria"/>
              <w:b/>
              <w:bCs/>
              <w:color w:val="4F81BD"/>
            </w:rPr>
          </w:pPr>
        </w:p>
      </w:tc>
    </w:tr>
    <w:tr w:rsidR="003821BE" w:rsidRPr="008E0D90" w:rsidTr="00A06225">
      <w:trPr>
        <w:trHeight w:val="150"/>
      </w:trPr>
      <w:tc>
        <w:tcPr>
          <w:tcW w:w="2389" w:type="pct"/>
          <w:tcBorders>
            <w:top w:val="single" w:sz="4" w:space="0" w:color="4F81BD"/>
            <w:left w:val="nil"/>
            <w:bottom w:val="nil"/>
            <w:right w:val="nil"/>
          </w:tcBorders>
        </w:tcPr>
        <w:p w:rsidR="003821BE" w:rsidRPr="00A06225" w:rsidRDefault="003821BE">
          <w:pPr>
            <w:pStyle w:val="Header"/>
            <w:spacing w:line="276" w:lineRule="auto"/>
            <w:rPr>
              <w:rFonts w:ascii="Cambria" w:eastAsia="MS Gothic" w:hAnsi="Cambria"/>
              <w:b/>
              <w:bCs/>
              <w:color w:val="4F81BD"/>
            </w:rPr>
          </w:pPr>
        </w:p>
      </w:tc>
      <w:tc>
        <w:tcPr>
          <w:tcW w:w="0" w:type="auto"/>
          <w:vMerge/>
          <w:vAlign w:val="center"/>
          <w:hideMark/>
        </w:tcPr>
        <w:p w:rsidR="003821BE" w:rsidRPr="00A06225" w:rsidRDefault="003821BE">
          <w:pPr>
            <w:rPr>
              <w:rFonts w:ascii="Cambria" w:hAnsi="Cambria"/>
              <w:color w:val="4F81BD"/>
              <w:sz w:val="22"/>
              <w:szCs w:val="22"/>
            </w:rPr>
          </w:pPr>
        </w:p>
      </w:tc>
      <w:tc>
        <w:tcPr>
          <w:tcW w:w="2278" w:type="pct"/>
          <w:tcBorders>
            <w:top w:val="single" w:sz="4" w:space="0" w:color="4F81BD"/>
            <w:left w:val="nil"/>
            <w:bottom w:val="nil"/>
            <w:right w:val="nil"/>
          </w:tcBorders>
        </w:tcPr>
        <w:p w:rsidR="003821BE" w:rsidRPr="00A06225" w:rsidRDefault="003821BE">
          <w:pPr>
            <w:pStyle w:val="Header"/>
            <w:spacing w:line="276" w:lineRule="auto"/>
            <w:rPr>
              <w:rFonts w:ascii="Cambria" w:eastAsia="MS Gothic" w:hAnsi="Cambria"/>
              <w:b/>
              <w:bCs/>
              <w:color w:val="4F81BD"/>
            </w:rPr>
          </w:pPr>
        </w:p>
      </w:tc>
    </w:tr>
  </w:tbl>
  <w:p w:rsidR="003821BE" w:rsidRDefault="003821BE">
    <w:pPr>
      <w:pStyle w:val="Header"/>
    </w:pPr>
  </w:p>
  <w:p w:rsidR="003821BE" w:rsidRDefault="003821B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21BE" w:rsidRDefault="003821BE" w:rsidP="00B71A7C">
    <w:pPr>
      <w:pStyle w:val="Header"/>
      <w:ind w:left="360"/>
      <w:rPr>
        <w:rFonts w:asciiTheme="minorHAnsi" w:hAnsiTheme="minorHAnsi" w:cs="Arial"/>
        <w:i/>
        <w:color w:val="808080"/>
      </w:rPr>
    </w:pPr>
    <w:r>
      <w:rPr>
        <w:rFonts w:asciiTheme="minorHAnsi" w:hAnsiTheme="minorHAnsi" w:cs="Arial"/>
        <w:i/>
        <w:color w:val="808080"/>
      </w:rPr>
      <w:t>Public Summary Document</w:t>
    </w:r>
    <w:r w:rsidRPr="00056684">
      <w:rPr>
        <w:rFonts w:asciiTheme="minorHAnsi" w:hAnsiTheme="minorHAnsi" w:cs="Arial"/>
        <w:i/>
        <w:color w:val="808080"/>
      </w:rPr>
      <w:t xml:space="preserve"> –</w:t>
    </w:r>
    <w:r>
      <w:rPr>
        <w:rFonts w:asciiTheme="minorHAnsi" w:hAnsiTheme="minorHAnsi" w:cs="Arial"/>
        <w:i/>
        <w:color w:val="808080"/>
      </w:rPr>
      <w:t xml:space="preserve"> November 2020 </w:t>
    </w:r>
    <w:r w:rsidRPr="00056684">
      <w:rPr>
        <w:rFonts w:asciiTheme="minorHAnsi" w:hAnsiTheme="minorHAnsi" w:cs="Arial"/>
        <w:i/>
        <w:color w:val="808080"/>
      </w:rPr>
      <w:t>PBAC Meeting</w:t>
    </w:r>
  </w:p>
  <w:p w:rsidR="00602B72" w:rsidRPr="00003BFA" w:rsidRDefault="00602B72" w:rsidP="00B71A7C">
    <w:pPr>
      <w:pStyle w:val="Header"/>
      <w:ind w:left="360"/>
      <w:rPr>
        <w:rFonts w:asciiTheme="minorHAnsi" w:hAnsiTheme="minorHAnsi" w:cs="Arial"/>
        <w:i/>
        <w:color w:val="80808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singleLevel"/>
    <w:tmpl w:val="CA6416B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521BE9"/>
    <w:multiLevelType w:val="hybridMultilevel"/>
    <w:tmpl w:val="A91035B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3690926"/>
    <w:multiLevelType w:val="hybridMultilevel"/>
    <w:tmpl w:val="55F2B6DA"/>
    <w:lvl w:ilvl="0" w:tplc="568CC170">
      <w:start w:val="1"/>
      <w:numFmt w:val="decimal"/>
      <w:pStyle w:val="TableFooter"/>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E155E66"/>
    <w:multiLevelType w:val="hybridMultilevel"/>
    <w:tmpl w:val="4EF6A10A"/>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115D4CEB"/>
    <w:multiLevelType w:val="hybridMultilevel"/>
    <w:tmpl w:val="02967AE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FB219F8"/>
    <w:multiLevelType w:val="hybridMultilevel"/>
    <w:tmpl w:val="1E2844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3164A8E"/>
    <w:multiLevelType w:val="hybridMultilevel"/>
    <w:tmpl w:val="E9CCE7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5B9633B"/>
    <w:multiLevelType w:val="multilevel"/>
    <w:tmpl w:val="730402C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26763529"/>
    <w:multiLevelType w:val="hybridMultilevel"/>
    <w:tmpl w:val="5E1A8D4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2A0777B7"/>
    <w:multiLevelType w:val="hybridMultilevel"/>
    <w:tmpl w:val="56F8C66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2EEE2C1C"/>
    <w:multiLevelType w:val="hybridMultilevel"/>
    <w:tmpl w:val="B206465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349A2FE6"/>
    <w:multiLevelType w:val="hybridMultilevel"/>
    <w:tmpl w:val="4D9A89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E9B0E61"/>
    <w:multiLevelType w:val="singleLevel"/>
    <w:tmpl w:val="58CAAE7C"/>
    <w:lvl w:ilvl="0">
      <w:start w:val="1"/>
      <w:numFmt w:val="decimal"/>
      <w:pStyle w:val="ProcedureStep"/>
      <w:lvlText w:val="%1)"/>
      <w:lvlJc w:val="left"/>
      <w:pPr>
        <w:tabs>
          <w:tab w:val="num" w:pos="1134"/>
        </w:tabs>
        <w:ind w:left="1134" w:hanging="567"/>
      </w:pPr>
      <w:rPr>
        <w:rFonts w:hint="default"/>
      </w:rPr>
    </w:lvl>
  </w:abstractNum>
  <w:abstractNum w:abstractNumId="14" w15:restartNumberingAfterBreak="0">
    <w:nsid w:val="3F0324E0"/>
    <w:multiLevelType w:val="hybridMultilevel"/>
    <w:tmpl w:val="A296F5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2376C72"/>
    <w:multiLevelType w:val="hybridMultilevel"/>
    <w:tmpl w:val="24264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40418B8"/>
    <w:multiLevelType w:val="hybridMultilevel"/>
    <w:tmpl w:val="E4D452A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462C595B"/>
    <w:multiLevelType w:val="hybridMultilevel"/>
    <w:tmpl w:val="5D3C52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95C05B3"/>
    <w:multiLevelType w:val="hybridMultilevel"/>
    <w:tmpl w:val="881E8AF0"/>
    <w:lvl w:ilvl="0" w:tplc="98A0AE8A">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A12625C"/>
    <w:multiLevelType w:val="hybridMultilevel"/>
    <w:tmpl w:val="DD9A1C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22816E3"/>
    <w:multiLevelType w:val="hybridMultilevel"/>
    <w:tmpl w:val="8FC4C8F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55AD0D9D"/>
    <w:multiLevelType w:val="hybridMultilevel"/>
    <w:tmpl w:val="F92CB44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5EBF0BEF"/>
    <w:multiLevelType w:val="hybridMultilevel"/>
    <w:tmpl w:val="55B2F29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61541C2E"/>
    <w:multiLevelType w:val="hybridMultilevel"/>
    <w:tmpl w:val="74624E1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62CF5D49"/>
    <w:multiLevelType w:val="hybridMultilevel"/>
    <w:tmpl w:val="5D8C4E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9DF514E"/>
    <w:multiLevelType w:val="hybridMultilevel"/>
    <w:tmpl w:val="9D9042A0"/>
    <w:lvl w:ilvl="0" w:tplc="F626C9BA">
      <w:start w:val="8"/>
      <w:numFmt w:val="bullet"/>
      <w:lvlText w:val="-"/>
      <w:lvlJc w:val="left"/>
      <w:pPr>
        <w:ind w:left="360" w:hanging="360"/>
      </w:pPr>
      <w:rPr>
        <w:rFonts w:ascii="Arial Narrow" w:eastAsiaTheme="minorHAnsi" w:hAnsi="Arial Narrow"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C110D28"/>
    <w:multiLevelType w:val="hybridMultilevel"/>
    <w:tmpl w:val="C1766C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C217053"/>
    <w:multiLevelType w:val="hybridMultilevel"/>
    <w:tmpl w:val="EA10F10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6DDD7D13"/>
    <w:multiLevelType w:val="multilevel"/>
    <w:tmpl w:val="30989020"/>
    <w:lvl w:ilvl="0">
      <w:start w:val="6"/>
      <w:numFmt w:val="decimal"/>
      <w:lvlText w:val="%1"/>
      <w:lvlJc w:val="left"/>
      <w:pPr>
        <w:ind w:left="420" w:hanging="420"/>
      </w:pPr>
      <w:rPr>
        <w:rFonts w:hint="default"/>
      </w:rPr>
    </w:lvl>
    <w:lvl w:ilvl="1">
      <w:start w:val="4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FD918A9"/>
    <w:multiLevelType w:val="hybridMultilevel"/>
    <w:tmpl w:val="11543A8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755B692F"/>
    <w:multiLevelType w:val="hybridMultilevel"/>
    <w:tmpl w:val="F834894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76823E00"/>
    <w:multiLevelType w:val="hybridMultilevel"/>
    <w:tmpl w:val="B96AA4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84D033C"/>
    <w:multiLevelType w:val="multilevel"/>
    <w:tmpl w:val="F50C769C"/>
    <w:lvl w:ilvl="0">
      <w:start w:val="1"/>
      <w:numFmt w:val="decimal"/>
      <w:pStyle w:val="2-SectionHeading"/>
      <w:lvlText w:val="%1"/>
      <w:lvlJc w:val="left"/>
      <w:pPr>
        <w:ind w:left="720" w:hanging="720"/>
      </w:pPr>
      <w:rPr>
        <w:rFonts w:hint="default"/>
        <w:b/>
        <w:color w:val="auto"/>
      </w:rPr>
    </w:lvl>
    <w:lvl w:ilvl="1">
      <w:start w:val="1"/>
      <w:numFmt w:val="decimal"/>
      <w:pStyle w:val="3Bodytext"/>
      <w:lvlText w:val="%1.%2"/>
      <w:lvlJc w:val="left"/>
      <w:pPr>
        <w:ind w:left="720" w:hanging="720"/>
      </w:pPr>
      <w:rPr>
        <w:rFonts w:hint="default"/>
        <w:b w:val="0"/>
        <w:i w:val="0"/>
        <w:color w:val="auto"/>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9EC272B"/>
    <w:multiLevelType w:val="hybridMultilevel"/>
    <w:tmpl w:val="72F0D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B68081F"/>
    <w:multiLevelType w:val="hybridMultilevel"/>
    <w:tmpl w:val="5492BA1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33"/>
  </w:num>
  <w:num w:numId="2">
    <w:abstractNumId w:val="0"/>
  </w:num>
  <w:num w:numId="3">
    <w:abstractNumId w:val="33"/>
  </w:num>
  <w:num w:numId="4">
    <w:abstractNumId w:val="22"/>
  </w:num>
  <w:num w:numId="5">
    <w:abstractNumId w:val="13"/>
  </w:num>
  <w:num w:numId="6">
    <w:abstractNumId w:val="1"/>
  </w:num>
  <w:num w:numId="7">
    <w:abstractNumId w:val="6"/>
  </w:num>
  <w:num w:numId="8">
    <w:abstractNumId w:val="34"/>
  </w:num>
  <w:num w:numId="9">
    <w:abstractNumId w:val="25"/>
  </w:num>
  <w:num w:numId="10">
    <w:abstractNumId w:val="19"/>
  </w:num>
  <w:num w:numId="11">
    <w:abstractNumId w:val="15"/>
  </w:num>
  <w:num w:numId="12">
    <w:abstractNumId w:val="33"/>
  </w:num>
  <w:num w:numId="13">
    <w:abstractNumId w:val="8"/>
  </w:num>
  <w:num w:numId="14">
    <w:abstractNumId w:val="4"/>
  </w:num>
  <w:num w:numId="15">
    <w:abstractNumId w:val="3"/>
  </w:num>
  <w:num w:numId="16">
    <w:abstractNumId w:val="28"/>
  </w:num>
  <w:num w:numId="17">
    <w:abstractNumId w:val="5"/>
  </w:num>
  <w:num w:numId="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26"/>
  </w:num>
  <w:num w:numId="22">
    <w:abstractNumId w:val="18"/>
  </w:num>
  <w:num w:numId="23">
    <w:abstractNumId w:val="33"/>
  </w:num>
  <w:num w:numId="24">
    <w:abstractNumId w:val="31"/>
  </w:num>
  <w:num w:numId="25">
    <w:abstractNumId w:val="23"/>
  </w:num>
  <w:num w:numId="26">
    <w:abstractNumId w:val="20"/>
  </w:num>
  <w:num w:numId="27">
    <w:abstractNumId w:val="35"/>
  </w:num>
  <w:num w:numId="28">
    <w:abstractNumId w:val="29"/>
  </w:num>
  <w:num w:numId="29">
    <w:abstractNumId w:val="17"/>
  </w:num>
  <w:num w:numId="30">
    <w:abstractNumId w:val="33"/>
  </w:num>
  <w:num w:numId="31">
    <w:abstractNumId w:val="32"/>
  </w:num>
  <w:num w:numId="32">
    <w:abstractNumId w:val="11"/>
  </w:num>
  <w:num w:numId="33">
    <w:abstractNumId w:val="30"/>
  </w:num>
  <w:num w:numId="34">
    <w:abstractNumId w:val="14"/>
  </w:num>
  <w:num w:numId="35">
    <w:abstractNumId w:val="33"/>
  </w:num>
  <w:num w:numId="36">
    <w:abstractNumId w:val="24"/>
  </w:num>
  <w:num w:numId="37">
    <w:abstractNumId w:val="21"/>
  </w:num>
  <w:num w:numId="38">
    <w:abstractNumId w:val="10"/>
  </w:num>
  <w:num w:numId="39">
    <w:abstractNumId w:val="12"/>
  </w:num>
  <w:num w:numId="40">
    <w:abstractNumId w:val="15"/>
  </w:num>
  <w:num w:numId="41">
    <w:abstractNumId w:val="16"/>
  </w:num>
  <w:num w:numId="42">
    <w:abstractNumId w:val="33"/>
  </w:num>
  <w:num w:numId="43">
    <w:abstractNumId w:val="2"/>
  </w:num>
  <w:num w:numId="44">
    <w:abstractNumId w:val="7"/>
  </w:num>
  <w:num w:numId="45">
    <w:abstractNumId w:val="9"/>
  </w:num>
  <w:num w:numId="46">
    <w:abstractNumId w:val="3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BB"/>
    <w:rsid w:val="00001663"/>
    <w:rsid w:val="00001D53"/>
    <w:rsid w:val="000025AD"/>
    <w:rsid w:val="0000335D"/>
    <w:rsid w:val="00003AF9"/>
    <w:rsid w:val="00003BFA"/>
    <w:rsid w:val="000067DE"/>
    <w:rsid w:val="00006DF5"/>
    <w:rsid w:val="00007223"/>
    <w:rsid w:val="000073F7"/>
    <w:rsid w:val="00011A59"/>
    <w:rsid w:val="00013B62"/>
    <w:rsid w:val="00014226"/>
    <w:rsid w:val="00014940"/>
    <w:rsid w:val="00016A41"/>
    <w:rsid w:val="000214D1"/>
    <w:rsid w:val="0002464A"/>
    <w:rsid w:val="00024C60"/>
    <w:rsid w:val="0002534B"/>
    <w:rsid w:val="00027CAA"/>
    <w:rsid w:val="0003106B"/>
    <w:rsid w:val="00032CF3"/>
    <w:rsid w:val="00034905"/>
    <w:rsid w:val="00034F24"/>
    <w:rsid w:val="00041604"/>
    <w:rsid w:val="000421A1"/>
    <w:rsid w:val="0004240E"/>
    <w:rsid w:val="00045E26"/>
    <w:rsid w:val="00046520"/>
    <w:rsid w:val="00047F1B"/>
    <w:rsid w:val="000514B5"/>
    <w:rsid w:val="00052434"/>
    <w:rsid w:val="000555C4"/>
    <w:rsid w:val="00055C21"/>
    <w:rsid w:val="00057A30"/>
    <w:rsid w:val="0006066F"/>
    <w:rsid w:val="00060E64"/>
    <w:rsid w:val="00062B06"/>
    <w:rsid w:val="000632EB"/>
    <w:rsid w:val="000650B1"/>
    <w:rsid w:val="00066755"/>
    <w:rsid w:val="000676C4"/>
    <w:rsid w:val="00073601"/>
    <w:rsid w:val="00075D22"/>
    <w:rsid w:val="000763D5"/>
    <w:rsid w:val="00076E37"/>
    <w:rsid w:val="00077143"/>
    <w:rsid w:val="00082169"/>
    <w:rsid w:val="0008426C"/>
    <w:rsid w:val="000918CB"/>
    <w:rsid w:val="00091B06"/>
    <w:rsid w:val="00093802"/>
    <w:rsid w:val="000951C4"/>
    <w:rsid w:val="00095ADA"/>
    <w:rsid w:val="000969AD"/>
    <w:rsid w:val="000A3AA2"/>
    <w:rsid w:val="000A44B2"/>
    <w:rsid w:val="000A52F6"/>
    <w:rsid w:val="000A557A"/>
    <w:rsid w:val="000B1BAD"/>
    <w:rsid w:val="000B1E5D"/>
    <w:rsid w:val="000B2B21"/>
    <w:rsid w:val="000B44C3"/>
    <w:rsid w:val="000B558D"/>
    <w:rsid w:val="000B720F"/>
    <w:rsid w:val="000C39E9"/>
    <w:rsid w:val="000C5F95"/>
    <w:rsid w:val="000C6996"/>
    <w:rsid w:val="000D09E9"/>
    <w:rsid w:val="000D113F"/>
    <w:rsid w:val="000D23BA"/>
    <w:rsid w:val="000D51AB"/>
    <w:rsid w:val="000E0D30"/>
    <w:rsid w:val="000E0E1F"/>
    <w:rsid w:val="000E188D"/>
    <w:rsid w:val="000E4BE9"/>
    <w:rsid w:val="000E5EA1"/>
    <w:rsid w:val="000E681E"/>
    <w:rsid w:val="000E7017"/>
    <w:rsid w:val="000F0003"/>
    <w:rsid w:val="000F0C21"/>
    <w:rsid w:val="000F3384"/>
    <w:rsid w:val="000F41D7"/>
    <w:rsid w:val="000F4E6A"/>
    <w:rsid w:val="000F7354"/>
    <w:rsid w:val="001014F2"/>
    <w:rsid w:val="00101ABE"/>
    <w:rsid w:val="00102202"/>
    <w:rsid w:val="00103B15"/>
    <w:rsid w:val="00104227"/>
    <w:rsid w:val="00110626"/>
    <w:rsid w:val="001107BF"/>
    <w:rsid w:val="00113649"/>
    <w:rsid w:val="0012116C"/>
    <w:rsid w:val="00121697"/>
    <w:rsid w:val="00121C58"/>
    <w:rsid w:val="001225CC"/>
    <w:rsid w:val="0012417C"/>
    <w:rsid w:val="001273D3"/>
    <w:rsid w:val="0012749D"/>
    <w:rsid w:val="001310F6"/>
    <w:rsid w:val="00131F12"/>
    <w:rsid w:val="001321B9"/>
    <w:rsid w:val="00142395"/>
    <w:rsid w:val="00142714"/>
    <w:rsid w:val="00144822"/>
    <w:rsid w:val="001452E2"/>
    <w:rsid w:val="001452ED"/>
    <w:rsid w:val="00147D84"/>
    <w:rsid w:val="001503E7"/>
    <w:rsid w:val="00151220"/>
    <w:rsid w:val="00151E5F"/>
    <w:rsid w:val="0015241B"/>
    <w:rsid w:val="00152F25"/>
    <w:rsid w:val="001549C1"/>
    <w:rsid w:val="00156A78"/>
    <w:rsid w:val="00162BDD"/>
    <w:rsid w:val="00162D4E"/>
    <w:rsid w:val="00163329"/>
    <w:rsid w:val="00163C87"/>
    <w:rsid w:val="00164623"/>
    <w:rsid w:val="0016524E"/>
    <w:rsid w:val="001652DE"/>
    <w:rsid w:val="00165B64"/>
    <w:rsid w:val="00165E92"/>
    <w:rsid w:val="001664B5"/>
    <w:rsid w:val="00180713"/>
    <w:rsid w:val="00180720"/>
    <w:rsid w:val="001827BF"/>
    <w:rsid w:val="001830CE"/>
    <w:rsid w:val="00183F03"/>
    <w:rsid w:val="00185A3C"/>
    <w:rsid w:val="0018643B"/>
    <w:rsid w:val="001875A7"/>
    <w:rsid w:val="00191F9C"/>
    <w:rsid w:val="00192A34"/>
    <w:rsid w:val="001936D5"/>
    <w:rsid w:val="00194AD1"/>
    <w:rsid w:val="00195180"/>
    <w:rsid w:val="00196307"/>
    <w:rsid w:val="00196472"/>
    <w:rsid w:val="001A33EA"/>
    <w:rsid w:val="001A4C4F"/>
    <w:rsid w:val="001A6CB1"/>
    <w:rsid w:val="001A76FB"/>
    <w:rsid w:val="001B017F"/>
    <w:rsid w:val="001B0C02"/>
    <w:rsid w:val="001B2BBC"/>
    <w:rsid w:val="001B3A40"/>
    <w:rsid w:val="001B3FFE"/>
    <w:rsid w:val="001B5129"/>
    <w:rsid w:val="001C0B4C"/>
    <w:rsid w:val="001C1195"/>
    <w:rsid w:val="001C1793"/>
    <w:rsid w:val="001C27FF"/>
    <w:rsid w:val="001C2E42"/>
    <w:rsid w:val="001C473B"/>
    <w:rsid w:val="001C7264"/>
    <w:rsid w:val="001D1F5F"/>
    <w:rsid w:val="001D41EC"/>
    <w:rsid w:val="001D6300"/>
    <w:rsid w:val="001D6FE0"/>
    <w:rsid w:val="001D7EE7"/>
    <w:rsid w:val="001E06D2"/>
    <w:rsid w:val="001E687E"/>
    <w:rsid w:val="001F005B"/>
    <w:rsid w:val="001F1850"/>
    <w:rsid w:val="001F2947"/>
    <w:rsid w:val="001F3189"/>
    <w:rsid w:val="001F778C"/>
    <w:rsid w:val="00200035"/>
    <w:rsid w:val="0020074F"/>
    <w:rsid w:val="00202434"/>
    <w:rsid w:val="00202635"/>
    <w:rsid w:val="002026C8"/>
    <w:rsid w:val="00203FAC"/>
    <w:rsid w:val="00204078"/>
    <w:rsid w:val="002074EF"/>
    <w:rsid w:val="00207BF0"/>
    <w:rsid w:val="00212AE7"/>
    <w:rsid w:val="002133FA"/>
    <w:rsid w:val="00213CFB"/>
    <w:rsid w:val="002151C2"/>
    <w:rsid w:val="0021553C"/>
    <w:rsid w:val="0021557B"/>
    <w:rsid w:val="002174FD"/>
    <w:rsid w:val="00217BE1"/>
    <w:rsid w:val="002235FE"/>
    <w:rsid w:val="002243DB"/>
    <w:rsid w:val="00225E5F"/>
    <w:rsid w:val="00226E44"/>
    <w:rsid w:val="00231774"/>
    <w:rsid w:val="00234252"/>
    <w:rsid w:val="00234748"/>
    <w:rsid w:val="00237AC6"/>
    <w:rsid w:val="00241F41"/>
    <w:rsid w:val="002428F8"/>
    <w:rsid w:val="002434CF"/>
    <w:rsid w:val="00244490"/>
    <w:rsid w:val="00245B9C"/>
    <w:rsid w:val="00253499"/>
    <w:rsid w:val="002551A4"/>
    <w:rsid w:val="00256B3E"/>
    <w:rsid w:val="00257347"/>
    <w:rsid w:val="00257664"/>
    <w:rsid w:val="00257773"/>
    <w:rsid w:val="00265151"/>
    <w:rsid w:val="00266509"/>
    <w:rsid w:val="00271BA1"/>
    <w:rsid w:val="00275227"/>
    <w:rsid w:val="00275FCF"/>
    <w:rsid w:val="002762FA"/>
    <w:rsid w:val="002768A3"/>
    <w:rsid w:val="002771D3"/>
    <w:rsid w:val="00277505"/>
    <w:rsid w:val="00277669"/>
    <w:rsid w:val="002823B6"/>
    <w:rsid w:val="00282922"/>
    <w:rsid w:val="002852BA"/>
    <w:rsid w:val="00287681"/>
    <w:rsid w:val="00287833"/>
    <w:rsid w:val="00290B3A"/>
    <w:rsid w:val="00294274"/>
    <w:rsid w:val="0029458F"/>
    <w:rsid w:val="00295D89"/>
    <w:rsid w:val="0029761E"/>
    <w:rsid w:val="002A0E04"/>
    <w:rsid w:val="002A104C"/>
    <w:rsid w:val="002A1EF7"/>
    <w:rsid w:val="002A3D0F"/>
    <w:rsid w:val="002A3F32"/>
    <w:rsid w:val="002A494D"/>
    <w:rsid w:val="002A4960"/>
    <w:rsid w:val="002A5ACE"/>
    <w:rsid w:val="002B0546"/>
    <w:rsid w:val="002B0AE0"/>
    <w:rsid w:val="002B1AE6"/>
    <w:rsid w:val="002B1D51"/>
    <w:rsid w:val="002B2DE8"/>
    <w:rsid w:val="002B30F8"/>
    <w:rsid w:val="002B388A"/>
    <w:rsid w:val="002B5596"/>
    <w:rsid w:val="002B7CCB"/>
    <w:rsid w:val="002C212F"/>
    <w:rsid w:val="002C22D2"/>
    <w:rsid w:val="002C31DC"/>
    <w:rsid w:val="002C5964"/>
    <w:rsid w:val="002C7485"/>
    <w:rsid w:val="002D283A"/>
    <w:rsid w:val="002D4543"/>
    <w:rsid w:val="002D511F"/>
    <w:rsid w:val="002D5965"/>
    <w:rsid w:val="002D5AEF"/>
    <w:rsid w:val="002D7727"/>
    <w:rsid w:val="002E0B49"/>
    <w:rsid w:val="002E3153"/>
    <w:rsid w:val="002E49EC"/>
    <w:rsid w:val="002E5292"/>
    <w:rsid w:val="002E72CA"/>
    <w:rsid w:val="002F08D5"/>
    <w:rsid w:val="002F1AD6"/>
    <w:rsid w:val="002F2E97"/>
    <w:rsid w:val="002F3A6B"/>
    <w:rsid w:val="002F5758"/>
    <w:rsid w:val="002F600D"/>
    <w:rsid w:val="00300A7F"/>
    <w:rsid w:val="00300AD6"/>
    <w:rsid w:val="00300B1B"/>
    <w:rsid w:val="003019D0"/>
    <w:rsid w:val="003064AF"/>
    <w:rsid w:val="003066C3"/>
    <w:rsid w:val="00310B68"/>
    <w:rsid w:val="0031158C"/>
    <w:rsid w:val="00313018"/>
    <w:rsid w:val="00315C34"/>
    <w:rsid w:val="003160CF"/>
    <w:rsid w:val="00317275"/>
    <w:rsid w:val="00317C6C"/>
    <w:rsid w:val="00320593"/>
    <w:rsid w:val="00320CD3"/>
    <w:rsid w:val="00320E47"/>
    <w:rsid w:val="00321E0D"/>
    <w:rsid w:val="00322069"/>
    <w:rsid w:val="003220F9"/>
    <w:rsid w:val="0032469E"/>
    <w:rsid w:val="003251E5"/>
    <w:rsid w:val="00326E79"/>
    <w:rsid w:val="003301B1"/>
    <w:rsid w:val="0033070A"/>
    <w:rsid w:val="00331189"/>
    <w:rsid w:val="0033263D"/>
    <w:rsid w:val="0033518A"/>
    <w:rsid w:val="00335370"/>
    <w:rsid w:val="00335FC9"/>
    <w:rsid w:val="0033625B"/>
    <w:rsid w:val="0033663D"/>
    <w:rsid w:val="003367EF"/>
    <w:rsid w:val="00340572"/>
    <w:rsid w:val="00341AE4"/>
    <w:rsid w:val="00344A8C"/>
    <w:rsid w:val="00345469"/>
    <w:rsid w:val="003456A2"/>
    <w:rsid w:val="00346517"/>
    <w:rsid w:val="003470F5"/>
    <w:rsid w:val="003476EE"/>
    <w:rsid w:val="003541DD"/>
    <w:rsid w:val="0035686E"/>
    <w:rsid w:val="00356E5B"/>
    <w:rsid w:val="0036126A"/>
    <w:rsid w:val="0036231B"/>
    <w:rsid w:val="00364323"/>
    <w:rsid w:val="003659D5"/>
    <w:rsid w:val="00367C70"/>
    <w:rsid w:val="00371579"/>
    <w:rsid w:val="0037282E"/>
    <w:rsid w:val="003736C9"/>
    <w:rsid w:val="003755AA"/>
    <w:rsid w:val="003821BE"/>
    <w:rsid w:val="00384988"/>
    <w:rsid w:val="00384BA8"/>
    <w:rsid w:val="00384BDB"/>
    <w:rsid w:val="003872CF"/>
    <w:rsid w:val="00387DE5"/>
    <w:rsid w:val="0039187D"/>
    <w:rsid w:val="003926D7"/>
    <w:rsid w:val="003975BA"/>
    <w:rsid w:val="0039774B"/>
    <w:rsid w:val="0039782C"/>
    <w:rsid w:val="003A1928"/>
    <w:rsid w:val="003A2038"/>
    <w:rsid w:val="003A5B4A"/>
    <w:rsid w:val="003A5D95"/>
    <w:rsid w:val="003B0443"/>
    <w:rsid w:val="003B07A5"/>
    <w:rsid w:val="003B23C5"/>
    <w:rsid w:val="003B2A75"/>
    <w:rsid w:val="003B6124"/>
    <w:rsid w:val="003B6A39"/>
    <w:rsid w:val="003C093A"/>
    <w:rsid w:val="003C1120"/>
    <w:rsid w:val="003C1ECF"/>
    <w:rsid w:val="003C2FB5"/>
    <w:rsid w:val="003C388D"/>
    <w:rsid w:val="003C5B65"/>
    <w:rsid w:val="003D1DF1"/>
    <w:rsid w:val="003D24C5"/>
    <w:rsid w:val="003D28E5"/>
    <w:rsid w:val="003D3207"/>
    <w:rsid w:val="003D3637"/>
    <w:rsid w:val="003D4AC4"/>
    <w:rsid w:val="003D63B7"/>
    <w:rsid w:val="003D74C5"/>
    <w:rsid w:val="003D7580"/>
    <w:rsid w:val="003E3620"/>
    <w:rsid w:val="003E468B"/>
    <w:rsid w:val="003E5592"/>
    <w:rsid w:val="003E5C3F"/>
    <w:rsid w:val="003E62BD"/>
    <w:rsid w:val="003F0C3A"/>
    <w:rsid w:val="003F3182"/>
    <w:rsid w:val="003F3228"/>
    <w:rsid w:val="003F5C8C"/>
    <w:rsid w:val="003F63CE"/>
    <w:rsid w:val="003F6425"/>
    <w:rsid w:val="003F775A"/>
    <w:rsid w:val="00400E55"/>
    <w:rsid w:val="0040128E"/>
    <w:rsid w:val="0040216B"/>
    <w:rsid w:val="00402276"/>
    <w:rsid w:val="00402484"/>
    <w:rsid w:val="00405F59"/>
    <w:rsid w:val="00411D3F"/>
    <w:rsid w:val="00411E9E"/>
    <w:rsid w:val="00414602"/>
    <w:rsid w:val="004176E1"/>
    <w:rsid w:val="00422140"/>
    <w:rsid w:val="004252EC"/>
    <w:rsid w:val="00430D39"/>
    <w:rsid w:val="00433E81"/>
    <w:rsid w:val="004341AC"/>
    <w:rsid w:val="00434F0E"/>
    <w:rsid w:val="004351AD"/>
    <w:rsid w:val="0043523B"/>
    <w:rsid w:val="00440593"/>
    <w:rsid w:val="004465BD"/>
    <w:rsid w:val="00446813"/>
    <w:rsid w:val="00446938"/>
    <w:rsid w:val="00446A15"/>
    <w:rsid w:val="004476B9"/>
    <w:rsid w:val="004503EC"/>
    <w:rsid w:val="0045073F"/>
    <w:rsid w:val="00450F7F"/>
    <w:rsid w:val="00455E3A"/>
    <w:rsid w:val="004568AE"/>
    <w:rsid w:val="00461357"/>
    <w:rsid w:val="00461A44"/>
    <w:rsid w:val="00462658"/>
    <w:rsid w:val="00463505"/>
    <w:rsid w:val="00464818"/>
    <w:rsid w:val="00466ADA"/>
    <w:rsid w:val="004702BB"/>
    <w:rsid w:val="004726E5"/>
    <w:rsid w:val="00473C9B"/>
    <w:rsid w:val="004748A4"/>
    <w:rsid w:val="0047494B"/>
    <w:rsid w:val="00476245"/>
    <w:rsid w:val="004769EB"/>
    <w:rsid w:val="00477A9B"/>
    <w:rsid w:val="00481937"/>
    <w:rsid w:val="00481EC1"/>
    <w:rsid w:val="00483035"/>
    <w:rsid w:val="004832FA"/>
    <w:rsid w:val="0048548D"/>
    <w:rsid w:val="00485940"/>
    <w:rsid w:val="004904B9"/>
    <w:rsid w:val="00495029"/>
    <w:rsid w:val="00496662"/>
    <w:rsid w:val="004A1F80"/>
    <w:rsid w:val="004A20D5"/>
    <w:rsid w:val="004A2484"/>
    <w:rsid w:val="004A5A85"/>
    <w:rsid w:val="004A6459"/>
    <w:rsid w:val="004A6A69"/>
    <w:rsid w:val="004A71D1"/>
    <w:rsid w:val="004A7C5B"/>
    <w:rsid w:val="004B1845"/>
    <w:rsid w:val="004B1E45"/>
    <w:rsid w:val="004B24E8"/>
    <w:rsid w:val="004B2E98"/>
    <w:rsid w:val="004B5640"/>
    <w:rsid w:val="004C03D0"/>
    <w:rsid w:val="004C1BD7"/>
    <w:rsid w:val="004C31FE"/>
    <w:rsid w:val="004C47FD"/>
    <w:rsid w:val="004C524C"/>
    <w:rsid w:val="004C5BFD"/>
    <w:rsid w:val="004C5FFA"/>
    <w:rsid w:val="004C691D"/>
    <w:rsid w:val="004C6C07"/>
    <w:rsid w:val="004D26C5"/>
    <w:rsid w:val="004D2F31"/>
    <w:rsid w:val="004D4FF6"/>
    <w:rsid w:val="004E54A5"/>
    <w:rsid w:val="004E63A9"/>
    <w:rsid w:val="004E692D"/>
    <w:rsid w:val="004E6CF7"/>
    <w:rsid w:val="004E7D87"/>
    <w:rsid w:val="004F2246"/>
    <w:rsid w:val="004F2553"/>
    <w:rsid w:val="004F277D"/>
    <w:rsid w:val="00501554"/>
    <w:rsid w:val="00502AFE"/>
    <w:rsid w:val="00503AD7"/>
    <w:rsid w:val="00504403"/>
    <w:rsid w:val="00504E0C"/>
    <w:rsid w:val="00507FBC"/>
    <w:rsid w:val="00510397"/>
    <w:rsid w:val="005109D4"/>
    <w:rsid w:val="0051125B"/>
    <w:rsid w:val="0051469D"/>
    <w:rsid w:val="00514CD7"/>
    <w:rsid w:val="00515BD1"/>
    <w:rsid w:val="005160AD"/>
    <w:rsid w:val="005164AB"/>
    <w:rsid w:val="00516B63"/>
    <w:rsid w:val="00520D6A"/>
    <w:rsid w:val="00521A4B"/>
    <w:rsid w:val="00522DB6"/>
    <w:rsid w:val="00525E2E"/>
    <w:rsid w:val="0052792D"/>
    <w:rsid w:val="005319B2"/>
    <w:rsid w:val="00532402"/>
    <w:rsid w:val="00532C74"/>
    <w:rsid w:val="00534E2E"/>
    <w:rsid w:val="005350E2"/>
    <w:rsid w:val="005416D3"/>
    <w:rsid w:val="00544552"/>
    <w:rsid w:val="00545130"/>
    <w:rsid w:val="00545779"/>
    <w:rsid w:val="0055246B"/>
    <w:rsid w:val="0055286A"/>
    <w:rsid w:val="00553B12"/>
    <w:rsid w:val="00555745"/>
    <w:rsid w:val="00557D4F"/>
    <w:rsid w:val="00561001"/>
    <w:rsid w:val="005620C0"/>
    <w:rsid w:val="0056484E"/>
    <w:rsid w:val="00565428"/>
    <w:rsid w:val="0056616C"/>
    <w:rsid w:val="005724ED"/>
    <w:rsid w:val="00574D44"/>
    <w:rsid w:val="005764CD"/>
    <w:rsid w:val="00577C4D"/>
    <w:rsid w:val="00580532"/>
    <w:rsid w:val="00581285"/>
    <w:rsid w:val="00581932"/>
    <w:rsid w:val="00583EA5"/>
    <w:rsid w:val="00584709"/>
    <w:rsid w:val="00590814"/>
    <w:rsid w:val="005938EE"/>
    <w:rsid w:val="00593EE5"/>
    <w:rsid w:val="00594B92"/>
    <w:rsid w:val="005956EA"/>
    <w:rsid w:val="00596317"/>
    <w:rsid w:val="005963BB"/>
    <w:rsid w:val="00596DCB"/>
    <w:rsid w:val="005A163C"/>
    <w:rsid w:val="005A3173"/>
    <w:rsid w:val="005A3223"/>
    <w:rsid w:val="005A3DA3"/>
    <w:rsid w:val="005A3E69"/>
    <w:rsid w:val="005A52C4"/>
    <w:rsid w:val="005A784A"/>
    <w:rsid w:val="005B09D0"/>
    <w:rsid w:val="005B537D"/>
    <w:rsid w:val="005B5E2A"/>
    <w:rsid w:val="005B6B86"/>
    <w:rsid w:val="005C180D"/>
    <w:rsid w:val="005C2096"/>
    <w:rsid w:val="005C4F73"/>
    <w:rsid w:val="005C6706"/>
    <w:rsid w:val="005C69D3"/>
    <w:rsid w:val="005C6C6C"/>
    <w:rsid w:val="005D03AB"/>
    <w:rsid w:val="005D2916"/>
    <w:rsid w:val="005D5017"/>
    <w:rsid w:val="005D63FA"/>
    <w:rsid w:val="005E0D82"/>
    <w:rsid w:val="005E1333"/>
    <w:rsid w:val="005E28A8"/>
    <w:rsid w:val="005E2963"/>
    <w:rsid w:val="005E3136"/>
    <w:rsid w:val="005E507D"/>
    <w:rsid w:val="005F3DF1"/>
    <w:rsid w:val="005F485A"/>
    <w:rsid w:val="00601A91"/>
    <w:rsid w:val="00601FF6"/>
    <w:rsid w:val="00602B72"/>
    <w:rsid w:val="00602BA3"/>
    <w:rsid w:val="00603E5C"/>
    <w:rsid w:val="00604955"/>
    <w:rsid w:val="006055C1"/>
    <w:rsid w:val="00605B63"/>
    <w:rsid w:val="00605F9A"/>
    <w:rsid w:val="006069F6"/>
    <w:rsid w:val="00606EED"/>
    <w:rsid w:val="00610258"/>
    <w:rsid w:val="00611692"/>
    <w:rsid w:val="00612E34"/>
    <w:rsid w:val="00614159"/>
    <w:rsid w:val="00614A9E"/>
    <w:rsid w:val="0061655D"/>
    <w:rsid w:val="00616C5F"/>
    <w:rsid w:val="00616DAC"/>
    <w:rsid w:val="006174E2"/>
    <w:rsid w:val="00617C00"/>
    <w:rsid w:val="0062268E"/>
    <w:rsid w:val="006229F8"/>
    <w:rsid w:val="006263BF"/>
    <w:rsid w:val="0062748A"/>
    <w:rsid w:val="00627E1C"/>
    <w:rsid w:val="00630A2C"/>
    <w:rsid w:val="00632B5E"/>
    <w:rsid w:val="006330A9"/>
    <w:rsid w:val="006349E4"/>
    <w:rsid w:val="0063682E"/>
    <w:rsid w:val="0063699F"/>
    <w:rsid w:val="00641A7F"/>
    <w:rsid w:val="00641FB1"/>
    <w:rsid w:val="0064258B"/>
    <w:rsid w:val="00642DA8"/>
    <w:rsid w:val="006430CF"/>
    <w:rsid w:val="006436CD"/>
    <w:rsid w:val="00644BE7"/>
    <w:rsid w:val="00647587"/>
    <w:rsid w:val="00650DEE"/>
    <w:rsid w:val="00651169"/>
    <w:rsid w:val="00652AD0"/>
    <w:rsid w:val="006533A9"/>
    <w:rsid w:val="00653D69"/>
    <w:rsid w:val="006552E6"/>
    <w:rsid w:val="00655794"/>
    <w:rsid w:val="00657C63"/>
    <w:rsid w:val="00661C0F"/>
    <w:rsid w:val="00666A94"/>
    <w:rsid w:val="00667059"/>
    <w:rsid w:val="006670BE"/>
    <w:rsid w:val="00670A76"/>
    <w:rsid w:val="006711AA"/>
    <w:rsid w:val="00672B57"/>
    <w:rsid w:val="00673318"/>
    <w:rsid w:val="006733DE"/>
    <w:rsid w:val="00673F1F"/>
    <w:rsid w:val="00674210"/>
    <w:rsid w:val="00675622"/>
    <w:rsid w:val="00676252"/>
    <w:rsid w:val="00676949"/>
    <w:rsid w:val="0067747D"/>
    <w:rsid w:val="00680BE4"/>
    <w:rsid w:val="00680EE8"/>
    <w:rsid w:val="006818D5"/>
    <w:rsid w:val="00681CA4"/>
    <w:rsid w:val="00683E16"/>
    <w:rsid w:val="00685ABC"/>
    <w:rsid w:val="006870F5"/>
    <w:rsid w:val="0069039D"/>
    <w:rsid w:val="006906DB"/>
    <w:rsid w:val="00691E6C"/>
    <w:rsid w:val="00692028"/>
    <w:rsid w:val="00692A3D"/>
    <w:rsid w:val="006937A7"/>
    <w:rsid w:val="00693DFB"/>
    <w:rsid w:val="0069501D"/>
    <w:rsid w:val="00695F2F"/>
    <w:rsid w:val="00696129"/>
    <w:rsid w:val="00697CF2"/>
    <w:rsid w:val="006A08CF"/>
    <w:rsid w:val="006A12A5"/>
    <w:rsid w:val="006A3726"/>
    <w:rsid w:val="006A4212"/>
    <w:rsid w:val="006A4AE7"/>
    <w:rsid w:val="006A4CA0"/>
    <w:rsid w:val="006A5E20"/>
    <w:rsid w:val="006B01DF"/>
    <w:rsid w:val="006B0D2F"/>
    <w:rsid w:val="006B0D94"/>
    <w:rsid w:val="006B485D"/>
    <w:rsid w:val="006B61A5"/>
    <w:rsid w:val="006B7DB0"/>
    <w:rsid w:val="006C2FB3"/>
    <w:rsid w:val="006C334C"/>
    <w:rsid w:val="006C708E"/>
    <w:rsid w:val="006C7364"/>
    <w:rsid w:val="006D14E7"/>
    <w:rsid w:val="006D16C5"/>
    <w:rsid w:val="006D297C"/>
    <w:rsid w:val="006D3B66"/>
    <w:rsid w:val="006D4444"/>
    <w:rsid w:val="006D6493"/>
    <w:rsid w:val="006D67FF"/>
    <w:rsid w:val="006D6EC7"/>
    <w:rsid w:val="006E1BCD"/>
    <w:rsid w:val="006E55C9"/>
    <w:rsid w:val="006E5771"/>
    <w:rsid w:val="006F0A71"/>
    <w:rsid w:val="006F0FEE"/>
    <w:rsid w:val="006F40C2"/>
    <w:rsid w:val="006F5125"/>
    <w:rsid w:val="006F733D"/>
    <w:rsid w:val="00702B6F"/>
    <w:rsid w:val="007040BB"/>
    <w:rsid w:val="00706A2F"/>
    <w:rsid w:val="0070718E"/>
    <w:rsid w:val="00710259"/>
    <w:rsid w:val="0071031F"/>
    <w:rsid w:val="007113B3"/>
    <w:rsid w:val="0071340B"/>
    <w:rsid w:val="007159EF"/>
    <w:rsid w:val="00715BBB"/>
    <w:rsid w:val="00716135"/>
    <w:rsid w:val="007174BB"/>
    <w:rsid w:val="0072025D"/>
    <w:rsid w:val="0072085D"/>
    <w:rsid w:val="00721611"/>
    <w:rsid w:val="007236C5"/>
    <w:rsid w:val="0073137C"/>
    <w:rsid w:val="00733CB6"/>
    <w:rsid w:val="007353D3"/>
    <w:rsid w:val="0074037E"/>
    <w:rsid w:val="007403C3"/>
    <w:rsid w:val="0074156B"/>
    <w:rsid w:val="00742619"/>
    <w:rsid w:val="007444E4"/>
    <w:rsid w:val="007449B4"/>
    <w:rsid w:val="00746097"/>
    <w:rsid w:val="0074689E"/>
    <w:rsid w:val="00747092"/>
    <w:rsid w:val="00750BBB"/>
    <w:rsid w:val="0075418B"/>
    <w:rsid w:val="007555E8"/>
    <w:rsid w:val="007617B2"/>
    <w:rsid w:val="0076420C"/>
    <w:rsid w:val="00771D07"/>
    <w:rsid w:val="007720AF"/>
    <w:rsid w:val="00773BE3"/>
    <w:rsid w:val="007743DD"/>
    <w:rsid w:val="00774E2C"/>
    <w:rsid w:val="007753C2"/>
    <w:rsid w:val="00775888"/>
    <w:rsid w:val="00775931"/>
    <w:rsid w:val="00775C3F"/>
    <w:rsid w:val="00775E2D"/>
    <w:rsid w:val="007767C2"/>
    <w:rsid w:val="00782A3B"/>
    <w:rsid w:val="007838B8"/>
    <w:rsid w:val="00790114"/>
    <w:rsid w:val="007915BA"/>
    <w:rsid w:val="00792BBA"/>
    <w:rsid w:val="00794B97"/>
    <w:rsid w:val="007A06A0"/>
    <w:rsid w:val="007A442B"/>
    <w:rsid w:val="007A60B2"/>
    <w:rsid w:val="007A6347"/>
    <w:rsid w:val="007B1F9C"/>
    <w:rsid w:val="007B3DDC"/>
    <w:rsid w:val="007B72A6"/>
    <w:rsid w:val="007C0F57"/>
    <w:rsid w:val="007C12E1"/>
    <w:rsid w:val="007C3536"/>
    <w:rsid w:val="007C40B6"/>
    <w:rsid w:val="007C448A"/>
    <w:rsid w:val="007C4DB0"/>
    <w:rsid w:val="007C729F"/>
    <w:rsid w:val="007D07D2"/>
    <w:rsid w:val="007D2AC8"/>
    <w:rsid w:val="007D41D2"/>
    <w:rsid w:val="007D4230"/>
    <w:rsid w:val="007D503D"/>
    <w:rsid w:val="007E0561"/>
    <w:rsid w:val="007E0BDD"/>
    <w:rsid w:val="007E1D28"/>
    <w:rsid w:val="007F0021"/>
    <w:rsid w:val="007F2641"/>
    <w:rsid w:val="007F7C36"/>
    <w:rsid w:val="0080494F"/>
    <w:rsid w:val="00804A74"/>
    <w:rsid w:val="00806031"/>
    <w:rsid w:val="00806171"/>
    <w:rsid w:val="00806796"/>
    <w:rsid w:val="00811CC0"/>
    <w:rsid w:val="0081237D"/>
    <w:rsid w:val="008128E2"/>
    <w:rsid w:val="00812B4C"/>
    <w:rsid w:val="008151D6"/>
    <w:rsid w:val="0081661A"/>
    <w:rsid w:val="0082151C"/>
    <w:rsid w:val="00821527"/>
    <w:rsid w:val="00821A23"/>
    <w:rsid w:val="00821DEC"/>
    <w:rsid w:val="008268BB"/>
    <w:rsid w:val="00826B53"/>
    <w:rsid w:val="00826F6D"/>
    <w:rsid w:val="008306F3"/>
    <w:rsid w:val="00830E40"/>
    <w:rsid w:val="00831DA9"/>
    <w:rsid w:val="00835593"/>
    <w:rsid w:val="00835C62"/>
    <w:rsid w:val="00841475"/>
    <w:rsid w:val="00841A72"/>
    <w:rsid w:val="00841E70"/>
    <w:rsid w:val="00843A23"/>
    <w:rsid w:val="00846056"/>
    <w:rsid w:val="00847EC0"/>
    <w:rsid w:val="00851915"/>
    <w:rsid w:val="00854610"/>
    <w:rsid w:val="00855F31"/>
    <w:rsid w:val="00855FD6"/>
    <w:rsid w:val="008561AD"/>
    <w:rsid w:val="00856B22"/>
    <w:rsid w:val="00856DDD"/>
    <w:rsid w:val="00861363"/>
    <w:rsid w:val="00863293"/>
    <w:rsid w:val="00863549"/>
    <w:rsid w:val="00863E68"/>
    <w:rsid w:val="008647B5"/>
    <w:rsid w:val="00866FDA"/>
    <w:rsid w:val="00875DCB"/>
    <w:rsid w:val="008767B9"/>
    <w:rsid w:val="008768D6"/>
    <w:rsid w:val="00882085"/>
    <w:rsid w:val="008820E2"/>
    <w:rsid w:val="00883188"/>
    <w:rsid w:val="008858B1"/>
    <w:rsid w:val="0089276F"/>
    <w:rsid w:val="00897D58"/>
    <w:rsid w:val="00897F22"/>
    <w:rsid w:val="008A0B39"/>
    <w:rsid w:val="008A0BFB"/>
    <w:rsid w:val="008A1956"/>
    <w:rsid w:val="008A25D7"/>
    <w:rsid w:val="008A4937"/>
    <w:rsid w:val="008A50F1"/>
    <w:rsid w:val="008A59D9"/>
    <w:rsid w:val="008A6819"/>
    <w:rsid w:val="008A7B78"/>
    <w:rsid w:val="008B26DE"/>
    <w:rsid w:val="008B2EC0"/>
    <w:rsid w:val="008B3DF8"/>
    <w:rsid w:val="008C072E"/>
    <w:rsid w:val="008C0AAA"/>
    <w:rsid w:val="008C17BC"/>
    <w:rsid w:val="008C2F96"/>
    <w:rsid w:val="008C39C5"/>
    <w:rsid w:val="008C4DE7"/>
    <w:rsid w:val="008C7D0D"/>
    <w:rsid w:val="008D1B5C"/>
    <w:rsid w:val="008D3C82"/>
    <w:rsid w:val="008D447E"/>
    <w:rsid w:val="008D7A41"/>
    <w:rsid w:val="008E10EC"/>
    <w:rsid w:val="008E1A13"/>
    <w:rsid w:val="008E2C72"/>
    <w:rsid w:val="008E3680"/>
    <w:rsid w:val="008E5870"/>
    <w:rsid w:val="008F0213"/>
    <w:rsid w:val="008F1010"/>
    <w:rsid w:val="008F1434"/>
    <w:rsid w:val="008F1869"/>
    <w:rsid w:val="008F206B"/>
    <w:rsid w:val="008F353C"/>
    <w:rsid w:val="008F54C3"/>
    <w:rsid w:val="008F676C"/>
    <w:rsid w:val="008F7355"/>
    <w:rsid w:val="009023DC"/>
    <w:rsid w:val="009027C5"/>
    <w:rsid w:val="009067B7"/>
    <w:rsid w:val="0091095B"/>
    <w:rsid w:val="00913226"/>
    <w:rsid w:val="009142E7"/>
    <w:rsid w:val="00916F69"/>
    <w:rsid w:val="00917D69"/>
    <w:rsid w:val="00921770"/>
    <w:rsid w:val="00926560"/>
    <w:rsid w:val="0092682D"/>
    <w:rsid w:val="00930722"/>
    <w:rsid w:val="00930937"/>
    <w:rsid w:val="009324A6"/>
    <w:rsid w:val="00933247"/>
    <w:rsid w:val="00933704"/>
    <w:rsid w:val="00933E6C"/>
    <w:rsid w:val="00935E56"/>
    <w:rsid w:val="00937958"/>
    <w:rsid w:val="00941602"/>
    <w:rsid w:val="00941693"/>
    <w:rsid w:val="00942160"/>
    <w:rsid w:val="00945AE0"/>
    <w:rsid w:val="009479F5"/>
    <w:rsid w:val="0095146F"/>
    <w:rsid w:val="00957793"/>
    <w:rsid w:val="00957944"/>
    <w:rsid w:val="00957BFE"/>
    <w:rsid w:val="00957F1E"/>
    <w:rsid w:val="009602C5"/>
    <w:rsid w:val="009614B9"/>
    <w:rsid w:val="00962223"/>
    <w:rsid w:val="00962D4C"/>
    <w:rsid w:val="009632D8"/>
    <w:rsid w:val="00965D31"/>
    <w:rsid w:val="00966D0D"/>
    <w:rsid w:val="0096783C"/>
    <w:rsid w:val="009700A1"/>
    <w:rsid w:val="00970555"/>
    <w:rsid w:val="009722B3"/>
    <w:rsid w:val="00974C21"/>
    <w:rsid w:val="00975948"/>
    <w:rsid w:val="00975BF9"/>
    <w:rsid w:val="009763CD"/>
    <w:rsid w:val="00976A32"/>
    <w:rsid w:val="00977369"/>
    <w:rsid w:val="00977BF3"/>
    <w:rsid w:val="009803E4"/>
    <w:rsid w:val="00980A4E"/>
    <w:rsid w:val="00980B0E"/>
    <w:rsid w:val="009836A3"/>
    <w:rsid w:val="0098455C"/>
    <w:rsid w:val="009847FE"/>
    <w:rsid w:val="009853E1"/>
    <w:rsid w:val="009854E9"/>
    <w:rsid w:val="009855A8"/>
    <w:rsid w:val="009907B6"/>
    <w:rsid w:val="009908B3"/>
    <w:rsid w:val="009913F4"/>
    <w:rsid w:val="0099465B"/>
    <w:rsid w:val="00994A3F"/>
    <w:rsid w:val="00995885"/>
    <w:rsid w:val="00996417"/>
    <w:rsid w:val="00996F19"/>
    <w:rsid w:val="009A058C"/>
    <w:rsid w:val="009A0CDD"/>
    <w:rsid w:val="009A2089"/>
    <w:rsid w:val="009A256A"/>
    <w:rsid w:val="009A3168"/>
    <w:rsid w:val="009A51D2"/>
    <w:rsid w:val="009A587C"/>
    <w:rsid w:val="009A61CA"/>
    <w:rsid w:val="009A6387"/>
    <w:rsid w:val="009A77FE"/>
    <w:rsid w:val="009B0AF1"/>
    <w:rsid w:val="009B0C64"/>
    <w:rsid w:val="009B0F67"/>
    <w:rsid w:val="009B37C5"/>
    <w:rsid w:val="009B416B"/>
    <w:rsid w:val="009B6187"/>
    <w:rsid w:val="009B7828"/>
    <w:rsid w:val="009B7A3C"/>
    <w:rsid w:val="009C0244"/>
    <w:rsid w:val="009C210B"/>
    <w:rsid w:val="009C2201"/>
    <w:rsid w:val="009C6B2E"/>
    <w:rsid w:val="009C703C"/>
    <w:rsid w:val="009D206E"/>
    <w:rsid w:val="009D3CAA"/>
    <w:rsid w:val="009D5089"/>
    <w:rsid w:val="009D6532"/>
    <w:rsid w:val="009D70D7"/>
    <w:rsid w:val="009E0CB7"/>
    <w:rsid w:val="009E2E8E"/>
    <w:rsid w:val="009E40E1"/>
    <w:rsid w:val="009E7206"/>
    <w:rsid w:val="009F094C"/>
    <w:rsid w:val="009F0EFA"/>
    <w:rsid w:val="009F4E46"/>
    <w:rsid w:val="009F5B65"/>
    <w:rsid w:val="009F5D8F"/>
    <w:rsid w:val="009F5F2E"/>
    <w:rsid w:val="00A01432"/>
    <w:rsid w:val="00A033A3"/>
    <w:rsid w:val="00A03AF0"/>
    <w:rsid w:val="00A049A4"/>
    <w:rsid w:val="00A06225"/>
    <w:rsid w:val="00A128E6"/>
    <w:rsid w:val="00A13033"/>
    <w:rsid w:val="00A138A4"/>
    <w:rsid w:val="00A144D3"/>
    <w:rsid w:val="00A1754E"/>
    <w:rsid w:val="00A21FD9"/>
    <w:rsid w:val="00A22AC3"/>
    <w:rsid w:val="00A23B70"/>
    <w:rsid w:val="00A23F3F"/>
    <w:rsid w:val="00A23FE9"/>
    <w:rsid w:val="00A24067"/>
    <w:rsid w:val="00A2744D"/>
    <w:rsid w:val="00A301D8"/>
    <w:rsid w:val="00A330C3"/>
    <w:rsid w:val="00A34599"/>
    <w:rsid w:val="00A34E6C"/>
    <w:rsid w:val="00A36398"/>
    <w:rsid w:val="00A36941"/>
    <w:rsid w:val="00A37C8D"/>
    <w:rsid w:val="00A4020E"/>
    <w:rsid w:val="00A40FB5"/>
    <w:rsid w:val="00A41880"/>
    <w:rsid w:val="00A41E65"/>
    <w:rsid w:val="00A42826"/>
    <w:rsid w:val="00A429B3"/>
    <w:rsid w:val="00A4353C"/>
    <w:rsid w:val="00A441DD"/>
    <w:rsid w:val="00A44EDD"/>
    <w:rsid w:val="00A45514"/>
    <w:rsid w:val="00A507D1"/>
    <w:rsid w:val="00A510E4"/>
    <w:rsid w:val="00A5273B"/>
    <w:rsid w:val="00A53A9D"/>
    <w:rsid w:val="00A53D7C"/>
    <w:rsid w:val="00A55FEE"/>
    <w:rsid w:val="00A57422"/>
    <w:rsid w:val="00A61749"/>
    <w:rsid w:val="00A62C1A"/>
    <w:rsid w:val="00A637FE"/>
    <w:rsid w:val="00A6426D"/>
    <w:rsid w:val="00A654F0"/>
    <w:rsid w:val="00A665C1"/>
    <w:rsid w:val="00A673A4"/>
    <w:rsid w:val="00A70622"/>
    <w:rsid w:val="00A70977"/>
    <w:rsid w:val="00A70D58"/>
    <w:rsid w:val="00A71BCB"/>
    <w:rsid w:val="00A734D0"/>
    <w:rsid w:val="00A744F9"/>
    <w:rsid w:val="00A74674"/>
    <w:rsid w:val="00A74BF3"/>
    <w:rsid w:val="00A77613"/>
    <w:rsid w:val="00A81851"/>
    <w:rsid w:val="00A8390C"/>
    <w:rsid w:val="00A83C43"/>
    <w:rsid w:val="00A86AE0"/>
    <w:rsid w:val="00A91F4A"/>
    <w:rsid w:val="00A928BD"/>
    <w:rsid w:val="00A94D09"/>
    <w:rsid w:val="00A97DE9"/>
    <w:rsid w:val="00AA12CD"/>
    <w:rsid w:val="00AA2A21"/>
    <w:rsid w:val="00AA33CE"/>
    <w:rsid w:val="00AA34B1"/>
    <w:rsid w:val="00AA4D1C"/>
    <w:rsid w:val="00AA52FD"/>
    <w:rsid w:val="00AB1B00"/>
    <w:rsid w:val="00AB2EB7"/>
    <w:rsid w:val="00AB5856"/>
    <w:rsid w:val="00AB6617"/>
    <w:rsid w:val="00AB7B29"/>
    <w:rsid w:val="00AB7F7F"/>
    <w:rsid w:val="00AC02E1"/>
    <w:rsid w:val="00AC193C"/>
    <w:rsid w:val="00AC3208"/>
    <w:rsid w:val="00AC423F"/>
    <w:rsid w:val="00AC4DE5"/>
    <w:rsid w:val="00AC5206"/>
    <w:rsid w:val="00AC73FC"/>
    <w:rsid w:val="00AC7C0C"/>
    <w:rsid w:val="00AD09D9"/>
    <w:rsid w:val="00AD18D7"/>
    <w:rsid w:val="00AD2CED"/>
    <w:rsid w:val="00AD31C5"/>
    <w:rsid w:val="00AD4322"/>
    <w:rsid w:val="00AD735A"/>
    <w:rsid w:val="00AE11A5"/>
    <w:rsid w:val="00AE13E2"/>
    <w:rsid w:val="00AE17DB"/>
    <w:rsid w:val="00AE1F74"/>
    <w:rsid w:val="00AE22D3"/>
    <w:rsid w:val="00AE2CF1"/>
    <w:rsid w:val="00AE4A7E"/>
    <w:rsid w:val="00AE5A49"/>
    <w:rsid w:val="00AF5870"/>
    <w:rsid w:val="00AF62DF"/>
    <w:rsid w:val="00AF68CC"/>
    <w:rsid w:val="00AF70D7"/>
    <w:rsid w:val="00AF743B"/>
    <w:rsid w:val="00AF76B0"/>
    <w:rsid w:val="00B000F3"/>
    <w:rsid w:val="00B01146"/>
    <w:rsid w:val="00B02408"/>
    <w:rsid w:val="00B0493F"/>
    <w:rsid w:val="00B06478"/>
    <w:rsid w:val="00B07CFB"/>
    <w:rsid w:val="00B1059E"/>
    <w:rsid w:val="00B10736"/>
    <w:rsid w:val="00B1221A"/>
    <w:rsid w:val="00B16273"/>
    <w:rsid w:val="00B170A5"/>
    <w:rsid w:val="00B176C8"/>
    <w:rsid w:val="00B17ED3"/>
    <w:rsid w:val="00B17EE5"/>
    <w:rsid w:val="00B205AA"/>
    <w:rsid w:val="00B22E84"/>
    <w:rsid w:val="00B233AD"/>
    <w:rsid w:val="00B23460"/>
    <w:rsid w:val="00B23E25"/>
    <w:rsid w:val="00B25F75"/>
    <w:rsid w:val="00B26B3F"/>
    <w:rsid w:val="00B2778F"/>
    <w:rsid w:val="00B27B9F"/>
    <w:rsid w:val="00B27CB1"/>
    <w:rsid w:val="00B302B7"/>
    <w:rsid w:val="00B32CC7"/>
    <w:rsid w:val="00B33635"/>
    <w:rsid w:val="00B3722C"/>
    <w:rsid w:val="00B415BF"/>
    <w:rsid w:val="00B42AF4"/>
    <w:rsid w:val="00B42D6B"/>
    <w:rsid w:val="00B43E90"/>
    <w:rsid w:val="00B44997"/>
    <w:rsid w:val="00B467DC"/>
    <w:rsid w:val="00B51223"/>
    <w:rsid w:val="00B53D5B"/>
    <w:rsid w:val="00B5456F"/>
    <w:rsid w:val="00B54A53"/>
    <w:rsid w:val="00B56118"/>
    <w:rsid w:val="00B567DC"/>
    <w:rsid w:val="00B57271"/>
    <w:rsid w:val="00B5746C"/>
    <w:rsid w:val="00B61159"/>
    <w:rsid w:val="00B64B30"/>
    <w:rsid w:val="00B66999"/>
    <w:rsid w:val="00B6773F"/>
    <w:rsid w:val="00B70E0B"/>
    <w:rsid w:val="00B70E9F"/>
    <w:rsid w:val="00B70EB3"/>
    <w:rsid w:val="00B71A7C"/>
    <w:rsid w:val="00B737C3"/>
    <w:rsid w:val="00B7525E"/>
    <w:rsid w:val="00B760FB"/>
    <w:rsid w:val="00B767AB"/>
    <w:rsid w:val="00B801BA"/>
    <w:rsid w:val="00B83D57"/>
    <w:rsid w:val="00B84D5C"/>
    <w:rsid w:val="00B8768A"/>
    <w:rsid w:val="00B92A67"/>
    <w:rsid w:val="00B951AF"/>
    <w:rsid w:val="00B95862"/>
    <w:rsid w:val="00BA0D31"/>
    <w:rsid w:val="00BA12E6"/>
    <w:rsid w:val="00BA2DA8"/>
    <w:rsid w:val="00BA347C"/>
    <w:rsid w:val="00BA4AEA"/>
    <w:rsid w:val="00BA609B"/>
    <w:rsid w:val="00BA7814"/>
    <w:rsid w:val="00BA7E8C"/>
    <w:rsid w:val="00BB4EB5"/>
    <w:rsid w:val="00BB5C49"/>
    <w:rsid w:val="00BB68AF"/>
    <w:rsid w:val="00BB69F5"/>
    <w:rsid w:val="00BB7EC3"/>
    <w:rsid w:val="00BC084A"/>
    <w:rsid w:val="00BC3DF6"/>
    <w:rsid w:val="00BC4B9A"/>
    <w:rsid w:val="00BC6A78"/>
    <w:rsid w:val="00BD02C3"/>
    <w:rsid w:val="00BD118E"/>
    <w:rsid w:val="00BD69B9"/>
    <w:rsid w:val="00BD7483"/>
    <w:rsid w:val="00BD784C"/>
    <w:rsid w:val="00BE020A"/>
    <w:rsid w:val="00BE13DF"/>
    <w:rsid w:val="00BE2136"/>
    <w:rsid w:val="00BE3BF7"/>
    <w:rsid w:val="00BE6B7D"/>
    <w:rsid w:val="00BF0730"/>
    <w:rsid w:val="00BF092C"/>
    <w:rsid w:val="00BF130A"/>
    <w:rsid w:val="00BF27A0"/>
    <w:rsid w:val="00BF30AB"/>
    <w:rsid w:val="00BF4008"/>
    <w:rsid w:val="00BF4CB6"/>
    <w:rsid w:val="00BF654A"/>
    <w:rsid w:val="00BF6DF3"/>
    <w:rsid w:val="00C00DA7"/>
    <w:rsid w:val="00C0418D"/>
    <w:rsid w:val="00C045A7"/>
    <w:rsid w:val="00C04CDE"/>
    <w:rsid w:val="00C066AA"/>
    <w:rsid w:val="00C11C6E"/>
    <w:rsid w:val="00C12768"/>
    <w:rsid w:val="00C12D70"/>
    <w:rsid w:val="00C13F92"/>
    <w:rsid w:val="00C14BC5"/>
    <w:rsid w:val="00C21B09"/>
    <w:rsid w:val="00C22F2C"/>
    <w:rsid w:val="00C26019"/>
    <w:rsid w:val="00C2673A"/>
    <w:rsid w:val="00C27205"/>
    <w:rsid w:val="00C27B58"/>
    <w:rsid w:val="00C3016E"/>
    <w:rsid w:val="00C35996"/>
    <w:rsid w:val="00C35F84"/>
    <w:rsid w:val="00C4219C"/>
    <w:rsid w:val="00C434DC"/>
    <w:rsid w:val="00C440A5"/>
    <w:rsid w:val="00C4488A"/>
    <w:rsid w:val="00C46EC1"/>
    <w:rsid w:val="00C4747E"/>
    <w:rsid w:val="00C47FFD"/>
    <w:rsid w:val="00C5063A"/>
    <w:rsid w:val="00C50DF4"/>
    <w:rsid w:val="00C50E71"/>
    <w:rsid w:val="00C5151E"/>
    <w:rsid w:val="00C5342C"/>
    <w:rsid w:val="00C53B2B"/>
    <w:rsid w:val="00C56E3E"/>
    <w:rsid w:val="00C60272"/>
    <w:rsid w:val="00C603D4"/>
    <w:rsid w:val="00C61161"/>
    <w:rsid w:val="00C6230A"/>
    <w:rsid w:val="00C6256A"/>
    <w:rsid w:val="00C66C73"/>
    <w:rsid w:val="00C70C5B"/>
    <w:rsid w:val="00C71097"/>
    <w:rsid w:val="00C710E2"/>
    <w:rsid w:val="00C71C3F"/>
    <w:rsid w:val="00C7232C"/>
    <w:rsid w:val="00C72E17"/>
    <w:rsid w:val="00C7409E"/>
    <w:rsid w:val="00C749E7"/>
    <w:rsid w:val="00C74D6D"/>
    <w:rsid w:val="00C75F77"/>
    <w:rsid w:val="00C76E76"/>
    <w:rsid w:val="00C77891"/>
    <w:rsid w:val="00C807BC"/>
    <w:rsid w:val="00C822DC"/>
    <w:rsid w:val="00C82EC6"/>
    <w:rsid w:val="00C83021"/>
    <w:rsid w:val="00C8701A"/>
    <w:rsid w:val="00C87DD2"/>
    <w:rsid w:val="00C91449"/>
    <w:rsid w:val="00C92D10"/>
    <w:rsid w:val="00C94E1C"/>
    <w:rsid w:val="00C956AC"/>
    <w:rsid w:val="00C96E62"/>
    <w:rsid w:val="00CA0291"/>
    <w:rsid w:val="00CA26BF"/>
    <w:rsid w:val="00CA30E2"/>
    <w:rsid w:val="00CA48D9"/>
    <w:rsid w:val="00CB1193"/>
    <w:rsid w:val="00CB2B67"/>
    <w:rsid w:val="00CB4767"/>
    <w:rsid w:val="00CB493D"/>
    <w:rsid w:val="00CC0718"/>
    <w:rsid w:val="00CC1F87"/>
    <w:rsid w:val="00CC2091"/>
    <w:rsid w:val="00CC3B97"/>
    <w:rsid w:val="00CD167E"/>
    <w:rsid w:val="00CD3B54"/>
    <w:rsid w:val="00CD7586"/>
    <w:rsid w:val="00CE10C4"/>
    <w:rsid w:val="00CE1E8D"/>
    <w:rsid w:val="00CE27B5"/>
    <w:rsid w:val="00CE544A"/>
    <w:rsid w:val="00CE69D8"/>
    <w:rsid w:val="00CE6DAF"/>
    <w:rsid w:val="00CF04A9"/>
    <w:rsid w:val="00CF1264"/>
    <w:rsid w:val="00CF2E5D"/>
    <w:rsid w:val="00CF3B7C"/>
    <w:rsid w:val="00CF410A"/>
    <w:rsid w:val="00CF6F05"/>
    <w:rsid w:val="00D0321E"/>
    <w:rsid w:val="00D03350"/>
    <w:rsid w:val="00D07A8A"/>
    <w:rsid w:val="00D11063"/>
    <w:rsid w:val="00D1455A"/>
    <w:rsid w:val="00D15CDF"/>
    <w:rsid w:val="00D22093"/>
    <w:rsid w:val="00D262B4"/>
    <w:rsid w:val="00D270C0"/>
    <w:rsid w:val="00D31150"/>
    <w:rsid w:val="00D3138B"/>
    <w:rsid w:val="00D31BEC"/>
    <w:rsid w:val="00D3280C"/>
    <w:rsid w:val="00D3406A"/>
    <w:rsid w:val="00D36634"/>
    <w:rsid w:val="00D40127"/>
    <w:rsid w:val="00D405E2"/>
    <w:rsid w:val="00D40B11"/>
    <w:rsid w:val="00D412E7"/>
    <w:rsid w:val="00D42F4D"/>
    <w:rsid w:val="00D441F1"/>
    <w:rsid w:val="00D454AC"/>
    <w:rsid w:val="00D4572C"/>
    <w:rsid w:val="00D469B2"/>
    <w:rsid w:val="00D50387"/>
    <w:rsid w:val="00D51234"/>
    <w:rsid w:val="00D52390"/>
    <w:rsid w:val="00D54B09"/>
    <w:rsid w:val="00D55F12"/>
    <w:rsid w:val="00D61A89"/>
    <w:rsid w:val="00D65658"/>
    <w:rsid w:val="00D65DFB"/>
    <w:rsid w:val="00D67D51"/>
    <w:rsid w:val="00D70ECB"/>
    <w:rsid w:val="00D70F0E"/>
    <w:rsid w:val="00D728C7"/>
    <w:rsid w:val="00D72B6F"/>
    <w:rsid w:val="00D741EB"/>
    <w:rsid w:val="00D74676"/>
    <w:rsid w:val="00D7679C"/>
    <w:rsid w:val="00D76914"/>
    <w:rsid w:val="00D80205"/>
    <w:rsid w:val="00D80E28"/>
    <w:rsid w:val="00D820F3"/>
    <w:rsid w:val="00D83605"/>
    <w:rsid w:val="00D83E11"/>
    <w:rsid w:val="00D84120"/>
    <w:rsid w:val="00D841B3"/>
    <w:rsid w:val="00D84934"/>
    <w:rsid w:val="00D85C78"/>
    <w:rsid w:val="00D8772C"/>
    <w:rsid w:val="00D8784C"/>
    <w:rsid w:val="00D906E8"/>
    <w:rsid w:val="00D90E8C"/>
    <w:rsid w:val="00D91271"/>
    <w:rsid w:val="00D919F5"/>
    <w:rsid w:val="00D91F97"/>
    <w:rsid w:val="00D94F03"/>
    <w:rsid w:val="00DA031A"/>
    <w:rsid w:val="00DA0A82"/>
    <w:rsid w:val="00DA0BF3"/>
    <w:rsid w:val="00DA0D14"/>
    <w:rsid w:val="00DA1FC9"/>
    <w:rsid w:val="00DA2046"/>
    <w:rsid w:val="00DA2442"/>
    <w:rsid w:val="00DA2BAD"/>
    <w:rsid w:val="00DA2CB5"/>
    <w:rsid w:val="00DA406A"/>
    <w:rsid w:val="00DA45AB"/>
    <w:rsid w:val="00DA4BAC"/>
    <w:rsid w:val="00DB0151"/>
    <w:rsid w:val="00DB16AD"/>
    <w:rsid w:val="00DB566E"/>
    <w:rsid w:val="00DC2C3E"/>
    <w:rsid w:val="00DC4880"/>
    <w:rsid w:val="00DC64E2"/>
    <w:rsid w:val="00DD68A6"/>
    <w:rsid w:val="00DE6D27"/>
    <w:rsid w:val="00DE72F8"/>
    <w:rsid w:val="00DF01F8"/>
    <w:rsid w:val="00DF1095"/>
    <w:rsid w:val="00DF217D"/>
    <w:rsid w:val="00DF26A7"/>
    <w:rsid w:val="00DF3277"/>
    <w:rsid w:val="00DF4964"/>
    <w:rsid w:val="00DF6BC9"/>
    <w:rsid w:val="00DF7919"/>
    <w:rsid w:val="00E0207E"/>
    <w:rsid w:val="00E024B9"/>
    <w:rsid w:val="00E03912"/>
    <w:rsid w:val="00E06DF5"/>
    <w:rsid w:val="00E078D9"/>
    <w:rsid w:val="00E10293"/>
    <w:rsid w:val="00E11ED6"/>
    <w:rsid w:val="00E12330"/>
    <w:rsid w:val="00E15627"/>
    <w:rsid w:val="00E15FC5"/>
    <w:rsid w:val="00E161E7"/>
    <w:rsid w:val="00E164B3"/>
    <w:rsid w:val="00E16910"/>
    <w:rsid w:val="00E171A3"/>
    <w:rsid w:val="00E17D67"/>
    <w:rsid w:val="00E24E09"/>
    <w:rsid w:val="00E27234"/>
    <w:rsid w:val="00E32E8B"/>
    <w:rsid w:val="00E3495C"/>
    <w:rsid w:val="00E36A17"/>
    <w:rsid w:val="00E36A49"/>
    <w:rsid w:val="00E42BDB"/>
    <w:rsid w:val="00E46B04"/>
    <w:rsid w:val="00E53362"/>
    <w:rsid w:val="00E53984"/>
    <w:rsid w:val="00E57EEB"/>
    <w:rsid w:val="00E6253C"/>
    <w:rsid w:val="00E62D94"/>
    <w:rsid w:val="00E64F37"/>
    <w:rsid w:val="00E65E54"/>
    <w:rsid w:val="00E661C7"/>
    <w:rsid w:val="00E67F5E"/>
    <w:rsid w:val="00E7016A"/>
    <w:rsid w:val="00E74011"/>
    <w:rsid w:val="00E80155"/>
    <w:rsid w:val="00E8134B"/>
    <w:rsid w:val="00E81E0D"/>
    <w:rsid w:val="00E81F28"/>
    <w:rsid w:val="00E848C0"/>
    <w:rsid w:val="00E84C2D"/>
    <w:rsid w:val="00E872BA"/>
    <w:rsid w:val="00E91B96"/>
    <w:rsid w:val="00E92CA9"/>
    <w:rsid w:val="00E93D1E"/>
    <w:rsid w:val="00E941A1"/>
    <w:rsid w:val="00E95CE3"/>
    <w:rsid w:val="00EA2070"/>
    <w:rsid w:val="00EA252F"/>
    <w:rsid w:val="00EA2825"/>
    <w:rsid w:val="00EA4A2C"/>
    <w:rsid w:val="00EA5100"/>
    <w:rsid w:val="00EA6518"/>
    <w:rsid w:val="00EA7466"/>
    <w:rsid w:val="00EA7EDE"/>
    <w:rsid w:val="00EB0A59"/>
    <w:rsid w:val="00EB0B63"/>
    <w:rsid w:val="00EB1936"/>
    <w:rsid w:val="00EB37BE"/>
    <w:rsid w:val="00EB4367"/>
    <w:rsid w:val="00EB5088"/>
    <w:rsid w:val="00EB5E5A"/>
    <w:rsid w:val="00EC259E"/>
    <w:rsid w:val="00EC3A19"/>
    <w:rsid w:val="00EC55F8"/>
    <w:rsid w:val="00ED1644"/>
    <w:rsid w:val="00ED2593"/>
    <w:rsid w:val="00ED26C4"/>
    <w:rsid w:val="00ED5902"/>
    <w:rsid w:val="00ED6278"/>
    <w:rsid w:val="00ED7D55"/>
    <w:rsid w:val="00ED7D9C"/>
    <w:rsid w:val="00EE01BD"/>
    <w:rsid w:val="00EE061B"/>
    <w:rsid w:val="00EE108D"/>
    <w:rsid w:val="00EE31A2"/>
    <w:rsid w:val="00EE4153"/>
    <w:rsid w:val="00EE5311"/>
    <w:rsid w:val="00EE738B"/>
    <w:rsid w:val="00EF0054"/>
    <w:rsid w:val="00EF0069"/>
    <w:rsid w:val="00EF44A0"/>
    <w:rsid w:val="00EF4FED"/>
    <w:rsid w:val="00EF6AC8"/>
    <w:rsid w:val="00EF6FB3"/>
    <w:rsid w:val="00F007C6"/>
    <w:rsid w:val="00F0172E"/>
    <w:rsid w:val="00F01A87"/>
    <w:rsid w:val="00F0363B"/>
    <w:rsid w:val="00F04725"/>
    <w:rsid w:val="00F050BD"/>
    <w:rsid w:val="00F05657"/>
    <w:rsid w:val="00F11D09"/>
    <w:rsid w:val="00F15328"/>
    <w:rsid w:val="00F17754"/>
    <w:rsid w:val="00F17ED6"/>
    <w:rsid w:val="00F209E2"/>
    <w:rsid w:val="00F22102"/>
    <w:rsid w:val="00F24300"/>
    <w:rsid w:val="00F251D8"/>
    <w:rsid w:val="00F25578"/>
    <w:rsid w:val="00F258E5"/>
    <w:rsid w:val="00F25B9C"/>
    <w:rsid w:val="00F26CC6"/>
    <w:rsid w:val="00F27125"/>
    <w:rsid w:val="00F30064"/>
    <w:rsid w:val="00F300BC"/>
    <w:rsid w:val="00F30E3C"/>
    <w:rsid w:val="00F3263C"/>
    <w:rsid w:val="00F3334E"/>
    <w:rsid w:val="00F36BA3"/>
    <w:rsid w:val="00F36CCB"/>
    <w:rsid w:val="00F374E5"/>
    <w:rsid w:val="00F37B93"/>
    <w:rsid w:val="00F37BAD"/>
    <w:rsid w:val="00F37ECA"/>
    <w:rsid w:val="00F41B3F"/>
    <w:rsid w:val="00F43AF2"/>
    <w:rsid w:val="00F440B0"/>
    <w:rsid w:val="00F44623"/>
    <w:rsid w:val="00F45687"/>
    <w:rsid w:val="00F47C22"/>
    <w:rsid w:val="00F47CEF"/>
    <w:rsid w:val="00F5007E"/>
    <w:rsid w:val="00F50BE1"/>
    <w:rsid w:val="00F50EC4"/>
    <w:rsid w:val="00F52232"/>
    <w:rsid w:val="00F522D2"/>
    <w:rsid w:val="00F5303D"/>
    <w:rsid w:val="00F53B81"/>
    <w:rsid w:val="00F550CF"/>
    <w:rsid w:val="00F55320"/>
    <w:rsid w:val="00F56169"/>
    <w:rsid w:val="00F57A6D"/>
    <w:rsid w:val="00F638CC"/>
    <w:rsid w:val="00F6400E"/>
    <w:rsid w:val="00F64836"/>
    <w:rsid w:val="00F64C9E"/>
    <w:rsid w:val="00F64CC1"/>
    <w:rsid w:val="00F72317"/>
    <w:rsid w:val="00F742FD"/>
    <w:rsid w:val="00F75764"/>
    <w:rsid w:val="00F762C1"/>
    <w:rsid w:val="00F80475"/>
    <w:rsid w:val="00F80D9D"/>
    <w:rsid w:val="00F8247A"/>
    <w:rsid w:val="00F82E5C"/>
    <w:rsid w:val="00F91F3D"/>
    <w:rsid w:val="00F9234F"/>
    <w:rsid w:val="00F927E4"/>
    <w:rsid w:val="00F95198"/>
    <w:rsid w:val="00F9629A"/>
    <w:rsid w:val="00F96CFB"/>
    <w:rsid w:val="00F97EFC"/>
    <w:rsid w:val="00FA1401"/>
    <w:rsid w:val="00FA1438"/>
    <w:rsid w:val="00FA1BDD"/>
    <w:rsid w:val="00FA305C"/>
    <w:rsid w:val="00FA30AC"/>
    <w:rsid w:val="00FA4DD5"/>
    <w:rsid w:val="00FA5883"/>
    <w:rsid w:val="00FA59A9"/>
    <w:rsid w:val="00FA6055"/>
    <w:rsid w:val="00FA7033"/>
    <w:rsid w:val="00FA7344"/>
    <w:rsid w:val="00FB042E"/>
    <w:rsid w:val="00FB0B39"/>
    <w:rsid w:val="00FB322F"/>
    <w:rsid w:val="00FB442F"/>
    <w:rsid w:val="00FC118C"/>
    <w:rsid w:val="00FC1202"/>
    <w:rsid w:val="00FC1929"/>
    <w:rsid w:val="00FC5B46"/>
    <w:rsid w:val="00FC7C0A"/>
    <w:rsid w:val="00FD26BA"/>
    <w:rsid w:val="00FD6D8E"/>
    <w:rsid w:val="00FE0663"/>
    <w:rsid w:val="00FE0E94"/>
    <w:rsid w:val="00FE24BA"/>
    <w:rsid w:val="00FE319C"/>
    <w:rsid w:val="00FE380D"/>
    <w:rsid w:val="00FE3CD9"/>
    <w:rsid w:val="00FE4707"/>
    <w:rsid w:val="00FE5515"/>
    <w:rsid w:val="00FE59F4"/>
    <w:rsid w:val="00FE5E95"/>
    <w:rsid w:val="00FE699B"/>
    <w:rsid w:val="00FE7267"/>
    <w:rsid w:val="00FF00BD"/>
    <w:rsid w:val="00FF1ED4"/>
    <w:rsid w:val="00FF2801"/>
    <w:rsid w:val="00FF3280"/>
    <w:rsid w:val="00FF33E2"/>
    <w:rsid w:val="00FF6487"/>
    <w:rsid w:val="00FF7B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6C1FC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5180"/>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99"/>
    <w:qFormat/>
    <w:rsid w:val="001014F2"/>
    <w:pPr>
      <w:spacing w:after="120"/>
    </w:pPr>
    <w:rPr>
      <w:rFonts w:ascii="Arial Narrow" w:hAnsi="Arial Narrow"/>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uiPriority w:val="99"/>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L1 Bulleted List,Summary Bullets,Footer Setting,Bullet List,FooterText,numbered,Paragraphe de liste1"/>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L1 Bulleted List Char,Summary Bullets Char"/>
    <w:basedOn w:val="DefaultParagraphFont"/>
    <w:link w:val="ListParagraph"/>
    <w:uiPriority w:val="72"/>
    <w:qFormat/>
    <w:rsid w:val="00446938"/>
    <w:rPr>
      <w:rFonts w:asciiTheme="minorHAnsi" w:hAnsiTheme="minorHAnsi" w:cs="Arial"/>
      <w:snapToGrid w:val="0"/>
      <w:sz w:val="24"/>
      <w:szCs w:val="24"/>
    </w:rPr>
  </w:style>
  <w:style w:type="paragraph" w:customStyle="1" w:styleId="2Sections">
    <w:name w:val="2. Sections"/>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C822DC"/>
    <w:pPr>
      <w:numPr>
        <w:ilvl w:val="1"/>
        <w:numId w:val="1"/>
      </w:numPr>
      <w:jc w:val="both"/>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C822DC"/>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3Bodytext"/>
    <w:link w:val="TableFooterChar"/>
    <w:qFormat/>
    <w:rsid w:val="00B66999"/>
    <w:pPr>
      <w:numPr>
        <w:ilvl w:val="0"/>
        <w:numId w:val="15"/>
      </w:numPr>
      <w:spacing w:after="0"/>
    </w:pPr>
    <w:rPr>
      <w:rFonts w:ascii="Arial Narrow" w:hAnsi="Arial Narrow"/>
      <w:sz w:val="18"/>
    </w:rPr>
  </w:style>
  <w:style w:type="character" w:customStyle="1" w:styleId="TableFooterChar">
    <w:name w:val="Table Footer Char"/>
    <w:link w:val="TableFooter"/>
    <w:rsid w:val="00B66999"/>
    <w:rPr>
      <w:rFonts w:ascii="Arial Narrow" w:eastAsiaTheme="minorHAnsi" w:hAnsi="Arial Narrow" w:cstheme="minorBidi"/>
      <w:sz w:val="18"/>
      <w:szCs w:val="22"/>
    </w:rPr>
  </w:style>
  <w:style w:type="character" w:customStyle="1" w:styleId="TabletextChar">
    <w:name w:val="Table text Char"/>
    <w:link w:val="Tabletext"/>
    <w:uiPriority w:val="99"/>
    <w:rsid w:val="001014F2"/>
    <w:rPr>
      <w:rFonts w:ascii="Arial Narrow" w:hAnsi="Arial Narrow"/>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721611"/>
    <w:pPr>
      <w:spacing w:after="60"/>
    </w:pPr>
    <w:rPr>
      <w:rFonts w:ascii="Arial Narrow" w:hAnsi="Arial Narrow"/>
      <w:b/>
      <w:iCs/>
      <w:color w:val="000000" w:themeColor="text1"/>
      <w:sz w:val="20"/>
      <w:szCs w:val="18"/>
    </w:rPr>
  </w:style>
  <w:style w:type="paragraph" w:customStyle="1" w:styleId="ProcedureStep">
    <w:name w:val="ProcedureStep"/>
    <w:basedOn w:val="Normal"/>
    <w:rsid w:val="00BF27A0"/>
    <w:pPr>
      <w:numPr>
        <w:numId w:val="5"/>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2"/>
      </w:numPr>
      <w:tabs>
        <w:tab w:val="clear" w:pos="360"/>
      </w:tabs>
      <w:spacing w:after="120"/>
      <w:ind w:left="720" w:hanging="7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6"/>
      </w:numPr>
      <w:contextualSpacing/>
    </w:pPr>
  </w:style>
  <w:style w:type="paragraph" w:styleId="FootnoteText">
    <w:name w:val="footnote text"/>
    <w:basedOn w:val="Normal"/>
    <w:link w:val="FootnoteTextChar"/>
    <w:semiHidden/>
    <w:unhideWhenUsed/>
    <w:rsid w:val="004341AC"/>
    <w:rPr>
      <w:sz w:val="20"/>
      <w:szCs w:val="20"/>
    </w:rPr>
  </w:style>
  <w:style w:type="character" w:customStyle="1" w:styleId="FootnoteTextChar">
    <w:name w:val="Footnote Text Char"/>
    <w:basedOn w:val="DefaultParagraphFont"/>
    <w:link w:val="FootnoteText"/>
    <w:semiHidden/>
    <w:rsid w:val="004341AC"/>
    <w:rPr>
      <w:rFonts w:ascii="Calibri" w:hAnsi="Calibri"/>
    </w:rPr>
  </w:style>
  <w:style w:type="character" w:styleId="FootnoteReference">
    <w:name w:val="footnote reference"/>
    <w:basedOn w:val="DefaultParagraphFont"/>
    <w:semiHidden/>
    <w:unhideWhenUsed/>
    <w:rsid w:val="004341AC"/>
    <w:rPr>
      <w:vertAlign w:val="superscript"/>
    </w:rPr>
  </w:style>
  <w:style w:type="paragraph" w:customStyle="1" w:styleId="TableFigureCaption">
    <w:name w:val="Table/Figure Caption"/>
    <w:next w:val="Normal"/>
    <w:link w:val="TableFigureCaptionChar"/>
    <w:qFormat/>
    <w:rsid w:val="0063699F"/>
    <w:pPr>
      <w:keepNext/>
    </w:pPr>
    <w:rPr>
      <w:rFonts w:ascii="Arial Narrow" w:eastAsiaTheme="majorEastAsia" w:hAnsi="Arial Narrow" w:cstheme="majorBidi"/>
      <w:b/>
      <w:bCs/>
      <w:szCs w:val="24"/>
    </w:rPr>
  </w:style>
  <w:style w:type="character" w:customStyle="1" w:styleId="TableFigureCaptionChar">
    <w:name w:val="Table/Figure Caption Char"/>
    <w:basedOn w:val="DefaultParagraphFont"/>
    <w:link w:val="TableFigureCaption"/>
    <w:rsid w:val="0063699F"/>
    <w:rPr>
      <w:rFonts w:ascii="Arial Narrow" w:eastAsiaTheme="majorEastAsia" w:hAnsi="Arial Narrow" w:cstheme="majorBidi"/>
      <w:b/>
      <w:bCs/>
      <w:szCs w:val="24"/>
    </w:rPr>
  </w:style>
  <w:style w:type="paragraph" w:customStyle="1" w:styleId="PBACTableText">
    <w:name w:val="PBAC Table Text"/>
    <w:basedOn w:val="Normal"/>
    <w:link w:val="PBACTableTextChar"/>
    <w:qFormat/>
    <w:rsid w:val="0063699F"/>
    <w:pPr>
      <w:spacing w:before="40" w:after="40"/>
    </w:pPr>
    <w:rPr>
      <w:rFonts w:ascii="Arial Narrow" w:hAnsi="Arial Narrow"/>
      <w:sz w:val="20"/>
      <w:szCs w:val="20"/>
      <w:lang w:eastAsia="en-US"/>
    </w:rPr>
  </w:style>
  <w:style w:type="character" w:customStyle="1" w:styleId="PBACTableTextChar">
    <w:name w:val="PBAC Table Text Char"/>
    <w:basedOn w:val="DefaultParagraphFont"/>
    <w:link w:val="PBACTableText"/>
    <w:rsid w:val="0063699F"/>
    <w:rPr>
      <w:rFonts w:ascii="Arial Narrow" w:hAnsi="Arial Narrow"/>
      <w:lang w:eastAsia="en-US"/>
    </w:rPr>
  </w:style>
  <w:style w:type="table" w:customStyle="1" w:styleId="MSDTableGrid1">
    <w:name w:val="MSD Table Grid1"/>
    <w:basedOn w:val="TableNormal"/>
    <w:next w:val="TableGrid"/>
    <w:uiPriority w:val="59"/>
    <w:rsid w:val="0063699F"/>
    <w:rPr>
      <w:rFonts w:ascii="Arial Narrow" w:eastAsia="Calibri" w:hAnsi="Arial Narrow" w:cs="Arial"/>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Segoe UI" w:hAnsi="Segoe UI"/>
        <w:b/>
        <w:sz w:val="20"/>
      </w:rPr>
      <w:tblPr/>
      <w:tcPr>
        <w:vAlign w:val="center"/>
      </w:tcPr>
    </w:tblStylePr>
    <w:tblStylePr w:type="firstCol">
      <w:pPr>
        <w:wordWrap/>
        <w:spacing w:beforeLines="0" w:before="0" w:beforeAutospacing="0" w:afterLines="0" w:after="0" w:afterAutospacing="0"/>
        <w:ind w:leftChars="0" w:left="0" w:rightChars="0" w:right="0"/>
        <w:jc w:val="left"/>
      </w:pPr>
      <w:rPr>
        <w:rFonts w:ascii="Segoe UI" w:hAnsi="Segoe UI"/>
        <w:b w:val="0"/>
        <w:sz w:val="20"/>
      </w:rPr>
      <w:tblPr/>
      <w:tcPr>
        <w:vAlign w:val="center"/>
      </w:tcPr>
    </w:tblStylePr>
  </w:style>
  <w:style w:type="paragraph" w:styleId="TOC7">
    <w:name w:val="toc 7"/>
    <w:basedOn w:val="Normal"/>
    <w:next w:val="Normal"/>
    <w:autoRedefine/>
    <w:uiPriority w:val="39"/>
    <w:unhideWhenUsed/>
    <w:rsid w:val="00515BD1"/>
    <w:pPr>
      <w:spacing w:after="100" w:line="259" w:lineRule="auto"/>
      <w:ind w:left="1320"/>
      <w:jc w:val="left"/>
    </w:pPr>
    <w:rPr>
      <w:rFonts w:asciiTheme="minorHAnsi" w:eastAsiaTheme="minorEastAsia" w:hAnsiTheme="minorHAnsi" w:cstheme="minorBidi"/>
      <w:sz w:val="22"/>
      <w:szCs w:val="22"/>
    </w:rPr>
  </w:style>
  <w:style w:type="paragraph" w:styleId="Revision">
    <w:name w:val="Revision"/>
    <w:hidden/>
    <w:uiPriority w:val="71"/>
    <w:semiHidden/>
    <w:rsid w:val="00BA4AEA"/>
    <w:rPr>
      <w:rFonts w:ascii="Calibri" w:hAnsi="Calibri"/>
      <w:sz w:val="24"/>
      <w:szCs w:val="24"/>
    </w:rPr>
  </w:style>
  <w:style w:type="paragraph" w:customStyle="1" w:styleId="heading3strike">
    <w:name w:val="heading 3 strike"/>
    <w:basedOn w:val="Heading3"/>
    <w:rsid w:val="00191F9C"/>
    <w:pPr>
      <w:keepLines w:val="0"/>
      <w:spacing w:before="240" w:after="60" w:line="276" w:lineRule="auto"/>
      <w:jc w:val="left"/>
    </w:pPr>
    <w:rPr>
      <w:rFonts w:ascii="Arial" w:eastAsia="Arial" w:hAnsi="Arial" w:cs="Times New Roman"/>
      <w:strike/>
      <w:color w:val="auto"/>
      <w:sz w:val="26"/>
      <w:szCs w:val="2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413014795">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61310235">
      <w:bodyDiv w:val="1"/>
      <w:marLeft w:val="0"/>
      <w:marRight w:val="0"/>
      <w:marTop w:val="0"/>
      <w:marBottom w:val="0"/>
      <w:divBdr>
        <w:top w:val="none" w:sz="0" w:space="0" w:color="auto"/>
        <w:left w:val="none" w:sz="0" w:space="0" w:color="auto"/>
        <w:bottom w:val="none" w:sz="0" w:space="0" w:color="auto"/>
        <w:right w:val="none" w:sz="0" w:space="0" w:color="auto"/>
      </w:divBdr>
    </w:div>
    <w:div w:id="464005738">
      <w:bodyDiv w:val="1"/>
      <w:marLeft w:val="0"/>
      <w:marRight w:val="0"/>
      <w:marTop w:val="0"/>
      <w:marBottom w:val="0"/>
      <w:divBdr>
        <w:top w:val="none" w:sz="0" w:space="0" w:color="auto"/>
        <w:left w:val="none" w:sz="0" w:space="0" w:color="auto"/>
        <w:bottom w:val="none" w:sz="0" w:space="0" w:color="auto"/>
        <w:right w:val="none" w:sz="0" w:space="0" w:color="auto"/>
      </w:divBdr>
    </w:div>
    <w:div w:id="490871849">
      <w:bodyDiv w:val="1"/>
      <w:marLeft w:val="0"/>
      <w:marRight w:val="0"/>
      <w:marTop w:val="0"/>
      <w:marBottom w:val="0"/>
      <w:divBdr>
        <w:top w:val="none" w:sz="0" w:space="0" w:color="auto"/>
        <w:left w:val="none" w:sz="0" w:space="0" w:color="auto"/>
        <w:bottom w:val="none" w:sz="0" w:space="0" w:color="auto"/>
        <w:right w:val="none" w:sz="0" w:space="0" w:color="auto"/>
      </w:divBdr>
    </w:div>
    <w:div w:id="519393803">
      <w:bodyDiv w:val="1"/>
      <w:marLeft w:val="0"/>
      <w:marRight w:val="0"/>
      <w:marTop w:val="0"/>
      <w:marBottom w:val="0"/>
      <w:divBdr>
        <w:top w:val="none" w:sz="0" w:space="0" w:color="auto"/>
        <w:left w:val="none" w:sz="0" w:space="0" w:color="auto"/>
        <w:bottom w:val="none" w:sz="0" w:space="0" w:color="auto"/>
        <w:right w:val="none" w:sz="0" w:space="0" w:color="auto"/>
      </w:divBdr>
    </w:div>
    <w:div w:id="529152543">
      <w:bodyDiv w:val="1"/>
      <w:marLeft w:val="0"/>
      <w:marRight w:val="0"/>
      <w:marTop w:val="0"/>
      <w:marBottom w:val="0"/>
      <w:divBdr>
        <w:top w:val="none" w:sz="0" w:space="0" w:color="auto"/>
        <w:left w:val="none" w:sz="0" w:space="0" w:color="auto"/>
        <w:bottom w:val="none" w:sz="0" w:space="0" w:color="auto"/>
        <w:right w:val="none" w:sz="0" w:space="0" w:color="auto"/>
      </w:divBdr>
    </w:div>
    <w:div w:id="586692585">
      <w:bodyDiv w:val="1"/>
      <w:marLeft w:val="0"/>
      <w:marRight w:val="0"/>
      <w:marTop w:val="0"/>
      <w:marBottom w:val="0"/>
      <w:divBdr>
        <w:top w:val="none" w:sz="0" w:space="0" w:color="auto"/>
        <w:left w:val="none" w:sz="0" w:space="0" w:color="auto"/>
        <w:bottom w:val="none" w:sz="0" w:space="0" w:color="auto"/>
        <w:right w:val="none" w:sz="0" w:space="0" w:color="auto"/>
      </w:divBdr>
    </w:div>
    <w:div w:id="597444541">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40850622">
      <w:bodyDiv w:val="1"/>
      <w:marLeft w:val="0"/>
      <w:marRight w:val="0"/>
      <w:marTop w:val="0"/>
      <w:marBottom w:val="0"/>
      <w:divBdr>
        <w:top w:val="none" w:sz="0" w:space="0" w:color="auto"/>
        <w:left w:val="none" w:sz="0" w:space="0" w:color="auto"/>
        <w:bottom w:val="none" w:sz="0" w:space="0" w:color="auto"/>
        <w:right w:val="none" w:sz="0" w:space="0" w:color="auto"/>
      </w:divBdr>
    </w:div>
    <w:div w:id="1039815741">
      <w:bodyDiv w:val="1"/>
      <w:marLeft w:val="0"/>
      <w:marRight w:val="0"/>
      <w:marTop w:val="0"/>
      <w:marBottom w:val="0"/>
      <w:divBdr>
        <w:top w:val="none" w:sz="0" w:space="0" w:color="auto"/>
        <w:left w:val="none" w:sz="0" w:space="0" w:color="auto"/>
        <w:bottom w:val="none" w:sz="0" w:space="0" w:color="auto"/>
        <w:right w:val="none" w:sz="0" w:space="0" w:color="auto"/>
      </w:divBdr>
    </w:div>
    <w:div w:id="1073551210">
      <w:bodyDiv w:val="1"/>
      <w:marLeft w:val="0"/>
      <w:marRight w:val="0"/>
      <w:marTop w:val="0"/>
      <w:marBottom w:val="0"/>
      <w:divBdr>
        <w:top w:val="none" w:sz="0" w:space="0" w:color="auto"/>
        <w:left w:val="none" w:sz="0" w:space="0" w:color="auto"/>
        <w:bottom w:val="none" w:sz="0" w:space="0" w:color="auto"/>
        <w:right w:val="none" w:sz="0" w:space="0" w:color="auto"/>
      </w:divBdr>
    </w:div>
    <w:div w:id="1174802991">
      <w:bodyDiv w:val="1"/>
      <w:marLeft w:val="0"/>
      <w:marRight w:val="0"/>
      <w:marTop w:val="0"/>
      <w:marBottom w:val="0"/>
      <w:divBdr>
        <w:top w:val="none" w:sz="0" w:space="0" w:color="auto"/>
        <w:left w:val="none" w:sz="0" w:space="0" w:color="auto"/>
        <w:bottom w:val="none" w:sz="0" w:space="0" w:color="auto"/>
        <w:right w:val="none" w:sz="0" w:space="0" w:color="auto"/>
      </w:divBdr>
    </w:div>
    <w:div w:id="1275404683">
      <w:bodyDiv w:val="1"/>
      <w:marLeft w:val="0"/>
      <w:marRight w:val="0"/>
      <w:marTop w:val="0"/>
      <w:marBottom w:val="0"/>
      <w:divBdr>
        <w:top w:val="none" w:sz="0" w:space="0" w:color="auto"/>
        <w:left w:val="none" w:sz="0" w:space="0" w:color="auto"/>
        <w:bottom w:val="none" w:sz="0" w:space="0" w:color="auto"/>
        <w:right w:val="none" w:sz="0" w:space="0" w:color="auto"/>
      </w:divBdr>
    </w:div>
    <w:div w:id="1286229751">
      <w:bodyDiv w:val="1"/>
      <w:marLeft w:val="0"/>
      <w:marRight w:val="0"/>
      <w:marTop w:val="0"/>
      <w:marBottom w:val="0"/>
      <w:divBdr>
        <w:top w:val="none" w:sz="0" w:space="0" w:color="auto"/>
        <w:left w:val="none" w:sz="0" w:space="0" w:color="auto"/>
        <w:bottom w:val="none" w:sz="0" w:space="0" w:color="auto"/>
        <w:right w:val="none" w:sz="0" w:space="0" w:color="auto"/>
      </w:divBdr>
    </w:div>
    <w:div w:id="1351178737">
      <w:bodyDiv w:val="1"/>
      <w:marLeft w:val="0"/>
      <w:marRight w:val="0"/>
      <w:marTop w:val="0"/>
      <w:marBottom w:val="0"/>
      <w:divBdr>
        <w:top w:val="none" w:sz="0" w:space="0" w:color="auto"/>
        <w:left w:val="none" w:sz="0" w:space="0" w:color="auto"/>
        <w:bottom w:val="none" w:sz="0" w:space="0" w:color="auto"/>
        <w:right w:val="none" w:sz="0" w:space="0" w:color="auto"/>
      </w:divBdr>
    </w:div>
    <w:div w:id="1374118071">
      <w:bodyDiv w:val="1"/>
      <w:marLeft w:val="0"/>
      <w:marRight w:val="0"/>
      <w:marTop w:val="0"/>
      <w:marBottom w:val="0"/>
      <w:divBdr>
        <w:top w:val="none" w:sz="0" w:space="0" w:color="auto"/>
        <w:left w:val="none" w:sz="0" w:space="0" w:color="auto"/>
        <w:bottom w:val="none" w:sz="0" w:space="0" w:color="auto"/>
        <w:right w:val="none" w:sz="0" w:space="0" w:color="auto"/>
      </w:divBdr>
    </w:div>
    <w:div w:id="1479766850">
      <w:bodyDiv w:val="1"/>
      <w:marLeft w:val="0"/>
      <w:marRight w:val="0"/>
      <w:marTop w:val="0"/>
      <w:marBottom w:val="0"/>
      <w:divBdr>
        <w:top w:val="none" w:sz="0" w:space="0" w:color="auto"/>
        <w:left w:val="none" w:sz="0" w:space="0" w:color="auto"/>
        <w:bottom w:val="none" w:sz="0" w:space="0" w:color="auto"/>
        <w:right w:val="none" w:sz="0" w:space="0" w:color="auto"/>
      </w:divBdr>
    </w:div>
    <w:div w:id="1488010916">
      <w:bodyDiv w:val="1"/>
      <w:marLeft w:val="0"/>
      <w:marRight w:val="0"/>
      <w:marTop w:val="0"/>
      <w:marBottom w:val="0"/>
      <w:divBdr>
        <w:top w:val="none" w:sz="0" w:space="0" w:color="auto"/>
        <w:left w:val="none" w:sz="0" w:space="0" w:color="auto"/>
        <w:bottom w:val="none" w:sz="0" w:space="0" w:color="auto"/>
        <w:right w:val="none" w:sz="0" w:space="0" w:color="auto"/>
      </w:divBdr>
    </w:div>
    <w:div w:id="1524783044">
      <w:bodyDiv w:val="1"/>
      <w:marLeft w:val="0"/>
      <w:marRight w:val="0"/>
      <w:marTop w:val="0"/>
      <w:marBottom w:val="0"/>
      <w:divBdr>
        <w:top w:val="none" w:sz="0" w:space="0" w:color="auto"/>
        <w:left w:val="none" w:sz="0" w:space="0" w:color="auto"/>
        <w:bottom w:val="none" w:sz="0" w:space="0" w:color="auto"/>
        <w:right w:val="none" w:sz="0" w:space="0" w:color="auto"/>
      </w:divBdr>
    </w:div>
    <w:div w:id="1608076349">
      <w:bodyDiv w:val="1"/>
      <w:marLeft w:val="0"/>
      <w:marRight w:val="0"/>
      <w:marTop w:val="0"/>
      <w:marBottom w:val="0"/>
      <w:divBdr>
        <w:top w:val="none" w:sz="0" w:space="0" w:color="auto"/>
        <w:left w:val="none" w:sz="0" w:space="0" w:color="auto"/>
        <w:bottom w:val="none" w:sz="0" w:space="0" w:color="auto"/>
        <w:right w:val="none" w:sz="0" w:space="0" w:color="auto"/>
      </w:divBdr>
    </w:div>
    <w:div w:id="1653291910">
      <w:bodyDiv w:val="1"/>
      <w:marLeft w:val="0"/>
      <w:marRight w:val="0"/>
      <w:marTop w:val="0"/>
      <w:marBottom w:val="0"/>
      <w:divBdr>
        <w:top w:val="none" w:sz="0" w:space="0" w:color="auto"/>
        <w:left w:val="none" w:sz="0" w:space="0" w:color="auto"/>
        <w:bottom w:val="none" w:sz="0" w:space="0" w:color="auto"/>
        <w:right w:val="none" w:sz="0" w:space="0" w:color="auto"/>
      </w:divBdr>
    </w:div>
    <w:div w:id="1694460076">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58541828">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2020741592">
      <w:bodyDiv w:val="1"/>
      <w:marLeft w:val="0"/>
      <w:marRight w:val="0"/>
      <w:marTop w:val="0"/>
      <w:marBottom w:val="0"/>
      <w:divBdr>
        <w:top w:val="none" w:sz="0" w:space="0" w:color="auto"/>
        <w:left w:val="none" w:sz="0" w:space="0" w:color="auto"/>
        <w:bottom w:val="none" w:sz="0" w:space="0" w:color="auto"/>
        <w:right w:val="none" w:sz="0" w:space="0" w:color="auto"/>
      </w:divBdr>
    </w:div>
    <w:div w:id="2086415082">
      <w:bodyDiv w:val="1"/>
      <w:marLeft w:val="0"/>
      <w:marRight w:val="0"/>
      <w:marTop w:val="0"/>
      <w:marBottom w:val="0"/>
      <w:divBdr>
        <w:top w:val="none" w:sz="0" w:space="0" w:color="auto"/>
        <w:left w:val="none" w:sz="0" w:space="0" w:color="auto"/>
        <w:bottom w:val="none" w:sz="0" w:space="0" w:color="auto"/>
        <w:right w:val="none" w:sz="0" w:space="0" w:color="auto"/>
      </w:divBdr>
    </w:div>
    <w:div w:id="2118863264">
      <w:bodyDiv w:val="1"/>
      <w:marLeft w:val="0"/>
      <w:marRight w:val="0"/>
      <w:marTop w:val="0"/>
      <w:marBottom w:val="0"/>
      <w:divBdr>
        <w:top w:val="none" w:sz="0" w:space="0" w:color="auto"/>
        <w:left w:val="none" w:sz="0" w:space="0" w:color="auto"/>
        <w:bottom w:val="none" w:sz="0" w:space="0" w:color="auto"/>
        <w:right w:val="none" w:sz="0" w:space="0" w:color="auto"/>
      </w:divBdr>
    </w:div>
    <w:div w:id="2138990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A2A562-D94A-41EE-8EBE-1EC460EB7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6688</Words>
  <Characters>37783</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2021-03-03T05:57:00Z</dcterms:created>
  <dcterms:modified xsi:type="dcterms:W3CDTF">2021-03-16T00:05:00Z</dcterms:modified>
</cp:coreProperties>
</file>