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7EA" w:rsidRPr="004843E9" w:rsidRDefault="008857EA" w:rsidP="008857EA">
      <w:pPr>
        <w:pStyle w:val="1-MainHeading"/>
      </w:pPr>
      <w:r w:rsidRPr="004843E9">
        <w:rPr>
          <w:rFonts w:eastAsia="Calibri"/>
          <w:lang w:eastAsia="en-US"/>
        </w:rPr>
        <w:t>7</w:t>
      </w:r>
      <w:r w:rsidR="00BF27A0" w:rsidRPr="004843E9">
        <w:rPr>
          <w:rFonts w:eastAsia="Calibri"/>
          <w:lang w:eastAsia="en-US"/>
        </w:rPr>
        <w:t>.</w:t>
      </w:r>
      <w:r w:rsidRPr="004843E9">
        <w:rPr>
          <w:rFonts w:eastAsia="Calibri"/>
          <w:lang w:eastAsia="en-US"/>
        </w:rPr>
        <w:t>11</w:t>
      </w:r>
      <w:r w:rsidR="00BF27A0" w:rsidRPr="004843E9">
        <w:rPr>
          <w:rFonts w:eastAsia="Calibri"/>
          <w:lang w:eastAsia="en-US"/>
        </w:rPr>
        <w:tab/>
      </w:r>
      <w:r w:rsidRPr="004843E9">
        <w:t xml:space="preserve">FLUOCINOLONE ACETONIDE, </w:t>
      </w:r>
      <w:r w:rsidRPr="004843E9">
        <w:br/>
      </w:r>
      <w:proofErr w:type="spellStart"/>
      <w:r w:rsidRPr="004843E9">
        <w:t>Intravitreal</w:t>
      </w:r>
      <w:proofErr w:type="spellEnd"/>
      <w:r w:rsidRPr="004843E9">
        <w:t xml:space="preserve"> injection 190 micrograms</w:t>
      </w:r>
      <w:proofErr w:type="gramStart"/>
      <w:r w:rsidRPr="004843E9">
        <w:t>,</w:t>
      </w:r>
      <w:proofErr w:type="gramEnd"/>
      <w:r w:rsidRPr="004843E9">
        <w:br/>
      </w:r>
      <w:proofErr w:type="spellStart"/>
      <w:r w:rsidRPr="004843E9">
        <w:t>Iluvien</w:t>
      </w:r>
      <w:proofErr w:type="spellEnd"/>
      <w:r w:rsidRPr="004843E9">
        <w:rPr>
          <w:vertAlign w:val="superscript"/>
        </w:rPr>
        <w:t>®</w:t>
      </w:r>
      <w:r w:rsidRPr="004843E9">
        <w:t>,</w:t>
      </w:r>
      <w:r w:rsidRPr="004843E9">
        <w:br/>
        <w:t xml:space="preserve">Specialised Therapeutics </w:t>
      </w:r>
      <w:proofErr w:type="spellStart"/>
      <w:r w:rsidRPr="004843E9">
        <w:t>Alim</w:t>
      </w:r>
      <w:proofErr w:type="spellEnd"/>
      <w:r w:rsidRPr="004843E9">
        <w:t xml:space="preserve"> Pty Ltd. </w:t>
      </w:r>
    </w:p>
    <w:p w:rsidR="008A50F1" w:rsidRPr="004843E9" w:rsidRDefault="00CE10C4" w:rsidP="001D5429">
      <w:pPr>
        <w:pStyle w:val="2-SectionHeading"/>
      </w:pPr>
      <w:r w:rsidRPr="004843E9">
        <w:t xml:space="preserve">Purpose of </w:t>
      </w:r>
      <w:r w:rsidR="0004240E" w:rsidRPr="004843E9">
        <w:t>Application</w:t>
      </w:r>
      <w:r w:rsidR="00034905" w:rsidRPr="004843E9">
        <w:t xml:space="preserve"> </w:t>
      </w:r>
    </w:p>
    <w:p w:rsidR="00DE455A" w:rsidRPr="004843E9" w:rsidRDefault="000B5B57" w:rsidP="00A25AA4">
      <w:pPr>
        <w:pStyle w:val="3Bodytext"/>
        <w:jc w:val="both"/>
      </w:pPr>
      <w:r w:rsidRPr="004843E9">
        <w:t xml:space="preserve">At the March 2020 </w:t>
      </w:r>
      <w:r w:rsidR="005626F6" w:rsidRPr="004843E9">
        <w:t>meeting,</w:t>
      </w:r>
      <w:r w:rsidRPr="004843E9">
        <w:t xml:space="preserve"> the PBAC recommended</w:t>
      </w:r>
      <w:r w:rsidR="00DE455A" w:rsidRPr="004843E9">
        <w:t xml:space="preserve"> an Authority Required listing for </w:t>
      </w:r>
      <w:proofErr w:type="spellStart"/>
      <w:r w:rsidR="00DE455A" w:rsidRPr="004843E9">
        <w:t>fluocinolone</w:t>
      </w:r>
      <w:proofErr w:type="spellEnd"/>
      <w:r w:rsidR="00DE455A" w:rsidRPr="004843E9">
        <w:t xml:space="preserve"> </w:t>
      </w:r>
      <w:proofErr w:type="spellStart"/>
      <w:r w:rsidR="00DE455A" w:rsidRPr="004843E9">
        <w:t>acetonide</w:t>
      </w:r>
      <w:proofErr w:type="spellEnd"/>
      <w:r w:rsidR="00DE455A" w:rsidRPr="004843E9">
        <w:t xml:space="preserve"> (FA) for the treatment of diabetic macular oedema (DMO</w:t>
      </w:r>
      <w:r w:rsidR="00A60AF2">
        <w:t>)</w:t>
      </w:r>
      <w:r w:rsidR="00DE455A" w:rsidRPr="004843E9">
        <w:t xml:space="preserve"> who are unsuitable for, contraindicated to, or have failed treatment with vascular endothelial growth factor (VEGF) inhibitors. </w:t>
      </w:r>
      <w:r w:rsidRPr="004843E9">
        <w:t xml:space="preserve">The recommendation </w:t>
      </w:r>
      <w:r w:rsidR="003264F5" w:rsidRPr="004843E9">
        <w:t xml:space="preserve">was on the basis of a cost-minimisation analysis (CMA) versus dexamethasone (DEX) </w:t>
      </w:r>
      <w:proofErr w:type="spellStart"/>
      <w:r w:rsidR="003264F5" w:rsidRPr="004843E9">
        <w:t>intravitreal</w:t>
      </w:r>
      <w:proofErr w:type="spellEnd"/>
      <w:r w:rsidR="003264F5" w:rsidRPr="004843E9">
        <w:t xml:space="preserve"> implant, using clinical evidence from an indirect comparison.</w:t>
      </w:r>
    </w:p>
    <w:p w:rsidR="00D31E5D" w:rsidRPr="004843E9" w:rsidRDefault="00EF44A0" w:rsidP="00A25AA4">
      <w:pPr>
        <w:pStyle w:val="3Bodytext"/>
        <w:jc w:val="both"/>
      </w:pPr>
      <w:r w:rsidRPr="004843E9">
        <w:t>The mi</w:t>
      </w:r>
      <w:r w:rsidR="00FF2801" w:rsidRPr="004843E9">
        <w:t xml:space="preserve">nor </w:t>
      </w:r>
      <w:r w:rsidR="008857EA" w:rsidRPr="004843E9">
        <w:t>r</w:t>
      </w:r>
      <w:r w:rsidR="00CC4B99" w:rsidRPr="004843E9">
        <w:t xml:space="preserve">esubmission </w:t>
      </w:r>
      <w:r w:rsidR="008857EA" w:rsidRPr="004843E9">
        <w:t>request</w:t>
      </w:r>
      <w:r w:rsidR="00CC4B99" w:rsidRPr="004843E9">
        <w:t>ed</w:t>
      </w:r>
      <w:r w:rsidR="008857EA" w:rsidRPr="004843E9">
        <w:t xml:space="preserve"> an amendment to the PBAC’s previously</w:t>
      </w:r>
      <w:r w:rsidR="003264F5" w:rsidRPr="004843E9">
        <w:t xml:space="preserve"> </w:t>
      </w:r>
      <w:r w:rsidR="008857EA" w:rsidRPr="004843E9">
        <w:t xml:space="preserve">recommended equi-effective doses </w:t>
      </w:r>
      <w:r w:rsidR="006958BB" w:rsidRPr="004843E9">
        <w:t xml:space="preserve">of 1.3 </w:t>
      </w:r>
      <w:r w:rsidR="00507DAC" w:rsidRPr="004843E9">
        <w:t xml:space="preserve">administrations of FA </w:t>
      </w:r>
      <w:r w:rsidR="006958BB" w:rsidRPr="004843E9">
        <w:t xml:space="preserve">versus 4.1 </w:t>
      </w:r>
      <w:r w:rsidR="00507DAC" w:rsidRPr="004843E9">
        <w:t xml:space="preserve">administrations of </w:t>
      </w:r>
      <w:r w:rsidR="00DC5F7C" w:rsidRPr="004843E9">
        <w:t xml:space="preserve">DEX over 36 </w:t>
      </w:r>
      <w:r w:rsidR="00DC5F7C" w:rsidRPr="0050774C">
        <w:t>months</w:t>
      </w:r>
      <w:r w:rsidR="003264F5" w:rsidRPr="0050774C">
        <w:t xml:space="preserve"> (</w:t>
      </w:r>
      <w:r w:rsidR="0050774C" w:rsidRPr="0050774C">
        <w:t>paragraph 7.2</w:t>
      </w:r>
      <w:r w:rsidR="002F0A66" w:rsidRPr="0050774C">
        <w:t xml:space="preserve">, FA </w:t>
      </w:r>
      <w:r w:rsidR="0050774C" w:rsidRPr="0050774C">
        <w:t>Public</w:t>
      </w:r>
      <w:r w:rsidR="0050774C">
        <w:t xml:space="preserve"> Summary Document [</w:t>
      </w:r>
      <w:r w:rsidR="002F0A66">
        <w:t>PSD</w:t>
      </w:r>
      <w:r w:rsidR="0050774C">
        <w:t>]</w:t>
      </w:r>
      <w:r w:rsidR="002F0A66">
        <w:t xml:space="preserve">, </w:t>
      </w:r>
      <w:r w:rsidR="003264F5" w:rsidRPr="004843E9">
        <w:t>March 2020</w:t>
      </w:r>
      <w:r w:rsidR="002F0A66">
        <w:t>)</w:t>
      </w:r>
      <w:r w:rsidR="003264F5" w:rsidRPr="004843E9">
        <w:t>.</w:t>
      </w:r>
      <w:r w:rsidR="00DC5F7C" w:rsidRPr="004843E9">
        <w:t xml:space="preserve"> </w:t>
      </w:r>
      <w:r w:rsidR="00F77729" w:rsidRPr="004843E9">
        <w:t xml:space="preserve">Unchanged from the </w:t>
      </w:r>
      <w:r w:rsidR="00344283" w:rsidRPr="004843E9">
        <w:t xml:space="preserve">March 2020 </w:t>
      </w:r>
      <w:r w:rsidR="00F77729" w:rsidRPr="004843E9">
        <w:t>submission, t</w:t>
      </w:r>
      <w:r w:rsidR="00DC5F7C" w:rsidRPr="004843E9">
        <w:t xml:space="preserve">he </w:t>
      </w:r>
      <w:r w:rsidR="003264F5" w:rsidRPr="004843E9">
        <w:t>S</w:t>
      </w:r>
      <w:r w:rsidR="00DC5F7C" w:rsidRPr="004843E9">
        <w:t xml:space="preserve">ponsor </w:t>
      </w:r>
      <w:r w:rsidR="00F77729" w:rsidRPr="004843E9">
        <w:t>proposed</w:t>
      </w:r>
      <w:r w:rsidR="008F5CB2" w:rsidRPr="004843E9">
        <w:t xml:space="preserve"> in the </w:t>
      </w:r>
      <w:r w:rsidR="00DE455A" w:rsidRPr="004843E9">
        <w:t>re</w:t>
      </w:r>
      <w:r w:rsidR="008F5CB2" w:rsidRPr="004843E9">
        <w:t>s</w:t>
      </w:r>
      <w:r w:rsidR="00DC5F7C" w:rsidRPr="004843E9">
        <w:t xml:space="preserve">ubmission that the equi-effective dose should be 1 </w:t>
      </w:r>
      <w:r w:rsidR="00507DAC" w:rsidRPr="004843E9">
        <w:t xml:space="preserve">administration of FA </w:t>
      </w:r>
      <w:r w:rsidR="006958BB" w:rsidRPr="004843E9">
        <w:t>versus 6.48</w:t>
      </w:r>
      <w:r w:rsidR="00507DAC" w:rsidRPr="004843E9">
        <w:t xml:space="preserve"> administrations of DEX</w:t>
      </w:r>
      <w:r w:rsidR="006958BB" w:rsidRPr="004843E9">
        <w:t xml:space="preserve"> over 36 months.</w:t>
      </w:r>
    </w:p>
    <w:p w:rsidR="00A01432" w:rsidRPr="004843E9" w:rsidRDefault="00A01432" w:rsidP="00A25AA4">
      <w:pPr>
        <w:pStyle w:val="2-SectionHeading"/>
        <w:jc w:val="both"/>
      </w:pPr>
      <w:r w:rsidRPr="004843E9">
        <w:t xml:space="preserve">Background </w:t>
      </w:r>
    </w:p>
    <w:p w:rsidR="00A01432" w:rsidRPr="004843E9" w:rsidRDefault="00A01432" w:rsidP="001D5429">
      <w:pPr>
        <w:pStyle w:val="4-SubsectionHeading"/>
      </w:pPr>
      <w:r w:rsidRPr="004843E9">
        <w:t>Registration status</w:t>
      </w:r>
    </w:p>
    <w:p w:rsidR="00CC4B99" w:rsidRPr="004843E9" w:rsidRDefault="00CC4B99" w:rsidP="00A25AA4">
      <w:pPr>
        <w:pStyle w:val="3-BodyText"/>
        <w:numPr>
          <w:ilvl w:val="1"/>
          <w:numId w:val="1"/>
        </w:numPr>
      </w:pPr>
      <w:r w:rsidRPr="004843E9">
        <w:t>FA</w:t>
      </w:r>
      <w:r w:rsidR="00A01432" w:rsidRPr="004843E9">
        <w:t xml:space="preserve"> was TGA registered on </w:t>
      </w:r>
      <w:r w:rsidRPr="004843E9">
        <w:t>29 July 2019 for the treatment of DMO in patients who have been previously treated with a course of corticosteroids (CS) and did not have a clinically significant rise in intraocular pressure (IOP).</w:t>
      </w:r>
    </w:p>
    <w:p w:rsidR="00A01432" w:rsidRPr="004843E9" w:rsidRDefault="00A01432" w:rsidP="001D5429">
      <w:pPr>
        <w:pStyle w:val="4-SubsectionHeading"/>
      </w:pPr>
      <w:r w:rsidRPr="004843E9">
        <w:t xml:space="preserve">Previous PBAC consideration </w:t>
      </w:r>
    </w:p>
    <w:p w:rsidR="009F4E5E" w:rsidRPr="004843E9" w:rsidRDefault="00E67CF6" w:rsidP="00A25AA4">
      <w:pPr>
        <w:pStyle w:val="3Bodytext"/>
        <w:jc w:val="both"/>
        <w:rPr>
          <w:i/>
        </w:rPr>
      </w:pPr>
      <w:r w:rsidRPr="004843E9">
        <w:t>At its March 2020 meeting, t</w:t>
      </w:r>
      <w:r w:rsidR="00C909F9" w:rsidRPr="004843E9">
        <w:t xml:space="preserve">he </w:t>
      </w:r>
      <w:r w:rsidR="00C909F9" w:rsidRPr="004843E9">
        <w:rPr>
          <w:bCs/>
        </w:rPr>
        <w:t xml:space="preserve">PBAC recommended the </w:t>
      </w:r>
      <w:r w:rsidR="00E12017" w:rsidRPr="004843E9">
        <w:rPr>
          <w:bCs/>
        </w:rPr>
        <w:t>A</w:t>
      </w:r>
      <w:r w:rsidR="00C909F9" w:rsidRPr="004843E9">
        <w:rPr>
          <w:bCs/>
        </w:rPr>
        <w:t xml:space="preserve">uthority </w:t>
      </w:r>
      <w:proofErr w:type="gramStart"/>
      <w:r w:rsidR="00E12017" w:rsidRPr="004843E9">
        <w:rPr>
          <w:bCs/>
        </w:rPr>
        <w:t>R</w:t>
      </w:r>
      <w:r w:rsidR="00C909F9" w:rsidRPr="004843E9">
        <w:rPr>
          <w:bCs/>
        </w:rPr>
        <w:t>equired</w:t>
      </w:r>
      <w:proofErr w:type="gramEnd"/>
      <w:r w:rsidR="00C909F9" w:rsidRPr="004843E9">
        <w:rPr>
          <w:bCs/>
        </w:rPr>
        <w:t xml:space="preserve"> listing of FA</w:t>
      </w:r>
      <w:r w:rsidR="00C909F9" w:rsidRPr="004843E9">
        <w:t xml:space="preserve"> for the treatment of DMO in patients who are unsuitable for, contraindicated to, or have failed treatment with VEGF inhibitors (</w:t>
      </w:r>
      <w:r w:rsidR="007A47FD" w:rsidRPr="004843E9">
        <w:t xml:space="preserve">paragraph 7.1, </w:t>
      </w:r>
      <w:r w:rsidR="00910AC5" w:rsidRPr="004843E9">
        <w:t>FA</w:t>
      </w:r>
      <w:r w:rsidR="00C909F9" w:rsidRPr="004843E9">
        <w:t xml:space="preserve"> PSD, March 2020)</w:t>
      </w:r>
      <w:r w:rsidR="00AA2E28" w:rsidRPr="004843E9">
        <w:t>.</w:t>
      </w:r>
    </w:p>
    <w:p w:rsidR="00C909F9" w:rsidRPr="004843E9" w:rsidRDefault="009F4E5E" w:rsidP="00A25AA4">
      <w:pPr>
        <w:pStyle w:val="3Bodytext"/>
        <w:jc w:val="both"/>
        <w:rPr>
          <w:i/>
        </w:rPr>
      </w:pPr>
      <w:r w:rsidRPr="004843E9">
        <w:t xml:space="preserve">The PBAC </w:t>
      </w:r>
      <w:r w:rsidR="00921841" w:rsidRPr="004843E9">
        <w:t>recommended</w:t>
      </w:r>
      <w:r w:rsidRPr="004843E9">
        <w:t xml:space="preserve"> the equi-effective doses should be 1.3 administrations of </w:t>
      </w:r>
      <w:r w:rsidR="00921841" w:rsidRPr="004843E9">
        <w:rPr>
          <w:rFonts w:cs="Calibri"/>
        </w:rPr>
        <w:t>FA</w:t>
      </w:r>
      <w:r w:rsidRPr="004843E9">
        <w:t xml:space="preserve"> and 4.11 administrations of </w:t>
      </w:r>
      <w:r w:rsidR="00921841" w:rsidRPr="004843E9">
        <w:t>DEX</w:t>
      </w:r>
      <w:r w:rsidRPr="004843E9">
        <w:t xml:space="preserve"> over 36 months based on the mean doses in the MEAD and FAME studies</w:t>
      </w:r>
      <w:r w:rsidR="00E12017" w:rsidRPr="004843E9">
        <w:t>,</w:t>
      </w:r>
      <w:r w:rsidR="00921841" w:rsidRPr="004843E9">
        <w:t xml:space="preserve"> given the clinical claim of non-inferiority between FA and DEX was based on</w:t>
      </w:r>
      <w:r w:rsidR="00E12017" w:rsidRPr="004843E9">
        <w:t xml:space="preserve"> an</w:t>
      </w:r>
      <w:r w:rsidR="00921841" w:rsidRPr="004843E9">
        <w:t xml:space="preserve"> indirect comparison using </w:t>
      </w:r>
      <w:r w:rsidR="006958BB" w:rsidRPr="004843E9">
        <w:t>the same</w:t>
      </w:r>
      <w:r w:rsidR="00921841" w:rsidRPr="004843E9">
        <w:t xml:space="preserve"> trials</w:t>
      </w:r>
      <w:r w:rsidR="00C909F9" w:rsidRPr="004843E9">
        <w:t xml:space="preserve"> </w:t>
      </w:r>
      <w:r w:rsidR="00E93E87" w:rsidRPr="004843E9">
        <w:t xml:space="preserve">(paragraph 7.2, </w:t>
      </w:r>
      <w:r w:rsidR="00910AC5" w:rsidRPr="004843E9">
        <w:t>FA</w:t>
      </w:r>
      <w:r w:rsidR="00E93E87" w:rsidRPr="004843E9">
        <w:t xml:space="preserve"> PSD, March 2020)</w:t>
      </w:r>
      <w:r w:rsidR="00E12017" w:rsidRPr="004843E9">
        <w:t>.</w:t>
      </w:r>
    </w:p>
    <w:p w:rsidR="00A01432" w:rsidRPr="004843E9" w:rsidRDefault="001738D2" w:rsidP="00A25AA4">
      <w:pPr>
        <w:pStyle w:val="3Bodytext"/>
        <w:jc w:val="both"/>
        <w:rPr>
          <w:lang w:eastAsia="en-US"/>
        </w:rPr>
      </w:pPr>
      <w:r w:rsidRPr="004843E9">
        <w:rPr>
          <w:rFonts w:cstheme="minorHAnsi"/>
          <w:szCs w:val="24"/>
        </w:rPr>
        <w:t>Table 1 provides a summary of the key issues identified by the PBAC at the March 2020 meeting and the manner in which the minor resubmission has addressed them.</w:t>
      </w:r>
    </w:p>
    <w:p w:rsidR="00A01432" w:rsidRPr="004843E9" w:rsidRDefault="00A01432" w:rsidP="00917D69">
      <w:pPr>
        <w:pStyle w:val="Tabletitles"/>
        <w:keepNext/>
      </w:pPr>
      <w:r w:rsidRPr="004843E9">
        <w:lastRenderedPageBreak/>
        <w:t>Table</w:t>
      </w:r>
      <w:r w:rsidR="002A1EF7" w:rsidRPr="004843E9">
        <w:t xml:space="preserve"> </w:t>
      </w:r>
      <w:r w:rsidR="001738D2" w:rsidRPr="004843E9">
        <w:rPr>
          <w:rFonts w:eastAsiaTheme="majorEastAsia"/>
        </w:rPr>
        <w:t>1</w:t>
      </w:r>
      <w:r w:rsidR="002A1EF7" w:rsidRPr="004843E9">
        <w:rPr>
          <w:rFonts w:eastAsiaTheme="majorEastAsia"/>
        </w:rPr>
        <w:t>:</w:t>
      </w:r>
      <w:r w:rsidRPr="004843E9">
        <w:t xml:space="preserve"> </w:t>
      </w:r>
      <w:r w:rsidR="001738D2" w:rsidRPr="004843E9">
        <w:t xml:space="preserve">Key issues identified by the </w:t>
      </w:r>
      <w:r w:rsidRPr="004843E9">
        <w:t xml:space="preserve">PBAC in </w:t>
      </w:r>
      <w:r w:rsidR="00C92E47" w:rsidRPr="004843E9">
        <w:t>March 2020</w:t>
      </w:r>
      <w:r w:rsidR="001738D2" w:rsidRPr="004843E9">
        <w:t xml:space="preserve"> and how they were addressed in the minor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0"/>
        <w:gridCol w:w="4626"/>
      </w:tblGrid>
      <w:tr w:rsidR="00A01432" w:rsidRPr="004843E9" w:rsidTr="00A630B9">
        <w:trPr>
          <w:trHeight w:val="240"/>
        </w:trPr>
        <w:tc>
          <w:tcPr>
            <w:tcW w:w="4390" w:type="dxa"/>
            <w:tcBorders>
              <w:top w:val="single" w:sz="4" w:space="0" w:color="auto"/>
              <w:left w:val="single" w:sz="4" w:space="0" w:color="auto"/>
              <w:bottom w:val="single" w:sz="4" w:space="0" w:color="auto"/>
              <w:right w:val="single" w:sz="4" w:space="0" w:color="auto"/>
            </w:tcBorders>
            <w:hideMark/>
          </w:tcPr>
          <w:p w:rsidR="00A01432" w:rsidRPr="004843E9" w:rsidRDefault="00A01432" w:rsidP="00917D69">
            <w:pPr>
              <w:pStyle w:val="TableText0"/>
              <w:rPr>
                <w:b/>
              </w:rPr>
            </w:pPr>
            <w:r w:rsidRPr="004843E9">
              <w:rPr>
                <w:b/>
              </w:rPr>
              <w:t>Matters of concern</w:t>
            </w:r>
            <w:r w:rsidR="000A4C1B" w:rsidRPr="004843E9">
              <w:rPr>
                <w:b/>
              </w:rPr>
              <w:t xml:space="preserve"> from March 2020</w:t>
            </w:r>
          </w:p>
        </w:tc>
        <w:tc>
          <w:tcPr>
            <w:tcW w:w="4626" w:type="dxa"/>
            <w:tcBorders>
              <w:top w:val="single" w:sz="4" w:space="0" w:color="auto"/>
              <w:left w:val="single" w:sz="4" w:space="0" w:color="auto"/>
              <w:bottom w:val="single" w:sz="4" w:space="0" w:color="auto"/>
              <w:right w:val="single" w:sz="4" w:space="0" w:color="auto"/>
            </w:tcBorders>
            <w:hideMark/>
          </w:tcPr>
          <w:p w:rsidR="00A01432" w:rsidRPr="004843E9" w:rsidRDefault="00A01432" w:rsidP="00917D69">
            <w:pPr>
              <w:pStyle w:val="TableText0"/>
              <w:rPr>
                <w:b/>
              </w:rPr>
            </w:pPr>
            <w:r w:rsidRPr="004843E9">
              <w:rPr>
                <w:b/>
              </w:rPr>
              <w:t>How the</w:t>
            </w:r>
            <w:r w:rsidR="00681529" w:rsidRPr="004843E9">
              <w:rPr>
                <w:b/>
              </w:rPr>
              <w:t xml:space="preserve"> November 2020</w:t>
            </w:r>
            <w:r w:rsidRPr="004843E9">
              <w:rPr>
                <w:b/>
              </w:rPr>
              <w:t xml:space="preserve"> resubmission addresses it</w:t>
            </w:r>
          </w:p>
        </w:tc>
      </w:tr>
      <w:tr w:rsidR="00A01432" w:rsidRPr="004843E9" w:rsidTr="00A630B9">
        <w:trPr>
          <w:trHeight w:val="2128"/>
        </w:trPr>
        <w:tc>
          <w:tcPr>
            <w:tcW w:w="4390" w:type="dxa"/>
            <w:tcBorders>
              <w:top w:val="single" w:sz="4" w:space="0" w:color="auto"/>
              <w:left w:val="single" w:sz="4" w:space="0" w:color="auto"/>
              <w:bottom w:val="single" w:sz="4" w:space="0" w:color="auto"/>
              <w:right w:val="single" w:sz="4" w:space="0" w:color="auto"/>
            </w:tcBorders>
            <w:hideMark/>
          </w:tcPr>
          <w:p w:rsidR="00A01432" w:rsidRPr="004843E9" w:rsidRDefault="00A90743" w:rsidP="00917D69">
            <w:pPr>
              <w:pStyle w:val="TableText0"/>
            </w:pPr>
            <w:r w:rsidRPr="004843E9">
              <w:t>[paragraph 7.2] The PBAC noted the equi-effective doses proposed in the submission were not based on the clinical evidence presented to support the non-inferiority claim and considered this was not appropriate. The PBAC advised the equi-effective doses should be 1.3 administrations of FA and 4.11 administrations of DEX over 36 months as this reflects the mean doses in the MEAD and FAME studies presented in the submission.</w:t>
            </w:r>
          </w:p>
        </w:tc>
        <w:tc>
          <w:tcPr>
            <w:tcW w:w="4626" w:type="dxa"/>
            <w:tcBorders>
              <w:top w:val="single" w:sz="4" w:space="0" w:color="auto"/>
              <w:left w:val="single" w:sz="4" w:space="0" w:color="auto"/>
              <w:bottom w:val="single" w:sz="4" w:space="0" w:color="auto"/>
              <w:right w:val="single" w:sz="4" w:space="0" w:color="auto"/>
            </w:tcBorders>
          </w:tcPr>
          <w:p w:rsidR="00A630B9" w:rsidRPr="004843E9" w:rsidRDefault="00A630B9" w:rsidP="00917D69">
            <w:pPr>
              <w:pStyle w:val="TableText0"/>
            </w:pPr>
            <w:r w:rsidRPr="004843E9">
              <w:t>The Sponsor has stated that patients treated with FA would receive 1 implant over 36 months, which is consistent with</w:t>
            </w:r>
            <w:r w:rsidR="002974C7" w:rsidRPr="004843E9">
              <w:t xml:space="preserve"> most patients with breakthrough oedema being treated with an anti-VEGF therapy and not an additional FA implant.</w:t>
            </w:r>
          </w:p>
          <w:p w:rsidR="00A630B9" w:rsidRPr="004843E9" w:rsidRDefault="00A630B9" w:rsidP="00917D69">
            <w:pPr>
              <w:pStyle w:val="TableText0"/>
            </w:pPr>
          </w:p>
          <w:p w:rsidR="00752724" w:rsidRPr="004843E9" w:rsidRDefault="00A630B9" w:rsidP="00917D69">
            <w:pPr>
              <w:pStyle w:val="TableText0"/>
            </w:pPr>
            <w:r w:rsidRPr="004843E9">
              <w:t>The Sponsor has stated</w:t>
            </w:r>
            <w:r w:rsidR="00752724" w:rsidRPr="004843E9">
              <w:t xml:space="preserve"> that patients treated with DEX would receive 6.48 implants </w:t>
            </w:r>
            <w:r w:rsidR="00254342" w:rsidRPr="004843E9">
              <w:t>over 36-months</w:t>
            </w:r>
            <w:r w:rsidR="00752724" w:rsidRPr="004843E9">
              <w:t xml:space="preserve">, which is consistent with the PBAC’s previous recommendation regarding </w:t>
            </w:r>
            <w:proofErr w:type="spellStart"/>
            <w:r w:rsidR="00752724" w:rsidRPr="004843E9">
              <w:t>Ozurdex</w:t>
            </w:r>
            <w:proofErr w:type="spellEnd"/>
            <w:r w:rsidR="002974C7" w:rsidRPr="004843E9">
              <w:t xml:space="preserve"> (</w:t>
            </w:r>
            <w:r w:rsidR="00027ED4" w:rsidRPr="004843E9">
              <w:t xml:space="preserve">paragraph 6.34, DEX </w:t>
            </w:r>
            <w:r w:rsidR="002974C7" w:rsidRPr="004843E9">
              <w:t>PSD</w:t>
            </w:r>
            <w:r w:rsidR="00027ED4" w:rsidRPr="004843E9">
              <w:t>, March 2016</w:t>
            </w:r>
            <w:r w:rsidR="002974C7" w:rsidRPr="004843E9">
              <w:t>)</w:t>
            </w:r>
            <w:r w:rsidR="00752724" w:rsidRPr="004843E9">
              <w:t>, the clinical data presented in Section 2 and Australian clinical practice.</w:t>
            </w:r>
          </w:p>
          <w:p w:rsidR="00752724" w:rsidRPr="004843E9" w:rsidRDefault="00752724" w:rsidP="00917D69">
            <w:pPr>
              <w:pStyle w:val="TableText0"/>
            </w:pPr>
          </w:p>
          <w:p w:rsidR="00A01432" w:rsidRPr="004843E9" w:rsidRDefault="00057249" w:rsidP="00917D69">
            <w:pPr>
              <w:pStyle w:val="TableText0"/>
            </w:pPr>
            <w:r w:rsidRPr="004843E9">
              <w:t xml:space="preserve">The Sponsor has reiterated the claim from the March 2020 submission that the appropriate equi-effective dose is </w:t>
            </w:r>
            <w:r w:rsidR="00A630B9" w:rsidRPr="004843E9">
              <w:t>1 dose</w:t>
            </w:r>
            <w:r w:rsidR="00254342" w:rsidRPr="004843E9">
              <w:t xml:space="preserve"> FA</w:t>
            </w:r>
            <w:r w:rsidR="00A630B9" w:rsidRPr="004843E9">
              <w:t xml:space="preserve"> and 6.48</w:t>
            </w:r>
            <w:r w:rsidR="00254342" w:rsidRPr="004843E9">
              <w:t xml:space="preserve"> doses DEX over 36 months.</w:t>
            </w:r>
          </w:p>
        </w:tc>
      </w:tr>
      <w:tr w:rsidR="002974C7" w:rsidRPr="004843E9" w:rsidTr="00A630B9">
        <w:trPr>
          <w:trHeight w:val="788"/>
        </w:trPr>
        <w:tc>
          <w:tcPr>
            <w:tcW w:w="4390" w:type="dxa"/>
            <w:tcBorders>
              <w:top w:val="single" w:sz="4" w:space="0" w:color="auto"/>
              <w:left w:val="single" w:sz="4" w:space="0" w:color="auto"/>
              <w:bottom w:val="single" w:sz="4" w:space="0" w:color="auto"/>
              <w:right w:val="single" w:sz="4" w:space="0" w:color="auto"/>
            </w:tcBorders>
          </w:tcPr>
          <w:p w:rsidR="002974C7" w:rsidRPr="004843E9" w:rsidRDefault="002974C7" w:rsidP="00917D69">
            <w:pPr>
              <w:pStyle w:val="TableText0"/>
              <w:rPr>
                <w:highlight w:val="yellow"/>
              </w:rPr>
            </w:pPr>
            <w:r w:rsidRPr="004843E9">
              <w:t>[paragraph 6.29] The CMA assumed 11.04 ophthalmologist visits for patients treated with FA and 14.42 for patients treated with DEX over 36 months. The methodology for calculating the number of ophthalmologist visits was uncertain and the assumptions applied were not justified in the submission. The PBAC agreed with ESC that the number of ophthalmology visits over 36 months for patients receiving either FA or DEX should not be different.</w:t>
            </w:r>
          </w:p>
        </w:tc>
        <w:tc>
          <w:tcPr>
            <w:tcW w:w="4626" w:type="dxa"/>
            <w:tcBorders>
              <w:top w:val="single" w:sz="4" w:space="0" w:color="auto"/>
              <w:left w:val="single" w:sz="4" w:space="0" w:color="auto"/>
              <w:bottom w:val="single" w:sz="4" w:space="0" w:color="auto"/>
              <w:right w:val="single" w:sz="4" w:space="0" w:color="auto"/>
            </w:tcBorders>
          </w:tcPr>
          <w:p w:rsidR="002974C7" w:rsidRPr="004843E9" w:rsidRDefault="00027ED4" w:rsidP="002F4B01">
            <w:pPr>
              <w:pStyle w:val="TableText0"/>
              <w:rPr>
                <w:highlight w:val="yellow"/>
              </w:rPr>
            </w:pPr>
            <w:r w:rsidRPr="004843E9">
              <w:t xml:space="preserve">The Sponsor has </w:t>
            </w:r>
            <w:r w:rsidR="002F4B01" w:rsidRPr="004843E9">
              <w:t>specified</w:t>
            </w:r>
            <w:r w:rsidRPr="004843E9">
              <w:t xml:space="preserve"> in the CMA that FA patients will have 1 ophthalmologist visit and DEX patients will have 6.48 ophthalmologist visits over 36 months.</w:t>
            </w:r>
          </w:p>
        </w:tc>
      </w:tr>
      <w:tr w:rsidR="002974C7" w:rsidRPr="004843E9" w:rsidTr="00A630B9">
        <w:trPr>
          <w:trHeight w:val="788"/>
        </w:trPr>
        <w:tc>
          <w:tcPr>
            <w:tcW w:w="4390" w:type="dxa"/>
            <w:tcBorders>
              <w:top w:val="single" w:sz="4" w:space="0" w:color="auto"/>
              <w:left w:val="single" w:sz="4" w:space="0" w:color="auto"/>
              <w:bottom w:val="single" w:sz="4" w:space="0" w:color="auto"/>
              <w:right w:val="single" w:sz="4" w:space="0" w:color="auto"/>
            </w:tcBorders>
          </w:tcPr>
          <w:p w:rsidR="002974C7" w:rsidRPr="004843E9" w:rsidRDefault="000F3F7F" w:rsidP="00917D69">
            <w:pPr>
              <w:pStyle w:val="TableText0"/>
            </w:pPr>
            <w:r w:rsidRPr="004843E9">
              <w:t xml:space="preserve">[paragraph 6:30] The CMA included the cost of concomitant use of VEGF inhibitors and </w:t>
            </w:r>
            <w:proofErr w:type="spellStart"/>
            <w:r w:rsidRPr="004843E9">
              <w:t>intravitreal</w:t>
            </w:r>
            <w:proofErr w:type="spellEnd"/>
            <w:r w:rsidRPr="004843E9">
              <w:t xml:space="preserve"> steroids for FA and DEX. The submission applied the rates of concomitant treatment observed in the FAME studies (3.2% for VEGF inhibitors, 8.2% for </w:t>
            </w:r>
            <w:proofErr w:type="spellStart"/>
            <w:r w:rsidRPr="004843E9">
              <w:t>intravitreal</w:t>
            </w:r>
            <w:proofErr w:type="spellEnd"/>
            <w:r w:rsidRPr="004843E9">
              <w:t xml:space="preserve"> steroids) to FA and assumed a rate of treatment (2.7% for VEGF inhibitors, 6.9% for </w:t>
            </w:r>
            <w:proofErr w:type="spellStart"/>
            <w:r w:rsidRPr="004843E9">
              <w:t>intravitreal</w:t>
            </w:r>
            <w:proofErr w:type="spellEnd"/>
            <w:r w:rsidRPr="004843E9">
              <w:t xml:space="preserve"> steroids) for DEX. The ESC considered the estimated proportions of use were highly uncertain and the assumption only one injection of VEGF inhibitors or </w:t>
            </w:r>
            <w:proofErr w:type="spellStart"/>
            <w:r w:rsidRPr="004843E9">
              <w:t>intravitreal</w:t>
            </w:r>
            <w:proofErr w:type="spellEnd"/>
            <w:r w:rsidRPr="004843E9">
              <w:t xml:space="preserve"> steroids would be received per patient over the 36 month timeframe was poorly supported.</w:t>
            </w:r>
          </w:p>
        </w:tc>
        <w:tc>
          <w:tcPr>
            <w:tcW w:w="4626" w:type="dxa"/>
            <w:tcBorders>
              <w:top w:val="single" w:sz="4" w:space="0" w:color="auto"/>
              <w:left w:val="single" w:sz="4" w:space="0" w:color="auto"/>
              <w:bottom w:val="single" w:sz="4" w:space="0" w:color="auto"/>
              <w:right w:val="single" w:sz="4" w:space="0" w:color="auto"/>
            </w:tcBorders>
          </w:tcPr>
          <w:p w:rsidR="002974C7" w:rsidRPr="004843E9" w:rsidRDefault="002F4B01" w:rsidP="00917D69">
            <w:pPr>
              <w:pStyle w:val="TableText0"/>
            </w:pPr>
            <w:r w:rsidRPr="004843E9">
              <w:t xml:space="preserve">The Sponsor has specified in the CMA that </w:t>
            </w:r>
            <w:r w:rsidR="000F3F7F" w:rsidRPr="004843E9">
              <w:t xml:space="preserve">FA patients will have 1 administration of </w:t>
            </w:r>
            <w:proofErr w:type="spellStart"/>
            <w:r w:rsidR="000F3F7F" w:rsidRPr="004843E9">
              <w:t>intravitreal</w:t>
            </w:r>
            <w:proofErr w:type="spellEnd"/>
            <w:r w:rsidR="000F3F7F" w:rsidRPr="004843E9">
              <w:t xml:space="preserve"> steroids and </w:t>
            </w:r>
            <w:r w:rsidR="002923A7" w:rsidRPr="004843E9">
              <w:t xml:space="preserve">DEX patients will have 6.48 administrations of </w:t>
            </w:r>
            <w:proofErr w:type="spellStart"/>
            <w:r w:rsidR="002923A7" w:rsidRPr="004843E9">
              <w:t>intravitreal</w:t>
            </w:r>
            <w:proofErr w:type="spellEnd"/>
            <w:r w:rsidR="002923A7" w:rsidRPr="004843E9">
              <w:t xml:space="preserve"> steroids.</w:t>
            </w:r>
          </w:p>
          <w:p w:rsidR="002923A7" w:rsidRPr="004843E9" w:rsidRDefault="002923A7" w:rsidP="00917D69">
            <w:pPr>
              <w:pStyle w:val="TableText0"/>
            </w:pPr>
          </w:p>
          <w:p w:rsidR="00190497" w:rsidRPr="004843E9" w:rsidRDefault="002923A7" w:rsidP="00190497">
            <w:pPr>
              <w:pStyle w:val="TableText0"/>
            </w:pPr>
            <w:r w:rsidRPr="004843E9">
              <w:t>The Sponsor has specified in the CMA that the same proportion of patients retreated with FA in t</w:t>
            </w:r>
            <w:r w:rsidR="00874C95" w:rsidRPr="004843E9">
              <w:t xml:space="preserve">he FAME studies will instead be </w:t>
            </w:r>
            <w:r w:rsidRPr="004843E9">
              <w:t>treated with</w:t>
            </w:r>
            <w:r w:rsidR="00874C95" w:rsidRPr="004843E9">
              <w:t xml:space="preserve"> concomitant</w:t>
            </w:r>
            <w:r w:rsidRPr="004843E9">
              <w:t xml:space="preserve"> anti-VEGF therapy</w:t>
            </w:r>
            <w:r w:rsidR="00874C95" w:rsidRPr="004843E9">
              <w:t xml:space="preserve"> for breakthrough oedema within 36 months</w:t>
            </w:r>
            <w:r w:rsidRPr="004843E9">
              <w:t>, and DEX patients w</w:t>
            </w:r>
            <w:r w:rsidR="00874C95" w:rsidRPr="004843E9">
              <w:t xml:space="preserve">ill not be </w:t>
            </w:r>
            <w:r w:rsidRPr="004843E9">
              <w:t>treated</w:t>
            </w:r>
            <w:r w:rsidR="00874C95" w:rsidRPr="004843E9">
              <w:t xml:space="preserve"> with concomitant anti-VEGF therapy during the treatment period</w:t>
            </w:r>
            <w:r w:rsidRPr="004843E9">
              <w:t xml:space="preserve">. </w:t>
            </w:r>
          </w:p>
        </w:tc>
      </w:tr>
    </w:tbl>
    <w:p w:rsidR="00681529" w:rsidRPr="004843E9" w:rsidRDefault="002974C7" w:rsidP="00681529">
      <w:pPr>
        <w:pStyle w:val="TableFigureFooter"/>
        <w:keepNext/>
        <w:rPr>
          <w:lang w:eastAsia="en-US"/>
        </w:rPr>
      </w:pPr>
      <w:r w:rsidRPr="004843E9">
        <w:rPr>
          <w:lang w:eastAsia="en-US"/>
        </w:rPr>
        <w:t xml:space="preserve">CMA = cost minimisation analysis; </w:t>
      </w:r>
      <w:r w:rsidR="00681529" w:rsidRPr="004843E9">
        <w:rPr>
          <w:lang w:eastAsia="en-US"/>
        </w:rPr>
        <w:t>DE</w:t>
      </w:r>
      <w:r w:rsidR="002F4B01" w:rsidRPr="004843E9">
        <w:rPr>
          <w:lang w:eastAsia="en-US"/>
        </w:rPr>
        <w:t xml:space="preserve">X = dexamethasone; </w:t>
      </w:r>
      <w:r w:rsidR="00681529" w:rsidRPr="004843E9">
        <w:rPr>
          <w:lang w:eastAsia="en-US"/>
        </w:rPr>
        <w:t xml:space="preserve">FA = </w:t>
      </w:r>
      <w:proofErr w:type="spellStart"/>
      <w:r w:rsidR="00681529" w:rsidRPr="004843E9">
        <w:rPr>
          <w:lang w:eastAsia="en-US"/>
        </w:rPr>
        <w:t>fluocinolone</w:t>
      </w:r>
      <w:proofErr w:type="spellEnd"/>
      <w:r w:rsidR="00681529" w:rsidRPr="004843E9">
        <w:rPr>
          <w:lang w:eastAsia="en-US"/>
        </w:rPr>
        <w:t xml:space="preserve"> acetate;</w:t>
      </w:r>
      <w:r w:rsidR="00BC1D8D" w:rsidRPr="004843E9">
        <w:rPr>
          <w:lang w:eastAsia="en-US"/>
        </w:rPr>
        <w:t xml:space="preserve"> PSD = Public Summary Document;</w:t>
      </w:r>
      <w:r w:rsidR="00681529" w:rsidRPr="004843E9">
        <w:rPr>
          <w:lang w:eastAsia="en-US"/>
        </w:rPr>
        <w:t xml:space="preserve"> VEGF = </w:t>
      </w:r>
      <w:r w:rsidR="00681529" w:rsidRPr="004843E9">
        <w:rPr>
          <w:szCs w:val="18"/>
        </w:rPr>
        <w:t>vascular endothelial growth factor.</w:t>
      </w:r>
    </w:p>
    <w:p w:rsidR="00A01432" w:rsidRPr="004843E9" w:rsidRDefault="00A01432" w:rsidP="00681529">
      <w:pPr>
        <w:pStyle w:val="TableFigureFooter"/>
        <w:keepNext/>
        <w:rPr>
          <w:lang w:eastAsia="en-US"/>
        </w:rPr>
      </w:pPr>
      <w:r w:rsidRPr="004843E9">
        <w:rPr>
          <w:lang w:eastAsia="en-US"/>
        </w:rPr>
        <w:t>Source: Co</w:t>
      </w:r>
      <w:r w:rsidR="00681529" w:rsidRPr="004843E9">
        <w:rPr>
          <w:lang w:eastAsia="en-US"/>
        </w:rPr>
        <w:t xml:space="preserve">mpiled during the evaluation. Paragraph references for March 2020 refer to the </w:t>
      </w:r>
      <w:proofErr w:type="spellStart"/>
      <w:r w:rsidR="00681529" w:rsidRPr="004843E9">
        <w:rPr>
          <w:lang w:eastAsia="en-US"/>
        </w:rPr>
        <w:t>fluocinolone</w:t>
      </w:r>
      <w:proofErr w:type="spellEnd"/>
      <w:r w:rsidR="00681529" w:rsidRPr="004843E9">
        <w:rPr>
          <w:lang w:eastAsia="en-US"/>
        </w:rPr>
        <w:t xml:space="preserve"> Public Summary Document.</w:t>
      </w:r>
    </w:p>
    <w:p w:rsidR="007624DD" w:rsidRPr="004843E9" w:rsidRDefault="007624DD" w:rsidP="007624DD">
      <w:pPr>
        <w:pStyle w:val="3Bodytext"/>
        <w:numPr>
          <w:ilvl w:val="0"/>
          <w:numId w:val="0"/>
        </w:numPr>
        <w:ind w:left="720"/>
        <w:rPr>
          <w:i/>
          <w:lang w:eastAsia="en-US"/>
        </w:rPr>
      </w:pPr>
      <w:r w:rsidRPr="004843E9">
        <w:rPr>
          <w:i/>
        </w:rPr>
        <w:t xml:space="preserve">For more detail on PBAC’s view, see section </w:t>
      </w:r>
      <w:r w:rsidR="003A4FF6" w:rsidRPr="004843E9">
        <w:rPr>
          <w:i/>
        </w:rPr>
        <w:t xml:space="preserve">6 </w:t>
      </w:r>
      <w:r w:rsidRPr="004843E9">
        <w:rPr>
          <w:i/>
        </w:rPr>
        <w:t>PBAC outcome.</w:t>
      </w:r>
    </w:p>
    <w:p w:rsidR="00B17EE5" w:rsidRPr="004843E9" w:rsidRDefault="00B17EE5" w:rsidP="001D5429">
      <w:pPr>
        <w:pStyle w:val="2-SectionHeading"/>
      </w:pPr>
      <w:r w:rsidRPr="004843E9">
        <w:t>Requested listing</w:t>
      </w:r>
    </w:p>
    <w:p w:rsidR="00B17EE5" w:rsidRPr="004843E9" w:rsidRDefault="00B17EE5" w:rsidP="00A25AA4">
      <w:pPr>
        <w:pStyle w:val="3Bodytext"/>
        <w:jc w:val="both"/>
      </w:pPr>
      <w:r w:rsidRPr="004843E9">
        <w:t>The submission</w:t>
      </w:r>
      <w:r w:rsidR="00A36BCB">
        <w:t xml:space="preserve"> requested</w:t>
      </w:r>
      <w:r w:rsidRPr="004843E9">
        <w:t xml:space="preserve"> </w:t>
      </w:r>
      <w:r w:rsidR="00DC5572" w:rsidRPr="004843E9">
        <w:t xml:space="preserve">the </w:t>
      </w:r>
      <w:r w:rsidRPr="004843E9">
        <w:t>following listing</w:t>
      </w:r>
      <w:r w:rsidR="00A36BCB">
        <w:t xml:space="preserve"> in the resubmission. The Sponsor agreed to the restriction</w:t>
      </w:r>
      <w:r w:rsidR="00DC5572" w:rsidRPr="004843E9">
        <w:t xml:space="preserve"> recommended by the PBAC</w:t>
      </w:r>
      <w:r w:rsidR="00E54D3A" w:rsidRPr="004843E9">
        <w:t xml:space="preserve"> at its March 2020 meeting</w:t>
      </w:r>
      <w:r w:rsidR="00A36BCB">
        <w:t>.</w:t>
      </w:r>
    </w:p>
    <w:p w:rsidR="00870AEB" w:rsidRDefault="00870AE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986"/>
        <w:gridCol w:w="986"/>
        <w:gridCol w:w="986"/>
        <w:gridCol w:w="988"/>
        <w:gridCol w:w="846"/>
        <w:gridCol w:w="1551"/>
      </w:tblGrid>
      <w:tr w:rsidR="005C76F9" w:rsidRPr="004843E9" w:rsidTr="004514EA">
        <w:trPr>
          <w:cantSplit/>
          <w:trHeight w:val="408"/>
        </w:trPr>
        <w:tc>
          <w:tcPr>
            <w:tcW w:w="1482" w:type="pct"/>
          </w:tcPr>
          <w:p w:rsidR="005C76F9" w:rsidRPr="004843E9" w:rsidRDefault="005C76F9" w:rsidP="00E54D3A">
            <w:pPr>
              <w:rPr>
                <w:rFonts w:ascii="Arial Narrow" w:hAnsi="Arial Narrow" w:cs="Arial"/>
                <w:b/>
                <w:sz w:val="18"/>
                <w:szCs w:val="18"/>
              </w:rPr>
            </w:pPr>
            <w:r w:rsidRPr="004843E9">
              <w:rPr>
                <w:rFonts w:ascii="Arial Narrow" w:hAnsi="Arial Narrow" w:cs="Arial"/>
                <w:b/>
                <w:sz w:val="18"/>
                <w:szCs w:val="18"/>
              </w:rPr>
              <w:lastRenderedPageBreak/>
              <w:t>Name, Restriction,</w:t>
            </w:r>
          </w:p>
          <w:p w:rsidR="005C76F9" w:rsidRPr="004843E9" w:rsidRDefault="005C76F9" w:rsidP="00E54D3A">
            <w:pPr>
              <w:rPr>
                <w:rFonts w:ascii="Arial Narrow" w:hAnsi="Arial Narrow" w:cs="Arial"/>
                <w:b/>
                <w:sz w:val="18"/>
                <w:szCs w:val="18"/>
              </w:rPr>
            </w:pPr>
            <w:r w:rsidRPr="004843E9">
              <w:rPr>
                <w:rFonts w:ascii="Arial Narrow" w:hAnsi="Arial Narrow" w:cs="Arial"/>
                <w:b/>
                <w:sz w:val="18"/>
                <w:szCs w:val="18"/>
              </w:rPr>
              <w:t>Manner of administration and form</w:t>
            </w:r>
          </w:p>
        </w:tc>
        <w:tc>
          <w:tcPr>
            <w:tcW w:w="547" w:type="pct"/>
          </w:tcPr>
          <w:p w:rsidR="005C76F9" w:rsidRPr="004843E9" w:rsidRDefault="005C76F9" w:rsidP="00E54D3A">
            <w:pPr>
              <w:jc w:val="center"/>
              <w:rPr>
                <w:rFonts w:ascii="Arial Narrow" w:hAnsi="Arial Narrow" w:cs="Arial"/>
                <w:b/>
                <w:sz w:val="18"/>
                <w:szCs w:val="18"/>
              </w:rPr>
            </w:pPr>
            <w:proofErr w:type="spellStart"/>
            <w:r w:rsidRPr="004843E9">
              <w:rPr>
                <w:rFonts w:ascii="Arial Narrow" w:hAnsi="Arial Narrow" w:cs="Arial"/>
                <w:b/>
                <w:sz w:val="18"/>
                <w:szCs w:val="18"/>
              </w:rPr>
              <w:t>Max.Qty</w:t>
            </w:r>
            <w:proofErr w:type="spellEnd"/>
            <w:r w:rsidRPr="004843E9">
              <w:rPr>
                <w:rFonts w:ascii="Arial Narrow" w:hAnsi="Arial Narrow" w:cs="Arial"/>
                <w:b/>
                <w:sz w:val="18"/>
                <w:szCs w:val="18"/>
              </w:rPr>
              <w:t xml:space="preserve"> (Units)</w:t>
            </w:r>
          </w:p>
        </w:tc>
        <w:tc>
          <w:tcPr>
            <w:tcW w:w="547" w:type="pct"/>
          </w:tcPr>
          <w:p w:rsidR="005C76F9" w:rsidRPr="004843E9" w:rsidRDefault="005C76F9" w:rsidP="00E54D3A">
            <w:pPr>
              <w:jc w:val="center"/>
              <w:rPr>
                <w:rFonts w:ascii="Arial Narrow" w:hAnsi="Arial Narrow" w:cs="Arial"/>
                <w:b/>
                <w:sz w:val="18"/>
                <w:szCs w:val="18"/>
              </w:rPr>
            </w:pPr>
            <w:r w:rsidRPr="004843E9">
              <w:rPr>
                <w:rFonts w:ascii="Arial Narrow" w:hAnsi="Arial Narrow" w:cs="Arial"/>
                <w:b/>
                <w:sz w:val="18"/>
                <w:szCs w:val="18"/>
              </w:rPr>
              <w:t>Max. Qty (Packs)</w:t>
            </w:r>
          </w:p>
        </w:tc>
        <w:tc>
          <w:tcPr>
            <w:tcW w:w="547" w:type="pct"/>
          </w:tcPr>
          <w:p w:rsidR="005C76F9" w:rsidRPr="004843E9" w:rsidRDefault="005C76F9" w:rsidP="00E54D3A">
            <w:pPr>
              <w:jc w:val="center"/>
              <w:rPr>
                <w:rFonts w:ascii="Arial Narrow" w:hAnsi="Arial Narrow" w:cs="Arial"/>
                <w:b/>
                <w:sz w:val="18"/>
                <w:szCs w:val="18"/>
              </w:rPr>
            </w:pPr>
            <w:r w:rsidRPr="004843E9">
              <w:rPr>
                <w:rFonts w:ascii="Arial Narrow" w:hAnsi="Arial Narrow" w:cs="Arial"/>
                <w:b/>
                <w:sz w:val="18"/>
                <w:szCs w:val="18"/>
              </w:rPr>
              <w:t>№.of</w:t>
            </w:r>
          </w:p>
          <w:p w:rsidR="005C76F9" w:rsidRPr="004843E9" w:rsidRDefault="005C76F9" w:rsidP="00E54D3A">
            <w:pPr>
              <w:jc w:val="center"/>
              <w:rPr>
                <w:rFonts w:ascii="Arial Narrow" w:hAnsi="Arial Narrow" w:cs="Arial"/>
                <w:b/>
                <w:sz w:val="18"/>
                <w:szCs w:val="18"/>
              </w:rPr>
            </w:pPr>
            <w:proofErr w:type="spellStart"/>
            <w:r w:rsidRPr="004843E9">
              <w:rPr>
                <w:rFonts w:ascii="Arial Narrow" w:hAnsi="Arial Narrow" w:cs="Arial"/>
                <w:b/>
                <w:sz w:val="18"/>
                <w:szCs w:val="18"/>
              </w:rPr>
              <w:t>Rpts</w:t>
            </w:r>
            <w:proofErr w:type="spellEnd"/>
          </w:p>
        </w:tc>
        <w:tc>
          <w:tcPr>
            <w:tcW w:w="548" w:type="pct"/>
          </w:tcPr>
          <w:p w:rsidR="005C76F9" w:rsidRPr="004843E9" w:rsidRDefault="005C76F9" w:rsidP="005C76F9">
            <w:pPr>
              <w:jc w:val="center"/>
              <w:rPr>
                <w:rFonts w:ascii="Arial Narrow" w:hAnsi="Arial Narrow" w:cs="Arial"/>
                <w:b/>
                <w:sz w:val="18"/>
                <w:szCs w:val="18"/>
              </w:rPr>
            </w:pPr>
            <w:r w:rsidRPr="00432739">
              <w:rPr>
                <w:rFonts w:ascii="Arial Narrow" w:hAnsi="Arial Narrow"/>
                <w:b/>
                <w:sz w:val="18"/>
                <w:szCs w:val="18"/>
              </w:rPr>
              <w:t>Dispensed Price for Max. Qty</w:t>
            </w:r>
          </w:p>
        </w:tc>
        <w:tc>
          <w:tcPr>
            <w:tcW w:w="1329" w:type="pct"/>
            <w:gridSpan w:val="2"/>
          </w:tcPr>
          <w:p w:rsidR="005C76F9" w:rsidRPr="004843E9" w:rsidRDefault="005C76F9" w:rsidP="005C76F9">
            <w:pPr>
              <w:jc w:val="left"/>
              <w:rPr>
                <w:rFonts w:ascii="Arial Narrow" w:hAnsi="Arial Narrow" w:cs="Arial"/>
                <w:b/>
                <w:sz w:val="18"/>
                <w:szCs w:val="18"/>
              </w:rPr>
            </w:pPr>
            <w:r w:rsidRPr="004843E9">
              <w:rPr>
                <w:rFonts w:ascii="Arial Narrow" w:hAnsi="Arial Narrow" w:cs="Arial"/>
                <w:b/>
                <w:sz w:val="18"/>
                <w:szCs w:val="18"/>
              </w:rPr>
              <w:t>Proprietary Name and Manufacturer</w:t>
            </w:r>
          </w:p>
        </w:tc>
      </w:tr>
      <w:tr w:rsidR="005C76F9" w:rsidRPr="004843E9" w:rsidTr="004514EA">
        <w:trPr>
          <w:cantSplit/>
          <w:trHeight w:val="500"/>
        </w:trPr>
        <w:tc>
          <w:tcPr>
            <w:tcW w:w="1482" w:type="pct"/>
          </w:tcPr>
          <w:p w:rsidR="005C76F9" w:rsidRPr="004843E9" w:rsidRDefault="005C76F9" w:rsidP="005C76F9">
            <w:pPr>
              <w:jc w:val="left"/>
              <w:rPr>
                <w:rFonts w:ascii="Arial Narrow" w:hAnsi="Arial Narrow" w:cs="Arial"/>
                <w:sz w:val="18"/>
                <w:szCs w:val="18"/>
              </w:rPr>
            </w:pPr>
            <w:proofErr w:type="spellStart"/>
            <w:r w:rsidRPr="004843E9">
              <w:rPr>
                <w:rFonts w:ascii="Arial Narrow" w:hAnsi="Arial Narrow" w:cs="Arial"/>
                <w:sz w:val="18"/>
                <w:szCs w:val="18"/>
              </w:rPr>
              <w:t>Fluocinolone</w:t>
            </w:r>
            <w:proofErr w:type="spellEnd"/>
            <w:r w:rsidRPr="004843E9">
              <w:rPr>
                <w:rFonts w:ascii="Arial Narrow" w:hAnsi="Arial Narrow" w:cs="Arial"/>
                <w:sz w:val="18"/>
                <w:szCs w:val="18"/>
              </w:rPr>
              <w:t xml:space="preserve"> </w:t>
            </w:r>
            <w:proofErr w:type="spellStart"/>
            <w:r w:rsidRPr="004843E9">
              <w:rPr>
                <w:rFonts w:ascii="Arial Narrow" w:hAnsi="Arial Narrow" w:cs="Arial"/>
                <w:sz w:val="18"/>
                <w:szCs w:val="18"/>
              </w:rPr>
              <w:t>acetonide</w:t>
            </w:r>
            <w:proofErr w:type="spellEnd"/>
            <w:r w:rsidRPr="004843E9">
              <w:rPr>
                <w:rFonts w:ascii="Arial Narrow" w:hAnsi="Arial Narrow" w:cs="Arial"/>
                <w:sz w:val="18"/>
                <w:szCs w:val="18"/>
              </w:rPr>
              <w:t xml:space="preserve"> 190</w:t>
            </w:r>
            <w:r>
              <w:rPr>
                <w:rFonts w:ascii="Arial Narrow" w:hAnsi="Arial Narrow" w:cs="Arial"/>
                <w:sz w:val="18"/>
                <w:szCs w:val="18"/>
              </w:rPr>
              <w:t> </w:t>
            </w:r>
            <w:r w:rsidRPr="004843E9">
              <w:rPr>
                <w:rFonts w:ascii="Arial Narrow" w:hAnsi="Arial Narrow" w:cs="Arial"/>
                <w:sz w:val="18"/>
                <w:szCs w:val="18"/>
              </w:rPr>
              <w:t>microgram implant, 1</w:t>
            </w:r>
          </w:p>
        </w:tc>
        <w:tc>
          <w:tcPr>
            <w:tcW w:w="547" w:type="pct"/>
          </w:tcPr>
          <w:p w:rsidR="005C76F9" w:rsidRPr="004843E9" w:rsidRDefault="005C76F9" w:rsidP="00E54D3A">
            <w:pPr>
              <w:jc w:val="center"/>
              <w:rPr>
                <w:rFonts w:ascii="Arial Narrow" w:hAnsi="Arial Narrow" w:cs="Arial"/>
                <w:sz w:val="18"/>
                <w:szCs w:val="18"/>
              </w:rPr>
            </w:pPr>
            <w:r w:rsidRPr="004843E9">
              <w:rPr>
                <w:rFonts w:ascii="Arial Narrow" w:hAnsi="Arial Narrow" w:cs="Arial"/>
                <w:sz w:val="18"/>
                <w:szCs w:val="18"/>
              </w:rPr>
              <w:t>1</w:t>
            </w:r>
          </w:p>
          <w:p w:rsidR="005C76F9" w:rsidRPr="004843E9" w:rsidRDefault="005C76F9" w:rsidP="00E54D3A">
            <w:pPr>
              <w:jc w:val="center"/>
              <w:rPr>
                <w:rFonts w:ascii="Arial Narrow" w:hAnsi="Arial Narrow" w:cs="Arial"/>
                <w:sz w:val="18"/>
                <w:szCs w:val="18"/>
              </w:rPr>
            </w:pPr>
          </w:p>
        </w:tc>
        <w:tc>
          <w:tcPr>
            <w:tcW w:w="547" w:type="pct"/>
          </w:tcPr>
          <w:p w:rsidR="005C76F9" w:rsidRPr="004843E9" w:rsidRDefault="005C76F9" w:rsidP="00E54D3A">
            <w:pPr>
              <w:jc w:val="center"/>
              <w:rPr>
                <w:rFonts w:ascii="Arial Narrow" w:hAnsi="Arial Narrow" w:cs="Arial"/>
                <w:sz w:val="18"/>
                <w:szCs w:val="18"/>
              </w:rPr>
            </w:pPr>
            <w:r w:rsidRPr="004843E9">
              <w:rPr>
                <w:rFonts w:ascii="Arial Narrow" w:hAnsi="Arial Narrow" w:cs="Arial"/>
                <w:sz w:val="18"/>
                <w:szCs w:val="18"/>
              </w:rPr>
              <w:t>1</w:t>
            </w:r>
          </w:p>
        </w:tc>
        <w:tc>
          <w:tcPr>
            <w:tcW w:w="547" w:type="pct"/>
          </w:tcPr>
          <w:p w:rsidR="005C76F9" w:rsidRPr="004843E9" w:rsidRDefault="005C76F9" w:rsidP="00E54D3A">
            <w:pPr>
              <w:jc w:val="center"/>
              <w:rPr>
                <w:rFonts w:ascii="Arial Narrow" w:hAnsi="Arial Narrow" w:cs="Arial"/>
                <w:sz w:val="18"/>
                <w:szCs w:val="18"/>
              </w:rPr>
            </w:pPr>
            <w:r w:rsidRPr="004843E9">
              <w:rPr>
                <w:rFonts w:ascii="Arial Narrow" w:hAnsi="Arial Narrow" w:cs="Arial"/>
                <w:sz w:val="18"/>
                <w:szCs w:val="18"/>
              </w:rPr>
              <w:t>0</w:t>
            </w:r>
          </w:p>
        </w:tc>
        <w:tc>
          <w:tcPr>
            <w:tcW w:w="548" w:type="pct"/>
          </w:tcPr>
          <w:p w:rsidR="005C76F9" w:rsidRPr="00FC4026" w:rsidRDefault="006250D0" w:rsidP="00E54D3A">
            <w:pPr>
              <w:jc w:val="center"/>
              <w:rPr>
                <w:rFonts w:ascii="Arial Narrow" w:hAnsi="Arial Narrow" w:cs="Arial"/>
                <w:sz w:val="18"/>
                <w:szCs w:val="18"/>
              </w:rPr>
            </w:pPr>
            <w:r w:rsidRPr="006250D0">
              <w:rPr>
                <w:rFonts w:ascii="Arial Narrow" w:hAnsi="Arial Narrow"/>
                <w:sz w:val="18"/>
              </w:rPr>
              <w:t>$</w:t>
            </w:r>
            <w:r w:rsidR="00E733BF">
              <w:rPr>
                <w:rFonts w:ascii="Arial Narrow" w:hAnsi="Arial Narrow"/>
                <w:noProof/>
                <w:color w:val="000000"/>
                <w:sz w:val="18"/>
                <w:highlight w:val="black"/>
              </w:rPr>
              <w:t>''''''''''''''''''''</w:t>
            </w:r>
            <w:r w:rsidRPr="006250D0">
              <w:rPr>
                <w:rFonts w:ascii="Arial Narrow" w:hAnsi="Arial Narrow"/>
                <w:sz w:val="18"/>
              </w:rPr>
              <w:t xml:space="preserve">  </w:t>
            </w:r>
            <w:r w:rsidR="00A36BCB" w:rsidRPr="00FC4026">
              <w:rPr>
                <w:rFonts w:ascii="Arial Narrow" w:hAnsi="Arial Narrow"/>
                <w:sz w:val="18"/>
              </w:rPr>
              <w:t xml:space="preserve"> </w:t>
            </w:r>
            <w:r w:rsidR="00782A85">
              <w:rPr>
                <w:rFonts w:ascii="Arial Narrow" w:hAnsi="Arial Narrow"/>
                <w:sz w:val="18"/>
              </w:rPr>
              <w:t>(</w:t>
            </w:r>
            <w:r w:rsidR="00A36BCB" w:rsidRPr="00FC4026">
              <w:rPr>
                <w:rFonts w:ascii="Arial Narrow" w:hAnsi="Arial Narrow"/>
                <w:sz w:val="18"/>
              </w:rPr>
              <w:t>effective</w:t>
            </w:r>
            <w:r w:rsidR="00782A85">
              <w:rPr>
                <w:rFonts w:ascii="Arial Narrow" w:hAnsi="Arial Narrow"/>
                <w:sz w:val="18"/>
              </w:rPr>
              <w:t>);</w:t>
            </w:r>
          </w:p>
          <w:p w:rsidR="005C76F9" w:rsidRPr="00FC4026" w:rsidRDefault="00D51C04" w:rsidP="00A36BCB">
            <w:pPr>
              <w:jc w:val="center"/>
              <w:rPr>
                <w:rFonts w:ascii="Arial Narrow" w:hAnsi="Arial Narrow" w:cs="Arial"/>
                <w:sz w:val="18"/>
                <w:szCs w:val="18"/>
              </w:rPr>
            </w:pPr>
            <w:r w:rsidRPr="00D51C04">
              <w:rPr>
                <w:rFonts w:ascii="Arial Narrow" w:hAnsi="Arial Narrow" w:cs="Arial"/>
                <w:sz w:val="18"/>
                <w:szCs w:val="18"/>
              </w:rPr>
              <w:t>$9,449.08</w:t>
            </w:r>
          </w:p>
          <w:p w:rsidR="00A36BCB" w:rsidRPr="004843E9" w:rsidRDefault="00782A85" w:rsidP="00A36BCB">
            <w:pPr>
              <w:jc w:val="center"/>
              <w:rPr>
                <w:rFonts w:ascii="Arial Narrow" w:hAnsi="Arial Narrow" w:cs="Arial"/>
                <w:sz w:val="18"/>
                <w:szCs w:val="18"/>
              </w:rPr>
            </w:pPr>
            <w:r>
              <w:rPr>
                <w:rFonts w:ascii="Arial Narrow" w:hAnsi="Arial Narrow" w:cs="Arial"/>
                <w:sz w:val="18"/>
                <w:szCs w:val="18"/>
              </w:rPr>
              <w:t>(</w:t>
            </w:r>
            <w:r w:rsidR="00A36BCB" w:rsidRPr="00FC4026">
              <w:rPr>
                <w:rFonts w:ascii="Arial Narrow" w:hAnsi="Arial Narrow" w:cs="Arial"/>
                <w:sz w:val="18"/>
                <w:szCs w:val="18"/>
              </w:rPr>
              <w:t>published</w:t>
            </w:r>
            <w:r>
              <w:rPr>
                <w:rFonts w:ascii="Arial Narrow" w:hAnsi="Arial Narrow" w:cs="Arial"/>
                <w:sz w:val="18"/>
                <w:szCs w:val="18"/>
              </w:rPr>
              <w:t>)</w:t>
            </w:r>
          </w:p>
        </w:tc>
        <w:tc>
          <w:tcPr>
            <w:tcW w:w="469" w:type="pct"/>
          </w:tcPr>
          <w:p w:rsidR="005C76F9" w:rsidRPr="004843E9" w:rsidRDefault="005C76F9" w:rsidP="00E54D3A">
            <w:pPr>
              <w:rPr>
                <w:rFonts w:ascii="Arial Narrow" w:hAnsi="Arial Narrow" w:cs="Arial"/>
                <w:sz w:val="18"/>
                <w:szCs w:val="18"/>
              </w:rPr>
            </w:pPr>
            <w:proofErr w:type="spellStart"/>
            <w:r w:rsidRPr="004843E9">
              <w:rPr>
                <w:rFonts w:ascii="Arial Narrow" w:hAnsi="Arial Narrow" w:cs="Arial"/>
                <w:sz w:val="18"/>
                <w:szCs w:val="18"/>
              </w:rPr>
              <w:t>Iluvien</w:t>
            </w:r>
            <w:proofErr w:type="spellEnd"/>
            <w:r w:rsidRPr="004843E9">
              <w:rPr>
                <w:rFonts w:ascii="Arial Narrow" w:hAnsi="Arial Narrow" w:cs="Arial"/>
                <w:sz w:val="18"/>
                <w:szCs w:val="18"/>
                <w:vertAlign w:val="superscript"/>
              </w:rPr>
              <w:t>®</w:t>
            </w:r>
          </w:p>
        </w:tc>
        <w:tc>
          <w:tcPr>
            <w:tcW w:w="860" w:type="pct"/>
          </w:tcPr>
          <w:p w:rsidR="005C76F9" w:rsidRPr="004843E9" w:rsidRDefault="005C76F9" w:rsidP="00E54D3A">
            <w:pPr>
              <w:jc w:val="left"/>
              <w:rPr>
                <w:rFonts w:ascii="Arial Narrow" w:hAnsi="Arial Narrow" w:cs="Arial"/>
                <w:sz w:val="18"/>
                <w:szCs w:val="18"/>
              </w:rPr>
            </w:pPr>
            <w:r w:rsidRPr="004843E9">
              <w:rPr>
                <w:rFonts w:ascii="Arial Narrow" w:hAnsi="Arial Narrow" w:cs="Arial"/>
                <w:sz w:val="18"/>
                <w:szCs w:val="18"/>
              </w:rPr>
              <w:t xml:space="preserve">Specialised Therapeutics </w:t>
            </w:r>
            <w:proofErr w:type="spellStart"/>
            <w:r w:rsidRPr="004843E9">
              <w:rPr>
                <w:rFonts w:ascii="Arial Narrow" w:hAnsi="Arial Narrow" w:cs="Arial"/>
                <w:sz w:val="18"/>
                <w:szCs w:val="18"/>
              </w:rPr>
              <w:t>Alim</w:t>
            </w:r>
            <w:proofErr w:type="spellEnd"/>
            <w:r w:rsidRPr="004843E9">
              <w:rPr>
                <w:rFonts w:ascii="Arial Narrow" w:hAnsi="Arial Narrow" w:cs="Arial"/>
                <w:sz w:val="18"/>
                <w:szCs w:val="18"/>
              </w:rPr>
              <w:t xml:space="preserve"> Pty Ltd</w:t>
            </w:r>
          </w:p>
        </w:tc>
      </w:tr>
    </w:tbl>
    <w:p w:rsidR="00D51C04" w:rsidRPr="004843E9" w:rsidRDefault="00D51C04" w:rsidP="00E54D3A">
      <w:pPr>
        <w:keepNext/>
        <w:keepLines/>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E54D3A" w:rsidRPr="004843E9" w:rsidTr="004514EA">
        <w:tc>
          <w:tcPr>
            <w:tcW w:w="5000" w:type="pct"/>
          </w:tcPr>
          <w:p w:rsidR="00E54D3A" w:rsidRPr="004843E9" w:rsidRDefault="00E54D3A" w:rsidP="00E54D3A">
            <w:pPr>
              <w:keepNext/>
              <w:keepLines/>
              <w:jc w:val="left"/>
              <w:rPr>
                <w:rFonts w:ascii="Arial Narrow" w:eastAsiaTheme="majorEastAsia" w:hAnsi="Arial Narrow" w:cstheme="majorBidi"/>
                <w:sz w:val="20"/>
                <w:szCs w:val="20"/>
                <w:lang w:eastAsia="en-US" w:bidi="en-US"/>
              </w:rPr>
            </w:pPr>
            <w:r w:rsidRPr="004843E9">
              <w:rPr>
                <w:rFonts w:ascii="Arial Narrow" w:eastAsiaTheme="majorEastAsia" w:hAnsi="Arial Narrow" w:cstheme="majorBidi"/>
                <w:b/>
                <w:sz w:val="20"/>
                <w:szCs w:val="20"/>
                <w:lang w:eastAsia="en-US" w:bidi="en-US"/>
              </w:rPr>
              <w:t>Category / Program:</w:t>
            </w:r>
            <w:r w:rsidRPr="004843E9">
              <w:rPr>
                <w:rFonts w:ascii="Arial Narrow" w:eastAsiaTheme="majorEastAsia" w:hAnsi="Arial Narrow" w:cstheme="majorBidi"/>
                <w:sz w:val="20"/>
                <w:szCs w:val="20"/>
                <w:lang w:eastAsia="en-US" w:bidi="en-US"/>
              </w:rPr>
              <w:t xml:space="preserve"> General Schedule (Code GE)</w:t>
            </w:r>
          </w:p>
        </w:tc>
      </w:tr>
      <w:tr w:rsidR="00E54D3A" w:rsidRPr="004843E9" w:rsidTr="004514EA">
        <w:trPr>
          <w:trHeight w:val="192"/>
        </w:trPr>
        <w:tc>
          <w:tcPr>
            <w:tcW w:w="5000" w:type="pct"/>
          </w:tcPr>
          <w:p w:rsidR="00E54D3A" w:rsidRPr="004843E9" w:rsidRDefault="00E54D3A" w:rsidP="00E54D3A">
            <w:pPr>
              <w:keepNext/>
              <w:keepLines/>
              <w:rPr>
                <w:rFonts w:ascii="Arial Narrow" w:hAnsi="Arial Narrow" w:cs="Arial"/>
                <w:sz w:val="20"/>
                <w:szCs w:val="20"/>
              </w:rPr>
            </w:pPr>
            <w:r w:rsidRPr="004843E9">
              <w:rPr>
                <w:rFonts w:ascii="Arial Narrow" w:hAnsi="Arial Narrow" w:cs="Arial"/>
                <w:b/>
                <w:sz w:val="20"/>
                <w:szCs w:val="20"/>
              </w:rPr>
              <w:t>Prescriber type:</w:t>
            </w:r>
            <w:r w:rsidRPr="004843E9">
              <w:rPr>
                <w:rFonts w:ascii="Arial Narrow" w:hAnsi="Arial Narrow" w:cs="Arial"/>
                <w:sz w:val="20"/>
                <w:szCs w:val="20"/>
              </w:rPr>
              <w:t xml:space="preserve">    </w:t>
            </w:r>
            <w:r w:rsidRPr="004843E9">
              <w:rPr>
                <w:rFonts w:ascii="Arial Narrow" w:hAnsi="Arial Narrow" w:cs="Arial"/>
                <w:sz w:val="20"/>
                <w:szCs w:val="20"/>
              </w:rPr>
              <w:fldChar w:fldCharType="begin">
                <w:ffData>
                  <w:name w:val="Check1"/>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Dental   </w:t>
            </w:r>
            <w:r w:rsidRPr="004843E9">
              <w:rPr>
                <w:rFonts w:ascii="Arial Narrow" w:hAnsi="Arial Narrow" w:cs="Arial"/>
                <w:sz w:val="20"/>
                <w:szCs w:val="20"/>
              </w:rPr>
              <w:fldChar w:fldCharType="begin">
                <w:ffData>
                  <w:name w:val=""/>
                  <w:enabled/>
                  <w:calcOnExit w:val="0"/>
                  <w:checkBox>
                    <w:sizeAuto/>
                    <w:default w:val="1"/>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Medical Practitioners    </w:t>
            </w:r>
            <w:r w:rsidRPr="004843E9">
              <w:rPr>
                <w:rFonts w:ascii="Arial Narrow" w:hAnsi="Arial Narrow" w:cs="Arial"/>
                <w:sz w:val="20"/>
                <w:szCs w:val="20"/>
              </w:rPr>
              <w:fldChar w:fldCharType="begin">
                <w:ffData>
                  <w:name w:val="Check3"/>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Nurse practitioners  </w:t>
            </w:r>
            <w:r w:rsidRPr="004843E9">
              <w:rPr>
                <w:rFonts w:ascii="Arial Narrow" w:hAnsi="Arial Narrow" w:cs="Arial"/>
                <w:sz w:val="20"/>
                <w:szCs w:val="20"/>
              </w:rPr>
              <w:fldChar w:fldCharType="begin">
                <w:ffData>
                  <w:name w:val=""/>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Optometrists   </w:t>
            </w:r>
            <w:r w:rsidRPr="004843E9">
              <w:rPr>
                <w:rFonts w:ascii="Arial Narrow" w:hAnsi="Arial Narrow" w:cs="Arial"/>
                <w:sz w:val="20"/>
                <w:szCs w:val="20"/>
              </w:rPr>
              <w:fldChar w:fldCharType="begin">
                <w:ffData>
                  <w:name w:val="Check5"/>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Midwives</w:t>
            </w:r>
          </w:p>
        </w:tc>
      </w:tr>
      <w:tr w:rsidR="00E54D3A" w:rsidRPr="004843E9" w:rsidTr="004514EA">
        <w:trPr>
          <w:trHeight w:val="271"/>
        </w:trPr>
        <w:tc>
          <w:tcPr>
            <w:tcW w:w="5000" w:type="pct"/>
            <w:tcBorders>
              <w:bottom w:val="single" w:sz="4" w:space="0" w:color="auto"/>
            </w:tcBorders>
          </w:tcPr>
          <w:p w:rsidR="00E54D3A" w:rsidRPr="004843E9" w:rsidRDefault="00E54D3A" w:rsidP="00E54D3A">
            <w:pPr>
              <w:keepNext/>
              <w:keepLines/>
              <w:rPr>
                <w:rFonts w:ascii="Arial Narrow" w:hAnsi="Arial Narrow" w:cs="Arial"/>
                <w:b/>
                <w:sz w:val="20"/>
                <w:szCs w:val="20"/>
              </w:rPr>
            </w:pPr>
            <w:r w:rsidRPr="004843E9">
              <w:rPr>
                <w:rFonts w:ascii="Arial Narrow" w:hAnsi="Arial Narrow" w:cs="Arial"/>
                <w:b/>
                <w:sz w:val="20"/>
                <w:szCs w:val="20"/>
              </w:rPr>
              <w:t xml:space="preserve">Restriction Level / Method:  </w:t>
            </w:r>
            <w:r w:rsidRPr="004843E9">
              <w:rPr>
                <w:rFonts w:ascii="Arial Narrow" w:hAnsi="Arial Narrow" w:cs="Arial"/>
                <w:sz w:val="20"/>
                <w:szCs w:val="20"/>
              </w:rPr>
              <w:fldChar w:fldCharType="begin">
                <w:ffData>
                  <w:name w:val=""/>
                  <w:enabled/>
                  <w:calcOnExit w:val="0"/>
                  <w:checkBox>
                    <w:sizeAuto/>
                    <w:default w:val="1"/>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  Authority Required – In Writing Only</w:t>
            </w:r>
          </w:p>
        </w:tc>
      </w:tr>
      <w:tr w:rsidR="00E54D3A" w:rsidRPr="004843E9" w:rsidTr="004514EA">
        <w:tc>
          <w:tcPr>
            <w:tcW w:w="5000" w:type="pct"/>
            <w:tcBorders>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Indication:</w:t>
            </w:r>
            <w:r w:rsidRPr="004843E9">
              <w:rPr>
                <w:rFonts w:ascii="Arial Narrow" w:hAnsi="Arial Narrow" w:cs="Arial"/>
                <w:color w:val="333333"/>
                <w:sz w:val="20"/>
                <w:szCs w:val="20"/>
              </w:rPr>
              <w:t xml:space="preserve"> Diabetic macular oedema (DMO)</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Treatment Phase:</w:t>
            </w:r>
            <w:r w:rsidRPr="004843E9">
              <w:rPr>
                <w:rFonts w:ascii="Arial Narrow" w:hAnsi="Arial Narrow" w:cs="Arial"/>
                <w:color w:val="333333"/>
                <w:sz w:val="20"/>
                <w:szCs w:val="20"/>
              </w:rPr>
              <w:t xml:space="preserve"> Initial treatment</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Treatment criteria:</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9"/>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Must be treated by an ophthalmologist or in consultation with an ophthalmologist</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Clinical criteria:</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visual impairment due to diabetic macular oedema</w:t>
            </w:r>
          </w:p>
        </w:tc>
      </w:tr>
      <w:tr w:rsidR="00E54D3A" w:rsidRPr="004843E9" w:rsidTr="004514EA">
        <w:tc>
          <w:tcPr>
            <w:tcW w:w="5000" w:type="pct"/>
            <w:tcBorders>
              <w:top w:val="nil"/>
              <w:bottom w:val="nil"/>
            </w:tcBorders>
            <w:vAlign w:val="center"/>
          </w:tcPr>
          <w:p w:rsidR="00E54D3A" w:rsidRPr="004843E9" w:rsidRDefault="00E54D3A" w:rsidP="00E54D3A">
            <w:pPr>
              <w:ind w:left="720"/>
              <w:rPr>
                <w:rFonts w:ascii="Arial Narrow" w:hAnsi="Arial Narrow" w:cs="Arial"/>
                <w:snapToGrid w:val="0"/>
                <w:color w:val="333333"/>
                <w:sz w:val="20"/>
                <w:szCs w:val="20"/>
              </w:rPr>
            </w:pPr>
            <w:r w:rsidRPr="004843E9">
              <w:rPr>
                <w:rFonts w:ascii="Arial Narrow" w:hAnsi="Arial Narrow" w:cs="Arial"/>
                <w:b/>
                <w:bCs/>
                <w:snapToGrid w:val="0"/>
                <w:color w:val="333333"/>
                <w:sz w:val="20"/>
                <w:szCs w:val="20"/>
              </w:rPr>
              <w:t>AND</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 xml:space="preserve">Patient must have been treated with a course of topical or intra-ocular corticosteroids and did not experience a clinically significant rise in intraocular pressure </w:t>
            </w:r>
          </w:p>
        </w:tc>
      </w:tr>
      <w:tr w:rsidR="00E54D3A" w:rsidRPr="004843E9" w:rsidTr="004514EA">
        <w:tc>
          <w:tcPr>
            <w:tcW w:w="5000" w:type="pct"/>
            <w:tcBorders>
              <w:top w:val="nil"/>
              <w:bottom w:val="nil"/>
            </w:tcBorders>
            <w:vAlign w:val="center"/>
          </w:tcPr>
          <w:p w:rsidR="00E54D3A" w:rsidRPr="004843E9" w:rsidRDefault="00E54D3A" w:rsidP="00E54D3A">
            <w:pPr>
              <w:ind w:left="720"/>
              <w:rPr>
                <w:rFonts w:ascii="Arial Narrow" w:hAnsi="Arial Narrow" w:cs="Arial"/>
                <w:b/>
                <w:bCs/>
                <w:snapToGrid w:val="0"/>
                <w:color w:val="333333"/>
                <w:sz w:val="20"/>
                <w:szCs w:val="20"/>
              </w:rPr>
            </w:pPr>
            <w:r w:rsidRPr="004843E9">
              <w:rPr>
                <w:rFonts w:ascii="Arial Narrow" w:hAnsi="Arial Narrow" w:cs="Arial"/>
                <w:b/>
                <w:bCs/>
                <w:snapToGrid w:val="0"/>
                <w:color w:val="333333"/>
                <w:sz w:val="20"/>
                <w:szCs w:val="20"/>
              </w:rPr>
              <w:t>AND</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tc>
      </w:tr>
      <w:tr w:rsidR="00E54D3A" w:rsidRPr="004843E9" w:rsidTr="004514EA">
        <w:tc>
          <w:tcPr>
            <w:tcW w:w="5000" w:type="pct"/>
            <w:tcBorders>
              <w:top w:val="nil"/>
              <w:bottom w:val="nil"/>
            </w:tcBorders>
            <w:vAlign w:val="center"/>
          </w:tcPr>
          <w:p w:rsidR="00E54D3A" w:rsidRPr="004843E9" w:rsidRDefault="00E54D3A" w:rsidP="00E54D3A">
            <w:pPr>
              <w:ind w:left="720"/>
              <w:rPr>
                <w:rFonts w:ascii="Arial Narrow" w:hAnsi="Arial Narrow" w:cs="Arial"/>
                <w:b/>
                <w:bCs/>
                <w:snapToGrid w:val="0"/>
                <w:color w:val="333333"/>
                <w:sz w:val="20"/>
                <w:szCs w:val="20"/>
              </w:rPr>
            </w:pPr>
            <w:r w:rsidRPr="004843E9">
              <w:rPr>
                <w:rFonts w:ascii="Arial Narrow" w:hAnsi="Arial Narrow" w:cs="Arial"/>
                <w:b/>
                <w:bCs/>
                <w:snapToGrid w:val="0"/>
                <w:color w:val="333333"/>
                <w:sz w:val="20"/>
                <w:szCs w:val="20"/>
              </w:rPr>
              <w:t>AND</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The condition must be diagnosed by optical coherence tomography; or</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The condition must be diagnosed by fluorescein angiography</w:t>
            </w:r>
          </w:p>
        </w:tc>
      </w:tr>
      <w:tr w:rsidR="00E54D3A" w:rsidRPr="004843E9" w:rsidTr="004514EA">
        <w:tc>
          <w:tcPr>
            <w:tcW w:w="5000" w:type="pct"/>
            <w:tcBorders>
              <w:top w:val="nil"/>
              <w:bottom w:val="nil"/>
            </w:tcBorders>
            <w:vAlign w:val="center"/>
            <w:hideMark/>
          </w:tcPr>
          <w:p w:rsidR="00E54D3A" w:rsidRPr="004843E9" w:rsidRDefault="00E54D3A" w:rsidP="00E54D3A">
            <w:pPr>
              <w:ind w:left="720"/>
              <w:rPr>
                <w:rFonts w:ascii="Arial Narrow" w:hAnsi="Arial Narrow" w:cs="Arial"/>
                <w:snapToGrid w:val="0"/>
                <w:color w:val="333333"/>
                <w:sz w:val="20"/>
                <w:szCs w:val="20"/>
              </w:rPr>
            </w:pPr>
            <w:r w:rsidRPr="004843E9">
              <w:rPr>
                <w:rFonts w:ascii="Arial Narrow" w:hAnsi="Arial Narrow" w:cs="Arial"/>
                <w:b/>
                <w:bCs/>
                <w:snapToGrid w:val="0"/>
                <w:color w:val="333333"/>
                <w:sz w:val="20"/>
                <w:szCs w:val="20"/>
              </w:rPr>
              <w:t>AND</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a contraindication to vascular endothelial growth factor (VEGF) inhibitors; or</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be unsuitable for treatment with VEGF inhibitors; or</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0"/>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failed prior treatment with VEGF inhibitors</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Population criteria:</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1"/>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had a cataract removed in the treated eye; or</w:t>
            </w:r>
          </w:p>
        </w:tc>
      </w:tr>
      <w:tr w:rsidR="00E54D3A" w:rsidRPr="004843E9" w:rsidTr="004514EA">
        <w:tc>
          <w:tcPr>
            <w:tcW w:w="5000" w:type="pct"/>
            <w:tcBorders>
              <w:top w:val="nil"/>
            </w:tcBorders>
            <w:vAlign w:val="center"/>
            <w:hideMark/>
          </w:tcPr>
          <w:p w:rsidR="00E54D3A" w:rsidRPr="004843E9" w:rsidRDefault="00E54D3A" w:rsidP="00955036">
            <w:pPr>
              <w:numPr>
                <w:ilvl w:val="0"/>
                <w:numId w:val="11"/>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be scheduled for cataract surgery in the treated eye</w:t>
            </w:r>
          </w:p>
        </w:tc>
      </w:tr>
      <w:tr w:rsidR="00E54D3A" w:rsidRPr="004843E9" w:rsidTr="004514EA">
        <w:trPr>
          <w:trHeight w:val="3023"/>
        </w:trPr>
        <w:tc>
          <w:tcPr>
            <w:tcW w:w="5000" w:type="pct"/>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Prescribing Instructions:</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Authority approval for initial treatment of each eye must be sought.</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The first authority application for each eye must be made in writing or by telephone.</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 written application must include:</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 a completed authority prescription form;</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b) a completed Diabetic Macular Oedema (DMO) - PBS Supporting Information Form; and</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 xml:space="preserve">c) </w:t>
            </w:r>
            <w:proofErr w:type="gramStart"/>
            <w:r w:rsidRPr="004843E9">
              <w:rPr>
                <w:rFonts w:ascii="Arial Narrow" w:hAnsi="Arial Narrow" w:cs="Arial"/>
                <w:color w:val="333333"/>
                <w:sz w:val="20"/>
                <w:szCs w:val="20"/>
              </w:rPr>
              <w:t>a</w:t>
            </w:r>
            <w:proofErr w:type="gramEnd"/>
            <w:r w:rsidRPr="004843E9">
              <w:rPr>
                <w:rFonts w:ascii="Arial Narrow" w:hAnsi="Arial Narrow" w:cs="Arial"/>
                <w:color w:val="333333"/>
                <w:sz w:val="20"/>
                <w:szCs w:val="20"/>
              </w:rPr>
              <w:t xml:space="preserve"> copy of the optical coherence tomography or fluorescein angiogram report.</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 telephone application must be made following submission by facsimile of a copy of a completed Diabetic Macular Oedema (DMO) - PBS Supporting Information Form and a copy of the optical coherence tomography or fluorescein angiogram report.</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Authority applications for the same eye will be limited to 1 application per 36 month period.</w:t>
            </w:r>
          </w:p>
        </w:tc>
      </w:tr>
      <w:tr w:rsidR="00E54D3A" w:rsidRPr="004843E9" w:rsidTr="004514EA">
        <w:trPr>
          <w:trHeight w:val="3752"/>
        </w:trPr>
        <w:tc>
          <w:tcPr>
            <w:tcW w:w="5000" w:type="pct"/>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lastRenderedPageBreak/>
              <w:t>Administrative Advice:</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Any queries concerning the arrangements to prescribe may be directed to the Department of Human Services on 1800 700 270 (hours of operation 8 a.m. to 5 p.m. EST Monday to Friday).</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Prescribing information (including Authority Application forms and other relevant documentation as applicable) is available on the Department of Human Services website at www.humanservices.gov.au</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 xml:space="preserve">Applications for authority to prescribe should be forwarded to: </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Department of Human Services</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 xml:space="preserve">Complex Drugs </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 xml:space="preserve">Reply Paid 9826 </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HOBART TAS 7001</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The first authority application may be faxed to the Department of Human Services on 1300 093 177 (hours of operation 8 a.m. to 5 p.m. EST Monday to Friday). The Department will then contact the prescriber by telephone.</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Special Pricing Arrangements apply.</w:t>
            </w:r>
          </w:p>
        </w:tc>
      </w:tr>
    </w:tbl>
    <w:p w:rsidR="00E54D3A" w:rsidRPr="004843E9" w:rsidRDefault="00E54D3A" w:rsidP="00E54D3A">
      <w:pPr>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E54D3A" w:rsidRPr="004843E9" w:rsidTr="004514EA">
        <w:tc>
          <w:tcPr>
            <w:tcW w:w="5000" w:type="pct"/>
          </w:tcPr>
          <w:p w:rsidR="00E54D3A" w:rsidRPr="004843E9" w:rsidRDefault="00E54D3A" w:rsidP="00E54D3A">
            <w:pPr>
              <w:rPr>
                <w:rFonts w:ascii="Arial Narrow" w:hAnsi="Arial Narrow" w:cs="Arial"/>
                <w:b/>
                <w:bCs/>
                <w:color w:val="333333"/>
                <w:sz w:val="20"/>
                <w:szCs w:val="20"/>
              </w:rPr>
            </w:pPr>
            <w:r w:rsidRPr="004843E9">
              <w:rPr>
                <w:rFonts w:ascii="Arial Narrow" w:hAnsi="Arial Narrow" w:cs="Arial"/>
                <w:b/>
                <w:sz w:val="20"/>
                <w:szCs w:val="20"/>
              </w:rPr>
              <w:t>Category / Program:</w:t>
            </w:r>
            <w:r w:rsidRPr="004843E9">
              <w:rPr>
                <w:rFonts w:ascii="Arial Narrow" w:hAnsi="Arial Narrow" w:cs="Arial"/>
                <w:sz w:val="20"/>
                <w:szCs w:val="20"/>
              </w:rPr>
              <w:t xml:space="preserve"> General Schedule (Code GE)</w:t>
            </w:r>
          </w:p>
        </w:tc>
      </w:tr>
      <w:tr w:rsidR="00E54D3A" w:rsidRPr="004843E9" w:rsidTr="004514EA">
        <w:tc>
          <w:tcPr>
            <w:tcW w:w="5000" w:type="pct"/>
          </w:tcPr>
          <w:p w:rsidR="00E54D3A" w:rsidRPr="004843E9" w:rsidRDefault="00E54D3A" w:rsidP="00E54D3A">
            <w:pPr>
              <w:rPr>
                <w:rFonts w:ascii="Arial Narrow" w:hAnsi="Arial Narrow" w:cs="Arial"/>
                <w:b/>
                <w:bCs/>
                <w:color w:val="333333"/>
                <w:sz w:val="20"/>
                <w:szCs w:val="20"/>
              </w:rPr>
            </w:pPr>
            <w:r w:rsidRPr="004843E9">
              <w:rPr>
                <w:rFonts w:ascii="Arial Narrow" w:hAnsi="Arial Narrow" w:cs="Arial"/>
                <w:b/>
                <w:sz w:val="20"/>
                <w:szCs w:val="20"/>
              </w:rPr>
              <w:t>Prescriber type:</w:t>
            </w:r>
            <w:r w:rsidRPr="004843E9">
              <w:rPr>
                <w:rFonts w:ascii="Arial Narrow" w:hAnsi="Arial Narrow" w:cs="Arial"/>
                <w:sz w:val="20"/>
                <w:szCs w:val="20"/>
              </w:rPr>
              <w:t xml:space="preserve">    </w:t>
            </w:r>
            <w:r w:rsidRPr="004843E9">
              <w:rPr>
                <w:rFonts w:ascii="Arial Narrow" w:hAnsi="Arial Narrow" w:cs="Arial"/>
                <w:sz w:val="20"/>
                <w:szCs w:val="20"/>
              </w:rPr>
              <w:fldChar w:fldCharType="begin">
                <w:ffData>
                  <w:name w:val="Check1"/>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Dental   </w:t>
            </w:r>
            <w:r w:rsidRPr="004843E9">
              <w:rPr>
                <w:rFonts w:ascii="Arial Narrow" w:hAnsi="Arial Narrow" w:cs="Arial"/>
                <w:sz w:val="20"/>
                <w:szCs w:val="20"/>
              </w:rPr>
              <w:fldChar w:fldCharType="begin">
                <w:ffData>
                  <w:name w:val=""/>
                  <w:enabled/>
                  <w:calcOnExit w:val="0"/>
                  <w:checkBox>
                    <w:sizeAuto/>
                    <w:default w:val="1"/>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  Medical Practitioners    </w:t>
            </w:r>
            <w:r w:rsidRPr="004843E9">
              <w:rPr>
                <w:rFonts w:ascii="Arial Narrow" w:hAnsi="Arial Narrow" w:cs="Arial"/>
                <w:sz w:val="20"/>
                <w:szCs w:val="20"/>
              </w:rPr>
              <w:fldChar w:fldCharType="begin">
                <w:ffData>
                  <w:name w:val="Check3"/>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Nurse practitioners  </w:t>
            </w:r>
            <w:r w:rsidRPr="004843E9">
              <w:rPr>
                <w:rFonts w:ascii="Arial Narrow" w:hAnsi="Arial Narrow" w:cs="Arial"/>
                <w:sz w:val="20"/>
                <w:szCs w:val="20"/>
              </w:rPr>
              <w:fldChar w:fldCharType="begin">
                <w:ffData>
                  <w:name w:val=""/>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 xml:space="preserve">Optometrists   </w:t>
            </w:r>
            <w:r w:rsidRPr="004843E9">
              <w:rPr>
                <w:rFonts w:ascii="Arial Narrow" w:hAnsi="Arial Narrow" w:cs="Arial"/>
                <w:sz w:val="20"/>
                <w:szCs w:val="20"/>
              </w:rPr>
              <w:fldChar w:fldCharType="begin">
                <w:ffData>
                  <w:name w:val="Check5"/>
                  <w:enabled/>
                  <w:calcOnExit w:val="0"/>
                  <w:checkBox>
                    <w:sizeAuto/>
                    <w:default w:val="0"/>
                  </w:checkBox>
                </w:ffData>
              </w:fldChar>
            </w:r>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r w:rsidRPr="004843E9">
              <w:rPr>
                <w:rFonts w:ascii="Arial Narrow" w:hAnsi="Arial Narrow" w:cs="Arial"/>
                <w:sz w:val="20"/>
                <w:szCs w:val="20"/>
              </w:rPr>
              <w:t>Midwives</w:t>
            </w:r>
          </w:p>
        </w:tc>
      </w:tr>
      <w:tr w:rsidR="00E54D3A" w:rsidRPr="004843E9" w:rsidTr="004514EA">
        <w:tc>
          <w:tcPr>
            <w:tcW w:w="5000" w:type="pct"/>
            <w:tcBorders>
              <w:bottom w:val="single" w:sz="4" w:space="0" w:color="auto"/>
            </w:tcBorders>
          </w:tcPr>
          <w:p w:rsidR="00E54D3A" w:rsidRPr="004843E9" w:rsidRDefault="00E54D3A" w:rsidP="00E54D3A">
            <w:pPr>
              <w:rPr>
                <w:rFonts w:ascii="Arial Narrow" w:hAnsi="Arial Narrow" w:cs="Arial"/>
                <w:b/>
                <w:sz w:val="20"/>
                <w:szCs w:val="20"/>
              </w:rPr>
            </w:pPr>
            <w:r w:rsidRPr="004843E9">
              <w:rPr>
                <w:rFonts w:ascii="Arial Narrow" w:hAnsi="Arial Narrow" w:cs="Arial"/>
                <w:b/>
                <w:sz w:val="20"/>
                <w:szCs w:val="20"/>
              </w:rPr>
              <w:t xml:space="preserve">Restriction Level / Method:  </w:t>
            </w:r>
            <w:r w:rsidRPr="004843E9">
              <w:rPr>
                <w:rFonts w:ascii="Arial Narrow" w:hAnsi="Arial Narrow" w:cs="Arial"/>
                <w:sz w:val="20"/>
                <w:szCs w:val="20"/>
              </w:rPr>
              <w:fldChar w:fldCharType="begin">
                <w:ffData>
                  <w:name w:val="Check3"/>
                  <w:enabled/>
                  <w:calcOnExit w:val="0"/>
                  <w:checkBox>
                    <w:sizeAuto/>
                    <w:default w:val="1"/>
                  </w:checkBox>
                </w:ffData>
              </w:fldChar>
            </w:r>
            <w:bookmarkStart w:id="0" w:name="Check3"/>
            <w:r w:rsidRPr="004843E9">
              <w:rPr>
                <w:rFonts w:ascii="Arial Narrow" w:hAnsi="Arial Narrow" w:cs="Arial"/>
                <w:sz w:val="20"/>
                <w:szCs w:val="20"/>
              </w:rPr>
              <w:instrText xml:space="preserve"> FORMCHECKBOX </w:instrText>
            </w:r>
            <w:r w:rsidR="00811338">
              <w:rPr>
                <w:rFonts w:ascii="Arial Narrow" w:hAnsi="Arial Narrow" w:cs="Arial"/>
                <w:sz w:val="20"/>
                <w:szCs w:val="20"/>
              </w:rPr>
            </w:r>
            <w:r w:rsidR="00811338">
              <w:rPr>
                <w:rFonts w:ascii="Arial Narrow" w:hAnsi="Arial Narrow" w:cs="Arial"/>
                <w:sz w:val="20"/>
                <w:szCs w:val="20"/>
              </w:rPr>
              <w:fldChar w:fldCharType="separate"/>
            </w:r>
            <w:r w:rsidRPr="004843E9">
              <w:rPr>
                <w:rFonts w:ascii="Arial Narrow" w:hAnsi="Arial Narrow" w:cs="Arial"/>
                <w:sz w:val="20"/>
                <w:szCs w:val="20"/>
              </w:rPr>
              <w:fldChar w:fldCharType="end"/>
            </w:r>
            <w:bookmarkEnd w:id="0"/>
            <w:r w:rsidRPr="004843E9">
              <w:rPr>
                <w:rFonts w:ascii="Arial Narrow" w:hAnsi="Arial Narrow" w:cs="Arial"/>
                <w:sz w:val="20"/>
                <w:szCs w:val="20"/>
              </w:rPr>
              <w:t xml:space="preserve">  Authority Required – Telephone/Electronic/Emergency</w:t>
            </w:r>
          </w:p>
        </w:tc>
      </w:tr>
      <w:tr w:rsidR="00E54D3A" w:rsidRPr="004843E9" w:rsidTr="004514EA">
        <w:tc>
          <w:tcPr>
            <w:tcW w:w="5000" w:type="pct"/>
            <w:tcBorders>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Indication:</w:t>
            </w:r>
            <w:r w:rsidRPr="004843E9">
              <w:rPr>
                <w:rFonts w:ascii="Arial Narrow" w:hAnsi="Arial Narrow" w:cs="Arial"/>
                <w:color w:val="333333"/>
                <w:sz w:val="20"/>
                <w:szCs w:val="20"/>
              </w:rPr>
              <w:t xml:space="preserve"> Diabetic macular oedema (DMO)</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Treatment Phase:</w:t>
            </w:r>
            <w:r w:rsidRPr="004843E9">
              <w:rPr>
                <w:rFonts w:ascii="Arial Narrow" w:hAnsi="Arial Narrow" w:cs="Arial"/>
                <w:color w:val="333333"/>
                <w:sz w:val="20"/>
                <w:szCs w:val="20"/>
              </w:rPr>
              <w:t xml:space="preserve"> Continuing treatment</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Treatment criteria:</w:t>
            </w:r>
          </w:p>
        </w:tc>
      </w:tr>
      <w:tr w:rsidR="00E54D3A" w:rsidRPr="004843E9" w:rsidTr="004514EA">
        <w:tc>
          <w:tcPr>
            <w:tcW w:w="5000" w:type="pct"/>
            <w:tcBorders>
              <w:top w:val="nil"/>
              <w:bottom w:val="nil"/>
            </w:tcBorders>
            <w:vAlign w:val="center"/>
            <w:hideMark/>
          </w:tcPr>
          <w:p w:rsidR="00E54D3A" w:rsidRPr="004843E9" w:rsidRDefault="00E54D3A" w:rsidP="00955036">
            <w:pPr>
              <w:numPr>
                <w:ilvl w:val="0"/>
                <w:numId w:val="12"/>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Must be treated by an ophthalmologist or in consultation with an ophthalmologist</w:t>
            </w:r>
          </w:p>
        </w:tc>
      </w:tr>
      <w:tr w:rsidR="00E54D3A" w:rsidRPr="004843E9" w:rsidTr="004514EA">
        <w:tc>
          <w:tcPr>
            <w:tcW w:w="5000" w:type="pct"/>
            <w:tcBorders>
              <w:top w:val="nil"/>
              <w:bottom w:val="nil"/>
            </w:tcBorders>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Clinical criteria:</w:t>
            </w:r>
          </w:p>
        </w:tc>
      </w:tr>
      <w:tr w:rsidR="00E54D3A" w:rsidRPr="004843E9" w:rsidTr="004514EA">
        <w:tc>
          <w:tcPr>
            <w:tcW w:w="5000" w:type="pct"/>
            <w:tcBorders>
              <w:top w:val="nil"/>
            </w:tcBorders>
            <w:vAlign w:val="center"/>
            <w:hideMark/>
          </w:tcPr>
          <w:p w:rsidR="00E54D3A" w:rsidRPr="004843E9" w:rsidRDefault="00E54D3A" w:rsidP="00955036">
            <w:pPr>
              <w:numPr>
                <w:ilvl w:val="0"/>
                <w:numId w:val="12"/>
              </w:numPr>
              <w:rPr>
                <w:rFonts w:ascii="Arial Narrow" w:hAnsi="Arial Narrow" w:cs="Arial"/>
                <w:snapToGrid w:val="0"/>
                <w:color w:val="333333"/>
                <w:sz w:val="20"/>
                <w:szCs w:val="20"/>
              </w:rPr>
            </w:pPr>
            <w:r w:rsidRPr="004843E9">
              <w:rPr>
                <w:rFonts w:ascii="Arial Narrow" w:hAnsi="Arial Narrow" w:cs="Arial"/>
                <w:snapToGrid w:val="0"/>
                <w:color w:val="333333"/>
                <w:sz w:val="20"/>
                <w:szCs w:val="20"/>
              </w:rPr>
              <w:t>Patient must have previously been issued with an authority prescription for this drug for the same eye</w:t>
            </w:r>
          </w:p>
        </w:tc>
      </w:tr>
      <w:tr w:rsidR="00E54D3A" w:rsidRPr="004843E9" w:rsidTr="004514EA">
        <w:tc>
          <w:tcPr>
            <w:tcW w:w="5000" w:type="pct"/>
            <w:vAlign w:val="center"/>
          </w:tcPr>
          <w:p w:rsidR="00E54D3A" w:rsidRPr="004843E9" w:rsidRDefault="00E54D3A" w:rsidP="00E54D3A">
            <w:pPr>
              <w:rPr>
                <w:rFonts w:ascii="Arial Narrow" w:hAnsi="Arial Narrow" w:cs="Arial"/>
                <w:b/>
                <w:bCs/>
                <w:color w:val="333333"/>
                <w:sz w:val="20"/>
                <w:szCs w:val="20"/>
              </w:rPr>
            </w:pPr>
            <w:r w:rsidRPr="004843E9">
              <w:rPr>
                <w:rFonts w:ascii="Arial Narrow" w:hAnsi="Arial Narrow" w:cs="Arial"/>
                <w:b/>
                <w:bCs/>
                <w:color w:val="333333"/>
                <w:sz w:val="20"/>
                <w:szCs w:val="20"/>
              </w:rPr>
              <w:t>Prescribing Instructions:</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Authority applications for the same eye will be limited to 1 application per 36 month period.</w:t>
            </w:r>
          </w:p>
        </w:tc>
      </w:tr>
      <w:tr w:rsidR="00E54D3A" w:rsidRPr="004843E9" w:rsidTr="004514EA">
        <w:trPr>
          <w:trHeight w:val="958"/>
        </w:trPr>
        <w:tc>
          <w:tcPr>
            <w:tcW w:w="5000" w:type="pct"/>
            <w:vAlign w:val="center"/>
            <w:hideMark/>
          </w:tcPr>
          <w:p w:rsidR="00E54D3A" w:rsidRPr="004843E9" w:rsidRDefault="00E54D3A" w:rsidP="00E54D3A">
            <w:pPr>
              <w:rPr>
                <w:rFonts w:ascii="Arial Narrow" w:hAnsi="Arial Narrow" w:cs="Arial"/>
                <w:color w:val="333333"/>
                <w:sz w:val="20"/>
                <w:szCs w:val="20"/>
              </w:rPr>
            </w:pPr>
            <w:r w:rsidRPr="004843E9">
              <w:rPr>
                <w:rFonts w:ascii="Arial Narrow" w:hAnsi="Arial Narrow" w:cs="Arial"/>
                <w:b/>
                <w:bCs/>
                <w:color w:val="333333"/>
                <w:sz w:val="20"/>
                <w:szCs w:val="20"/>
              </w:rPr>
              <w:t>Administrative Advice:</w:t>
            </w: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Authority applications for continuing treatment in the same eye may be made by telephone on 1800 700 270 (hours of operation 8 a.m. to 5 p.m. EST Monday to Friday).</w:t>
            </w:r>
          </w:p>
          <w:p w:rsidR="00E54D3A" w:rsidRPr="004843E9" w:rsidRDefault="00E54D3A" w:rsidP="00E54D3A">
            <w:pPr>
              <w:rPr>
                <w:rFonts w:ascii="Arial Narrow" w:hAnsi="Arial Narrow" w:cs="Arial"/>
                <w:color w:val="333333"/>
                <w:sz w:val="20"/>
                <w:szCs w:val="20"/>
              </w:rPr>
            </w:pPr>
          </w:p>
          <w:p w:rsidR="00E54D3A" w:rsidRPr="004843E9" w:rsidRDefault="00E54D3A" w:rsidP="00E54D3A">
            <w:pPr>
              <w:rPr>
                <w:rFonts w:ascii="Arial Narrow" w:hAnsi="Arial Narrow" w:cs="Arial"/>
                <w:color w:val="333333"/>
                <w:sz w:val="20"/>
                <w:szCs w:val="20"/>
              </w:rPr>
            </w:pPr>
            <w:r w:rsidRPr="004843E9">
              <w:rPr>
                <w:rFonts w:ascii="Arial Narrow" w:hAnsi="Arial Narrow" w:cs="Arial"/>
                <w:color w:val="333333"/>
                <w:sz w:val="20"/>
                <w:szCs w:val="20"/>
              </w:rPr>
              <w:t>Special Pricing Arrangements apply.</w:t>
            </w:r>
          </w:p>
        </w:tc>
      </w:tr>
    </w:tbl>
    <w:p w:rsidR="005A3173" w:rsidRPr="004843E9" w:rsidRDefault="005A3173" w:rsidP="001D5429">
      <w:pPr>
        <w:pStyle w:val="2-SectionHeading"/>
        <w:rPr>
          <w:color w:val="FF0000"/>
        </w:rPr>
      </w:pPr>
      <w:r w:rsidRPr="004843E9">
        <w:t>Comparator</w:t>
      </w:r>
    </w:p>
    <w:p w:rsidR="00180713" w:rsidRPr="004843E9" w:rsidRDefault="00180713" w:rsidP="00ED6E32">
      <w:pPr>
        <w:pStyle w:val="3Bodytext"/>
        <w:jc w:val="both"/>
      </w:pPr>
      <w:r w:rsidRPr="004843E9">
        <w:t xml:space="preserve">The </w:t>
      </w:r>
      <w:r w:rsidR="00F34345" w:rsidRPr="004843E9">
        <w:t xml:space="preserve">March 2020 </w:t>
      </w:r>
      <w:r w:rsidRPr="004843E9">
        <w:t>submission</w:t>
      </w:r>
      <w:r w:rsidR="00F34345" w:rsidRPr="004843E9">
        <w:t xml:space="preserve"> </w:t>
      </w:r>
      <w:r w:rsidRPr="004843E9">
        <w:t xml:space="preserve">nominated </w:t>
      </w:r>
      <w:r w:rsidR="00E54D3A" w:rsidRPr="004843E9">
        <w:t>DEX</w:t>
      </w:r>
      <w:r w:rsidR="00F34345" w:rsidRPr="004843E9">
        <w:t xml:space="preserve"> as the comparator (paragraph 5.1, FA PSD, March 2020), as it is currently PBS listed for the treatment of DMO in patients who have a contraindication, have failed or are unsuitable for VEGF inhibitors</w:t>
      </w:r>
      <w:r w:rsidR="00E54D3A" w:rsidRPr="004843E9">
        <w:t>.</w:t>
      </w:r>
      <w:r w:rsidR="004F3FDA" w:rsidRPr="004843E9">
        <w:t xml:space="preserve"> The minor resubmission did not update the proposed comparator</w:t>
      </w:r>
      <w:r w:rsidR="004843E9">
        <w:t xml:space="preserve">. </w:t>
      </w:r>
    </w:p>
    <w:p w:rsidR="000B558D" w:rsidRPr="004843E9" w:rsidRDefault="008D7A41" w:rsidP="00C32888">
      <w:pPr>
        <w:pStyle w:val="2-SectionHeading"/>
      </w:pPr>
      <w:r w:rsidRPr="004843E9">
        <w:t>C</w:t>
      </w:r>
      <w:r w:rsidR="00D84934" w:rsidRPr="004843E9">
        <w:t>onsideration of the evidence</w:t>
      </w:r>
    </w:p>
    <w:p w:rsidR="001C3D16" w:rsidRPr="004843E9" w:rsidRDefault="001C3D16" w:rsidP="001C3D16">
      <w:pPr>
        <w:pStyle w:val="4-SubsectionHeading"/>
        <w:rPr>
          <w:snapToGrid w:val="0"/>
        </w:rPr>
      </w:pPr>
      <w:r w:rsidRPr="004843E9">
        <w:rPr>
          <w:snapToGrid w:val="0"/>
        </w:rPr>
        <w:t>Sponsor hearing</w:t>
      </w:r>
    </w:p>
    <w:p w:rsidR="001C3D16" w:rsidRPr="004843E9" w:rsidRDefault="001C3D16" w:rsidP="001C3D16">
      <w:pPr>
        <w:widowControl w:val="0"/>
        <w:numPr>
          <w:ilvl w:val="1"/>
          <w:numId w:val="1"/>
        </w:numPr>
        <w:spacing w:after="120"/>
        <w:rPr>
          <w:rFonts w:asciiTheme="minorHAnsi" w:hAnsiTheme="minorHAnsi" w:cs="Arial"/>
          <w:bCs/>
          <w:snapToGrid w:val="0"/>
        </w:rPr>
      </w:pPr>
      <w:r w:rsidRPr="004843E9">
        <w:rPr>
          <w:rFonts w:asciiTheme="minorHAnsi" w:hAnsiTheme="minorHAnsi" w:cs="Arial"/>
          <w:bCs/>
          <w:snapToGrid w:val="0"/>
        </w:rPr>
        <w:t>There was no hearing for this ite</w:t>
      </w:r>
      <w:r w:rsidR="00561E86" w:rsidRPr="004843E9">
        <w:rPr>
          <w:rFonts w:asciiTheme="minorHAnsi" w:hAnsiTheme="minorHAnsi" w:cs="Arial"/>
          <w:bCs/>
          <w:snapToGrid w:val="0"/>
        </w:rPr>
        <w:t>m as it was a minor submission.</w:t>
      </w:r>
    </w:p>
    <w:p w:rsidR="001C3D16" w:rsidRPr="004843E9" w:rsidRDefault="001C3D16" w:rsidP="001C3D16">
      <w:pPr>
        <w:pStyle w:val="4-SubsectionHeading"/>
        <w:rPr>
          <w:snapToGrid w:val="0"/>
        </w:rPr>
      </w:pPr>
      <w:r w:rsidRPr="004843E9">
        <w:rPr>
          <w:snapToGrid w:val="0"/>
        </w:rPr>
        <w:t>Consumer comments</w:t>
      </w:r>
    </w:p>
    <w:p w:rsidR="001C3D16" w:rsidRPr="004843E9" w:rsidRDefault="001C3D16" w:rsidP="000E2099">
      <w:pPr>
        <w:widowControl w:val="0"/>
        <w:numPr>
          <w:ilvl w:val="1"/>
          <w:numId w:val="1"/>
        </w:numPr>
        <w:spacing w:after="120"/>
        <w:rPr>
          <w:rFonts w:cs="Arial"/>
          <w:bCs/>
          <w:snapToGrid w:val="0"/>
        </w:rPr>
      </w:pPr>
      <w:r w:rsidRPr="004843E9">
        <w:rPr>
          <w:rFonts w:asciiTheme="minorHAnsi" w:hAnsiTheme="minorHAnsi" w:cs="Arial"/>
          <w:bCs/>
          <w:snapToGrid w:val="0"/>
        </w:rPr>
        <w:t xml:space="preserve">The PBAC noted and welcomed the input from </w:t>
      </w:r>
      <w:r w:rsidR="00F24278" w:rsidRPr="004843E9">
        <w:rPr>
          <w:rFonts w:asciiTheme="minorHAnsi" w:hAnsiTheme="minorHAnsi" w:cs="Arial"/>
          <w:bCs/>
          <w:snapToGrid w:val="0"/>
        </w:rPr>
        <w:t>3 health care professionals (HCPs)</w:t>
      </w:r>
      <w:r w:rsidRPr="004843E9">
        <w:rPr>
          <w:rFonts w:asciiTheme="minorHAnsi" w:hAnsiTheme="minorHAnsi" w:cs="Arial"/>
          <w:bCs/>
          <w:snapToGrid w:val="0"/>
        </w:rPr>
        <w:t xml:space="preserve"> via </w:t>
      </w:r>
      <w:r w:rsidRPr="004843E9">
        <w:rPr>
          <w:rFonts w:asciiTheme="minorHAnsi" w:hAnsiTheme="minorHAnsi" w:cs="Arial"/>
          <w:bCs/>
          <w:snapToGrid w:val="0"/>
        </w:rPr>
        <w:lastRenderedPageBreak/>
        <w:t>the Consumer Commen</w:t>
      </w:r>
      <w:r w:rsidR="00D70326" w:rsidRPr="004843E9">
        <w:rPr>
          <w:rFonts w:asciiTheme="minorHAnsi" w:hAnsiTheme="minorHAnsi" w:cs="Arial"/>
          <w:bCs/>
          <w:snapToGrid w:val="0"/>
        </w:rPr>
        <w:t>ts facility on the PBS website.</w:t>
      </w:r>
      <w:r w:rsidRPr="004843E9">
        <w:rPr>
          <w:rFonts w:asciiTheme="minorHAnsi" w:hAnsiTheme="minorHAnsi" w:cs="Arial"/>
          <w:bCs/>
          <w:snapToGrid w:val="0"/>
        </w:rPr>
        <w:t xml:space="preserve"> The comments described a range of benefits of treatment with </w:t>
      </w:r>
      <w:r w:rsidR="00F24278" w:rsidRPr="004843E9">
        <w:rPr>
          <w:rFonts w:asciiTheme="minorHAnsi" w:hAnsiTheme="minorHAnsi" w:cs="Arial"/>
          <w:bCs/>
          <w:snapToGrid w:val="0"/>
        </w:rPr>
        <w:t>FA,</w:t>
      </w:r>
      <w:r w:rsidRPr="004843E9">
        <w:rPr>
          <w:rFonts w:asciiTheme="minorHAnsi" w:hAnsiTheme="minorHAnsi" w:cs="Arial"/>
          <w:bCs/>
          <w:snapToGrid w:val="0"/>
        </w:rPr>
        <w:t xml:space="preserve"> </w:t>
      </w:r>
      <w:r w:rsidR="00906FFB" w:rsidRPr="004843E9">
        <w:rPr>
          <w:rFonts w:asciiTheme="minorHAnsi" w:hAnsiTheme="minorHAnsi" w:cs="Arial"/>
          <w:bCs/>
          <w:snapToGrid w:val="0"/>
        </w:rPr>
        <w:t xml:space="preserve">including </w:t>
      </w:r>
      <w:r w:rsidR="00906FFB" w:rsidRPr="004843E9">
        <w:rPr>
          <w:rFonts w:cs="Arial"/>
          <w:bCs/>
          <w:snapToGrid w:val="0"/>
        </w:rPr>
        <w:t xml:space="preserve">access for suitable patients who are recalcitrant to other forms of treatment. The HCPs commented that FA reduces burden of treatment and frequency of </w:t>
      </w:r>
      <w:proofErr w:type="spellStart"/>
      <w:r w:rsidR="00906FFB" w:rsidRPr="004843E9">
        <w:rPr>
          <w:rFonts w:cs="Arial"/>
          <w:bCs/>
          <w:snapToGrid w:val="0"/>
        </w:rPr>
        <w:t>intravitreal</w:t>
      </w:r>
      <w:proofErr w:type="spellEnd"/>
      <w:r w:rsidR="00906FFB" w:rsidRPr="004843E9">
        <w:rPr>
          <w:rFonts w:cs="Arial"/>
          <w:bCs/>
          <w:snapToGrid w:val="0"/>
        </w:rPr>
        <w:t xml:space="preserve"> injections, as well as the risk of infection, and that it has associated productivity and efficiency gains. They stated that a longer lasting injection would be of benefit to patients, especially those who currently have to come every month for an injection, and that they have been waiting for it to be available in Australia after seeing its success in the United States.</w:t>
      </w:r>
    </w:p>
    <w:p w:rsidR="00D84934" w:rsidRPr="004843E9" w:rsidRDefault="00D84934" w:rsidP="001D5429">
      <w:pPr>
        <w:pStyle w:val="4-SubsectionHeading"/>
      </w:pPr>
      <w:r w:rsidRPr="004843E9">
        <w:t>Clinical trials</w:t>
      </w:r>
      <w:r w:rsidR="0099465B" w:rsidRPr="004843E9">
        <w:t xml:space="preserve"> </w:t>
      </w:r>
    </w:p>
    <w:p w:rsidR="007F35CE" w:rsidRPr="004843E9" w:rsidRDefault="0031578F" w:rsidP="007F35CE">
      <w:pPr>
        <w:pStyle w:val="3Bodytext"/>
        <w:jc w:val="both"/>
      </w:pPr>
      <w:r w:rsidRPr="004843E9">
        <w:t xml:space="preserve">The March 2020 submission </w:t>
      </w:r>
      <w:r w:rsidR="002B1322" w:rsidRPr="004843E9">
        <w:t>was based on an indirect comparison of four randomised trials</w:t>
      </w:r>
      <w:r w:rsidR="00C117FE" w:rsidRPr="004843E9">
        <w:t xml:space="preserve"> (RCTs)</w:t>
      </w:r>
      <w:r w:rsidR="002B1322" w:rsidRPr="004843E9">
        <w:t xml:space="preserve">: a pooled analysis of two identical trials comparing FA to sham injection </w:t>
      </w:r>
      <w:r w:rsidR="00D40CA9" w:rsidRPr="004843E9">
        <w:t>(FAME</w:t>
      </w:r>
      <w:r w:rsidR="00D40CA9" w:rsidRPr="004843E9">
        <w:noBreakHyphen/>
      </w:r>
      <w:r w:rsidR="002B1322" w:rsidRPr="004843E9">
        <w:t>001a; N=</w:t>
      </w:r>
      <w:r w:rsidR="00AC5D34" w:rsidRPr="004843E9">
        <w:t>190</w:t>
      </w:r>
      <w:r w:rsidR="002B1322" w:rsidRPr="004843E9">
        <w:t xml:space="preserve"> and FAME-001b; N=</w:t>
      </w:r>
      <w:r w:rsidR="00AC5D34" w:rsidRPr="004843E9">
        <w:t>186</w:t>
      </w:r>
      <w:r w:rsidR="002B1322" w:rsidRPr="004843E9">
        <w:t>) and a pooled analysis of two identical trials comparing DEX to sham injection (MEAD-010; N=</w:t>
      </w:r>
      <w:r w:rsidR="00AC5D34" w:rsidRPr="004843E9">
        <w:t>163</w:t>
      </w:r>
      <w:r w:rsidR="002B1322" w:rsidRPr="004843E9">
        <w:t xml:space="preserve"> and MEAD-011; N=</w:t>
      </w:r>
      <w:r w:rsidR="00AC5D34" w:rsidRPr="004843E9">
        <w:t>188</w:t>
      </w:r>
      <w:r w:rsidR="002B1322" w:rsidRPr="004843E9">
        <w:t xml:space="preserve">), in patients with </w:t>
      </w:r>
      <w:r w:rsidR="00AC5D34" w:rsidRPr="004843E9">
        <w:t>DMO</w:t>
      </w:r>
      <w:r w:rsidR="002B1322" w:rsidRPr="004843E9">
        <w:t xml:space="preserve">. No new clinical evidence was presented in the minor resubmission. </w:t>
      </w:r>
      <w:r w:rsidR="002B1322" w:rsidRPr="004843E9">
        <w:rPr>
          <w:rFonts w:cstheme="minorHAnsi"/>
        </w:rPr>
        <w:t>Details of the trials presented in the March 2020 submission</w:t>
      </w:r>
      <w:r w:rsidR="00987767">
        <w:rPr>
          <w:rFonts w:cstheme="minorHAnsi"/>
        </w:rPr>
        <w:t xml:space="preserve"> can be found in Table 2, FA PSD, </w:t>
      </w:r>
      <w:proofErr w:type="gramStart"/>
      <w:r w:rsidR="00987767">
        <w:rPr>
          <w:rFonts w:cstheme="minorHAnsi"/>
        </w:rPr>
        <w:t>March</w:t>
      </w:r>
      <w:proofErr w:type="gramEnd"/>
      <w:r w:rsidR="00987767">
        <w:rPr>
          <w:rFonts w:cstheme="minorHAnsi"/>
        </w:rPr>
        <w:t xml:space="preserve"> 2020.</w:t>
      </w:r>
    </w:p>
    <w:p w:rsidR="003C2FB5" w:rsidRPr="004843E9" w:rsidRDefault="005A3173" w:rsidP="001D5429">
      <w:pPr>
        <w:pStyle w:val="4-SubsectionHeading"/>
      </w:pPr>
      <w:r w:rsidRPr="004843E9">
        <w:t>Clinical claim</w:t>
      </w:r>
    </w:p>
    <w:p w:rsidR="00CD0CE8" w:rsidRPr="004843E9" w:rsidRDefault="001C51E9" w:rsidP="001C51E9">
      <w:pPr>
        <w:pStyle w:val="ListParagraph"/>
        <w:numPr>
          <w:ilvl w:val="1"/>
          <w:numId w:val="1"/>
        </w:numPr>
        <w:jc w:val="both"/>
        <w:rPr>
          <w:rFonts w:eastAsiaTheme="minorHAnsi" w:cstheme="minorBidi"/>
          <w:snapToGrid/>
          <w:szCs w:val="22"/>
        </w:rPr>
      </w:pPr>
      <w:r w:rsidRPr="004843E9">
        <w:t>The</w:t>
      </w:r>
      <w:r w:rsidR="007109FC" w:rsidRPr="004843E9">
        <w:t xml:space="preserve"> March 2020</w:t>
      </w:r>
      <w:r w:rsidRPr="004843E9">
        <w:t xml:space="preserve"> submission described </w:t>
      </w:r>
      <w:r w:rsidR="007109FC" w:rsidRPr="004843E9">
        <w:t>FA</w:t>
      </w:r>
      <w:r w:rsidRPr="004843E9">
        <w:t xml:space="preserve"> as non-inferior in terms of effectiv</w:t>
      </w:r>
      <w:r w:rsidR="007109FC" w:rsidRPr="004843E9">
        <w:t>eness and</w:t>
      </w:r>
      <w:r w:rsidRPr="004843E9">
        <w:t xml:space="preserve"> safety compared with </w:t>
      </w:r>
      <w:r w:rsidR="007109FC" w:rsidRPr="004843E9">
        <w:t>DEX</w:t>
      </w:r>
      <w:r w:rsidRPr="004843E9">
        <w:t>. The minor resubmission did not update the clinical claim.</w:t>
      </w:r>
    </w:p>
    <w:p w:rsidR="001C51E9" w:rsidRPr="004843E9" w:rsidRDefault="00CD0CE8" w:rsidP="001C51E9">
      <w:pPr>
        <w:pStyle w:val="ListParagraph"/>
        <w:numPr>
          <w:ilvl w:val="1"/>
          <w:numId w:val="1"/>
        </w:numPr>
        <w:jc w:val="both"/>
        <w:rPr>
          <w:rFonts w:eastAsiaTheme="minorHAnsi" w:cstheme="minorBidi"/>
          <w:snapToGrid/>
          <w:szCs w:val="22"/>
        </w:rPr>
      </w:pPr>
      <w:r w:rsidRPr="004843E9">
        <w:rPr>
          <w:rFonts w:eastAsiaTheme="minorHAnsi" w:cstheme="minorBidi"/>
          <w:snapToGrid/>
          <w:szCs w:val="22"/>
        </w:rPr>
        <w:t xml:space="preserve">The PBAC previously considered that </w:t>
      </w:r>
      <w:r w:rsidRPr="004843E9">
        <w:t xml:space="preserve">FA was </w:t>
      </w:r>
      <w:r w:rsidRPr="004843E9">
        <w:rPr>
          <w:bCs/>
        </w:rPr>
        <w:t xml:space="preserve">non-inferior in terms of comparative efficacy to DEX, based on the </w:t>
      </w:r>
      <w:r w:rsidRPr="004843E9">
        <w:t>indirect comparison of two pooled randomised studies for each product using sham injection as a common treatment arm</w:t>
      </w:r>
      <w:r w:rsidRPr="004843E9">
        <w:rPr>
          <w:bCs/>
        </w:rPr>
        <w:t xml:space="preserve"> </w:t>
      </w:r>
      <w:r w:rsidRPr="004843E9">
        <w:t>(paragraph 7.4, FA PSD, March 2020)</w:t>
      </w:r>
      <w:r w:rsidRPr="004843E9">
        <w:rPr>
          <w:bCs/>
        </w:rPr>
        <w:t xml:space="preserve">. </w:t>
      </w:r>
      <w:r w:rsidRPr="004843E9">
        <w:t>The PBAC considered that while there were transitivity and applicability issues with the indirect comparison, on balance, the claim of non-inferior effectiveness was supported</w:t>
      </w:r>
      <w:r w:rsidR="004843E9">
        <w:t xml:space="preserve">. </w:t>
      </w:r>
    </w:p>
    <w:p w:rsidR="00CD0CE8" w:rsidRPr="004843E9" w:rsidRDefault="00CD0CE8" w:rsidP="00CD0CE8">
      <w:pPr>
        <w:pStyle w:val="3Bodytext"/>
        <w:jc w:val="both"/>
      </w:pPr>
      <w:r w:rsidRPr="004843E9">
        <w:t xml:space="preserve">The PBAC previously considered that FA was </w:t>
      </w:r>
      <w:r w:rsidRPr="004843E9">
        <w:rPr>
          <w:bCs/>
        </w:rPr>
        <w:t>non-inferior in terms of comparative safety to DEX (</w:t>
      </w:r>
      <w:r w:rsidRPr="004843E9">
        <w:t>paragraph 7.5, FA PSD, March 2020</w:t>
      </w:r>
      <w:r w:rsidRPr="004843E9">
        <w:rPr>
          <w:bCs/>
        </w:rPr>
        <w:t xml:space="preserve">). While </w:t>
      </w:r>
      <w:r w:rsidRPr="004843E9">
        <w:t>there were differences in the safety profile between the two populations in the trials, the PBAC acknowledged FA and DEX were likely to have a similar safety profile in the proposed PBS population and accepted the claim of non-inferior safety.</w:t>
      </w:r>
    </w:p>
    <w:p w:rsidR="00CD0CE8" w:rsidRPr="004843E9" w:rsidRDefault="00CD0CE8" w:rsidP="001D5429">
      <w:pPr>
        <w:pStyle w:val="4-SubsectionHeading"/>
      </w:pPr>
      <w:r w:rsidRPr="004843E9">
        <w:t>Equi-effective doses</w:t>
      </w:r>
    </w:p>
    <w:p w:rsidR="001C51E9" w:rsidRPr="004843E9" w:rsidRDefault="001C51E9" w:rsidP="001C51E9">
      <w:pPr>
        <w:pStyle w:val="3Bodytext"/>
        <w:jc w:val="both"/>
      </w:pPr>
      <w:r w:rsidRPr="004843E9">
        <w:t xml:space="preserve">The </w:t>
      </w:r>
      <w:r w:rsidR="0096037D" w:rsidRPr="004843E9">
        <w:t>March 2020</w:t>
      </w:r>
      <w:r w:rsidRPr="004843E9">
        <w:t xml:space="preserve"> submission claimed that </w:t>
      </w:r>
      <w:r w:rsidR="0096037D" w:rsidRPr="004843E9">
        <w:t>1 dose of FA would replace 6.48 doses of DEX over 36 months</w:t>
      </w:r>
      <w:r w:rsidRPr="004843E9">
        <w:t xml:space="preserve">, while maintaining the same efficacy. The PBAC </w:t>
      </w:r>
      <w:r w:rsidR="0096037D" w:rsidRPr="004843E9">
        <w:t>advised the equi-effective doses should be 1.3 administrations of FA and 4.11 administrations of DEX over 36 months, as this reflects the mean doses in the MEAD and FAME studies presented in the submission</w:t>
      </w:r>
      <w:r w:rsidR="00316B19" w:rsidRPr="004843E9">
        <w:t xml:space="preserve"> </w:t>
      </w:r>
      <w:r w:rsidRPr="004843E9">
        <w:t>(paragra</w:t>
      </w:r>
      <w:r w:rsidR="00316B19" w:rsidRPr="004843E9">
        <w:t>ph 7.2</w:t>
      </w:r>
      <w:r w:rsidRPr="004843E9">
        <w:t xml:space="preserve">, </w:t>
      </w:r>
      <w:r w:rsidR="00316B19" w:rsidRPr="004843E9">
        <w:t>FA</w:t>
      </w:r>
      <w:r w:rsidRPr="004843E9">
        <w:t xml:space="preserve"> </w:t>
      </w:r>
      <w:r w:rsidR="00316B19" w:rsidRPr="004843E9">
        <w:t>PSD</w:t>
      </w:r>
      <w:r w:rsidRPr="004843E9">
        <w:t xml:space="preserve">, </w:t>
      </w:r>
      <w:r w:rsidR="00316B19" w:rsidRPr="004843E9">
        <w:t>March 2020</w:t>
      </w:r>
      <w:r w:rsidRPr="004843E9">
        <w:t>).</w:t>
      </w:r>
    </w:p>
    <w:p w:rsidR="002B1322" w:rsidRPr="004843E9" w:rsidRDefault="002B1322" w:rsidP="002B1322">
      <w:pPr>
        <w:pStyle w:val="3Bodytext"/>
        <w:jc w:val="both"/>
      </w:pPr>
      <w:r w:rsidRPr="004843E9">
        <w:t>The Sponsor presented the following rationale</w:t>
      </w:r>
      <w:r w:rsidR="0096037D" w:rsidRPr="004843E9">
        <w:t xml:space="preserve"> in the minor resubmission</w:t>
      </w:r>
      <w:r w:rsidRPr="004843E9">
        <w:t xml:space="preserve"> for requesting the PBAC to reconsider the equi-effective doses of FA and DEX:</w:t>
      </w:r>
    </w:p>
    <w:p w:rsidR="002B1322" w:rsidRPr="004843E9" w:rsidRDefault="002B1322" w:rsidP="002B1322">
      <w:pPr>
        <w:pStyle w:val="3Bodytext"/>
        <w:numPr>
          <w:ilvl w:val="0"/>
          <w:numId w:val="13"/>
        </w:numPr>
        <w:jc w:val="both"/>
      </w:pPr>
      <w:r w:rsidRPr="004843E9">
        <w:t>Retreatment</w:t>
      </w:r>
      <w:r w:rsidR="00E57E2E" w:rsidRPr="004843E9">
        <w:t xml:space="preserve"> with FA</w:t>
      </w:r>
      <w:r w:rsidRPr="004843E9">
        <w:t xml:space="preserve"> in the FAME studies does not reflect clinical practice: </w:t>
      </w:r>
    </w:p>
    <w:p w:rsidR="002B1322" w:rsidRPr="004843E9" w:rsidRDefault="002B1322" w:rsidP="00193A42">
      <w:pPr>
        <w:pStyle w:val="3Bodytext"/>
        <w:numPr>
          <w:ilvl w:val="1"/>
          <w:numId w:val="13"/>
        </w:numPr>
        <w:jc w:val="both"/>
        <w:rPr>
          <w:rFonts w:cstheme="minorHAnsi"/>
          <w:szCs w:val="24"/>
        </w:rPr>
      </w:pPr>
      <w:r w:rsidRPr="004843E9">
        <w:lastRenderedPageBreak/>
        <w:t>FA patients who experience breakthrough oedema would be treated with anti-VEGF therapy in clinical practice, not another FA implant</w:t>
      </w:r>
      <w:r w:rsidR="00CC3F69" w:rsidRPr="004843E9">
        <w:t xml:space="preserve">. </w:t>
      </w:r>
      <w:r w:rsidRPr="004843E9">
        <w:t>The proposed restriction for FA prohibits retreatment within 36 months.</w:t>
      </w:r>
      <w:r w:rsidR="003C3BDD" w:rsidRPr="004843E9">
        <w:rPr>
          <w:rFonts w:cstheme="minorHAnsi"/>
          <w:szCs w:val="24"/>
        </w:rPr>
        <w:t xml:space="preserve"> </w:t>
      </w:r>
      <w:r w:rsidR="00B1752C" w:rsidRPr="00B1752C">
        <w:rPr>
          <w:rFonts w:cstheme="minorHAnsi"/>
          <w:szCs w:val="24"/>
        </w:rPr>
        <w:t>The Secretariat noted that t</w:t>
      </w:r>
      <w:r w:rsidR="003C3BDD" w:rsidRPr="00B1752C">
        <w:rPr>
          <w:rFonts w:cstheme="minorHAnsi"/>
          <w:szCs w:val="24"/>
        </w:rPr>
        <w:t>he approved Product Information</w:t>
      </w:r>
      <w:r w:rsidR="00BB147B" w:rsidRPr="00B1752C">
        <w:rPr>
          <w:rFonts w:cstheme="minorHAnsi"/>
          <w:szCs w:val="24"/>
        </w:rPr>
        <w:t xml:space="preserve"> (PI)</w:t>
      </w:r>
      <w:r w:rsidR="003C3BDD" w:rsidRPr="00B1752C">
        <w:rPr>
          <w:rFonts w:cstheme="minorHAnsi"/>
          <w:szCs w:val="24"/>
        </w:rPr>
        <w:t xml:space="preserve"> for FA states in the Dose and Method of Administration section</w:t>
      </w:r>
      <w:r w:rsidR="00BB147B" w:rsidRPr="00B1752C">
        <w:rPr>
          <w:rFonts w:cstheme="minorHAnsi"/>
          <w:szCs w:val="24"/>
        </w:rPr>
        <w:t>,</w:t>
      </w:r>
      <w:r w:rsidR="00F740BE" w:rsidRPr="00B1752C">
        <w:rPr>
          <w:rFonts w:cstheme="minorHAnsi"/>
          <w:szCs w:val="24"/>
        </w:rPr>
        <w:t xml:space="preserve"> “An additional implant may be administered after 12 months if the patient experiences decreased vision or an increase in retinal thickness secondary to recurrent or worsening diabetic macular oedema</w:t>
      </w:r>
      <w:r w:rsidR="00CC3F69" w:rsidRPr="00B1752C">
        <w:rPr>
          <w:rFonts w:cstheme="minorHAnsi"/>
          <w:szCs w:val="24"/>
        </w:rPr>
        <w:t>.</w:t>
      </w:r>
      <w:r w:rsidR="00F740BE" w:rsidRPr="00B1752C">
        <w:rPr>
          <w:rFonts w:cstheme="minorHAnsi"/>
          <w:szCs w:val="24"/>
        </w:rPr>
        <w:t>”</w:t>
      </w:r>
      <w:r w:rsidR="00CC3F69" w:rsidRPr="00B1752C">
        <w:rPr>
          <w:rFonts w:cstheme="minorHAnsi"/>
          <w:szCs w:val="24"/>
        </w:rPr>
        <w:t xml:space="preserve"> </w:t>
      </w:r>
      <w:r w:rsidR="00BB147B" w:rsidRPr="00B1752C">
        <w:rPr>
          <w:rFonts w:cstheme="minorHAnsi"/>
          <w:szCs w:val="24"/>
        </w:rPr>
        <w:t>The</w:t>
      </w:r>
      <w:r w:rsidR="00811293" w:rsidRPr="00B1752C">
        <w:rPr>
          <w:rFonts w:cstheme="minorHAnsi"/>
          <w:szCs w:val="24"/>
        </w:rPr>
        <w:t xml:space="preserve"> dosing of FA described in the</w:t>
      </w:r>
      <w:r w:rsidR="00BB147B" w:rsidRPr="00B1752C">
        <w:rPr>
          <w:rFonts w:cstheme="minorHAnsi"/>
          <w:szCs w:val="24"/>
        </w:rPr>
        <w:t xml:space="preserve"> PI is </w:t>
      </w:r>
      <w:r w:rsidR="00F740BE" w:rsidRPr="00B1752C">
        <w:rPr>
          <w:rFonts w:cstheme="minorHAnsi"/>
          <w:szCs w:val="24"/>
        </w:rPr>
        <w:t>consistent with the FAME trials</w:t>
      </w:r>
      <w:r w:rsidR="00811293" w:rsidRPr="00B1752C">
        <w:rPr>
          <w:rFonts w:cstheme="minorHAnsi"/>
          <w:szCs w:val="24"/>
        </w:rPr>
        <w:t xml:space="preserve"> (1.3 doses over </w:t>
      </w:r>
      <w:r w:rsidR="0025462E" w:rsidRPr="00B1752C">
        <w:rPr>
          <w:rFonts w:cstheme="minorHAnsi"/>
          <w:szCs w:val="24"/>
        </w:rPr>
        <w:t>36 months</w:t>
      </w:r>
      <w:r w:rsidR="00811293" w:rsidRPr="00B1752C">
        <w:rPr>
          <w:rFonts w:cstheme="minorHAnsi"/>
          <w:szCs w:val="24"/>
        </w:rPr>
        <w:t xml:space="preserve">). </w:t>
      </w:r>
      <w:r w:rsidR="004757F5" w:rsidRPr="00B1752C">
        <w:rPr>
          <w:rFonts w:cstheme="minorHAnsi"/>
          <w:szCs w:val="24"/>
        </w:rPr>
        <w:t>The PI</w:t>
      </w:r>
      <w:r w:rsidR="00357E73" w:rsidRPr="00B1752C">
        <w:rPr>
          <w:rFonts w:cstheme="minorHAnsi"/>
          <w:szCs w:val="24"/>
        </w:rPr>
        <w:t xml:space="preserve"> is</w:t>
      </w:r>
      <w:r w:rsidR="00F740BE" w:rsidRPr="00B1752C">
        <w:rPr>
          <w:rFonts w:cstheme="minorHAnsi"/>
          <w:szCs w:val="24"/>
        </w:rPr>
        <w:t xml:space="preserve"> also consistent with</w:t>
      </w:r>
      <w:r w:rsidR="006D188B" w:rsidRPr="00B1752C">
        <w:rPr>
          <w:rFonts w:cstheme="minorHAnsi"/>
          <w:szCs w:val="24"/>
        </w:rPr>
        <w:t xml:space="preserve"> less frequent dosing </w:t>
      </w:r>
      <w:r w:rsidR="00310EDD" w:rsidRPr="00B1752C">
        <w:rPr>
          <w:rFonts w:cstheme="minorHAnsi"/>
          <w:szCs w:val="24"/>
        </w:rPr>
        <w:t>in</w:t>
      </w:r>
      <w:r w:rsidR="00811293" w:rsidRPr="00B1752C">
        <w:rPr>
          <w:rFonts w:cstheme="minorHAnsi"/>
          <w:szCs w:val="24"/>
        </w:rPr>
        <w:t xml:space="preserve"> accordance with</w:t>
      </w:r>
      <w:r w:rsidR="006D188B" w:rsidRPr="00B1752C">
        <w:rPr>
          <w:rFonts w:cstheme="minorHAnsi"/>
          <w:szCs w:val="24"/>
        </w:rPr>
        <w:t xml:space="preserve"> the equi-effective dose</w:t>
      </w:r>
      <w:r w:rsidR="00310EDD" w:rsidRPr="00B1752C">
        <w:rPr>
          <w:rFonts w:cstheme="minorHAnsi"/>
          <w:szCs w:val="24"/>
        </w:rPr>
        <w:t xml:space="preserve"> requested</w:t>
      </w:r>
      <w:r w:rsidR="006D188B" w:rsidRPr="00B1752C">
        <w:rPr>
          <w:rFonts w:cstheme="minorHAnsi"/>
          <w:szCs w:val="24"/>
        </w:rPr>
        <w:t xml:space="preserve"> by </w:t>
      </w:r>
      <w:r w:rsidR="00811293" w:rsidRPr="00B1752C">
        <w:rPr>
          <w:rFonts w:cstheme="minorHAnsi"/>
          <w:szCs w:val="24"/>
        </w:rPr>
        <w:t xml:space="preserve">the </w:t>
      </w:r>
      <w:r w:rsidR="006D188B" w:rsidRPr="00B1752C">
        <w:rPr>
          <w:rFonts w:cstheme="minorHAnsi"/>
          <w:szCs w:val="24"/>
        </w:rPr>
        <w:t>Sponsor</w:t>
      </w:r>
      <w:r w:rsidR="00F740BE" w:rsidRPr="00B1752C">
        <w:rPr>
          <w:rFonts w:cstheme="minorHAnsi"/>
          <w:szCs w:val="24"/>
        </w:rPr>
        <w:t xml:space="preserve"> </w:t>
      </w:r>
      <w:r w:rsidR="006D188B" w:rsidRPr="00B1752C">
        <w:rPr>
          <w:rFonts w:cstheme="minorHAnsi"/>
          <w:szCs w:val="24"/>
        </w:rPr>
        <w:t xml:space="preserve">(1 dose over </w:t>
      </w:r>
      <w:r w:rsidR="0025462E" w:rsidRPr="00B1752C">
        <w:rPr>
          <w:rFonts w:cstheme="minorHAnsi"/>
          <w:szCs w:val="24"/>
        </w:rPr>
        <w:t>36 months</w:t>
      </w:r>
      <w:r w:rsidR="00310EDD" w:rsidRPr="00B1752C">
        <w:rPr>
          <w:rFonts w:cstheme="minorHAnsi"/>
          <w:szCs w:val="24"/>
        </w:rPr>
        <w:t xml:space="preserve">), but the </w:t>
      </w:r>
      <w:r w:rsidR="00811293" w:rsidRPr="00B1752C">
        <w:rPr>
          <w:rFonts w:cstheme="minorHAnsi"/>
          <w:szCs w:val="24"/>
        </w:rPr>
        <w:t>Sponsor’s request</w:t>
      </w:r>
      <w:r w:rsidR="00F740BE" w:rsidRPr="00B1752C">
        <w:rPr>
          <w:rFonts w:cstheme="minorHAnsi"/>
          <w:szCs w:val="24"/>
        </w:rPr>
        <w:t xml:space="preserve"> is not supported by relevant clinical trial results.</w:t>
      </w:r>
    </w:p>
    <w:p w:rsidR="002B1322" w:rsidRPr="004843E9" w:rsidRDefault="002B1322" w:rsidP="002B1322">
      <w:pPr>
        <w:pStyle w:val="3Bodytext"/>
        <w:numPr>
          <w:ilvl w:val="0"/>
          <w:numId w:val="13"/>
        </w:numPr>
        <w:jc w:val="both"/>
      </w:pPr>
      <w:r w:rsidRPr="004843E9">
        <w:t>Retreatment</w:t>
      </w:r>
      <w:r w:rsidR="00E57E2E" w:rsidRPr="004843E9">
        <w:t xml:space="preserve"> with DEX</w:t>
      </w:r>
      <w:r w:rsidRPr="004843E9">
        <w:t xml:space="preserve"> in the MEAD studies does not reflect clinical practice:</w:t>
      </w:r>
    </w:p>
    <w:p w:rsidR="002B1322" w:rsidRPr="00B1752C" w:rsidRDefault="002B1322" w:rsidP="002B1322">
      <w:pPr>
        <w:pStyle w:val="3Bodytext"/>
        <w:numPr>
          <w:ilvl w:val="1"/>
          <w:numId w:val="13"/>
        </w:numPr>
        <w:jc w:val="both"/>
      </w:pPr>
      <w:r w:rsidRPr="004843E9">
        <w:t>Australian retinal experts state that the duration of effect for DEX is 3 to 4 months, as reflected in the BEVO</w:t>
      </w:r>
      <w:r w:rsidR="00C117FE" w:rsidRPr="004843E9">
        <w:t xml:space="preserve">RDEX trial. </w:t>
      </w:r>
      <w:r w:rsidR="00B1752C">
        <w:t xml:space="preserve">The Secretariat noted that </w:t>
      </w:r>
      <w:r w:rsidR="00B1752C" w:rsidRPr="00B1752C">
        <w:t>t</w:t>
      </w:r>
      <w:r w:rsidR="00C117FE" w:rsidRPr="00B1752C">
        <w:t>he BEVORDEX trial was designed for patients to receive bevacizumab every 4 weeks vs DEX every 4 months (</w:t>
      </w:r>
      <w:r w:rsidR="005626F6" w:rsidRPr="00B1752C">
        <w:t>i.e.</w:t>
      </w:r>
      <w:r w:rsidR="00C117FE" w:rsidRPr="00B1752C">
        <w:t xml:space="preserve"> the BEVORDEX trial design stipulated more frequent DEX dosing compared to the MEAD trials). The Sponsor has not presented any additional RCTs to support increased DEX dosing in the context of an indirect comparison against FA using sham injection as a common reference.</w:t>
      </w:r>
    </w:p>
    <w:p w:rsidR="002B1322" w:rsidRPr="004843E9" w:rsidRDefault="002B1322" w:rsidP="002B1322">
      <w:pPr>
        <w:pStyle w:val="3Bodytext"/>
        <w:numPr>
          <w:ilvl w:val="1"/>
          <w:numId w:val="13"/>
        </w:numPr>
        <w:jc w:val="both"/>
        <w:rPr>
          <w:i/>
        </w:rPr>
      </w:pPr>
      <w:r w:rsidRPr="004843E9">
        <w:t>PBS use of DEX post listing is higher than the number of treatments in the MEAD trial, where retreatment within 6 months was not allowed and patients requiring additional therapies were withdrawn.</w:t>
      </w:r>
      <w:r w:rsidR="00C472FB" w:rsidRPr="004843E9">
        <w:t xml:space="preserve"> </w:t>
      </w:r>
      <w:r w:rsidR="00B1752C">
        <w:t xml:space="preserve">The Secretariat noted </w:t>
      </w:r>
      <w:r w:rsidR="00B1752C" w:rsidRPr="00B1752C">
        <w:t>that t</w:t>
      </w:r>
      <w:r w:rsidR="007F1945" w:rsidRPr="00B1752C">
        <w:t xml:space="preserve">he approved </w:t>
      </w:r>
      <w:r w:rsidR="00BB147B" w:rsidRPr="00B1752C">
        <w:t>PI</w:t>
      </w:r>
      <w:r w:rsidR="00C472FB" w:rsidRPr="00B1752C">
        <w:t xml:space="preserve"> for DEX</w:t>
      </w:r>
      <w:r w:rsidR="00BB147B" w:rsidRPr="00B1752C">
        <w:t xml:space="preserve"> </w:t>
      </w:r>
      <w:r w:rsidR="00C472FB" w:rsidRPr="00B1752C">
        <w:t>states in the Dose and Method of Administration section, “</w:t>
      </w:r>
      <w:r w:rsidR="006449BA" w:rsidRPr="00B1752C">
        <w:t xml:space="preserve">In clinical trials, the majority of retreatments were administered between 5 and 7 months after a prior treatment. </w:t>
      </w:r>
      <w:r w:rsidR="00C472FB" w:rsidRPr="00B1752C">
        <w:t>Patients in the OZURDEX® arm of the pivotal trials received an average of 4 implants over 3 years. The protocol in the pivotal trials specified a 6-monthly dosing interval.”</w:t>
      </w:r>
      <w:r w:rsidR="006449BA" w:rsidRPr="00B1752C">
        <w:t xml:space="preserve"> </w:t>
      </w:r>
      <w:r w:rsidR="0092525D" w:rsidRPr="00B1752C">
        <w:t>The PI</w:t>
      </w:r>
      <w:r w:rsidR="006449BA" w:rsidRPr="00B1752C">
        <w:t xml:space="preserve"> is consistent with the MEAD trials</w:t>
      </w:r>
      <w:r w:rsidR="0092525D" w:rsidRPr="00B1752C">
        <w:t xml:space="preserve"> (4.11 doses over </w:t>
      </w:r>
      <w:r w:rsidR="0025462E" w:rsidRPr="00B1752C">
        <w:rPr>
          <w:rFonts w:cstheme="minorHAnsi"/>
          <w:szCs w:val="24"/>
        </w:rPr>
        <w:t>36 months</w:t>
      </w:r>
      <w:r w:rsidR="0092525D" w:rsidRPr="00B1752C">
        <w:t>)</w:t>
      </w:r>
      <w:r w:rsidR="00CC3F69" w:rsidRPr="00B1752C">
        <w:t>, and inconsistent with</w:t>
      </w:r>
      <w:r w:rsidR="0092525D" w:rsidRPr="00B1752C">
        <w:t xml:space="preserve"> the Sponsor’s request for</w:t>
      </w:r>
      <w:r w:rsidR="006D188B" w:rsidRPr="00B1752C">
        <w:t xml:space="preserve"> more frequent</w:t>
      </w:r>
      <w:r w:rsidR="00CC3F69" w:rsidRPr="00B1752C">
        <w:t xml:space="preserve"> dosing </w:t>
      </w:r>
      <w:r w:rsidR="0092525D" w:rsidRPr="00B1752C">
        <w:t xml:space="preserve">(6.48 doses over </w:t>
      </w:r>
      <w:r w:rsidR="0025462E" w:rsidRPr="00B1752C">
        <w:rPr>
          <w:rFonts w:cstheme="minorHAnsi"/>
          <w:szCs w:val="24"/>
        </w:rPr>
        <w:t>36 months</w:t>
      </w:r>
      <w:r w:rsidR="0092525D" w:rsidRPr="00B1752C">
        <w:t>)</w:t>
      </w:r>
      <w:r w:rsidR="006449BA" w:rsidRPr="00B1752C">
        <w:t>.</w:t>
      </w:r>
    </w:p>
    <w:p w:rsidR="002B1322" w:rsidRPr="004843E9" w:rsidRDefault="002B1322" w:rsidP="00E85D98">
      <w:pPr>
        <w:pStyle w:val="3Bodytext"/>
        <w:numPr>
          <w:ilvl w:val="0"/>
          <w:numId w:val="13"/>
        </w:numPr>
        <w:jc w:val="both"/>
      </w:pPr>
      <w:r w:rsidRPr="004843E9">
        <w:t xml:space="preserve">The results of the indirect comparison between FA and DEX suggest that FA had a greater and consistent improvement with respect to mean change in </w:t>
      </w:r>
      <w:r w:rsidR="005626F6" w:rsidRPr="004843E9">
        <w:t>best-corrected</w:t>
      </w:r>
      <w:r w:rsidRPr="004843E9">
        <w:t xml:space="preserve"> visual acuity (BCVA).</w:t>
      </w:r>
      <w:r w:rsidR="00A528FD" w:rsidRPr="004843E9">
        <w:t xml:space="preserve"> </w:t>
      </w:r>
      <w:r w:rsidR="005854EF" w:rsidRPr="004843E9">
        <w:t>Also, i</w:t>
      </w:r>
      <w:r w:rsidRPr="004843E9">
        <w:t>ntermittent dosing with DEX, as used in the MEAD study, results in clinical fluctuations and anatomical fluctuations (centre point thickness) that are not seen with FA.</w:t>
      </w:r>
      <w:r w:rsidR="00C117FE" w:rsidRPr="004843E9">
        <w:t xml:space="preserve"> </w:t>
      </w:r>
      <w:r w:rsidR="00B1752C">
        <w:t xml:space="preserve">The Secretariat noted </w:t>
      </w:r>
      <w:r w:rsidR="00B1752C" w:rsidRPr="00B1752C">
        <w:t>t</w:t>
      </w:r>
      <w:r w:rsidR="00C117FE" w:rsidRPr="00B1752C">
        <w:t>he PBAC accepted</w:t>
      </w:r>
      <w:r w:rsidR="001633D6" w:rsidRPr="00B1752C">
        <w:t xml:space="preserve"> in March 2020</w:t>
      </w:r>
      <w:r w:rsidR="00C117FE" w:rsidRPr="00B1752C">
        <w:t xml:space="preserve"> that FA is non-inferior to DEX,</w:t>
      </w:r>
      <w:r w:rsidR="001633D6" w:rsidRPr="00B1752C">
        <w:t xml:space="preserve"> consistent with the Sponsor’s clinical claim</w:t>
      </w:r>
      <w:r w:rsidR="00C117FE" w:rsidRPr="00B1752C">
        <w:t>.</w:t>
      </w:r>
      <w:r w:rsidR="00E85D98" w:rsidRPr="00B1752C">
        <w:t xml:space="preserve"> </w:t>
      </w:r>
      <w:r w:rsidR="0003597E" w:rsidRPr="00B1752C">
        <w:t>While t</w:t>
      </w:r>
      <w:r w:rsidR="00E85D98" w:rsidRPr="00B1752C">
        <w:t>he PBAC considered the benefit was modest in terms of effectiveness for both DEX and FA</w:t>
      </w:r>
      <w:r w:rsidR="0003597E" w:rsidRPr="00B1752C">
        <w:t xml:space="preserve">, it </w:t>
      </w:r>
      <w:r w:rsidR="00E85D98" w:rsidRPr="00B1752C">
        <w:lastRenderedPageBreak/>
        <w:t>considered the claim of non-inferior comparative effectiveness was reasonable (paragraph 6.23</w:t>
      </w:r>
      <w:r w:rsidR="00DE70D1" w:rsidRPr="00B1752C">
        <w:t>,</w:t>
      </w:r>
      <w:r w:rsidR="00E85D98" w:rsidRPr="00B1752C">
        <w:t xml:space="preserve"> </w:t>
      </w:r>
      <w:r w:rsidR="00E57E2E" w:rsidRPr="00B1752C">
        <w:t>FA</w:t>
      </w:r>
      <w:r w:rsidR="00E85D98" w:rsidRPr="00B1752C">
        <w:t xml:space="preserve"> PSD, March 2020).</w:t>
      </w:r>
      <w:r w:rsidR="005854EF" w:rsidRPr="004843E9">
        <w:t xml:space="preserve"> </w:t>
      </w:r>
    </w:p>
    <w:p w:rsidR="002B1322" w:rsidRPr="004843E9" w:rsidRDefault="002B1322" w:rsidP="002B1322">
      <w:pPr>
        <w:pStyle w:val="3Bodytext"/>
        <w:numPr>
          <w:ilvl w:val="0"/>
          <w:numId w:val="13"/>
        </w:numPr>
        <w:jc w:val="both"/>
      </w:pPr>
      <w:r w:rsidRPr="004843E9">
        <w:t>Patients with DMO have a high risk of non-adherence, which is eliminated by the longer acting FA implant.</w:t>
      </w:r>
    </w:p>
    <w:p w:rsidR="002B1322" w:rsidRPr="004843E9" w:rsidRDefault="002B1322" w:rsidP="002B1322">
      <w:pPr>
        <w:pStyle w:val="3Bodytext"/>
        <w:numPr>
          <w:ilvl w:val="0"/>
          <w:numId w:val="13"/>
        </w:numPr>
        <w:jc w:val="both"/>
      </w:pPr>
      <w:r w:rsidRPr="004843E9">
        <w:t>Aboriginal and Torres Strait Islander</w:t>
      </w:r>
      <w:r w:rsidR="001E42CB">
        <w:t xml:space="preserve"> peoples</w:t>
      </w:r>
      <w:r w:rsidRPr="004843E9">
        <w:t xml:space="preserve"> will experience a reduced burden with FA with respect to accessing clinical services, especially in remote areas.</w:t>
      </w:r>
    </w:p>
    <w:p w:rsidR="00414A5F" w:rsidRPr="004843E9" w:rsidRDefault="00316B19" w:rsidP="00E85D98">
      <w:pPr>
        <w:pStyle w:val="3Bodytext"/>
        <w:jc w:val="both"/>
      </w:pPr>
      <w:r w:rsidRPr="004843E9">
        <w:t xml:space="preserve">The Sponsor presented the following sources of evidence and </w:t>
      </w:r>
      <w:r w:rsidR="0081342F" w:rsidRPr="004843E9">
        <w:t xml:space="preserve">retrospective </w:t>
      </w:r>
      <w:r w:rsidRPr="004843E9">
        <w:t xml:space="preserve">clinical data in the minor resubmission </w:t>
      </w:r>
      <w:r w:rsidR="001C7E2A" w:rsidRPr="004843E9">
        <w:t>to support the claim that DEX is used more frequently than every 6 months in clinical practice</w:t>
      </w:r>
      <w:r w:rsidR="00414A5F" w:rsidRPr="004843E9">
        <w:t>:</w:t>
      </w:r>
    </w:p>
    <w:p w:rsidR="00414A5F" w:rsidRPr="004843E9" w:rsidRDefault="00414A5F" w:rsidP="000936CC">
      <w:pPr>
        <w:pStyle w:val="3Bodytext"/>
        <w:numPr>
          <w:ilvl w:val="0"/>
          <w:numId w:val="14"/>
        </w:numPr>
        <w:jc w:val="both"/>
      </w:pPr>
      <w:r w:rsidRPr="004843E9">
        <w:t xml:space="preserve">Patients treated with DEX would receive 6.48 implants over 36-months, which is consistent with the PBAC’s previous recommendation regarding </w:t>
      </w:r>
      <w:r w:rsidR="00C150D7" w:rsidRPr="004843E9">
        <w:t xml:space="preserve">DEX </w:t>
      </w:r>
      <w:r w:rsidRPr="004843E9">
        <w:t>(paragraph 6.34, DEX PSD, March 2016).</w:t>
      </w:r>
      <w:r w:rsidR="008C3B37" w:rsidRPr="004843E9">
        <w:t xml:space="preserve"> </w:t>
      </w:r>
      <w:r w:rsidR="00B1752C">
        <w:t xml:space="preserve">The </w:t>
      </w:r>
      <w:r w:rsidR="00B1752C" w:rsidRPr="00B1752C">
        <w:t>Secretariat noted that t</w:t>
      </w:r>
      <w:r w:rsidR="008C3B37" w:rsidRPr="00B1752C">
        <w:t xml:space="preserve">his recommendation was associated with clinical trial evidence from DEX, </w:t>
      </w:r>
      <w:proofErr w:type="spellStart"/>
      <w:r w:rsidR="008C3B37" w:rsidRPr="00B1752C">
        <w:t>ranibizumab</w:t>
      </w:r>
      <w:proofErr w:type="spellEnd"/>
      <w:r w:rsidR="008C3B37" w:rsidRPr="00B1752C">
        <w:t xml:space="preserve">, </w:t>
      </w:r>
      <w:proofErr w:type="spellStart"/>
      <w:r w:rsidR="008C3B37" w:rsidRPr="00B1752C">
        <w:t>aflibercept</w:t>
      </w:r>
      <w:proofErr w:type="spellEnd"/>
      <w:r w:rsidR="008C3B37" w:rsidRPr="00B1752C">
        <w:t xml:space="preserve">, </w:t>
      </w:r>
      <w:proofErr w:type="gramStart"/>
      <w:r w:rsidR="008C3B37" w:rsidRPr="00B1752C">
        <w:t>sham</w:t>
      </w:r>
      <w:proofErr w:type="gramEnd"/>
      <w:r w:rsidR="008C3B37" w:rsidRPr="00B1752C">
        <w:t xml:space="preserve"> injection, bevacizumab and laser photocoagulation.</w:t>
      </w:r>
      <w:r w:rsidR="000936CC" w:rsidRPr="00B1752C">
        <w:t xml:space="preserve"> The equi-effective dose was ultimately derived from </w:t>
      </w:r>
      <w:r w:rsidR="00E22B29" w:rsidRPr="00B1752C">
        <w:t>DEX and</w:t>
      </w:r>
      <w:r w:rsidR="000936CC" w:rsidRPr="00B1752C">
        <w:t xml:space="preserve"> </w:t>
      </w:r>
      <w:proofErr w:type="spellStart"/>
      <w:r w:rsidR="000936CC" w:rsidRPr="00B1752C">
        <w:t>ranibizumab</w:t>
      </w:r>
      <w:proofErr w:type="spellEnd"/>
      <w:r w:rsidR="000936CC" w:rsidRPr="00B1752C">
        <w:t>/</w:t>
      </w:r>
      <w:proofErr w:type="spellStart"/>
      <w:r w:rsidR="000936CC" w:rsidRPr="00B1752C">
        <w:t>aflibercept</w:t>
      </w:r>
      <w:proofErr w:type="spellEnd"/>
      <w:r w:rsidR="000936CC" w:rsidRPr="00B1752C">
        <w:t>, with the price of DEX determined to be lower than the cost of the cheapest PBS-listed VEGF inhibitor treatment over 36 months.</w:t>
      </w:r>
      <w:r w:rsidR="008C3B37" w:rsidRPr="00B1752C">
        <w:t xml:space="preserve"> </w:t>
      </w:r>
      <w:r w:rsidR="00917023" w:rsidRPr="00B1752C">
        <w:t>This comparison</w:t>
      </w:r>
      <w:r w:rsidR="008C3B37" w:rsidRPr="00B1752C">
        <w:t xml:space="preserve"> is not applicable to an equi-effective dose derived from RCT evidence of DEX versus</w:t>
      </w:r>
      <w:r w:rsidR="00977E1A" w:rsidRPr="00B1752C">
        <w:t xml:space="preserve"> FA using sham injection as a common reference</w:t>
      </w:r>
      <w:r w:rsidR="008C3B37" w:rsidRPr="00B1752C">
        <w:t>.</w:t>
      </w:r>
      <w:r w:rsidR="008C3B37" w:rsidRPr="004843E9">
        <w:t xml:space="preserve"> </w:t>
      </w:r>
    </w:p>
    <w:p w:rsidR="004D3D48" w:rsidRPr="004843E9" w:rsidRDefault="00912C95" w:rsidP="00414A5F">
      <w:pPr>
        <w:pStyle w:val="3Bodytext"/>
        <w:numPr>
          <w:ilvl w:val="0"/>
          <w:numId w:val="14"/>
        </w:numPr>
        <w:jc w:val="both"/>
      </w:pPr>
      <w:r w:rsidRPr="004843E9">
        <w:t xml:space="preserve">Drug Utilisation Sub-Committee (DUSC) review of </w:t>
      </w:r>
      <w:proofErr w:type="spellStart"/>
      <w:r w:rsidRPr="004843E9">
        <w:t>ranibizumab</w:t>
      </w:r>
      <w:proofErr w:type="spellEnd"/>
      <w:r w:rsidRPr="004843E9">
        <w:t xml:space="preserve"> and </w:t>
      </w:r>
      <w:proofErr w:type="spellStart"/>
      <w:r w:rsidRPr="004843E9">
        <w:t>aflibercept</w:t>
      </w:r>
      <w:proofErr w:type="spellEnd"/>
      <w:r w:rsidR="0016613D" w:rsidRPr="004843E9">
        <w:t xml:space="preserve"> (May 2018)</w:t>
      </w:r>
      <w:r w:rsidRPr="004843E9">
        <w:t>.</w:t>
      </w:r>
      <w:r w:rsidR="0037529D" w:rsidRPr="004843E9">
        <w:t xml:space="preserve"> This review calculated the average</w:t>
      </w:r>
      <w:r w:rsidR="00F05BD1" w:rsidRPr="004843E9">
        <w:t xml:space="preserve"> number of DEX</w:t>
      </w:r>
      <w:r w:rsidR="0037529D" w:rsidRPr="004843E9">
        <w:t xml:space="preserve"> injections</w:t>
      </w:r>
      <w:r w:rsidR="00F05BD1" w:rsidRPr="004843E9">
        <w:t xml:space="preserve"> for DMO</w:t>
      </w:r>
      <w:r w:rsidR="0037529D" w:rsidRPr="004843E9">
        <w:t xml:space="preserve"> per prevalent patient in 2017 was 2.21</w:t>
      </w:r>
      <w:r w:rsidR="0016613D" w:rsidRPr="004843E9">
        <w:t xml:space="preserve"> over 12 months</w:t>
      </w:r>
      <w:r w:rsidR="0037529D" w:rsidRPr="004843E9">
        <w:t>.</w:t>
      </w:r>
    </w:p>
    <w:p w:rsidR="00912C95" w:rsidRPr="004843E9" w:rsidRDefault="006032E0" w:rsidP="00414A5F">
      <w:pPr>
        <w:pStyle w:val="3Bodytext"/>
        <w:numPr>
          <w:ilvl w:val="0"/>
          <w:numId w:val="14"/>
        </w:numPr>
        <w:jc w:val="both"/>
      </w:pPr>
      <w:r w:rsidRPr="004843E9">
        <w:t>Prescription data using a 10% PBS sample (update of DUSC review</w:t>
      </w:r>
      <w:r w:rsidR="002B43EA" w:rsidRPr="004843E9">
        <w:t xml:space="preserve"> by HI Connections</w:t>
      </w:r>
      <w:r w:rsidRPr="004843E9">
        <w:t>).</w:t>
      </w:r>
      <w:r w:rsidR="0037529D" w:rsidRPr="004843E9">
        <w:t xml:space="preserve"> This analysis found 2.4</w:t>
      </w:r>
      <w:r w:rsidR="002B43EA" w:rsidRPr="004843E9">
        <w:t xml:space="preserve"> DEX</w:t>
      </w:r>
      <w:r w:rsidR="0037529D" w:rsidRPr="004843E9">
        <w:t xml:space="preserve"> injections per prevalent patient</w:t>
      </w:r>
      <w:r w:rsidR="002B43EA" w:rsidRPr="004843E9">
        <w:t xml:space="preserve"> over 12 months</w:t>
      </w:r>
      <w:r w:rsidR="0037529D" w:rsidRPr="004843E9">
        <w:t>.</w:t>
      </w:r>
    </w:p>
    <w:p w:rsidR="006032E0" w:rsidRPr="004843E9" w:rsidRDefault="006032E0" w:rsidP="00414A5F">
      <w:pPr>
        <w:pStyle w:val="3Bodytext"/>
        <w:numPr>
          <w:ilvl w:val="0"/>
          <w:numId w:val="14"/>
        </w:numPr>
        <w:jc w:val="both"/>
      </w:pPr>
      <w:r w:rsidRPr="004843E9">
        <w:t>Audit of Australian Pharmacy Database (</w:t>
      </w:r>
      <w:proofErr w:type="spellStart"/>
      <w:r w:rsidRPr="004843E9">
        <w:t>iCare</w:t>
      </w:r>
      <w:proofErr w:type="spellEnd"/>
      <w:r w:rsidRPr="004843E9">
        <w:t xml:space="preserve"> Pharmacy) of all eyes treated with </w:t>
      </w:r>
      <w:r w:rsidR="00C150D7" w:rsidRPr="004843E9">
        <w:t xml:space="preserve">DEX </w:t>
      </w:r>
      <w:r w:rsidR="008A3C89" w:rsidRPr="004843E9">
        <w:t>for DMO only</w:t>
      </w:r>
      <w:r w:rsidRPr="004843E9">
        <w:t>.</w:t>
      </w:r>
      <w:r w:rsidR="0037529D" w:rsidRPr="004843E9">
        <w:t xml:space="preserve"> This source reported the mean </w:t>
      </w:r>
      <w:r w:rsidR="002B43EA" w:rsidRPr="004843E9">
        <w:t>DEX</w:t>
      </w:r>
      <w:r w:rsidR="0037529D" w:rsidRPr="004843E9">
        <w:t xml:space="preserve"> use was 2.3</w:t>
      </w:r>
      <w:r w:rsidR="002B43EA" w:rsidRPr="004843E9">
        <w:t xml:space="preserve"> injections over</w:t>
      </w:r>
      <w:r w:rsidR="0037529D" w:rsidRPr="004843E9">
        <w:t xml:space="preserve"> 12 months</w:t>
      </w:r>
      <w:r w:rsidR="00293A0B" w:rsidRPr="004843E9">
        <w:t xml:space="preserve">. For continuing therapy only, the mean </w:t>
      </w:r>
      <w:r w:rsidR="002B43EA" w:rsidRPr="004843E9">
        <w:t>DEX</w:t>
      </w:r>
      <w:r w:rsidR="00293A0B" w:rsidRPr="004843E9">
        <w:t xml:space="preserve"> use was 2.6</w:t>
      </w:r>
      <w:r w:rsidR="002B43EA" w:rsidRPr="004843E9">
        <w:t xml:space="preserve"> injections</w:t>
      </w:r>
      <w:r w:rsidR="00293A0B" w:rsidRPr="004843E9">
        <w:t xml:space="preserve"> </w:t>
      </w:r>
      <w:r w:rsidR="002B43EA" w:rsidRPr="004843E9">
        <w:t>over</w:t>
      </w:r>
      <w:r w:rsidR="00293A0B" w:rsidRPr="004843E9">
        <w:t xml:space="preserve"> 12 months.</w:t>
      </w:r>
    </w:p>
    <w:p w:rsidR="006032E0" w:rsidRPr="004843E9" w:rsidRDefault="006032E0" w:rsidP="00414A5F">
      <w:pPr>
        <w:pStyle w:val="3Bodytext"/>
        <w:numPr>
          <w:ilvl w:val="0"/>
          <w:numId w:val="14"/>
        </w:numPr>
        <w:jc w:val="both"/>
      </w:pPr>
      <w:r w:rsidRPr="004843E9">
        <w:t>AUSSIEDEX Phase IV study of DEX implants in Australia.</w:t>
      </w:r>
      <w:r w:rsidR="0037529D" w:rsidRPr="004843E9">
        <w:t xml:space="preserve"> Th</w:t>
      </w:r>
      <w:r w:rsidR="008A3C89" w:rsidRPr="004843E9">
        <w:t>is</w:t>
      </w:r>
      <w:r w:rsidR="0037529D" w:rsidRPr="004843E9">
        <w:t xml:space="preserve"> study </w:t>
      </w:r>
      <w:r w:rsidR="002F18F8" w:rsidRPr="004843E9">
        <w:t>reported</w:t>
      </w:r>
      <w:r w:rsidR="0037529D" w:rsidRPr="004843E9">
        <w:t xml:space="preserve"> 2.3 </w:t>
      </w:r>
      <w:r w:rsidR="002F18F8" w:rsidRPr="004843E9">
        <w:t>injections</w:t>
      </w:r>
      <w:r w:rsidR="0037529D" w:rsidRPr="004843E9">
        <w:t xml:space="preserve"> </w:t>
      </w:r>
      <w:r w:rsidR="00293A0B" w:rsidRPr="004843E9">
        <w:t xml:space="preserve">of DEX </w:t>
      </w:r>
      <w:r w:rsidR="008A3C89" w:rsidRPr="004843E9">
        <w:t>over</w:t>
      </w:r>
      <w:r w:rsidR="0037529D" w:rsidRPr="004843E9">
        <w:t xml:space="preserve"> 12 months.</w:t>
      </w:r>
    </w:p>
    <w:p w:rsidR="0069255F" w:rsidRPr="004843E9" w:rsidRDefault="00912C95" w:rsidP="00854B42">
      <w:pPr>
        <w:pStyle w:val="3Bodytext"/>
        <w:jc w:val="both"/>
        <w:rPr>
          <w:rFonts w:cstheme="minorHAnsi"/>
          <w:szCs w:val="24"/>
        </w:rPr>
      </w:pPr>
      <w:r w:rsidRPr="004843E9">
        <w:t>T</w:t>
      </w:r>
      <w:r w:rsidR="004D3D48" w:rsidRPr="004843E9">
        <w:t xml:space="preserve">he </w:t>
      </w:r>
      <w:r w:rsidR="0069255F" w:rsidRPr="004843E9">
        <w:t xml:space="preserve">PBAC Guidelines (version 5.0, 2016) state in Section 3B.2 </w:t>
      </w:r>
      <w:r w:rsidR="00764CC2" w:rsidRPr="004843E9">
        <w:t>‘</w:t>
      </w:r>
      <w:r w:rsidR="0069255F" w:rsidRPr="004843E9">
        <w:t>Estimation of equi-effective doses</w:t>
      </w:r>
      <w:r w:rsidR="00764CC2" w:rsidRPr="004843E9">
        <w:t>’</w:t>
      </w:r>
      <w:r w:rsidR="0069255F" w:rsidRPr="004843E9">
        <w:rPr>
          <w:rStyle w:val="FootnoteReference"/>
        </w:rPr>
        <w:footnoteReference w:id="1"/>
      </w:r>
      <w:r w:rsidR="0069255F" w:rsidRPr="004843E9">
        <w:t xml:space="preserve"> that the following </w:t>
      </w:r>
      <w:r w:rsidR="0069255F" w:rsidRPr="004843E9">
        <w:rPr>
          <w:rFonts w:cstheme="minorHAnsi"/>
          <w:szCs w:val="24"/>
        </w:rPr>
        <w:t>sources of evidence should be used</w:t>
      </w:r>
      <w:r w:rsidR="00764CC2" w:rsidRPr="004843E9">
        <w:rPr>
          <w:rFonts w:cstheme="minorHAnsi"/>
          <w:szCs w:val="24"/>
        </w:rPr>
        <w:t xml:space="preserve"> </w:t>
      </w:r>
      <w:r w:rsidR="00764CC2" w:rsidRPr="004843E9">
        <w:rPr>
          <w:rFonts w:cstheme="minorHAnsi"/>
          <w:szCs w:val="24"/>
          <w:shd w:val="clear" w:color="auto" w:fill="FFFFFF"/>
        </w:rPr>
        <w:t>(presented in order of preference)</w:t>
      </w:r>
      <w:r w:rsidR="0069255F" w:rsidRPr="004843E9">
        <w:rPr>
          <w:rFonts w:cstheme="minorHAnsi"/>
          <w:szCs w:val="24"/>
        </w:rPr>
        <w:t>:</w:t>
      </w:r>
    </w:p>
    <w:p w:rsidR="0069255F" w:rsidRPr="004843E9" w:rsidRDefault="0069255F" w:rsidP="00854B42">
      <w:pPr>
        <w:pStyle w:val="3Bodytext"/>
        <w:numPr>
          <w:ilvl w:val="0"/>
          <w:numId w:val="19"/>
        </w:numPr>
        <w:jc w:val="both"/>
      </w:pPr>
      <w:r w:rsidRPr="004843E9">
        <w:lastRenderedPageBreak/>
        <w:t>Direct randomised trials where doses of both medicines are titrated against a response, or where doses of both medicines are fixed if the medicines are given in regular clinical practice according to a fixed protocol used in the trials;</w:t>
      </w:r>
    </w:p>
    <w:p w:rsidR="0069255F" w:rsidRPr="004843E9" w:rsidRDefault="00764CC2" w:rsidP="00854B42">
      <w:pPr>
        <w:pStyle w:val="3Bodytext"/>
        <w:numPr>
          <w:ilvl w:val="0"/>
          <w:numId w:val="19"/>
        </w:numPr>
        <w:jc w:val="both"/>
      </w:pPr>
      <w:r w:rsidRPr="004843E9">
        <w:t>Direct randomised trials where doses of one or both medicines are arbitrarily fixed in a way that does not reflect regular clinical practice. …;</w:t>
      </w:r>
    </w:p>
    <w:p w:rsidR="00764CC2" w:rsidRPr="004843E9" w:rsidRDefault="00764CC2" w:rsidP="00854B42">
      <w:pPr>
        <w:pStyle w:val="3Bodytext"/>
        <w:numPr>
          <w:ilvl w:val="0"/>
          <w:numId w:val="19"/>
        </w:numPr>
        <w:jc w:val="both"/>
      </w:pPr>
      <w:r w:rsidRPr="004843E9">
        <w:t>Indirect comparisons of two or more sets of randomised trials involving one or more common references;</w:t>
      </w:r>
    </w:p>
    <w:p w:rsidR="00764CC2" w:rsidRPr="004843E9" w:rsidRDefault="00764CC2" w:rsidP="00854B42">
      <w:pPr>
        <w:pStyle w:val="3Bodytext"/>
        <w:numPr>
          <w:ilvl w:val="0"/>
          <w:numId w:val="19"/>
        </w:numPr>
        <w:jc w:val="both"/>
      </w:pPr>
      <w:r w:rsidRPr="004843E9">
        <w:t>Nonrandomised studies where both dose and effect are measured;</w:t>
      </w:r>
    </w:p>
    <w:p w:rsidR="00764CC2" w:rsidRPr="004843E9" w:rsidRDefault="00764CC2" w:rsidP="00854B42">
      <w:pPr>
        <w:pStyle w:val="3Bodytext"/>
        <w:numPr>
          <w:ilvl w:val="0"/>
          <w:numId w:val="19"/>
        </w:numPr>
        <w:jc w:val="both"/>
      </w:pPr>
      <w:r w:rsidRPr="004843E9">
        <w:t>Nonrandomised studies (including market research data) where dose, but not effect, is measured. This source of evidence is the least preferred. It may be preferable to calculate doses from prescribing or dispensing data, such as the PBS prescription dataset, rather than using market research data.</w:t>
      </w:r>
    </w:p>
    <w:p w:rsidR="0069255F" w:rsidRPr="004843E9" w:rsidRDefault="00173FF4" w:rsidP="00A017F7">
      <w:pPr>
        <w:pStyle w:val="3Bodytext"/>
        <w:jc w:val="both"/>
      </w:pPr>
      <w:r w:rsidRPr="004843E9">
        <w:t xml:space="preserve">The Sponsor </w:t>
      </w:r>
      <w:r w:rsidR="00C774DA" w:rsidRPr="004843E9">
        <w:t xml:space="preserve">acknowledged </w:t>
      </w:r>
      <w:r w:rsidRPr="004843E9">
        <w:t>in their pre-PBAC response the PBAC’s preference for an indirect comparison using randomised trials (FAME and MEAD) over evidence from nonrandomised studies for the calculation of equi-effective doses</w:t>
      </w:r>
      <w:r w:rsidR="007A1914" w:rsidRPr="004843E9">
        <w:t>; h</w:t>
      </w:r>
      <w:r w:rsidR="00C774DA" w:rsidRPr="004843E9">
        <w:t xml:space="preserve">owever, the Sponsor </w:t>
      </w:r>
      <w:r w:rsidR="007A1914" w:rsidRPr="004843E9">
        <w:t xml:space="preserve">reiterated that </w:t>
      </w:r>
      <w:r w:rsidR="00D04C29" w:rsidRPr="004843E9">
        <w:t>the trial doses are</w:t>
      </w:r>
      <w:r w:rsidRPr="004843E9">
        <w:t xml:space="preserve"> not representative of</w:t>
      </w:r>
      <w:r w:rsidR="00C774DA" w:rsidRPr="004843E9">
        <w:t xml:space="preserve"> Australian and global</w:t>
      </w:r>
      <w:r w:rsidRPr="004843E9">
        <w:t xml:space="preserve"> clinical practice</w:t>
      </w:r>
      <w:r w:rsidR="00621C5F" w:rsidRPr="004843E9">
        <w:t>. The Sponsor</w:t>
      </w:r>
      <w:r w:rsidR="006F4265" w:rsidRPr="004843E9">
        <w:t xml:space="preserve"> also</w:t>
      </w:r>
      <w:r w:rsidR="00621C5F" w:rsidRPr="004843E9">
        <w:t xml:space="preserve"> restated</w:t>
      </w:r>
      <w:r w:rsidR="00E01A62" w:rsidRPr="004843E9">
        <w:t xml:space="preserve"> in the pre-PBAC response</w:t>
      </w:r>
      <w:r w:rsidR="00621C5F" w:rsidRPr="004843E9">
        <w:t xml:space="preserve"> that</w:t>
      </w:r>
      <w:r w:rsidRPr="004843E9">
        <w:t xml:space="preserve"> the results of the indirect comparison suggest that patients treated with the FA implant had</w:t>
      </w:r>
      <w:r w:rsidR="00C774DA" w:rsidRPr="004843E9">
        <w:t xml:space="preserve"> a greater improvement in </w:t>
      </w:r>
      <w:r w:rsidRPr="004843E9">
        <w:t xml:space="preserve">BCVA compared with the </w:t>
      </w:r>
      <w:r w:rsidR="00C774DA" w:rsidRPr="004843E9">
        <w:t>DEX</w:t>
      </w:r>
      <w:r w:rsidRPr="004843E9">
        <w:t xml:space="preserve"> implant</w:t>
      </w:r>
      <w:r w:rsidR="00C774DA" w:rsidRPr="004843E9">
        <w:t xml:space="preserve">. </w:t>
      </w:r>
    </w:p>
    <w:p w:rsidR="005A3173" w:rsidRPr="004843E9" w:rsidRDefault="005A3173" w:rsidP="00917D69">
      <w:pPr>
        <w:pStyle w:val="4-SubsectionHeading"/>
        <w:rPr>
          <w:lang w:eastAsia="en-US"/>
        </w:rPr>
      </w:pPr>
      <w:r w:rsidRPr="004843E9">
        <w:rPr>
          <w:lang w:eastAsia="en-US"/>
        </w:rPr>
        <w:t>Economic analysis</w:t>
      </w:r>
      <w:r w:rsidR="009803E4" w:rsidRPr="004843E9">
        <w:rPr>
          <w:lang w:eastAsia="en-US"/>
        </w:rPr>
        <w:t xml:space="preserve"> </w:t>
      </w:r>
    </w:p>
    <w:p w:rsidR="00E132B3" w:rsidRPr="004843E9" w:rsidRDefault="00E132B3" w:rsidP="00E132B3">
      <w:pPr>
        <w:pStyle w:val="ListParagraph"/>
        <w:numPr>
          <w:ilvl w:val="1"/>
          <w:numId w:val="1"/>
        </w:numPr>
        <w:jc w:val="both"/>
      </w:pPr>
      <w:r w:rsidRPr="004843E9">
        <w:t xml:space="preserve">The March 2020 submission presented a CMA of FA to DEX based on an indirect comparison using the randomised trials FAME and MEAD. The equi-effective doses were estimated by the Sponsor as FA 190 </w:t>
      </w:r>
      <w:r w:rsidRPr="004843E9">
        <w:rPr>
          <w:rFonts w:ascii="Symbol" w:hAnsi="Symbol"/>
        </w:rPr>
        <w:t></w:t>
      </w:r>
      <w:r w:rsidRPr="004843E9">
        <w:t>g 1 administration per 36 months and DEX</w:t>
      </w:r>
      <w:r w:rsidR="002572B7" w:rsidRPr="004843E9">
        <w:t xml:space="preserve"> 700 </w:t>
      </w:r>
      <w:r w:rsidR="002572B7" w:rsidRPr="004843E9">
        <w:rPr>
          <w:rFonts w:ascii="Symbol" w:hAnsi="Symbol"/>
        </w:rPr>
        <w:t></w:t>
      </w:r>
      <w:r w:rsidR="002572B7" w:rsidRPr="004843E9">
        <w:t>g</w:t>
      </w:r>
      <w:r w:rsidRPr="004843E9">
        <w:t xml:space="preserve"> 6.48 administrations over 36 months.</w:t>
      </w:r>
      <w:r w:rsidR="002572B7" w:rsidRPr="004843E9">
        <w:t xml:space="preserve"> The PBAC considered this dose relativity to be inappropriate because it did not reflect the clinical trial data provided in the submission. The PBAC noted the equi-effective doses were 1.3 administrations for FA and 4.11 administrations of DEX over 36 months based on the clinical trial data that supported the claim of non-inferiority (paragraph 6.27, FA PSD, March 2020).</w:t>
      </w:r>
    </w:p>
    <w:p w:rsidR="002572B7" w:rsidRPr="004843E9" w:rsidRDefault="002572B7" w:rsidP="00E132B3">
      <w:pPr>
        <w:pStyle w:val="ListParagraph"/>
        <w:numPr>
          <w:ilvl w:val="1"/>
          <w:numId w:val="1"/>
        </w:numPr>
        <w:jc w:val="both"/>
      </w:pPr>
      <w:r w:rsidRPr="004843E9">
        <w:t xml:space="preserve">The March 2020 submission </w:t>
      </w:r>
      <w:r w:rsidR="001A062E" w:rsidRPr="004843E9">
        <w:t>claimed that patients would receive VEGF inhibitors rather than another FA implant if they require retreatment. The CMA assumed only one VEGF inhibitor injection would be received per patient (i.e. one month of treatment), which the PBAC considered may not be reasonable (paragraph 6.28, FA PSD, March 2020).</w:t>
      </w:r>
    </w:p>
    <w:p w:rsidR="00C532BE" w:rsidRPr="004843E9" w:rsidRDefault="00441B10" w:rsidP="00C532BE">
      <w:pPr>
        <w:pStyle w:val="ListParagraph"/>
        <w:numPr>
          <w:ilvl w:val="1"/>
          <w:numId w:val="1"/>
        </w:numPr>
        <w:jc w:val="both"/>
      </w:pPr>
      <w:r w:rsidRPr="004843E9">
        <w:t>The March 2020 submission assumed 11.04 ophthalmologist visits for patients treated with FA and 14.42 for patients treated with DEX over 36 months. The PBAC agreed with ESC that the number of ophthalmology visits over 36 months for patients receiving either FA or DEX should not be different (paragraph 6.29, FA PSD, March 2020).</w:t>
      </w:r>
    </w:p>
    <w:p w:rsidR="00DB2618" w:rsidRPr="004843E9" w:rsidRDefault="00DB2618" w:rsidP="002934F2">
      <w:pPr>
        <w:pStyle w:val="ListParagraph"/>
        <w:numPr>
          <w:ilvl w:val="1"/>
          <w:numId w:val="1"/>
        </w:numPr>
        <w:jc w:val="both"/>
      </w:pPr>
      <w:r w:rsidRPr="004843E9">
        <w:lastRenderedPageBreak/>
        <w:t>The PBAC advised in March 2020 that the CMA should only include the cost of drug and the cost of administering the implants. The PBAC considered all other costs were highly uncertain, not well justified in the submission and should not be included in the CMA (paragraph</w:t>
      </w:r>
      <w:r w:rsidR="006864E6" w:rsidRPr="004843E9">
        <w:t xml:space="preserve"> </w:t>
      </w:r>
      <w:r w:rsidRPr="004843E9">
        <w:t>7.7, FA PSD, March 2020).</w:t>
      </w:r>
    </w:p>
    <w:p w:rsidR="002934F2" w:rsidRPr="004843E9" w:rsidRDefault="00E132B3" w:rsidP="00191CD1">
      <w:pPr>
        <w:pStyle w:val="ListParagraph"/>
        <w:numPr>
          <w:ilvl w:val="1"/>
          <w:numId w:val="1"/>
        </w:numPr>
        <w:jc w:val="both"/>
      </w:pPr>
      <w:r w:rsidRPr="004843E9">
        <w:t>The minor resubmission</w:t>
      </w:r>
      <w:r w:rsidR="00C532BE" w:rsidRPr="004843E9">
        <w:t xml:space="preserve"> presented a CMA that the Sponsor states is consistent with the approach used in the March 2020 submission, using only drug costs and the costs associated with administration. </w:t>
      </w:r>
      <w:r w:rsidR="002934F2" w:rsidRPr="004843E9">
        <w:t>Results of the CMA based on effective</w:t>
      </w:r>
      <w:r w:rsidR="00522D0F" w:rsidRPr="004843E9">
        <w:rPr>
          <w:rStyle w:val="FootnoteReference"/>
        </w:rPr>
        <w:footnoteReference w:id="2"/>
      </w:r>
      <w:r w:rsidR="00E86843">
        <w:t xml:space="preserve"> prices are shown in Table 2</w:t>
      </w:r>
      <w:r w:rsidR="002934F2" w:rsidRPr="004843E9">
        <w:t xml:space="preserve">. </w:t>
      </w:r>
    </w:p>
    <w:p w:rsidR="008619CB" w:rsidRDefault="008619CB">
      <w:pPr>
        <w:jc w:val="left"/>
        <w:rPr>
          <w:rStyle w:val="CommentReference"/>
          <w:rFonts w:ascii="Arial Narrow" w:eastAsiaTheme="majorEastAsia" w:hAnsi="Arial Narrow" w:cstheme="majorBidi"/>
          <w:b/>
          <w:bCs/>
          <w:sz w:val="20"/>
          <w:szCs w:val="20"/>
        </w:rPr>
      </w:pPr>
    </w:p>
    <w:p w:rsidR="002934F2" w:rsidRPr="004843E9" w:rsidRDefault="00E86843" w:rsidP="002934F2">
      <w:pPr>
        <w:pStyle w:val="TableFigureHeading"/>
        <w:rPr>
          <w:szCs w:val="20"/>
        </w:rPr>
      </w:pPr>
      <w:r>
        <w:rPr>
          <w:rStyle w:val="CommentReference"/>
          <w:sz w:val="20"/>
          <w:szCs w:val="20"/>
        </w:rPr>
        <w:t>Table 2</w:t>
      </w:r>
      <w:r w:rsidR="002934F2" w:rsidRPr="004843E9">
        <w:rPr>
          <w:rStyle w:val="CommentReference"/>
          <w:sz w:val="20"/>
          <w:szCs w:val="20"/>
        </w:rPr>
        <w:t>: Results of the cost minimisation analysis conducted by the minor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1"/>
        <w:gridCol w:w="1874"/>
        <w:gridCol w:w="1518"/>
        <w:gridCol w:w="1491"/>
        <w:gridCol w:w="3662"/>
      </w:tblGrid>
      <w:tr w:rsidR="0059516F" w:rsidRPr="004843E9" w:rsidTr="00A659D1">
        <w:trPr>
          <w:cantSplit/>
          <w:tblHeader/>
        </w:trPr>
        <w:tc>
          <w:tcPr>
            <w:tcW w:w="1300" w:type="pct"/>
            <w:gridSpan w:val="2"/>
            <w:tcBorders>
              <w:top w:val="single" w:sz="4" w:space="0" w:color="auto"/>
              <w:left w:val="single" w:sz="4" w:space="0" w:color="auto"/>
              <w:bottom w:val="single" w:sz="4" w:space="0" w:color="auto"/>
              <w:right w:val="single" w:sz="4" w:space="0" w:color="auto"/>
            </w:tcBorders>
            <w:shd w:val="clear" w:color="auto" w:fill="FFFFFF"/>
          </w:tcPr>
          <w:p w:rsidR="0059516F" w:rsidRPr="004843E9" w:rsidRDefault="0059516F" w:rsidP="0059516F">
            <w:pPr>
              <w:pStyle w:val="In-tableHeading"/>
              <w:jc w:val="center"/>
              <w:rPr>
                <w:lang w:val="en-AU"/>
              </w:rPr>
            </w:pPr>
          </w:p>
        </w:tc>
        <w:tc>
          <w:tcPr>
            <w:tcW w:w="842" w:type="pct"/>
            <w:tcBorders>
              <w:top w:val="single" w:sz="4" w:space="0" w:color="auto"/>
              <w:left w:val="single" w:sz="4" w:space="0" w:color="auto"/>
              <w:bottom w:val="single" w:sz="4" w:space="0" w:color="auto"/>
              <w:right w:val="single" w:sz="4" w:space="0" w:color="auto"/>
            </w:tcBorders>
            <w:shd w:val="clear" w:color="auto" w:fill="FFFFFF"/>
          </w:tcPr>
          <w:p w:rsidR="0059516F" w:rsidRPr="004843E9" w:rsidRDefault="009A3627" w:rsidP="0059516F">
            <w:pPr>
              <w:pStyle w:val="In-tableHeading"/>
              <w:jc w:val="center"/>
              <w:rPr>
                <w:lang w:val="en-AU"/>
              </w:rPr>
            </w:pPr>
            <w:r w:rsidRPr="004843E9">
              <w:rPr>
                <w:lang w:val="en-AU"/>
              </w:rPr>
              <w:t>DEX</w:t>
            </w:r>
          </w:p>
        </w:tc>
        <w:tc>
          <w:tcPr>
            <w:tcW w:w="827" w:type="pct"/>
            <w:tcBorders>
              <w:top w:val="single" w:sz="4" w:space="0" w:color="auto"/>
              <w:left w:val="single" w:sz="4" w:space="0" w:color="auto"/>
              <w:bottom w:val="single" w:sz="4" w:space="0" w:color="auto"/>
              <w:right w:val="single" w:sz="4" w:space="0" w:color="auto"/>
            </w:tcBorders>
            <w:shd w:val="clear" w:color="auto" w:fill="FFFFFF"/>
          </w:tcPr>
          <w:p w:rsidR="0059516F" w:rsidRPr="004843E9" w:rsidRDefault="009A3627" w:rsidP="0059516F">
            <w:pPr>
              <w:pStyle w:val="In-tableHeading"/>
              <w:jc w:val="center"/>
              <w:rPr>
                <w:lang w:val="en-AU"/>
              </w:rPr>
            </w:pPr>
            <w:r w:rsidRPr="004843E9">
              <w:rPr>
                <w:lang w:val="en-AU"/>
              </w:rPr>
              <w:t>FA</w:t>
            </w:r>
          </w:p>
        </w:tc>
        <w:tc>
          <w:tcPr>
            <w:tcW w:w="2032" w:type="pct"/>
            <w:tcBorders>
              <w:top w:val="single" w:sz="4" w:space="0" w:color="auto"/>
              <w:left w:val="single" w:sz="4" w:space="0" w:color="auto"/>
              <w:bottom w:val="single" w:sz="4" w:space="0" w:color="auto"/>
              <w:right w:val="single" w:sz="4" w:space="0" w:color="auto"/>
            </w:tcBorders>
            <w:shd w:val="clear" w:color="auto" w:fill="FFFFFF"/>
          </w:tcPr>
          <w:p w:rsidR="0059516F" w:rsidRPr="004843E9" w:rsidRDefault="00522D0F" w:rsidP="0059516F">
            <w:pPr>
              <w:pStyle w:val="In-tableHeading"/>
              <w:jc w:val="center"/>
              <w:rPr>
                <w:lang w:val="en-AU"/>
              </w:rPr>
            </w:pPr>
            <w:r w:rsidRPr="004843E9">
              <w:rPr>
                <w:lang w:val="en-AU"/>
              </w:rPr>
              <w:t>Source/calculation</w:t>
            </w:r>
          </w:p>
        </w:tc>
      </w:tr>
      <w:tr w:rsidR="009A3627"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9A3627" w:rsidRPr="004843E9" w:rsidRDefault="009A3627" w:rsidP="0059516F">
            <w:pPr>
              <w:pStyle w:val="TableText0"/>
            </w:pPr>
            <w:r w:rsidRPr="004843E9">
              <w:t>A</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59516F">
            <w:pPr>
              <w:pStyle w:val="TableText0"/>
            </w:pPr>
            <w:r w:rsidRPr="004843E9">
              <w:t>Ex-manufacturer price (effective)</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59516F">
            <w:pPr>
              <w:pStyle w:val="TableText0"/>
              <w:jc w:val="center"/>
              <w:rPr>
                <w:iCs/>
              </w:rPr>
            </w:pPr>
            <w:r w:rsidRPr="004843E9">
              <w:rPr>
                <w:iCs/>
              </w:rPr>
              <w:t>$</w:t>
            </w:r>
            <w:r w:rsidR="00E733BF">
              <w:rPr>
                <w:iCs/>
                <w:noProof/>
                <w:color w:val="000000"/>
                <w:highlight w:val="black"/>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59516F">
            <w:pPr>
              <w:pStyle w:val="TableText0"/>
              <w:jc w:val="center"/>
              <w:rPr>
                <w:iCs/>
              </w:rPr>
            </w:pPr>
            <w:r w:rsidRPr="004843E9">
              <w:rPr>
                <w:iCs/>
              </w:rPr>
              <w:t>$</w:t>
            </w:r>
            <w:r w:rsidR="00E733BF">
              <w:rPr>
                <w:iCs/>
                <w:noProof/>
                <w:color w:val="000000"/>
                <w:highlight w:val="black"/>
              </w:rPr>
              <w:t>'''''''''''''''''''</w:t>
            </w:r>
          </w:p>
        </w:tc>
        <w:tc>
          <w:tcPr>
            <w:tcW w:w="2032" w:type="pct"/>
            <w:tcBorders>
              <w:top w:val="single" w:sz="4" w:space="0" w:color="auto"/>
              <w:left w:val="single" w:sz="4" w:space="0" w:color="auto"/>
              <w:bottom w:val="single" w:sz="4" w:space="0" w:color="auto"/>
              <w:right w:val="single" w:sz="4" w:space="0" w:color="auto"/>
            </w:tcBorders>
          </w:tcPr>
          <w:p w:rsidR="009A3627" w:rsidRPr="004843E9" w:rsidRDefault="009A3627" w:rsidP="009A3627">
            <w:pPr>
              <w:pStyle w:val="TableText0"/>
              <w:rPr>
                <w:iCs/>
              </w:rPr>
            </w:pPr>
            <w:r w:rsidRPr="004843E9">
              <w:rPr>
                <w:iCs/>
              </w:rPr>
              <w:t>DEX = ex-manufacturer price</w:t>
            </w:r>
          </w:p>
          <w:p w:rsidR="009A3627" w:rsidRPr="004843E9" w:rsidRDefault="009A3627" w:rsidP="009A3627">
            <w:pPr>
              <w:pStyle w:val="TableText0"/>
              <w:rPr>
                <w:iCs/>
              </w:rPr>
            </w:pPr>
            <w:r w:rsidRPr="004843E9">
              <w:rPr>
                <w:iCs/>
              </w:rPr>
              <w:t>FA =</w:t>
            </w:r>
            <w:r w:rsidR="00017238" w:rsidRPr="004843E9">
              <w:rPr>
                <w:iCs/>
              </w:rPr>
              <w:t xml:space="preserve"> C / B</w:t>
            </w:r>
          </w:p>
        </w:tc>
      </w:tr>
      <w:tr w:rsidR="0059516F"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59516F" w:rsidRPr="004843E9" w:rsidRDefault="0059516F" w:rsidP="0059516F">
            <w:pPr>
              <w:pStyle w:val="TableText0"/>
            </w:pPr>
            <w:r w:rsidRPr="004843E9">
              <w:t>B</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59516F">
            <w:pPr>
              <w:pStyle w:val="TableText0"/>
            </w:pPr>
            <w:r w:rsidRPr="004843E9">
              <w:t>Injections</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59516F">
            <w:pPr>
              <w:pStyle w:val="TableText0"/>
              <w:jc w:val="center"/>
              <w:rPr>
                <w:iCs/>
              </w:rPr>
            </w:pPr>
            <w:r w:rsidRPr="004843E9">
              <w:rPr>
                <w:iCs/>
              </w:rPr>
              <w:t>6.48</w:t>
            </w:r>
          </w:p>
        </w:tc>
        <w:tc>
          <w:tcPr>
            <w:tcW w:w="827"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59516F">
            <w:pPr>
              <w:pStyle w:val="TableText0"/>
              <w:jc w:val="center"/>
              <w:rPr>
                <w:iCs/>
              </w:rPr>
            </w:pPr>
            <w:r w:rsidRPr="004843E9">
              <w:rPr>
                <w:iCs/>
              </w:rPr>
              <w:t>1</w:t>
            </w:r>
          </w:p>
        </w:tc>
        <w:tc>
          <w:tcPr>
            <w:tcW w:w="2032" w:type="pct"/>
            <w:tcBorders>
              <w:top w:val="single" w:sz="4" w:space="0" w:color="auto"/>
              <w:left w:val="single" w:sz="4" w:space="0" w:color="auto"/>
              <w:bottom w:val="single" w:sz="4" w:space="0" w:color="auto"/>
              <w:right w:val="single" w:sz="4" w:space="0" w:color="auto"/>
            </w:tcBorders>
          </w:tcPr>
          <w:p w:rsidR="0059516F" w:rsidRPr="004843E9" w:rsidRDefault="00017238" w:rsidP="00522D0F">
            <w:pPr>
              <w:pStyle w:val="TableText0"/>
            </w:pPr>
            <w:r w:rsidRPr="004843E9">
              <w:rPr>
                <w:iCs/>
              </w:rPr>
              <w:t xml:space="preserve">DEX = </w:t>
            </w:r>
            <w:r w:rsidRPr="004843E9">
              <w:t>DEX PSD, March 2016</w:t>
            </w:r>
          </w:p>
          <w:p w:rsidR="00017238" w:rsidRPr="004843E9" w:rsidRDefault="00017238" w:rsidP="00017238">
            <w:pPr>
              <w:pStyle w:val="TableText0"/>
              <w:rPr>
                <w:iCs/>
              </w:rPr>
            </w:pPr>
            <w:r w:rsidRPr="004843E9">
              <w:t xml:space="preserve">FA = </w:t>
            </w:r>
            <w:proofErr w:type="spellStart"/>
            <w:r w:rsidRPr="004843E9">
              <w:t>Assumption</w:t>
            </w:r>
            <w:r w:rsidR="0085208A" w:rsidRPr="004843E9">
              <w:rPr>
                <w:vertAlign w:val="superscript"/>
              </w:rPr>
              <w:t>a</w:t>
            </w:r>
            <w:proofErr w:type="spellEnd"/>
          </w:p>
        </w:tc>
      </w:tr>
      <w:tr w:rsidR="009A3627"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9A3627" w:rsidRPr="004843E9" w:rsidRDefault="009A3627" w:rsidP="009A3627">
            <w:pPr>
              <w:pStyle w:val="TableText0"/>
            </w:pPr>
            <w:r w:rsidRPr="004843E9">
              <w:t>C</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9A3627">
            <w:pPr>
              <w:pStyle w:val="TableText0"/>
            </w:pPr>
            <w:r w:rsidRPr="004843E9">
              <w:t>Drug costs</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9A3627">
            <w:pPr>
              <w:pStyle w:val="TableText0"/>
              <w:jc w:val="center"/>
              <w:rPr>
                <w:iCs/>
              </w:rPr>
            </w:pPr>
            <w:r w:rsidRPr="004843E9">
              <w:rPr>
                <w:iCs/>
              </w:rPr>
              <w:t>$</w:t>
            </w:r>
            <w:r w:rsidR="00E733BF">
              <w:rPr>
                <w:iCs/>
                <w:noProof/>
                <w:color w:val="000000"/>
                <w:highlight w:val="black"/>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rsidR="009A3627" w:rsidRPr="004843E9" w:rsidRDefault="009A3627" w:rsidP="009A3627">
            <w:pPr>
              <w:pStyle w:val="TableText0"/>
              <w:jc w:val="center"/>
              <w:rPr>
                <w:iCs/>
              </w:rPr>
            </w:pPr>
            <w:r w:rsidRPr="004843E9">
              <w:rPr>
                <w:iCs/>
              </w:rPr>
              <w:t>$</w:t>
            </w:r>
            <w:r w:rsidR="00E733BF">
              <w:rPr>
                <w:iCs/>
                <w:noProof/>
                <w:color w:val="000000"/>
                <w:highlight w:val="black"/>
              </w:rPr>
              <w:t>'''''''''''''''''''''''</w:t>
            </w:r>
          </w:p>
        </w:tc>
        <w:tc>
          <w:tcPr>
            <w:tcW w:w="2032" w:type="pct"/>
            <w:tcBorders>
              <w:top w:val="single" w:sz="4" w:space="0" w:color="auto"/>
              <w:left w:val="single" w:sz="4" w:space="0" w:color="auto"/>
              <w:bottom w:val="single" w:sz="4" w:space="0" w:color="auto"/>
              <w:right w:val="single" w:sz="4" w:space="0" w:color="auto"/>
            </w:tcBorders>
          </w:tcPr>
          <w:p w:rsidR="009A3627" w:rsidRPr="004843E9" w:rsidRDefault="00F35F11" w:rsidP="009A3627">
            <w:pPr>
              <w:pStyle w:val="TableText0"/>
              <w:rPr>
                <w:iCs/>
              </w:rPr>
            </w:pPr>
            <w:r w:rsidRPr="004843E9">
              <w:rPr>
                <w:iCs/>
              </w:rPr>
              <w:t>DEX = A * B</w:t>
            </w:r>
          </w:p>
          <w:p w:rsidR="00F35F11" w:rsidRPr="004843E9" w:rsidRDefault="00F35F11" w:rsidP="009A3627">
            <w:pPr>
              <w:pStyle w:val="TableText0"/>
              <w:rPr>
                <w:iCs/>
              </w:rPr>
            </w:pPr>
            <w:r w:rsidRPr="004843E9">
              <w:rPr>
                <w:iCs/>
              </w:rPr>
              <w:t>FA = E – (D + E + F)</w:t>
            </w:r>
          </w:p>
        </w:tc>
      </w:tr>
      <w:tr w:rsidR="00F35F11"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pPr>
          </w:p>
          <w:p w:rsidR="0059516F" w:rsidRPr="004843E9" w:rsidRDefault="009A3627" w:rsidP="00F35F11">
            <w:pPr>
              <w:pStyle w:val="TableText0"/>
            </w:pPr>
            <w:r w:rsidRPr="004843E9">
              <w:t>D</w:t>
            </w:r>
          </w:p>
          <w:p w:rsidR="0059516F" w:rsidRPr="004843E9" w:rsidRDefault="009A3627" w:rsidP="00F35F11">
            <w:pPr>
              <w:pStyle w:val="TableText0"/>
            </w:pPr>
            <w:r w:rsidRPr="004843E9">
              <w:t>E</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F35F11">
            <w:pPr>
              <w:pStyle w:val="TableText0"/>
            </w:pPr>
            <w:r w:rsidRPr="004843E9">
              <w:t xml:space="preserve">Administration </w:t>
            </w:r>
            <w:proofErr w:type="spellStart"/>
            <w:r w:rsidRPr="004843E9">
              <w:t>costs:</w:t>
            </w:r>
            <w:r w:rsidR="00181DC0" w:rsidRPr="004843E9">
              <w:rPr>
                <w:vertAlign w:val="superscript"/>
              </w:rPr>
              <w:t>b</w:t>
            </w:r>
            <w:proofErr w:type="spellEnd"/>
          </w:p>
          <w:p w:rsidR="00F35F11" w:rsidRPr="004843E9" w:rsidRDefault="0059516F" w:rsidP="00F35F11">
            <w:pPr>
              <w:pStyle w:val="TableText0"/>
            </w:pPr>
            <w:r w:rsidRPr="004843E9">
              <w:t>Ophthalmologist visit</w:t>
            </w:r>
            <w:r w:rsidR="005D0D1F" w:rsidRPr="004843E9">
              <w:t>s</w:t>
            </w:r>
          </w:p>
          <w:p w:rsidR="00F35F11" w:rsidRPr="004843E9" w:rsidRDefault="0059516F" w:rsidP="00F35F11">
            <w:pPr>
              <w:pStyle w:val="TableText0"/>
            </w:pPr>
            <w:r w:rsidRPr="004843E9">
              <w:t>Steroid administration</w:t>
            </w:r>
          </w:p>
        </w:tc>
        <w:tc>
          <w:tcPr>
            <w:tcW w:w="842"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jc w:val="center"/>
            </w:pPr>
          </w:p>
          <w:p w:rsidR="00F35F11" w:rsidRPr="004843E9" w:rsidRDefault="002F4756" w:rsidP="00F35F11">
            <w:pPr>
              <w:pStyle w:val="TableText0"/>
              <w:jc w:val="center"/>
            </w:pPr>
            <w:r w:rsidRPr="004843E9">
              <w:t>$247.86</w:t>
            </w:r>
          </w:p>
          <w:p w:rsidR="00F35F11" w:rsidRPr="004843E9" w:rsidRDefault="00614CE0" w:rsidP="00F35F11">
            <w:pPr>
              <w:pStyle w:val="TableText0"/>
              <w:jc w:val="center"/>
            </w:pPr>
            <w:r w:rsidRPr="004843E9">
              <w:t>$1,708.45</w:t>
            </w:r>
          </w:p>
        </w:tc>
        <w:tc>
          <w:tcPr>
            <w:tcW w:w="827"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jc w:val="center"/>
            </w:pPr>
          </w:p>
          <w:p w:rsidR="00F35F11" w:rsidRPr="004843E9" w:rsidRDefault="002F4756" w:rsidP="00F35F11">
            <w:pPr>
              <w:pStyle w:val="TableText0"/>
              <w:jc w:val="center"/>
            </w:pPr>
            <w:r w:rsidRPr="004843E9">
              <w:t>$38.25</w:t>
            </w:r>
          </w:p>
          <w:p w:rsidR="00F35F11" w:rsidRPr="004843E9" w:rsidRDefault="00614CE0" w:rsidP="00F35F11">
            <w:pPr>
              <w:pStyle w:val="TableText0"/>
              <w:jc w:val="center"/>
            </w:pPr>
            <w:r w:rsidRPr="004843E9">
              <w:t>$263.65</w:t>
            </w:r>
          </w:p>
        </w:tc>
        <w:tc>
          <w:tcPr>
            <w:tcW w:w="2032" w:type="pct"/>
            <w:tcBorders>
              <w:top w:val="single" w:sz="4" w:space="0" w:color="auto"/>
              <w:left w:val="single" w:sz="4" w:space="0" w:color="auto"/>
              <w:bottom w:val="single" w:sz="4" w:space="0" w:color="auto"/>
              <w:right w:val="single" w:sz="4" w:space="0" w:color="auto"/>
            </w:tcBorders>
          </w:tcPr>
          <w:p w:rsidR="00F35F11" w:rsidRPr="004843E9" w:rsidRDefault="00F35F11" w:rsidP="00522D0F">
            <w:pPr>
              <w:pStyle w:val="TableText0"/>
            </w:pPr>
          </w:p>
          <w:p w:rsidR="00F35F11" w:rsidRPr="004843E9" w:rsidRDefault="00DC5022" w:rsidP="00522D0F">
            <w:pPr>
              <w:pStyle w:val="TableText0"/>
            </w:pPr>
            <w:r w:rsidRPr="004843E9">
              <w:t>FA and DEX</w:t>
            </w:r>
            <w:r w:rsidR="00F35F11" w:rsidRPr="004843E9">
              <w:t xml:space="preserve"> = B * $38.25 (MBS Item 105)</w:t>
            </w:r>
          </w:p>
          <w:p w:rsidR="00F35F11" w:rsidRPr="004843E9" w:rsidRDefault="00DC5022" w:rsidP="00522D0F">
            <w:pPr>
              <w:pStyle w:val="TableText0"/>
            </w:pPr>
            <w:r w:rsidRPr="004843E9">
              <w:t>FA and DEX</w:t>
            </w:r>
            <w:r w:rsidR="00F35F11" w:rsidRPr="004843E9">
              <w:t xml:space="preserve"> = B * $263.65 (MBS Item 42740) </w:t>
            </w:r>
          </w:p>
        </w:tc>
      </w:tr>
      <w:tr w:rsidR="00F35F11"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pPr>
          </w:p>
          <w:p w:rsidR="0059516F" w:rsidRPr="004843E9" w:rsidRDefault="009A3627" w:rsidP="00F35F11">
            <w:pPr>
              <w:pStyle w:val="TableText0"/>
            </w:pPr>
            <w:r w:rsidRPr="004843E9">
              <w:t>F</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F35F11">
            <w:pPr>
              <w:pStyle w:val="TableText0"/>
            </w:pPr>
            <w:r w:rsidRPr="004843E9">
              <w:t xml:space="preserve">Other therapies: </w:t>
            </w:r>
          </w:p>
          <w:p w:rsidR="0059516F" w:rsidRPr="004843E9" w:rsidRDefault="00614CE0" w:rsidP="00F35F11">
            <w:pPr>
              <w:pStyle w:val="TableText0"/>
            </w:pPr>
            <w:r w:rsidRPr="004843E9">
              <w:t>Anti-VEGF</w:t>
            </w:r>
          </w:p>
        </w:tc>
        <w:tc>
          <w:tcPr>
            <w:tcW w:w="842"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jc w:val="center"/>
            </w:pPr>
          </w:p>
          <w:p w:rsidR="0059516F" w:rsidRPr="004843E9" w:rsidDel="004352D4" w:rsidRDefault="00FF4CE9" w:rsidP="00F35F11">
            <w:pPr>
              <w:pStyle w:val="TableText0"/>
              <w:jc w:val="center"/>
            </w:pPr>
            <w:r w:rsidRPr="004843E9">
              <w:t>-</w:t>
            </w:r>
          </w:p>
        </w:tc>
        <w:tc>
          <w:tcPr>
            <w:tcW w:w="827"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Text0"/>
              <w:jc w:val="center"/>
            </w:pPr>
          </w:p>
          <w:p w:rsidR="0059516F" w:rsidRPr="004843E9" w:rsidRDefault="00FF4CE9" w:rsidP="00F35F11">
            <w:pPr>
              <w:pStyle w:val="TableText0"/>
              <w:jc w:val="center"/>
            </w:pPr>
            <w:r w:rsidRPr="004843E9">
              <w:t>$381.27</w:t>
            </w:r>
          </w:p>
        </w:tc>
        <w:tc>
          <w:tcPr>
            <w:tcW w:w="2032" w:type="pct"/>
            <w:tcBorders>
              <w:top w:val="single" w:sz="4" w:space="0" w:color="auto"/>
              <w:left w:val="single" w:sz="4" w:space="0" w:color="auto"/>
              <w:bottom w:val="single" w:sz="4" w:space="0" w:color="auto"/>
              <w:right w:val="single" w:sz="4" w:space="0" w:color="auto"/>
            </w:tcBorders>
          </w:tcPr>
          <w:p w:rsidR="0059516F" w:rsidRPr="004843E9" w:rsidRDefault="0059516F" w:rsidP="00522D0F">
            <w:pPr>
              <w:pStyle w:val="TableText0"/>
            </w:pPr>
          </w:p>
          <w:p w:rsidR="00DC5022" w:rsidRPr="004843E9" w:rsidRDefault="00DC5022" w:rsidP="00522D0F">
            <w:pPr>
              <w:pStyle w:val="TableText0"/>
            </w:pPr>
            <w:r w:rsidRPr="004843E9">
              <w:t>Not stated</w:t>
            </w:r>
          </w:p>
        </w:tc>
      </w:tr>
      <w:tr w:rsidR="00F35F11" w:rsidRPr="004843E9" w:rsidTr="00A659D1">
        <w:trPr>
          <w:cantSplit/>
        </w:trPr>
        <w:tc>
          <w:tcPr>
            <w:tcW w:w="261" w:type="pct"/>
            <w:tcBorders>
              <w:top w:val="single" w:sz="4" w:space="0" w:color="auto"/>
              <w:left w:val="single" w:sz="4" w:space="0" w:color="auto"/>
              <w:bottom w:val="single" w:sz="4" w:space="0" w:color="auto"/>
              <w:right w:val="single" w:sz="4" w:space="0" w:color="auto"/>
            </w:tcBorders>
          </w:tcPr>
          <w:p w:rsidR="0059516F" w:rsidRPr="004843E9" w:rsidRDefault="009A3627" w:rsidP="00F35F11">
            <w:pPr>
              <w:pStyle w:val="TableText0"/>
            </w:pPr>
            <w:r w:rsidRPr="004843E9">
              <w:t>G</w:t>
            </w:r>
          </w:p>
        </w:tc>
        <w:tc>
          <w:tcPr>
            <w:tcW w:w="1039" w:type="pct"/>
            <w:tcBorders>
              <w:top w:val="single" w:sz="4" w:space="0" w:color="auto"/>
              <w:left w:val="single" w:sz="4" w:space="0" w:color="auto"/>
              <w:bottom w:val="single" w:sz="4" w:space="0" w:color="auto"/>
              <w:right w:val="single" w:sz="4" w:space="0" w:color="auto"/>
            </w:tcBorders>
            <w:shd w:val="clear" w:color="auto" w:fill="auto"/>
          </w:tcPr>
          <w:p w:rsidR="0059516F" w:rsidRPr="004843E9" w:rsidRDefault="0059516F" w:rsidP="00F35F11">
            <w:pPr>
              <w:pStyle w:val="TableText0"/>
            </w:pPr>
            <w:r w:rsidRPr="004843E9">
              <w:t>Total cost</w:t>
            </w:r>
          </w:p>
        </w:tc>
        <w:tc>
          <w:tcPr>
            <w:tcW w:w="842"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Footer"/>
              <w:jc w:val="center"/>
              <w:rPr>
                <w:sz w:val="20"/>
                <w:szCs w:val="20"/>
              </w:rPr>
            </w:pPr>
            <w:r w:rsidRPr="004843E9">
              <w:rPr>
                <w:sz w:val="20"/>
                <w:szCs w:val="20"/>
              </w:rPr>
              <w:t>$</w:t>
            </w:r>
            <w:r w:rsidR="00E733BF">
              <w:rPr>
                <w:noProof/>
                <w:color w:val="000000"/>
                <w:sz w:val="20"/>
                <w:szCs w:val="20"/>
                <w:highlight w:val="black"/>
              </w:rPr>
              <w:t>''''''''''''''''''''</w:t>
            </w:r>
          </w:p>
        </w:tc>
        <w:tc>
          <w:tcPr>
            <w:tcW w:w="827" w:type="pct"/>
            <w:tcBorders>
              <w:top w:val="single" w:sz="4" w:space="0" w:color="auto"/>
              <w:left w:val="single" w:sz="4" w:space="0" w:color="auto"/>
              <w:bottom w:val="single" w:sz="4" w:space="0" w:color="auto"/>
              <w:right w:val="single" w:sz="4" w:space="0" w:color="auto"/>
            </w:tcBorders>
          </w:tcPr>
          <w:p w:rsidR="0059516F" w:rsidRPr="004843E9" w:rsidRDefault="0059516F" w:rsidP="00F35F11">
            <w:pPr>
              <w:pStyle w:val="TableFooter"/>
              <w:jc w:val="center"/>
              <w:rPr>
                <w:sz w:val="20"/>
                <w:szCs w:val="20"/>
              </w:rPr>
            </w:pPr>
            <w:r w:rsidRPr="004843E9">
              <w:rPr>
                <w:sz w:val="20"/>
                <w:szCs w:val="20"/>
              </w:rPr>
              <w:t>$</w:t>
            </w:r>
            <w:r w:rsidR="00E733BF">
              <w:rPr>
                <w:noProof/>
                <w:color w:val="000000"/>
                <w:sz w:val="20"/>
                <w:szCs w:val="20"/>
                <w:highlight w:val="black"/>
              </w:rPr>
              <w:t>'''''''''''''''''''''</w:t>
            </w:r>
          </w:p>
        </w:tc>
        <w:tc>
          <w:tcPr>
            <w:tcW w:w="2032" w:type="pct"/>
            <w:tcBorders>
              <w:top w:val="single" w:sz="4" w:space="0" w:color="auto"/>
              <w:left w:val="single" w:sz="4" w:space="0" w:color="auto"/>
              <w:bottom w:val="single" w:sz="4" w:space="0" w:color="auto"/>
              <w:right w:val="single" w:sz="4" w:space="0" w:color="auto"/>
            </w:tcBorders>
          </w:tcPr>
          <w:p w:rsidR="0059516F" w:rsidRPr="004843E9" w:rsidRDefault="0024683F" w:rsidP="00522D0F">
            <w:pPr>
              <w:pStyle w:val="TableFooter"/>
              <w:jc w:val="left"/>
              <w:rPr>
                <w:sz w:val="20"/>
                <w:szCs w:val="20"/>
              </w:rPr>
            </w:pPr>
            <w:r w:rsidRPr="004843E9">
              <w:rPr>
                <w:sz w:val="20"/>
                <w:szCs w:val="20"/>
              </w:rPr>
              <w:t>DEX = C + D + E + F</w:t>
            </w:r>
          </w:p>
          <w:p w:rsidR="0024683F" w:rsidRPr="004843E9" w:rsidRDefault="0024683F" w:rsidP="00522D0F">
            <w:pPr>
              <w:pStyle w:val="TableFooter"/>
              <w:jc w:val="left"/>
              <w:rPr>
                <w:sz w:val="20"/>
                <w:szCs w:val="20"/>
              </w:rPr>
            </w:pPr>
            <w:r w:rsidRPr="004843E9">
              <w:rPr>
                <w:sz w:val="20"/>
                <w:szCs w:val="20"/>
              </w:rPr>
              <w:t>FA = assumed equal to DEX</w:t>
            </w:r>
          </w:p>
        </w:tc>
      </w:tr>
    </w:tbl>
    <w:p w:rsidR="002934F2" w:rsidRPr="004843E9" w:rsidRDefault="002934F2" w:rsidP="002934F2">
      <w:pPr>
        <w:pStyle w:val="TableFooter"/>
      </w:pPr>
      <w:r w:rsidRPr="004843E9">
        <w:t>Source: Table 10, p26 of the minor resubmission.</w:t>
      </w:r>
    </w:p>
    <w:p w:rsidR="001316B7" w:rsidRPr="004843E9" w:rsidRDefault="001316B7" w:rsidP="002934F2">
      <w:pPr>
        <w:pStyle w:val="TableFooter"/>
      </w:pPr>
      <w:r w:rsidRPr="004843E9">
        <w:t>DEX = dexamethasone; FA</w:t>
      </w:r>
      <w:r w:rsidR="00BE5AB3" w:rsidRPr="004843E9">
        <w:t xml:space="preserve"> </w:t>
      </w:r>
      <w:r w:rsidRPr="004843E9">
        <w:t xml:space="preserve">= </w:t>
      </w:r>
      <w:proofErr w:type="spellStart"/>
      <w:r w:rsidRPr="004843E9">
        <w:t>fluocinolone</w:t>
      </w:r>
      <w:proofErr w:type="spellEnd"/>
      <w:r w:rsidRPr="004843E9">
        <w:t xml:space="preserve"> </w:t>
      </w:r>
      <w:proofErr w:type="spellStart"/>
      <w:r w:rsidRPr="004843E9">
        <w:t>acetonide</w:t>
      </w:r>
      <w:proofErr w:type="spellEnd"/>
      <w:r w:rsidRPr="004843E9">
        <w:t xml:space="preserve">; </w:t>
      </w:r>
      <w:r w:rsidR="00BE5AB3" w:rsidRPr="004843E9">
        <w:t xml:space="preserve">MBS = Medical Benefits Schedule; </w:t>
      </w:r>
      <w:r w:rsidR="00333F98" w:rsidRPr="004843E9">
        <w:t xml:space="preserve">PSD = Public Summary Document; </w:t>
      </w:r>
      <w:r w:rsidRPr="004843E9">
        <w:t xml:space="preserve">VEGF = </w:t>
      </w:r>
      <w:r w:rsidR="00BE5AB3" w:rsidRPr="004843E9">
        <w:t>vascular endothelial growth factor.</w:t>
      </w:r>
    </w:p>
    <w:p w:rsidR="00017238" w:rsidRPr="004843E9" w:rsidRDefault="0085208A" w:rsidP="002934F2">
      <w:pPr>
        <w:pStyle w:val="TableFooter"/>
      </w:pPr>
      <w:proofErr w:type="spellStart"/>
      <w:proofErr w:type="gramStart"/>
      <w:r w:rsidRPr="004843E9">
        <w:rPr>
          <w:vertAlign w:val="superscript"/>
        </w:rPr>
        <w:t>a</w:t>
      </w:r>
      <w:proofErr w:type="spellEnd"/>
      <w:proofErr w:type="gramEnd"/>
      <w:r w:rsidR="00017238" w:rsidRPr="004843E9">
        <w:t xml:space="preserve"> Assumes that FA patients who experience breakthrough oedema would be treated with anti-VEGF therapy, not another FA implant.</w:t>
      </w:r>
    </w:p>
    <w:p w:rsidR="00181DC0" w:rsidRPr="004843E9" w:rsidRDefault="00181DC0" w:rsidP="002934F2">
      <w:pPr>
        <w:pStyle w:val="TableFooter"/>
      </w:pPr>
      <w:proofErr w:type="gramStart"/>
      <w:r w:rsidRPr="004843E9">
        <w:rPr>
          <w:vertAlign w:val="superscript"/>
        </w:rPr>
        <w:t>b</w:t>
      </w:r>
      <w:proofErr w:type="gramEnd"/>
      <w:r w:rsidRPr="004843E9">
        <w:t xml:space="preserve"> The Sponsor has used 85% cost of MBS Items 105 and 42740. The economic evaluation should use 100% of</w:t>
      </w:r>
      <w:r w:rsidR="0042001A" w:rsidRPr="004843E9">
        <w:t xml:space="preserve"> the MBS schedule fee.</w:t>
      </w:r>
      <w:r w:rsidRPr="004843E9">
        <w:t xml:space="preserve"> This is consistent with the PBAC Guidelines (Table 3A.6.1, p84) and the Manual of Resource Items and Associated Unit Costs (December 2016) which states “The unit costs to be used for medical services in an economic evaluation are the Schedule Fees as presen</w:t>
      </w:r>
      <w:r w:rsidR="00D4551A" w:rsidRPr="004843E9">
        <w:t>ted in the MBS”) (Section 5, p</w:t>
      </w:r>
      <w:r w:rsidRPr="004843E9">
        <w:t>12).</w:t>
      </w:r>
    </w:p>
    <w:p w:rsidR="00E132B3" w:rsidRPr="004843E9" w:rsidRDefault="00E132B3" w:rsidP="009A3627">
      <w:pPr>
        <w:rPr>
          <w:highlight w:val="lightGray"/>
        </w:rPr>
      </w:pPr>
    </w:p>
    <w:p w:rsidR="00191CD1" w:rsidRPr="004843E9" w:rsidRDefault="00191CD1" w:rsidP="00A25AA4">
      <w:pPr>
        <w:pStyle w:val="3-BodyText"/>
        <w:numPr>
          <w:ilvl w:val="1"/>
          <w:numId w:val="1"/>
        </w:numPr>
      </w:pPr>
      <w:r w:rsidRPr="004843E9">
        <w:t xml:space="preserve">The CMA in the minor resubmission maintained </w:t>
      </w:r>
      <w:r w:rsidR="00874F93" w:rsidRPr="004843E9">
        <w:t xml:space="preserve">that the equi-effective doses are 1 FA implant versus 6.48 DEX implants over 36 months. </w:t>
      </w:r>
    </w:p>
    <w:p w:rsidR="00874F93" w:rsidRPr="004843E9" w:rsidRDefault="00874F93" w:rsidP="00A25AA4">
      <w:pPr>
        <w:pStyle w:val="3-BodyText"/>
        <w:numPr>
          <w:ilvl w:val="1"/>
          <w:numId w:val="1"/>
        </w:numPr>
      </w:pPr>
      <w:r w:rsidRPr="004843E9">
        <w:t>The CMA in the minor resubmission assumed that patients treated with the FA implant who experience breakthrough oedema would be treated with anti-VEGF</w:t>
      </w:r>
      <w:r w:rsidR="00D75824" w:rsidRPr="004843E9">
        <w:t xml:space="preserve"> agent</w:t>
      </w:r>
      <w:r w:rsidRPr="004843E9">
        <w:t>s.</w:t>
      </w:r>
      <w:r w:rsidR="008E1F83">
        <w:t xml:space="preserve"> A</w:t>
      </w:r>
      <w:r w:rsidR="00B93FCF" w:rsidRPr="004843E9">
        <w:t>ccording to the</w:t>
      </w:r>
      <w:r w:rsidR="00874C95" w:rsidRPr="004843E9">
        <w:t xml:space="preserve"> proposed</w:t>
      </w:r>
      <w:r w:rsidR="00B93FCF" w:rsidRPr="004843E9">
        <w:t xml:space="preserve"> restriction criteria for</w:t>
      </w:r>
      <w:r w:rsidR="0025462E" w:rsidRPr="004843E9">
        <w:t xml:space="preserve"> FA, patients treated with FA must have a contraindication to or be unsuitable for anti-VEGF therapy, or have failed prior treatment with VEGF inhibitors.</w:t>
      </w:r>
    </w:p>
    <w:p w:rsidR="00DB2618" w:rsidRPr="004843E9" w:rsidRDefault="00EF7998" w:rsidP="00A25AA4">
      <w:pPr>
        <w:pStyle w:val="3-BodyText"/>
        <w:numPr>
          <w:ilvl w:val="1"/>
          <w:numId w:val="1"/>
        </w:numPr>
      </w:pPr>
      <w:r w:rsidRPr="004843E9">
        <w:t>The CMA</w:t>
      </w:r>
      <w:r w:rsidR="00DB2618" w:rsidRPr="004843E9">
        <w:t xml:space="preserve"> in the minor resubmission</w:t>
      </w:r>
      <w:r w:rsidRPr="004843E9">
        <w:t xml:space="preserve"> assumed 1 ophthalmologist visit for patients treated with FA and 6.</w:t>
      </w:r>
      <w:r w:rsidR="006F15BD" w:rsidRPr="004843E9">
        <w:t>4</w:t>
      </w:r>
      <w:r w:rsidRPr="004843E9">
        <w:t>8 for patients treated with DEX over 36 months. The methodology for calculating the number of ophthalmologist visits corresponds to the relative equi-effective</w:t>
      </w:r>
      <w:r w:rsidR="002154C6" w:rsidRPr="004843E9">
        <w:t xml:space="preserve"> doses proposed by the S</w:t>
      </w:r>
      <w:r w:rsidR="008E1F83">
        <w:t>ponsor.</w:t>
      </w:r>
    </w:p>
    <w:p w:rsidR="00212688" w:rsidRPr="004843E9" w:rsidRDefault="00191CD1" w:rsidP="00874F93">
      <w:pPr>
        <w:pStyle w:val="3-BodyText"/>
        <w:numPr>
          <w:ilvl w:val="1"/>
          <w:numId w:val="1"/>
        </w:numPr>
      </w:pPr>
      <w:r w:rsidRPr="004843E9">
        <w:lastRenderedPageBreak/>
        <w:t>The CMA in the minor resubmission assumed 1 steroid administration for patients treated with FA and 6.48 for patients treated with DEX over 36 months. T</w:t>
      </w:r>
      <w:r w:rsidR="00DB2618" w:rsidRPr="004843E9">
        <w:t>he methodology for calculating the number of steroid administrations corresponds to the relative equi-effective</w:t>
      </w:r>
      <w:r w:rsidR="008E1F83">
        <w:t xml:space="preserve"> doses proposed by the Sponsor.</w:t>
      </w:r>
    </w:p>
    <w:p w:rsidR="007E2D14" w:rsidRPr="004843E9" w:rsidRDefault="007E2D14" w:rsidP="00E56632">
      <w:pPr>
        <w:pStyle w:val="3-BodyText"/>
        <w:numPr>
          <w:ilvl w:val="1"/>
          <w:numId w:val="1"/>
        </w:numPr>
      </w:pPr>
      <w:r w:rsidRPr="004843E9">
        <w:t>In consideration of the minor resubmission, the PBAC reaffirmed</w:t>
      </w:r>
      <w:r w:rsidR="00A017F7" w:rsidRPr="004843E9">
        <w:t xml:space="preserve"> its view</w:t>
      </w:r>
      <w:r w:rsidRPr="004843E9">
        <w:t xml:space="preserve"> from March 2020 that</w:t>
      </w:r>
      <w:r w:rsidR="006C6ED0" w:rsidRPr="004843E9">
        <w:t xml:space="preserve"> the cost minimised price of FA should be cost neutral to Government, based on the following criteria</w:t>
      </w:r>
      <w:r w:rsidRPr="004843E9">
        <w:t>:</w:t>
      </w:r>
    </w:p>
    <w:p w:rsidR="007E2D14" w:rsidRPr="004843E9" w:rsidRDefault="007E2D14" w:rsidP="007E2D14">
      <w:pPr>
        <w:pStyle w:val="3-BodyText"/>
        <w:numPr>
          <w:ilvl w:val="0"/>
          <w:numId w:val="29"/>
        </w:numPr>
      </w:pPr>
      <w:r w:rsidRPr="004843E9">
        <w:t>The equi-effective doses should be 1.3 administrations for FA and 4.11 administrations of DEX over 36 months</w:t>
      </w:r>
      <w:r w:rsidR="001E0DE8">
        <w:t xml:space="preserve"> (paragraph 5.12)</w:t>
      </w:r>
      <w:r w:rsidRPr="004843E9">
        <w:t>;</w:t>
      </w:r>
    </w:p>
    <w:p w:rsidR="007E2D14" w:rsidRPr="004843E9" w:rsidRDefault="007E2D14" w:rsidP="007E2D14">
      <w:pPr>
        <w:pStyle w:val="3-BodyText"/>
        <w:numPr>
          <w:ilvl w:val="0"/>
          <w:numId w:val="29"/>
        </w:numPr>
      </w:pPr>
      <w:r w:rsidRPr="004843E9">
        <w:t>Anti-VEGF injections for breakthrough oedema in FA patients should not be included in the CMA</w:t>
      </w:r>
      <w:r w:rsidR="008E1F83">
        <w:t xml:space="preserve"> (paragraphs 5.13 and 5.15)</w:t>
      </w:r>
      <w:r w:rsidRPr="004843E9">
        <w:t>;</w:t>
      </w:r>
    </w:p>
    <w:p w:rsidR="007E2D14" w:rsidRPr="004843E9" w:rsidRDefault="007E2D14" w:rsidP="007E2D14">
      <w:pPr>
        <w:pStyle w:val="3-BodyText"/>
        <w:numPr>
          <w:ilvl w:val="0"/>
          <w:numId w:val="29"/>
        </w:numPr>
      </w:pPr>
      <w:r w:rsidRPr="004843E9">
        <w:t>Ophthalmologist visits for FA and DEX patients should not be different and therefore do not need to be included in the CMA</w:t>
      </w:r>
      <w:r w:rsidR="008E1F83">
        <w:t xml:space="preserve"> (paragraph 5.14)</w:t>
      </w:r>
      <w:r w:rsidRPr="004843E9">
        <w:t>;</w:t>
      </w:r>
    </w:p>
    <w:p w:rsidR="006C6ED0" w:rsidRPr="004843E9" w:rsidRDefault="008E1F83" w:rsidP="006C6ED0">
      <w:pPr>
        <w:pStyle w:val="3-BodyText"/>
        <w:numPr>
          <w:ilvl w:val="0"/>
          <w:numId w:val="29"/>
        </w:numPr>
      </w:pPr>
      <w:r>
        <w:t>I</w:t>
      </w:r>
      <w:r w:rsidRPr="004843E9">
        <w:t>nclusion of the cost of administering the implants in the CMA was reasonable (paragraph 5.15)</w:t>
      </w:r>
      <w:r>
        <w:t>, and t</w:t>
      </w:r>
      <w:r w:rsidR="006C6ED0" w:rsidRPr="004843E9">
        <w:t>he relative number of FA and DEX administrations should correspond with the equi-effective doses</w:t>
      </w:r>
      <w:r>
        <w:t xml:space="preserve"> (1.3 FA</w:t>
      </w:r>
      <w:proofErr w:type="gramStart"/>
      <w:r>
        <w:t>:4.11</w:t>
      </w:r>
      <w:proofErr w:type="gramEnd"/>
      <w:r>
        <w:t xml:space="preserve"> DEX)</w:t>
      </w:r>
      <w:r w:rsidR="006C6ED0" w:rsidRPr="004843E9">
        <w:t>.</w:t>
      </w:r>
    </w:p>
    <w:p w:rsidR="003C2FB5" w:rsidRPr="004843E9" w:rsidRDefault="00C92E47" w:rsidP="00917D69">
      <w:pPr>
        <w:pStyle w:val="4-SubsectionHeading"/>
        <w:rPr>
          <w:lang w:eastAsia="en-US"/>
        </w:rPr>
      </w:pPr>
      <w:r w:rsidRPr="004843E9">
        <w:rPr>
          <w:lang w:eastAsia="en-US"/>
        </w:rPr>
        <w:t>Drug cost/patient</w:t>
      </w:r>
      <w:r w:rsidR="00C83409" w:rsidRPr="004843E9">
        <w:rPr>
          <w:lang w:eastAsia="en-US"/>
        </w:rPr>
        <w:t>/</w:t>
      </w:r>
      <w:r w:rsidR="00020EC8" w:rsidRPr="004843E9">
        <w:rPr>
          <w:lang w:eastAsia="en-US"/>
        </w:rPr>
        <w:t>administration</w:t>
      </w:r>
      <w:r w:rsidRPr="004843E9">
        <w:rPr>
          <w:lang w:eastAsia="en-US"/>
        </w:rPr>
        <w:t xml:space="preserve">: </w:t>
      </w:r>
      <w:r w:rsidRPr="00782A85">
        <w:rPr>
          <w:lang w:eastAsia="en-US"/>
        </w:rPr>
        <w:t>$</w:t>
      </w:r>
      <w:r w:rsidR="00E733BF">
        <w:rPr>
          <w:noProof/>
          <w:color w:val="000000"/>
          <w:highlight w:val="black"/>
          <w:lang w:eastAsia="en-US"/>
        </w:rPr>
        <w:t>''''''''''</w:t>
      </w:r>
    </w:p>
    <w:p w:rsidR="001316B7" w:rsidRPr="004843E9" w:rsidRDefault="001316B7" w:rsidP="001316B7">
      <w:pPr>
        <w:pStyle w:val="3-BodyText"/>
        <w:numPr>
          <w:ilvl w:val="1"/>
          <w:numId w:val="1"/>
        </w:numPr>
        <w:rPr>
          <w:rFonts w:ascii="Calibri" w:hAnsi="Calibri"/>
          <w:lang w:eastAsia="en-US"/>
        </w:rPr>
      </w:pPr>
      <w:r w:rsidRPr="004843E9">
        <w:rPr>
          <w:rFonts w:ascii="Calibri" w:hAnsi="Calibri"/>
          <w:lang w:eastAsia="en-US"/>
        </w:rPr>
        <w:t>The cost per patient over 36 months (based on the effective DPMQ) for FA</w:t>
      </w:r>
      <w:r w:rsidR="00E86843">
        <w:rPr>
          <w:rFonts w:ascii="Calibri" w:hAnsi="Calibri"/>
          <w:lang w:eastAsia="en-US"/>
        </w:rPr>
        <w:t xml:space="preserve"> and DEX is presented in Table 3</w:t>
      </w:r>
      <w:r w:rsidRPr="004843E9">
        <w:rPr>
          <w:rFonts w:ascii="Calibri" w:hAnsi="Calibri"/>
          <w:lang w:eastAsia="en-US"/>
        </w:rPr>
        <w:t xml:space="preserve">. </w:t>
      </w:r>
    </w:p>
    <w:p w:rsidR="001316B7" w:rsidRPr="004843E9" w:rsidRDefault="00E86843" w:rsidP="001316B7">
      <w:pPr>
        <w:keepNext/>
        <w:rPr>
          <w:rFonts w:ascii="Arial Narrow" w:hAnsi="Arial Narrow"/>
          <w:b/>
          <w:sz w:val="20"/>
          <w:szCs w:val="16"/>
        </w:rPr>
      </w:pPr>
      <w:r>
        <w:rPr>
          <w:rFonts w:ascii="Arial Narrow" w:hAnsi="Arial Narrow"/>
          <w:b/>
          <w:sz w:val="20"/>
          <w:szCs w:val="16"/>
        </w:rPr>
        <w:t>Table 3</w:t>
      </w:r>
      <w:r w:rsidR="001316B7" w:rsidRPr="004843E9">
        <w:rPr>
          <w:rFonts w:ascii="Arial Narrow" w:hAnsi="Arial Narrow"/>
          <w:b/>
          <w:sz w:val="20"/>
          <w:szCs w:val="16"/>
        </w:rPr>
        <w:t>: Drug cost per patient for proposed and comparator drugs (effective DPMQ)</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1843"/>
        <w:gridCol w:w="1702"/>
        <w:gridCol w:w="1843"/>
        <w:gridCol w:w="1791"/>
      </w:tblGrid>
      <w:tr w:rsidR="001316B7" w:rsidRPr="004843E9" w:rsidTr="00D4551A">
        <w:trPr>
          <w:trHeight w:val="60"/>
          <w:jc w:val="center"/>
        </w:trPr>
        <w:tc>
          <w:tcPr>
            <w:tcW w:w="1019" w:type="pct"/>
            <w:vMerge w:val="restart"/>
            <w:tcBorders>
              <w:top w:val="single" w:sz="4" w:space="0" w:color="auto"/>
              <w:left w:val="single" w:sz="4" w:space="0" w:color="auto"/>
              <w:right w:val="single" w:sz="4" w:space="0" w:color="auto"/>
            </w:tcBorders>
            <w:vAlign w:val="center"/>
          </w:tcPr>
          <w:p w:rsidR="001316B7" w:rsidRPr="004843E9" w:rsidRDefault="001316B7" w:rsidP="00B66395">
            <w:pPr>
              <w:keepNext/>
              <w:spacing w:line="256" w:lineRule="auto"/>
              <w:jc w:val="left"/>
              <w:rPr>
                <w:szCs w:val="20"/>
              </w:rPr>
            </w:pPr>
          </w:p>
        </w:tc>
        <w:tc>
          <w:tcPr>
            <w:tcW w:w="1966" w:type="pct"/>
            <w:gridSpan w:val="2"/>
            <w:tcBorders>
              <w:top w:val="single" w:sz="4" w:space="0" w:color="auto"/>
              <w:left w:val="single" w:sz="4" w:space="0" w:color="auto"/>
              <w:right w:val="single" w:sz="4" w:space="0" w:color="auto"/>
            </w:tcBorders>
            <w:vAlign w:val="center"/>
            <w:hideMark/>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FA</w:t>
            </w:r>
          </w:p>
        </w:tc>
        <w:tc>
          <w:tcPr>
            <w:tcW w:w="2015" w:type="pct"/>
            <w:gridSpan w:val="2"/>
            <w:tcBorders>
              <w:top w:val="single" w:sz="4" w:space="0" w:color="auto"/>
              <w:left w:val="single" w:sz="4" w:space="0" w:color="auto"/>
              <w:right w:val="single" w:sz="4" w:space="0" w:color="auto"/>
            </w:tcBorders>
            <w:vAlign w:val="center"/>
            <w:hideMark/>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DEX</w:t>
            </w:r>
          </w:p>
        </w:tc>
      </w:tr>
      <w:tr w:rsidR="002C65B5" w:rsidRPr="004843E9" w:rsidTr="00D4551A">
        <w:trPr>
          <w:trHeight w:val="407"/>
          <w:jc w:val="center"/>
        </w:trPr>
        <w:tc>
          <w:tcPr>
            <w:tcW w:w="1019" w:type="pct"/>
            <w:vMerge/>
            <w:tcBorders>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left"/>
              <w:rPr>
                <w:szCs w:val="20"/>
              </w:rPr>
            </w:pPr>
          </w:p>
        </w:tc>
        <w:tc>
          <w:tcPr>
            <w:tcW w:w="1022" w:type="pct"/>
            <w:tcBorders>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Trial dose and duration</w:t>
            </w:r>
          </w:p>
        </w:tc>
        <w:tc>
          <w:tcPr>
            <w:tcW w:w="944" w:type="pct"/>
            <w:tcBorders>
              <w:top w:val="single" w:sz="4" w:space="0" w:color="auto"/>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 xml:space="preserve">CMA and </w:t>
            </w:r>
          </w:p>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financial estimates</w:t>
            </w:r>
          </w:p>
        </w:tc>
        <w:tc>
          <w:tcPr>
            <w:tcW w:w="1022" w:type="pct"/>
            <w:tcBorders>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Trial dose and duration</w:t>
            </w:r>
          </w:p>
        </w:tc>
        <w:tc>
          <w:tcPr>
            <w:tcW w:w="993" w:type="pct"/>
            <w:tcBorders>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 xml:space="preserve">CMA and </w:t>
            </w:r>
          </w:p>
          <w:p w:rsidR="001316B7" w:rsidRPr="004843E9" w:rsidRDefault="001316B7" w:rsidP="00B66395">
            <w:pPr>
              <w:keepNext/>
              <w:spacing w:line="256" w:lineRule="auto"/>
              <w:jc w:val="center"/>
              <w:rPr>
                <w:rFonts w:ascii="Arial Narrow" w:hAnsi="Arial Narrow"/>
                <w:b/>
                <w:sz w:val="20"/>
              </w:rPr>
            </w:pPr>
            <w:r w:rsidRPr="004843E9">
              <w:rPr>
                <w:rFonts w:ascii="Arial Narrow" w:hAnsi="Arial Narrow"/>
                <w:b/>
                <w:sz w:val="20"/>
              </w:rPr>
              <w:t>financial estimates</w:t>
            </w:r>
          </w:p>
        </w:tc>
      </w:tr>
      <w:tr w:rsidR="001316B7" w:rsidRPr="004843E9" w:rsidTr="00D4551A">
        <w:trPr>
          <w:jc w:val="center"/>
        </w:trPr>
        <w:tc>
          <w:tcPr>
            <w:tcW w:w="1019" w:type="pct"/>
            <w:tcBorders>
              <w:top w:val="single" w:sz="4" w:space="0" w:color="auto"/>
              <w:left w:val="single" w:sz="4" w:space="0" w:color="auto"/>
              <w:bottom w:val="single" w:sz="4" w:space="0" w:color="auto"/>
              <w:right w:val="single" w:sz="4" w:space="0" w:color="auto"/>
            </w:tcBorders>
            <w:vAlign w:val="center"/>
            <w:hideMark/>
          </w:tcPr>
          <w:p w:rsidR="001316B7" w:rsidRPr="004843E9" w:rsidRDefault="001316B7" w:rsidP="00B66395">
            <w:pPr>
              <w:keepNext/>
              <w:spacing w:line="256" w:lineRule="auto"/>
              <w:jc w:val="left"/>
              <w:rPr>
                <w:rFonts w:ascii="Arial Narrow" w:hAnsi="Arial Narrow"/>
                <w:sz w:val="20"/>
              </w:rPr>
            </w:pPr>
            <w:r w:rsidRPr="004843E9">
              <w:rPr>
                <w:rFonts w:ascii="Arial Narrow" w:hAnsi="Arial Narrow"/>
                <w:sz w:val="20"/>
              </w:rPr>
              <w:t xml:space="preserve"> Dose per implant </w:t>
            </w:r>
          </w:p>
        </w:tc>
        <w:tc>
          <w:tcPr>
            <w:tcW w:w="1966" w:type="pct"/>
            <w:gridSpan w:val="2"/>
            <w:tcBorders>
              <w:top w:val="single" w:sz="4" w:space="0" w:color="auto"/>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sz w:val="20"/>
              </w:rPr>
            </w:pPr>
            <w:r w:rsidRPr="004843E9">
              <w:rPr>
                <w:rFonts w:ascii="Arial Narrow" w:hAnsi="Arial Narrow"/>
                <w:sz w:val="20"/>
              </w:rPr>
              <w:t xml:space="preserve">190 </w:t>
            </w:r>
            <w:proofErr w:type="spellStart"/>
            <w:r w:rsidRPr="004843E9">
              <w:rPr>
                <w:rFonts w:ascii="Arial Narrow" w:hAnsi="Arial Narrow"/>
                <w:sz w:val="20"/>
              </w:rPr>
              <w:t>μg</w:t>
            </w:r>
            <w:proofErr w:type="spellEnd"/>
          </w:p>
        </w:tc>
        <w:tc>
          <w:tcPr>
            <w:tcW w:w="2015" w:type="pct"/>
            <w:gridSpan w:val="2"/>
            <w:tcBorders>
              <w:top w:val="single" w:sz="4" w:space="0" w:color="auto"/>
              <w:left w:val="single" w:sz="4" w:space="0" w:color="auto"/>
              <w:bottom w:val="single" w:sz="4" w:space="0" w:color="auto"/>
              <w:right w:val="single" w:sz="4" w:space="0" w:color="auto"/>
            </w:tcBorders>
            <w:vAlign w:val="center"/>
          </w:tcPr>
          <w:p w:rsidR="001316B7" w:rsidRPr="004843E9" w:rsidRDefault="001316B7" w:rsidP="00B66395">
            <w:pPr>
              <w:keepNext/>
              <w:spacing w:line="256" w:lineRule="auto"/>
              <w:jc w:val="center"/>
              <w:rPr>
                <w:rFonts w:ascii="Arial Narrow" w:hAnsi="Arial Narrow"/>
                <w:sz w:val="20"/>
              </w:rPr>
            </w:pPr>
            <w:r w:rsidRPr="004843E9">
              <w:rPr>
                <w:rFonts w:ascii="Arial Narrow" w:hAnsi="Arial Narrow"/>
                <w:sz w:val="20"/>
              </w:rPr>
              <w:t xml:space="preserve">700 </w:t>
            </w:r>
            <w:proofErr w:type="spellStart"/>
            <w:r w:rsidRPr="004843E9">
              <w:rPr>
                <w:rFonts w:ascii="Arial Narrow" w:hAnsi="Arial Narrow"/>
                <w:sz w:val="20"/>
              </w:rPr>
              <w:t>μg</w:t>
            </w:r>
            <w:proofErr w:type="spellEnd"/>
          </w:p>
        </w:tc>
      </w:tr>
      <w:tr w:rsidR="002C65B5" w:rsidRPr="004843E9" w:rsidTr="00D4551A">
        <w:trPr>
          <w:jc w:val="center"/>
        </w:trPr>
        <w:tc>
          <w:tcPr>
            <w:tcW w:w="1019" w:type="pct"/>
            <w:tcBorders>
              <w:top w:val="single" w:sz="4" w:space="0" w:color="auto"/>
              <w:left w:val="single" w:sz="4" w:space="0" w:color="auto"/>
              <w:bottom w:val="single" w:sz="4" w:space="0" w:color="auto"/>
              <w:right w:val="single" w:sz="4" w:space="0" w:color="auto"/>
            </w:tcBorders>
            <w:vAlign w:val="center"/>
            <w:hideMark/>
          </w:tcPr>
          <w:p w:rsidR="001316B7" w:rsidRPr="004843E9" w:rsidRDefault="001316B7" w:rsidP="00B66395">
            <w:pPr>
              <w:keepNext/>
              <w:spacing w:line="256" w:lineRule="auto"/>
              <w:jc w:val="left"/>
              <w:rPr>
                <w:rFonts w:ascii="Arial Narrow" w:hAnsi="Arial Narrow"/>
                <w:sz w:val="20"/>
              </w:rPr>
            </w:pPr>
            <w:r w:rsidRPr="004843E9">
              <w:rPr>
                <w:rFonts w:ascii="Arial Narrow" w:hAnsi="Arial Narrow"/>
                <w:sz w:val="20"/>
              </w:rPr>
              <w:t>Average number of implants (36 months)</w:t>
            </w:r>
          </w:p>
        </w:tc>
        <w:tc>
          <w:tcPr>
            <w:tcW w:w="1022" w:type="pct"/>
            <w:tcBorders>
              <w:top w:val="single" w:sz="4" w:space="0" w:color="auto"/>
              <w:left w:val="single" w:sz="4" w:space="0" w:color="auto"/>
              <w:bottom w:val="single" w:sz="4" w:space="0" w:color="auto"/>
              <w:right w:val="single" w:sz="4" w:space="0" w:color="auto"/>
            </w:tcBorders>
            <w:vAlign w:val="center"/>
            <w:hideMark/>
          </w:tcPr>
          <w:p w:rsidR="001316B7" w:rsidRPr="004843E9" w:rsidRDefault="001316B7" w:rsidP="00B66395">
            <w:pPr>
              <w:keepNext/>
              <w:jc w:val="center"/>
              <w:rPr>
                <w:rFonts w:ascii="Arial Narrow" w:hAnsi="Arial Narrow"/>
                <w:sz w:val="20"/>
              </w:rPr>
            </w:pPr>
            <w:r w:rsidRPr="004843E9">
              <w:rPr>
                <w:rFonts w:ascii="Arial Narrow" w:hAnsi="Arial Narrow"/>
                <w:sz w:val="20"/>
              </w:rPr>
              <w:t>1.3</w:t>
            </w:r>
            <w:r w:rsidRPr="004843E9">
              <w:rPr>
                <w:rFonts w:ascii="Arial Narrow" w:hAnsi="Arial Narrow"/>
                <w:sz w:val="20"/>
                <w:vertAlign w:val="superscript"/>
              </w:rPr>
              <w:t>a</w:t>
            </w:r>
          </w:p>
        </w:tc>
        <w:tc>
          <w:tcPr>
            <w:tcW w:w="944" w:type="pct"/>
            <w:tcBorders>
              <w:top w:val="single" w:sz="4" w:space="0" w:color="auto"/>
              <w:left w:val="single" w:sz="4" w:space="0" w:color="auto"/>
              <w:bottom w:val="single" w:sz="4" w:space="0" w:color="auto"/>
              <w:right w:val="single" w:sz="4" w:space="0" w:color="auto"/>
            </w:tcBorders>
            <w:vAlign w:val="center"/>
            <w:hideMark/>
          </w:tcPr>
          <w:p w:rsidR="001316B7" w:rsidRPr="004843E9" w:rsidRDefault="001316B7" w:rsidP="00B66395">
            <w:pPr>
              <w:keepNext/>
              <w:jc w:val="center"/>
              <w:rPr>
                <w:rFonts w:ascii="Arial Narrow" w:hAnsi="Arial Narrow"/>
                <w:sz w:val="20"/>
              </w:rPr>
            </w:pPr>
            <w:r w:rsidRPr="004843E9">
              <w:rPr>
                <w:rFonts w:ascii="Arial Narrow" w:hAnsi="Arial Narrow"/>
                <w:sz w:val="20"/>
              </w:rPr>
              <w:t>1</w:t>
            </w:r>
          </w:p>
        </w:tc>
        <w:tc>
          <w:tcPr>
            <w:tcW w:w="1022" w:type="pct"/>
            <w:tcBorders>
              <w:top w:val="single" w:sz="4" w:space="0" w:color="auto"/>
              <w:left w:val="single" w:sz="4" w:space="0" w:color="auto"/>
              <w:bottom w:val="single" w:sz="4" w:space="0" w:color="auto"/>
              <w:right w:val="single" w:sz="4" w:space="0" w:color="auto"/>
            </w:tcBorders>
            <w:vAlign w:val="center"/>
          </w:tcPr>
          <w:p w:rsidR="00E843E2" w:rsidRPr="004843E9" w:rsidRDefault="001316B7" w:rsidP="00D4551A">
            <w:pPr>
              <w:keepNext/>
              <w:jc w:val="center"/>
              <w:rPr>
                <w:rFonts w:ascii="Arial Narrow" w:hAnsi="Arial Narrow"/>
                <w:sz w:val="20"/>
              </w:rPr>
            </w:pPr>
            <w:r w:rsidRPr="004843E9">
              <w:rPr>
                <w:rFonts w:ascii="Arial Narrow" w:hAnsi="Arial Narrow"/>
                <w:sz w:val="20"/>
              </w:rPr>
              <w:t>4.11</w:t>
            </w:r>
            <w:r w:rsidRPr="004843E9">
              <w:rPr>
                <w:rFonts w:ascii="Arial Narrow" w:hAnsi="Arial Narrow"/>
                <w:sz w:val="20"/>
                <w:vertAlign w:val="superscript"/>
              </w:rPr>
              <w:t>b</w:t>
            </w:r>
          </w:p>
        </w:tc>
        <w:tc>
          <w:tcPr>
            <w:tcW w:w="993" w:type="pct"/>
            <w:tcBorders>
              <w:top w:val="single" w:sz="4" w:space="0" w:color="auto"/>
              <w:left w:val="single" w:sz="4" w:space="0" w:color="auto"/>
              <w:bottom w:val="single" w:sz="4" w:space="0" w:color="auto"/>
              <w:right w:val="single" w:sz="4" w:space="0" w:color="auto"/>
            </w:tcBorders>
            <w:vAlign w:val="center"/>
          </w:tcPr>
          <w:p w:rsidR="00E843E2" w:rsidRPr="004843E9" w:rsidRDefault="001316B7" w:rsidP="00D4551A">
            <w:pPr>
              <w:keepNext/>
              <w:jc w:val="center"/>
              <w:rPr>
                <w:rFonts w:ascii="Arial Narrow" w:hAnsi="Arial Narrow"/>
                <w:sz w:val="20"/>
              </w:rPr>
            </w:pPr>
            <w:r w:rsidRPr="004843E9">
              <w:rPr>
                <w:rFonts w:ascii="Arial Narrow" w:hAnsi="Arial Narrow"/>
                <w:sz w:val="20"/>
              </w:rPr>
              <w:t>6.48</w:t>
            </w:r>
          </w:p>
        </w:tc>
      </w:tr>
      <w:tr w:rsidR="002C65B5" w:rsidRPr="006250D0" w:rsidTr="00D4551A">
        <w:trPr>
          <w:jc w:val="center"/>
        </w:trPr>
        <w:tc>
          <w:tcPr>
            <w:tcW w:w="1019" w:type="pct"/>
            <w:tcBorders>
              <w:top w:val="single" w:sz="4" w:space="0" w:color="auto"/>
              <w:left w:val="single" w:sz="4" w:space="0" w:color="auto"/>
              <w:bottom w:val="single" w:sz="4" w:space="0" w:color="auto"/>
              <w:right w:val="single" w:sz="4" w:space="0" w:color="auto"/>
            </w:tcBorders>
            <w:vAlign w:val="center"/>
          </w:tcPr>
          <w:p w:rsidR="00C24307" w:rsidRPr="006250D0" w:rsidRDefault="00C24307" w:rsidP="00C24307">
            <w:pPr>
              <w:keepNext/>
              <w:spacing w:line="256" w:lineRule="auto"/>
              <w:jc w:val="left"/>
              <w:rPr>
                <w:rFonts w:ascii="Arial Narrow" w:hAnsi="Arial Narrow"/>
                <w:sz w:val="20"/>
              </w:rPr>
            </w:pPr>
            <w:r w:rsidRPr="006250D0">
              <w:rPr>
                <w:rFonts w:ascii="Arial Narrow" w:hAnsi="Arial Narrow"/>
                <w:sz w:val="20"/>
              </w:rPr>
              <w:t>Drug cost/</w:t>
            </w:r>
            <w:proofErr w:type="spellStart"/>
            <w:r w:rsidRPr="006250D0">
              <w:rPr>
                <w:rFonts w:ascii="Arial Narrow" w:hAnsi="Arial Narrow"/>
                <w:sz w:val="20"/>
              </w:rPr>
              <w:t>patient</w:t>
            </w:r>
            <w:r w:rsidR="00511E2F" w:rsidRPr="006250D0">
              <w:rPr>
                <w:rFonts w:ascii="Arial Narrow" w:hAnsi="Arial Narrow"/>
                <w:sz w:val="20"/>
                <w:vertAlign w:val="superscript"/>
              </w:rPr>
              <w:t>c</w:t>
            </w:r>
            <w:proofErr w:type="spellEnd"/>
          </w:p>
        </w:tc>
        <w:tc>
          <w:tcPr>
            <w:tcW w:w="1022" w:type="pct"/>
            <w:tcBorders>
              <w:top w:val="single" w:sz="4" w:space="0" w:color="auto"/>
              <w:left w:val="single" w:sz="4" w:space="0" w:color="auto"/>
              <w:bottom w:val="single" w:sz="4" w:space="0" w:color="auto"/>
              <w:right w:val="single" w:sz="4" w:space="0" w:color="auto"/>
            </w:tcBorders>
            <w:vAlign w:val="center"/>
          </w:tcPr>
          <w:p w:rsidR="00EE0BD5" w:rsidRPr="006250D0" w:rsidRDefault="00980251"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944" w:type="pct"/>
            <w:tcBorders>
              <w:top w:val="single" w:sz="4" w:space="0" w:color="auto"/>
              <w:left w:val="single" w:sz="4" w:space="0" w:color="auto"/>
              <w:bottom w:val="single" w:sz="4" w:space="0" w:color="auto"/>
              <w:right w:val="single" w:sz="4" w:space="0" w:color="auto"/>
            </w:tcBorders>
            <w:vAlign w:val="center"/>
          </w:tcPr>
          <w:p w:rsidR="00E843E2" w:rsidRPr="006250D0" w:rsidRDefault="00B91183"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1022" w:type="pct"/>
            <w:tcBorders>
              <w:top w:val="single" w:sz="4" w:space="0" w:color="auto"/>
              <w:left w:val="single" w:sz="4" w:space="0" w:color="auto"/>
              <w:bottom w:val="single" w:sz="4" w:space="0" w:color="auto"/>
              <w:right w:val="single" w:sz="4" w:space="0" w:color="auto"/>
            </w:tcBorders>
            <w:vAlign w:val="center"/>
          </w:tcPr>
          <w:p w:rsidR="00E843E2" w:rsidRPr="006250D0" w:rsidRDefault="006079E8"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993" w:type="pct"/>
            <w:tcBorders>
              <w:top w:val="single" w:sz="4" w:space="0" w:color="auto"/>
              <w:left w:val="single" w:sz="4" w:space="0" w:color="auto"/>
              <w:bottom w:val="single" w:sz="4" w:space="0" w:color="auto"/>
              <w:right w:val="single" w:sz="4" w:space="0" w:color="auto"/>
            </w:tcBorders>
            <w:vAlign w:val="center"/>
          </w:tcPr>
          <w:p w:rsidR="00E843E2" w:rsidRPr="006250D0" w:rsidRDefault="006079E8"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r>
      <w:tr w:rsidR="002C65B5" w:rsidRPr="006250D0" w:rsidTr="00D4551A">
        <w:trPr>
          <w:jc w:val="center"/>
        </w:trPr>
        <w:tc>
          <w:tcPr>
            <w:tcW w:w="1019" w:type="pct"/>
            <w:tcBorders>
              <w:top w:val="single" w:sz="4" w:space="0" w:color="auto"/>
              <w:left w:val="single" w:sz="4" w:space="0" w:color="auto"/>
              <w:bottom w:val="single" w:sz="4" w:space="0" w:color="auto"/>
              <w:right w:val="single" w:sz="4" w:space="0" w:color="auto"/>
            </w:tcBorders>
            <w:vAlign w:val="center"/>
          </w:tcPr>
          <w:p w:rsidR="00C24307" w:rsidRPr="006250D0" w:rsidRDefault="00C24307" w:rsidP="00C24307">
            <w:pPr>
              <w:keepNext/>
              <w:spacing w:line="256" w:lineRule="auto"/>
              <w:jc w:val="left"/>
              <w:rPr>
                <w:rFonts w:ascii="Arial Narrow" w:hAnsi="Arial Narrow"/>
                <w:sz w:val="20"/>
              </w:rPr>
            </w:pPr>
            <w:r w:rsidRPr="006250D0">
              <w:rPr>
                <w:rFonts w:ascii="Arial Narrow" w:hAnsi="Arial Narrow"/>
                <w:sz w:val="20"/>
              </w:rPr>
              <w:t xml:space="preserve">Cost/patient including administration </w:t>
            </w:r>
            <w:proofErr w:type="spellStart"/>
            <w:r w:rsidRPr="006250D0">
              <w:rPr>
                <w:rFonts w:ascii="Arial Narrow" w:hAnsi="Arial Narrow"/>
                <w:sz w:val="20"/>
              </w:rPr>
              <w:t>cost</w:t>
            </w:r>
            <w:r w:rsidR="00511E2F" w:rsidRPr="006250D0">
              <w:rPr>
                <w:rFonts w:ascii="Arial Narrow" w:hAnsi="Arial Narrow"/>
                <w:sz w:val="20"/>
                <w:vertAlign w:val="superscript"/>
              </w:rPr>
              <w:t>d</w:t>
            </w:r>
            <w:proofErr w:type="spellEnd"/>
          </w:p>
        </w:tc>
        <w:tc>
          <w:tcPr>
            <w:tcW w:w="1022" w:type="pct"/>
            <w:tcBorders>
              <w:top w:val="single" w:sz="4" w:space="0" w:color="auto"/>
              <w:left w:val="single" w:sz="4" w:space="0" w:color="auto"/>
              <w:bottom w:val="single" w:sz="4" w:space="0" w:color="auto"/>
              <w:right w:val="single" w:sz="4" w:space="0" w:color="auto"/>
            </w:tcBorders>
            <w:vAlign w:val="center"/>
          </w:tcPr>
          <w:p w:rsidR="00E843E2" w:rsidRPr="006250D0" w:rsidRDefault="00C24307"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944" w:type="pct"/>
            <w:tcBorders>
              <w:top w:val="single" w:sz="4" w:space="0" w:color="auto"/>
              <w:left w:val="single" w:sz="4" w:space="0" w:color="auto"/>
              <w:bottom w:val="single" w:sz="4" w:space="0" w:color="auto"/>
              <w:right w:val="single" w:sz="4" w:space="0" w:color="auto"/>
            </w:tcBorders>
            <w:vAlign w:val="center"/>
          </w:tcPr>
          <w:p w:rsidR="00E72316" w:rsidRPr="006250D0" w:rsidRDefault="00C24307"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1022" w:type="pct"/>
            <w:tcBorders>
              <w:top w:val="single" w:sz="4" w:space="0" w:color="auto"/>
              <w:left w:val="single" w:sz="4" w:space="0" w:color="auto"/>
              <w:bottom w:val="single" w:sz="4" w:space="0" w:color="auto"/>
              <w:right w:val="single" w:sz="4" w:space="0" w:color="auto"/>
            </w:tcBorders>
            <w:vAlign w:val="center"/>
          </w:tcPr>
          <w:p w:rsidR="00E72316" w:rsidRPr="006250D0" w:rsidRDefault="00C24307"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c>
          <w:tcPr>
            <w:tcW w:w="993" w:type="pct"/>
            <w:tcBorders>
              <w:top w:val="single" w:sz="4" w:space="0" w:color="auto"/>
              <w:left w:val="single" w:sz="4" w:space="0" w:color="auto"/>
              <w:bottom w:val="single" w:sz="4" w:space="0" w:color="auto"/>
              <w:right w:val="single" w:sz="4" w:space="0" w:color="auto"/>
            </w:tcBorders>
            <w:vAlign w:val="center"/>
          </w:tcPr>
          <w:p w:rsidR="00341690" w:rsidRPr="006250D0" w:rsidRDefault="00DE1685" w:rsidP="00D4551A">
            <w:pPr>
              <w:keepNext/>
              <w:jc w:val="center"/>
              <w:rPr>
                <w:rFonts w:ascii="Arial Narrow" w:hAnsi="Arial Narrow"/>
                <w:sz w:val="20"/>
              </w:rPr>
            </w:pPr>
            <w:r w:rsidRPr="006250D0">
              <w:rPr>
                <w:rFonts w:ascii="Arial Narrow" w:hAnsi="Arial Narrow"/>
                <w:sz w:val="20"/>
              </w:rPr>
              <w:t>$</w:t>
            </w:r>
            <w:r w:rsidR="00E733BF">
              <w:rPr>
                <w:rFonts w:ascii="Arial Narrow" w:hAnsi="Arial Narrow"/>
                <w:noProof/>
                <w:color w:val="000000"/>
                <w:sz w:val="20"/>
                <w:highlight w:val="black"/>
              </w:rPr>
              <w:t>'''''''''''''</w:t>
            </w:r>
          </w:p>
        </w:tc>
      </w:tr>
    </w:tbl>
    <w:p w:rsidR="001316B7" w:rsidRPr="006250D0" w:rsidRDefault="001316B7" w:rsidP="00D24AF0">
      <w:pPr>
        <w:rPr>
          <w:rFonts w:ascii="Arial Narrow" w:hAnsi="Arial Narrow"/>
          <w:sz w:val="18"/>
        </w:rPr>
      </w:pPr>
      <w:r w:rsidRPr="006250D0">
        <w:rPr>
          <w:rFonts w:ascii="Arial Narrow" w:hAnsi="Arial Narrow"/>
          <w:sz w:val="18"/>
        </w:rPr>
        <w:t xml:space="preserve">Source: Table 39, p81 of the submission, Table 40 p82 of the submission. </w:t>
      </w:r>
    </w:p>
    <w:p w:rsidR="001316B7" w:rsidRPr="006250D0" w:rsidRDefault="001316B7">
      <w:pPr>
        <w:rPr>
          <w:rFonts w:ascii="Arial Narrow" w:hAnsi="Arial Narrow"/>
          <w:sz w:val="18"/>
        </w:rPr>
      </w:pPr>
      <w:r w:rsidRPr="006250D0">
        <w:rPr>
          <w:rFonts w:ascii="Arial Narrow" w:hAnsi="Arial Narrow"/>
          <w:sz w:val="18"/>
        </w:rPr>
        <w:t>CMA = cost minimisation analysis; DEX = dexamethasone; DPMQ = dispensed price for maximum quantity; FA</w:t>
      </w:r>
      <w:r w:rsidR="00871FE3" w:rsidRPr="006250D0">
        <w:rPr>
          <w:rFonts w:ascii="Arial Narrow" w:hAnsi="Arial Narrow"/>
          <w:sz w:val="18"/>
        </w:rPr>
        <w:t xml:space="preserve"> </w:t>
      </w:r>
      <w:r w:rsidRPr="006250D0">
        <w:rPr>
          <w:rFonts w:ascii="Arial Narrow" w:hAnsi="Arial Narrow"/>
          <w:sz w:val="18"/>
        </w:rPr>
        <w:t xml:space="preserve">= </w:t>
      </w:r>
      <w:proofErr w:type="spellStart"/>
      <w:r w:rsidRPr="006250D0">
        <w:rPr>
          <w:rFonts w:ascii="Arial Narrow" w:hAnsi="Arial Narrow"/>
          <w:sz w:val="18"/>
        </w:rPr>
        <w:t>fluocinolone</w:t>
      </w:r>
      <w:proofErr w:type="spellEnd"/>
      <w:r w:rsidRPr="006250D0">
        <w:rPr>
          <w:rFonts w:ascii="Arial Narrow" w:hAnsi="Arial Narrow"/>
          <w:sz w:val="18"/>
        </w:rPr>
        <w:t xml:space="preserve"> </w:t>
      </w:r>
      <w:proofErr w:type="spellStart"/>
      <w:r w:rsidRPr="006250D0">
        <w:rPr>
          <w:rFonts w:ascii="Arial Narrow" w:hAnsi="Arial Narrow"/>
          <w:sz w:val="18"/>
        </w:rPr>
        <w:t>acetonide</w:t>
      </w:r>
      <w:proofErr w:type="spellEnd"/>
      <w:r w:rsidR="00333F98" w:rsidRPr="006250D0">
        <w:rPr>
          <w:rFonts w:ascii="Arial Narrow" w:hAnsi="Arial Narrow"/>
          <w:sz w:val="18"/>
        </w:rPr>
        <w:t>.</w:t>
      </w:r>
    </w:p>
    <w:p w:rsidR="001316B7" w:rsidRPr="006250D0" w:rsidRDefault="001316B7">
      <w:pPr>
        <w:rPr>
          <w:rFonts w:ascii="Arial Narrow" w:hAnsi="Arial Narrow"/>
          <w:sz w:val="18"/>
        </w:rPr>
      </w:pPr>
      <w:proofErr w:type="gramStart"/>
      <w:r w:rsidRPr="006250D0">
        <w:rPr>
          <w:rFonts w:ascii="Arial Narrow" w:hAnsi="Arial Narrow"/>
          <w:sz w:val="18"/>
          <w:vertAlign w:val="superscript"/>
        </w:rPr>
        <w:t>a</w:t>
      </w:r>
      <w:proofErr w:type="gramEnd"/>
      <w:r w:rsidRPr="006250D0">
        <w:rPr>
          <w:rFonts w:ascii="Arial Narrow" w:hAnsi="Arial Narrow"/>
          <w:sz w:val="18"/>
          <w:vertAlign w:val="superscript"/>
        </w:rPr>
        <w:t xml:space="preserve"> </w:t>
      </w:r>
      <w:r w:rsidRPr="006250D0">
        <w:rPr>
          <w:rFonts w:ascii="Arial Narrow" w:hAnsi="Arial Narrow"/>
          <w:sz w:val="18"/>
        </w:rPr>
        <w:t>total tr</w:t>
      </w:r>
      <w:r w:rsidR="00B66395" w:rsidRPr="006250D0">
        <w:rPr>
          <w:rFonts w:ascii="Arial Narrow" w:hAnsi="Arial Narrow"/>
          <w:sz w:val="18"/>
        </w:rPr>
        <w:t>eatments/n=489/376 = 1.30 FA</w:t>
      </w:r>
      <w:r w:rsidR="006C27A2" w:rsidRPr="006250D0">
        <w:rPr>
          <w:rFonts w:ascii="Arial Narrow" w:hAnsi="Arial Narrow"/>
          <w:sz w:val="18"/>
        </w:rPr>
        <w:t>.</w:t>
      </w:r>
    </w:p>
    <w:p w:rsidR="001316B7" w:rsidRPr="006250D0" w:rsidRDefault="001316B7">
      <w:pPr>
        <w:rPr>
          <w:rFonts w:ascii="Arial Narrow" w:hAnsi="Arial Narrow"/>
          <w:sz w:val="18"/>
        </w:rPr>
      </w:pPr>
      <w:proofErr w:type="gramStart"/>
      <w:r w:rsidRPr="006250D0">
        <w:rPr>
          <w:rFonts w:ascii="Arial Narrow" w:hAnsi="Arial Narrow"/>
          <w:sz w:val="18"/>
          <w:vertAlign w:val="superscript"/>
        </w:rPr>
        <w:t>b</w:t>
      </w:r>
      <w:proofErr w:type="gramEnd"/>
      <w:r w:rsidRPr="006250D0">
        <w:rPr>
          <w:rFonts w:ascii="Arial Narrow" w:hAnsi="Arial Narrow"/>
          <w:sz w:val="18"/>
          <w:vertAlign w:val="superscript"/>
        </w:rPr>
        <w:t xml:space="preserve"> </w:t>
      </w:r>
      <w:r w:rsidRPr="006250D0">
        <w:rPr>
          <w:rFonts w:ascii="Arial Narrow" w:hAnsi="Arial Narrow"/>
          <w:sz w:val="18"/>
        </w:rPr>
        <w:t xml:space="preserve">total treatments/n=1427/347 = </w:t>
      </w:r>
      <w:r w:rsidRPr="006250D0">
        <w:rPr>
          <w:rFonts w:ascii="Arial Narrow" w:hAnsi="Arial Narrow"/>
          <w:sz w:val="18"/>
          <w:szCs w:val="18"/>
        </w:rPr>
        <w:t>4.11</w:t>
      </w:r>
      <w:r w:rsidRPr="006250D0">
        <w:rPr>
          <w:rFonts w:ascii="Arial Narrow" w:hAnsi="Arial Narrow"/>
          <w:sz w:val="18"/>
        </w:rPr>
        <w:t xml:space="preserve"> DEX</w:t>
      </w:r>
      <w:r w:rsidR="006C27A2" w:rsidRPr="006250D0">
        <w:rPr>
          <w:rFonts w:ascii="Arial Narrow" w:hAnsi="Arial Narrow"/>
          <w:sz w:val="18"/>
        </w:rPr>
        <w:t>.</w:t>
      </w:r>
    </w:p>
    <w:p w:rsidR="00511E2F" w:rsidRPr="00E733BF" w:rsidRDefault="00511E2F">
      <w:pPr>
        <w:rPr>
          <w:rFonts w:ascii="Arial Narrow" w:hAnsi="Arial Narrow"/>
          <w:sz w:val="18"/>
        </w:rPr>
      </w:pPr>
      <w:r w:rsidRPr="006250D0">
        <w:rPr>
          <w:rFonts w:ascii="Arial Narrow" w:hAnsi="Arial Narrow"/>
          <w:sz w:val="18"/>
          <w:vertAlign w:val="superscript"/>
        </w:rPr>
        <w:t>c</w:t>
      </w:r>
      <w:r w:rsidRPr="006250D0">
        <w:rPr>
          <w:rFonts w:ascii="Arial Narrow" w:hAnsi="Arial Narrow"/>
          <w:sz w:val="18"/>
        </w:rPr>
        <w:t xml:space="preserve"> </w:t>
      </w:r>
      <w:r w:rsidR="00232CB7" w:rsidRPr="006250D0">
        <w:rPr>
          <w:rFonts w:ascii="Arial Narrow" w:hAnsi="Arial Narrow"/>
          <w:sz w:val="18"/>
        </w:rPr>
        <w:t>E</w:t>
      </w:r>
      <w:r w:rsidRPr="006250D0">
        <w:rPr>
          <w:rFonts w:ascii="Arial Narrow" w:hAnsi="Arial Narrow"/>
          <w:sz w:val="18"/>
        </w:rPr>
        <w:t>ffective DPMQ for FA</w:t>
      </w:r>
      <w:r w:rsidR="00232CB7" w:rsidRPr="006250D0">
        <w:rPr>
          <w:rFonts w:ascii="Arial Narrow" w:hAnsi="Arial Narrow"/>
          <w:sz w:val="18"/>
        </w:rPr>
        <w:t xml:space="preserve"> is $</w:t>
      </w:r>
      <w:proofErr w:type="gramStart"/>
      <w:r w:rsidR="00E733BF">
        <w:rPr>
          <w:rFonts w:ascii="Arial Narrow" w:hAnsi="Arial Narrow"/>
          <w:noProof/>
          <w:color w:val="000000"/>
          <w:sz w:val="18"/>
          <w:highlight w:val="black"/>
        </w:rPr>
        <w:t>'''''''''''''''''''''</w:t>
      </w:r>
      <w:r w:rsidR="00232CB7" w:rsidRPr="006250D0">
        <w:rPr>
          <w:rFonts w:ascii="Arial Narrow" w:hAnsi="Arial Narrow"/>
          <w:sz w:val="18"/>
        </w:rPr>
        <w:t xml:space="preserve"> </w:t>
      </w:r>
      <w:r w:rsidRPr="006250D0">
        <w:rPr>
          <w:rFonts w:ascii="Arial Narrow" w:hAnsi="Arial Narrow"/>
          <w:sz w:val="18"/>
        </w:rPr>
        <w:t xml:space="preserve"> and</w:t>
      </w:r>
      <w:proofErr w:type="gramEnd"/>
      <w:r w:rsidR="00232CB7" w:rsidRPr="006250D0">
        <w:rPr>
          <w:rFonts w:ascii="Arial Narrow" w:hAnsi="Arial Narrow"/>
          <w:sz w:val="18"/>
        </w:rPr>
        <w:t xml:space="preserve"> for</w:t>
      </w:r>
      <w:r w:rsidRPr="006250D0">
        <w:rPr>
          <w:rFonts w:ascii="Arial Narrow" w:hAnsi="Arial Narrow"/>
          <w:sz w:val="18"/>
        </w:rPr>
        <w:t xml:space="preserve"> DEX </w:t>
      </w:r>
      <w:r w:rsidR="00232CB7" w:rsidRPr="006250D0">
        <w:rPr>
          <w:rFonts w:ascii="Arial Narrow" w:hAnsi="Arial Narrow"/>
          <w:sz w:val="18"/>
        </w:rPr>
        <w:t>is $</w:t>
      </w:r>
      <w:r w:rsidR="00E733BF">
        <w:rPr>
          <w:rFonts w:ascii="Arial Narrow" w:hAnsi="Arial Narrow"/>
          <w:noProof/>
          <w:color w:val="000000"/>
          <w:sz w:val="18"/>
          <w:highlight w:val="black"/>
        </w:rPr>
        <w:t>'''''''''''''''''''</w:t>
      </w:r>
    </w:p>
    <w:p w:rsidR="001316B7" w:rsidRPr="004843E9" w:rsidRDefault="00511E2F" w:rsidP="00D24AF0">
      <w:pPr>
        <w:pStyle w:val="Table"/>
        <w:jc w:val="both"/>
        <w:rPr>
          <w:sz w:val="18"/>
        </w:rPr>
      </w:pPr>
      <w:proofErr w:type="gramStart"/>
      <w:r w:rsidRPr="004843E9">
        <w:rPr>
          <w:sz w:val="18"/>
          <w:vertAlign w:val="superscript"/>
        </w:rPr>
        <w:t>d</w:t>
      </w:r>
      <w:proofErr w:type="gramEnd"/>
      <w:r w:rsidR="001316B7" w:rsidRPr="004843E9">
        <w:rPr>
          <w:sz w:val="18"/>
        </w:rPr>
        <w:t xml:space="preserve"> $</w:t>
      </w:r>
      <w:r w:rsidR="00575414" w:rsidRPr="004843E9">
        <w:rPr>
          <w:sz w:val="18"/>
        </w:rPr>
        <w:t>263.65</w:t>
      </w:r>
      <w:r w:rsidR="001316B7" w:rsidRPr="004843E9">
        <w:rPr>
          <w:sz w:val="18"/>
        </w:rPr>
        <w:t xml:space="preserve"> per administration</w:t>
      </w:r>
      <w:r w:rsidR="00B66395" w:rsidRPr="004843E9">
        <w:rPr>
          <w:sz w:val="18"/>
        </w:rPr>
        <w:t xml:space="preserve"> (</w:t>
      </w:r>
      <w:r w:rsidR="00575414" w:rsidRPr="004843E9">
        <w:rPr>
          <w:sz w:val="18"/>
        </w:rPr>
        <w:t>85</w:t>
      </w:r>
      <w:r w:rsidR="00B66395" w:rsidRPr="004843E9">
        <w:rPr>
          <w:sz w:val="18"/>
        </w:rPr>
        <w:t>% MBS Item 42740)</w:t>
      </w:r>
      <w:r w:rsidR="006C27A2" w:rsidRPr="004843E9">
        <w:rPr>
          <w:sz w:val="18"/>
        </w:rPr>
        <w:t>.</w:t>
      </w:r>
    </w:p>
    <w:p w:rsidR="00E56632" w:rsidRPr="004843E9" w:rsidRDefault="00E56632" w:rsidP="00D24AF0">
      <w:pPr>
        <w:pStyle w:val="Table"/>
        <w:jc w:val="both"/>
      </w:pPr>
    </w:p>
    <w:p w:rsidR="00A127B2" w:rsidRPr="004843E9" w:rsidRDefault="00E56632" w:rsidP="00E56632">
      <w:pPr>
        <w:pStyle w:val="3Bodytext"/>
        <w:jc w:val="both"/>
        <w:rPr>
          <w:lang w:eastAsia="en-US"/>
        </w:rPr>
      </w:pPr>
      <w:r w:rsidRPr="004843E9">
        <w:t xml:space="preserve">The PBAC considered in March 2020 that given the non-inferiority claims have been accepted by the PBAC, the cost per patient for treatment with FA should be no more than the cost per patient of DEX (paragraph 6.32, FA PSD, March 2020). The cost per patient takes into account the mean equi-effective doses of the new intervention and the alternative therapy. Where these cost per patient calculations are uncertain, the guiding principle is that the Australian Government should not bear the financial risk of this uncertainty because the Australian population already has access to therapy </w:t>
      </w:r>
      <w:r w:rsidRPr="004843E9">
        <w:lastRenderedPageBreak/>
        <w:t xml:space="preserve">that is at least as effective and safe. The PBAC reiterated this principle with reference to the minor </w:t>
      </w:r>
      <w:r w:rsidR="008B0EF6" w:rsidRPr="004843E9">
        <w:t>resubmission</w:t>
      </w:r>
      <w:r w:rsidRPr="004843E9">
        <w:t>.</w:t>
      </w:r>
    </w:p>
    <w:p w:rsidR="005A3173" w:rsidRPr="004843E9" w:rsidRDefault="005A3173" w:rsidP="00917D69">
      <w:pPr>
        <w:pStyle w:val="4-SubsectionHeading"/>
        <w:rPr>
          <w:lang w:eastAsia="en-US"/>
        </w:rPr>
      </w:pPr>
      <w:r w:rsidRPr="004843E9">
        <w:rPr>
          <w:lang w:eastAsia="en-US"/>
        </w:rPr>
        <w:t>Estimated PBS usage &amp; financial implications</w:t>
      </w:r>
    </w:p>
    <w:p w:rsidR="002D2484" w:rsidRPr="004843E9" w:rsidRDefault="002D2484" w:rsidP="008B0EF6">
      <w:pPr>
        <w:pStyle w:val="3-BodyText"/>
        <w:numPr>
          <w:ilvl w:val="1"/>
          <w:numId w:val="1"/>
        </w:numPr>
      </w:pPr>
      <w:r w:rsidRPr="004843E9">
        <w:rPr>
          <w:iCs/>
        </w:rPr>
        <w:t>The March 2020 submission</w:t>
      </w:r>
      <w:r w:rsidR="0090235E" w:rsidRPr="004843E9">
        <w:rPr>
          <w:iCs/>
        </w:rPr>
        <w:t xml:space="preserve"> </w:t>
      </w:r>
      <w:r w:rsidR="0090235E" w:rsidRPr="004843E9">
        <w:t>used an epidemiological approach to estimate the financial implications of listing FA; however, t</w:t>
      </w:r>
      <w:r w:rsidRPr="004843E9">
        <w:rPr>
          <w:iCs/>
        </w:rPr>
        <w:t xml:space="preserve">he </w:t>
      </w:r>
      <w:r w:rsidRPr="004843E9">
        <w:t>PBAC considered the financial estimates provided in the submission were unreliable</w:t>
      </w:r>
      <w:r w:rsidR="0090235E" w:rsidRPr="004843E9">
        <w:t xml:space="preserve"> (paragraph 7.8, FA PSD, March 2020</w:t>
      </w:r>
      <w:r w:rsidRPr="004843E9">
        <w:t>). The PBAC considered that a market share approach would have been more appropriate to estimate the use of this medicine. The PBAC considered there was a low clinical need and listing FA on the PBS was unlikely to substantially grow the market. The PBAC considered that listing FA for DMO on a cost minimisation basis with DEX using effective prices and the equi-effective dose</w:t>
      </w:r>
      <w:r w:rsidR="0090235E" w:rsidRPr="004843E9">
        <w:t>s recommended</w:t>
      </w:r>
      <w:r w:rsidRPr="004843E9">
        <w:t xml:space="preserve"> w</w:t>
      </w:r>
      <w:r w:rsidR="001F6B65" w:rsidRPr="004843E9">
        <w:t>ould be cost-neutral to the PBS.</w:t>
      </w:r>
    </w:p>
    <w:p w:rsidR="000123D9" w:rsidRPr="004843E9" w:rsidRDefault="00C44E92" w:rsidP="00A25AA4">
      <w:pPr>
        <w:pStyle w:val="3Bodytext"/>
        <w:jc w:val="both"/>
      </w:pPr>
      <w:r w:rsidRPr="004843E9">
        <w:t>The</w:t>
      </w:r>
      <w:r w:rsidR="009723B9" w:rsidRPr="004843E9">
        <w:t xml:space="preserve"> minor</w:t>
      </w:r>
      <w:r w:rsidRPr="004843E9">
        <w:t xml:space="preserve"> resubmission </w:t>
      </w:r>
      <w:r w:rsidR="009723B9" w:rsidRPr="004843E9">
        <w:t>retained</w:t>
      </w:r>
      <w:r w:rsidRPr="004843E9">
        <w:t xml:space="preserve"> an epidemiological approach for the estimation of PBS usage and financial implications.</w:t>
      </w:r>
      <w:r w:rsidR="000123D9" w:rsidRPr="004843E9">
        <w:t xml:space="preserve"> The resubmission stated the following issues</w:t>
      </w:r>
      <w:r w:rsidR="00DE1471" w:rsidRPr="004843E9">
        <w:t xml:space="preserve"> were addressed from the March 2020 meeting</w:t>
      </w:r>
      <w:r w:rsidR="000123D9" w:rsidRPr="004843E9">
        <w:t>:</w:t>
      </w:r>
    </w:p>
    <w:p w:rsidR="00323F6F" w:rsidRPr="004843E9" w:rsidRDefault="00323F6F" w:rsidP="00323F6F">
      <w:pPr>
        <w:pStyle w:val="3Bodytext"/>
        <w:numPr>
          <w:ilvl w:val="0"/>
          <w:numId w:val="17"/>
        </w:numPr>
        <w:jc w:val="both"/>
      </w:pPr>
      <w:r w:rsidRPr="004843E9">
        <w:t>The PBAC considered that the prevalence of diabetes (4.9%) was likely overestimated because it was applied to the total population rather than the adult population. The resubmission addressed this issue by applying the prevalence to the adult population only.</w:t>
      </w:r>
    </w:p>
    <w:p w:rsidR="00771DA4" w:rsidRPr="004843E9" w:rsidRDefault="00DA735D" w:rsidP="00771DA4">
      <w:pPr>
        <w:pStyle w:val="3Bodytext"/>
        <w:numPr>
          <w:ilvl w:val="0"/>
          <w:numId w:val="17"/>
        </w:numPr>
        <w:jc w:val="both"/>
      </w:pPr>
      <w:r w:rsidRPr="004843E9">
        <w:t>T</w:t>
      </w:r>
      <w:r w:rsidR="00C44E92" w:rsidRPr="004843E9">
        <w:t>he PBAC considered that the number of patients with DMO was likely overestimated due to double counting</w:t>
      </w:r>
      <w:r w:rsidR="009723B9" w:rsidRPr="004843E9">
        <w:t>,</w:t>
      </w:r>
      <w:r w:rsidR="00C44E92" w:rsidRPr="004843E9">
        <w:t xml:space="preserve"> with the incident population</w:t>
      </w:r>
      <w:r w:rsidR="00323F6F" w:rsidRPr="004843E9">
        <w:t xml:space="preserve"> (0.25%)</w:t>
      </w:r>
      <w:r w:rsidR="00C44E92" w:rsidRPr="004843E9">
        <w:t xml:space="preserve"> added to the prevalent population</w:t>
      </w:r>
      <w:r w:rsidR="00323F6F" w:rsidRPr="004843E9">
        <w:t xml:space="preserve"> (2.77%)</w:t>
      </w:r>
      <w:r w:rsidR="00C44E92" w:rsidRPr="004843E9">
        <w:t xml:space="preserve">. The </w:t>
      </w:r>
      <w:r w:rsidR="000123D9" w:rsidRPr="004843E9">
        <w:t>re</w:t>
      </w:r>
      <w:r w:rsidR="00C44E92" w:rsidRPr="004843E9">
        <w:t>submission addressed this issue by only includ</w:t>
      </w:r>
      <w:r w:rsidR="000123D9" w:rsidRPr="004843E9">
        <w:t>ing</w:t>
      </w:r>
      <w:r w:rsidR="00C44E92" w:rsidRPr="004843E9">
        <w:t xml:space="preserve"> the prevalent population for</w:t>
      </w:r>
      <w:r w:rsidRPr="004843E9">
        <w:t xml:space="preserve"> the</w:t>
      </w:r>
      <w:r w:rsidR="00C44E92" w:rsidRPr="004843E9">
        <w:t xml:space="preserve"> first year of listing and only includ</w:t>
      </w:r>
      <w:r w:rsidR="000123D9" w:rsidRPr="004843E9">
        <w:t>ing</w:t>
      </w:r>
      <w:r w:rsidR="00C44E92" w:rsidRPr="004843E9">
        <w:t xml:space="preserve"> incident patients</w:t>
      </w:r>
      <w:r w:rsidR="000123D9" w:rsidRPr="004843E9">
        <w:t xml:space="preserve"> for subsequent years</w:t>
      </w:r>
      <w:r w:rsidR="00C44E92" w:rsidRPr="004843E9">
        <w:t>.</w:t>
      </w:r>
    </w:p>
    <w:p w:rsidR="00771DA4" w:rsidRPr="004843E9" w:rsidRDefault="00881629" w:rsidP="00771DA4">
      <w:pPr>
        <w:pStyle w:val="3Bodytext"/>
        <w:numPr>
          <w:ilvl w:val="0"/>
          <w:numId w:val="17"/>
        </w:numPr>
        <w:jc w:val="both"/>
      </w:pPr>
      <w:r w:rsidRPr="004843E9">
        <w:t>The PBAC considered that retreatment at 36 months was likely overestimated due to double counting. The resubmission addressed this issue by setting the retreatment rate to zero, and stating that the retreatment rate was already accounted for in the estimate of patient numbers.</w:t>
      </w:r>
    </w:p>
    <w:p w:rsidR="00A127B2" w:rsidRPr="004843E9" w:rsidRDefault="00771DA4" w:rsidP="006D1813">
      <w:pPr>
        <w:pStyle w:val="3Bodytext"/>
        <w:numPr>
          <w:ilvl w:val="0"/>
          <w:numId w:val="0"/>
        </w:numPr>
        <w:ind w:left="709"/>
        <w:jc w:val="both"/>
      </w:pPr>
      <w:r w:rsidRPr="004843E9">
        <w:t>Although the PBAC indicated in March 2020 that the FA uptake rate was likely overestimated (20%–70% over Years 1–6 of listing)</w:t>
      </w:r>
      <w:r w:rsidR="006D1813" w:rsidRPr="004843E9">
        <w:t>, the Sponsor retained this uptake rate in the minor resubmission.</w:t>
      </w:r>
      <w:r w:rsidR="001B066B" w:rsidRPr="004843E9">
        <w:t xml:space="preserve"> The Sponsor also retained the assumption of 30% of patients receiving an implant in both eyes.</w:t>
      </w:r>
    </w:p>
    <w:p w:rsidR="008619CB" w:rsidRPr="00811338" w:rsidRDefault="00A127B2" w:rsidP="00811338">
      <w:pPr>
        <w:pStyle w:val="3Bodytext"/>
        <w:jc w:val="both"/>
        <w:rPr>
          <w:rStyle w:val="CommentReference"/>
          <w:sz w:val="24"/>
          <w:szCs w:val="22"/>
        </w:rPr>
      </w:pPr>
      <w:r w:rsidRPr="004843E9">
        <w:t>The re</w:t>
      </w:r>
      <w:r w:rsidR="00FF2801" w:rsidRPr="004843E9">
        <w:t>submission estimated</w:t>
      </w:r>
      <w:r w:rsidR="00C00DA7" w:rsidRPr="004843E9">
        <w:t xml:space="preserve"> a net </w:t>
      </w:r>
      <w:r w:rsidR="006405EA" w:rsidRPr="004843E9">
        <w:t>cost</w:t>
      </w:r>
      <w:r w:rsidR="00C00DA7" w:rsidRPr="004843E9">
        <w:t xml:space="preserve"> to the PBS</w:t>
      </w:r>
      <w:r w:rsidR="00BC2AC0" w:rsidRPr="004843E9">
        <w:t>/RPBS</w:t>
      </w:r>
      <w:r w:rsidR="00C00DA7" w:rsidRPr="004843E9">
        <w:t xml:space="preserve"> of </w:t>
      </w:r>
      <w:r w:rsidR="00344D3D" w:rsidRPr="004843E9">
        <w:t>approximately $</w:t>
      </w:r>
      <w:r w:rsidR="0097097E">
        <w:t>0 to &lt;$10M</w:t>
      </w:r>
      <w:r w:rsidR="00C00DA7" w:rsidRPr="004843E9">
        <w:t xml:space="preserve"> in Year</w:t>
      </w:r>
      <w:r w:rsidR="00BC2AC0" w:rsidRPr="004843E9">
        <w:t> </w:t>
      </w:r>
      <w:r w:rsidR="00977BF3" w:rsidRPr="004843E9">
        <w:t>6</w:t>
      </w:r>
      <w:r w:rsidR="00C00DA7" w:rsidRPr="004843E9">
        <w:t xml:space="preserve"> of listing,</w:t>
      </w:r>
      <w:r w:rsidR="00D0152C" w:rsidRPr="004843E9">
        <w:t xml:space="preserve"> using effective prices of FA and DEX and published prices of </w:t>
      </w:r>
      <w:proofErr w:type="spellStart"/>
      <w:r w:rsidR="00D0152C" w:rsidRPr="004843E9">
        <w:t>aflibercept</w:t>
      </w:r>
      <w:proofErr w:type="spellEnd"/>
      <w:r w:rsidR="00D0152C" w:rsidRPr="004843E9">
        <w:t xml:space="preserve"> and </w:t>
      </w:r>
      <w:proofErr w:type="spellStart"/>
      <w:r w:rsidR="00D0152C" w:rsidRPr="004843E9">
        <w:t>ranibizumab</w:t>
      </w:r>
      <w:proofErr w:type="spellEnd"/>
      <w:r w:rsidR="00D0152C" w:rsidRPr="004843E9">
        <w:t>,</w:t>
      </w:r>
      <w:r w:rsidR="00C00DA7" w:rsidRPr="004843E9">
        <w:t xml:space="preserve"> with a total net cost to the PBS</w:t>
      </w:r>
      <w:r w:rsidR="0033593D" w:rsidRPr="004843E9">
        <w:t>/RPBS</w:t>
      </w:r>
      <w:r w:rsidR="00C00DA7" w:rsidRPr="004843E9">
        <w:t xml:space="preserve"> of </w:t>
      </w:r>
      <w:r w:rsidR="00344D3D" w:rsidRPr="004843E9">
        <w:t>$</w:t>
      </w:r>
      <w:r w:rsidR="0097097E">
        <w:t>0 to &lt;$10M</w:t>
      </w:r>
      <w:r w:rsidR="00344D3D" w:rsidRPr="004843E9">
        <w:t xml:space="preserve"> </w:t>
      </w:r>
      <w:r w:rsidR="00C00DA7" w:rsidRPr="004843E9">
        <w:t>ove</w:t>
      </w:r>
      <w:r w:rsidR="00C7409E" w:rsidRPr="004843E9">
        <w:t xml:space="preserve">r the first </w:t>
      </w:r>
      <w:r w:rsidR="00977BF3" w:rsidRPr="004843E9">
        <w:t>6</w:t>
      </w:r>
      <w:r w:rsidR="00C7409E" w:rsidRPr="004843E9">
        <w:t xml:space="preserve"> years of listing. </w:t>
      </w:r>
      <w:r w:rsidR="00C00DA7" w:rsidRPr="004843E9">
        <w:t xml:space="preserve">This is summarised in </w:t>
      </w:r>
      <w:r w:rsidR="00E86843">
        <w:t>Table 4</w:t>
      </w:r>
      <w:r w:rsidR="00D0152C" w:rsidRPr="004843E9">
        <w:t>, along with</w:t>
      </w:r>
      <w:r w:rsidR="00977BF3" w:rsidRPr="004843E9">
        <w:t xml:space="preserve"> the expected patient and </w:t>
      </w:r>
      <w:r w:rsidR="00C00DA7" w:rsidRPr="004843E9">
        <w:t xml:space="preserve">prescription numbers. </w:t>
      </w:r>
      <w:r w:rsidR="00E86843">
        <w:t>The summary in Table 4</w:t>
      </w:r>
      <w:r w:rsidR="00D0152C" w:rsidRPr="004843E9">
        <w:t xml:space="preserve"> is based on the Excel utilisation spreadsheet accompanying the submission, </w:t>
      </w:r>
      <w:r w:rsidR="008179EF" w:rsidRPr="004843E9">
        <w:t>which</w:t>
      </w:r>
      <w:r w:rsidR="00D0152C" w:rsidRPr="004843E9">
        <w:t xml:space="preserve"> does not match the summary tables provided by the Sponsor in the Word document.</w:t>
      </w:r>
      <w:r w:rsidR="00E75660" w:rsidRPr="004843E9">
        <w:t xml:space="preserve"> There were also some minor inconsistencies noted in the spreadsheet.</w:t>
      </w:r>
      <w:bookmarkStart w:id="1" w:name="_GoBack"/>
      <w:bookmarkEnd w:id="1"/>
    </w:p>
    <w:p w:rsidR="00C7409E" w:rsidRPr="004843E9" w:rsidRDefault="00C7409E" w:rsidP="002F3C4D">
      <w:pPr>
        <w:pStyle w:val="Tabletitles"/>
      </w:pPr>
      <w:r w:rsidRPr="004843E9">
        <w:rPr>
          <w:rStyle w:val="CommentReference"/>
          <w:sz w:val="20"/>
          <w:szCs w:val="22"/>
        </w:rPr>
        <w:lastRenderedPageBreak/>
        <w:t>Table</w:t>
      </w:r>
      <w:r w:rsidR="00C92E47" w:rsidRPr="004843E9">
        <w:rPr>
          <w:rFonts w:eastAsiaTheme="majorEastAsia"/>
        </w:rPr>
        <w:t xml:space="preserve"> </w:t>
      </w:r>
      <w:r w:rsidR="00E86843">
        <w:rPr>
          <w:rFonts w:eastAsiaTheme="majorEastAsia"/>
        </w:rPr>
        <w:t>4</w:t>
      </w:r>
      <w:r w:rsidR="00EE31A2" w:rsidRPr="004843E9">
        <w:rPr>
          <w:rFonts w:eastAsiaTheme="majorEastAsia"/>
        </w:rPr>
        <w:t xml:space="preserve">: </w:t>
      </w:r>
      <w:r w:rsidRPr="004843E9">
        <w:rPr>
          <w:rStyle w:val="CommentReference"/>
          <w:sz w:val="20"/>
          <w:szCs w:val="22"/>
        </w:rPr>
        <w:t>Estimate</w:t>
      </w:r>
      <w:r w:rsidR="00367038" w:rsidRPr="004843E9">
        <w:rPr>
          <w:rStyle w:val="CommentReference"/>
          <w:sz w:val="20"/>
          <w:szCs w:val="22"/>
        </w:rPr>
        <w:t xml:space="preserve">d use and financial implications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54"/>
        <w:gridCol w:w="1194"/>
        <w:gridCol w:w="1194"/>
        <w:gridCol w:w="1194"/>
        <w:gridCol w:w="1194"/>
        <w:gridCol w:w="1194"/>
        <w:gridCol w:w="1192"/>
      </w:tblGrid>
      <w:tr w:rsidR="00A07CEA" w:rsidRPr="004843E9" w:rsidTr="002F3C4D">
        <w:trPr>
          <w:tblHeader/>
        </w:trPr>
        <w:tc>
          <w:tcPr>
            <w:tcW w:w="1029" w:type="pct"/>
            <w:shd w:val="clear" w:color="auto" w:fill="auto"/>
            <w:vAlign w:val="center"/>
          </w:tcPr>
          <w:p w:rsidR="00C7409E" w:rsidRPr="004843E9" w:rsidRDefault="00C7409E" w:rsidP="002F3C4D">
            <w:pPr>
              <w:pStyle w:val="TableText0"/>
              <w:keepNext w:val="0"/>
            </w:pPr>
          </w:p>
        </w:tc>
        <w:tc>
          <w:tcPr>
            <w:tcW w:w="662" w:type="pct"/>
            <w:shd w:val="clear" w:color="auto" w:fill="auto"/>
            <w:vAlign w:val="center"/>
          </w:tcPr>
          <w:p w:rsidR="00C7409E" w:rsidRPr="004843E9" w:rsidRDefault="00C7409E" w:rsidP="002F3C4D">
            <w:pPr>
              <w:pStyle w:val="TableText0"/>
              <w:keepNext w:val="0"/>
              <w:jc w:val="center"/>
              <w:rPr>
                <w:b/>
              </w:rPr>
            </w:pPr>
            <w:r w:rsidRPr="004843E9">
              <w:rPr>
                <w:b/>
              </w:rPr>
              <w:t>Year 1</w:t>
            </w:r>
          </w:p>
        </w:tc>
        <w:tc>
          <w:tcPr>
            <w:tcW w:w="662" w:type="pct"/>
            <w:shd w:val="clear" w:color="auto" w:fill="auto"/>
            <w:vAlign w:val="center"/>
          </w:tcPr>
          <w:p w:rsidR="00C7409E" w:rsidRPr="004843E9" w:rsidRDefault="00C7409E" w:rsidP="002F3C4D">
            <w:pPr>
              <w:pStyle w:val="TableText0"/>
              <w:keepNext w:val="0"/>
              <w:jc w:val="center"/>
              <w:rPr>
                <w:b/>
              </w:rPr>
            </w:pPr>
            <w:r w:rsidRPr="004843E9">
              <w:rPr>
                <w:b/>
              </w:rPr>
              <w:t>Year 2</w:t>
            </w:r>
          </w:p>
        </w:tc>
        <w:tc>
          <w:tcPr>
            <w:tcW w:w="662" w:type="pct"/>
            <w:shd w:val="clear" w:color="auto" w:fill="auto"/>
            <w:vAlign w:val="center"/>
          </w:tcPr>
          <w:p w:rsidR="00C7409E" w:rsidRPr="004843E9" w:rsidRDefault="00C7409E" w:rsidP="002F3C4D">
            <w:pPr>
              <w:pStyle w:val="TableText0"/>
              <w:keepNext w:val="0"/>
              <w:jc w:val="center"/>
              <w:rPr>
                <w:b/>
              </w:rPr>
            </w:pPr>
            <w:r w:rsidRPr="004843E9">
              <w:rPr>
                <w:b/>
              </w:rPr>
              <w:t>Year 3</w:t>
            </w:r>
          </w:p>
        </w:tc>
        <w:tc>
          <w:tcPr>
            <w:tcW w:w="662" w:type="pct"/>
            <w:shd w:val="clear" w:color="auto" w:fill="auto"/>
            <w:vAlign w:val="center"/>
          </w:tcPr>
          <w:p w:rsidR="00C7409E" w:rsidRPr="004843E9" w:rsidRDefault="00C7409E" w:rsidP="002F3C4D">
            <w:pPr>
              <w:pStyle w:val="TableText0"/>
              <w:keepNext w:val="0"/>
              <w:jc w:val="center"/>
              <w:rPr>
                <w:b/>
              </w:rPr>
            </w:pPr>
            <w:r w:rsidRPr="004843E9">
              <w:rPr>
                <w:b/>
              </w:rPr>
              <w:t>Year 4</w:t>
            </w:r>
          </w:p>
        </w:tc>
        <w:tc>
          <w:tcPr>
            <w:tcW w:w="662" w:type="pct"/>
            <w:shd w:val="clear" w:color="auto" w:fill="auto"/>
            <w:vAlign w:val="center"/>
          </w:tcPr>
          <w:p w:rsidR="00C7409E" w:rsidRPr="004843E9" w:rsidRDefault="00C7409E" w:rsidP="002F3C4D">
            <w:pPr>
              <w:pStyle w:val="TableText0"/>
              <w:keepNext w:val="0"/>
              <w:jc w:val="center"/>
              <w:rPr>
                <w:b/>
              </w:rPr>
            </w:pPr>
            <w:r w:rsidRPr="004843E9">
              <w:rPr>
                <w:b/>
              </w:rPr>
              <w:t>Year 5</w:t>
            </w:r>
          </w:p>
        </w:tc>
        <w:tc>
          <w:tcPr>
            <w:tcW w:w="660" w:type="pct"/>
          </w:tcPr>
          <w:p w:rsidR="00C7409E" w:rsidRPr="004843E9" w:rsidRDefault="00C7409E" w:rsidP="002F3C4D">
            <w:pPr>
              <w:pStyle w:val="TableText0"/>
              <w:keepNext w:val="0"/>
              <w:jc w:val="center"/>
              <w:rPr>
                <w:b/>
              </w:rPr>
            </w:pPr>
            <w:r w:rsidRPr="004843E9">
              <w:rPr>
                <w:b/>
              </w:rPr>
              <w:t>Year 6</w:t>
            </w:r>
          </w:p>
        </w:tc>
      </w:tr>
      <w:tr w:rsidR="00C7409E" w:rsidRPr="004843E9" w:rsidTr="00B03EDB">
        <w:tc>
          <w:tcPr>
            <w:tcW w:w="5000" w:type="pct"/>
            <w:gridSpan w:val="7"/>
            <w:shd w:val="clear" w:color="auto" w:fill="auto"/>
            <w:vAlign w:val="center"/>
          </w:tcPr>
          <w:p w:rsidR="00C7409E" w:rsidRPr="004843E9" w:rsidRDefault="00C7409E" w:rsidP="002F3C4D">
            <w:pPr>
              <w:pStyle w:val="TableText0"/>
              <w:keepNext w:val="0"/>
              <w:rPr>
                <w:b/>
                <w:color w:val="000000"/>
              </w:rPr>
            </w:pPr>
            <w:r w:rsidRPr="004843E9">
              <w:rPr>
                <w:b/>
                <w:color w:val="000000"/>
              </w:rPr>
              <w:t>Estimated extent of use</w:t>
            </w:r>
          </w:p>
        </w:tc>
      </w:tr>
      <w:tr w:rsidR="00A07CEA" w:rsidRPr="004843E9" w:rsidTr="002F3C4D">
        <w:tc>
          <w:tcPr>
            <w:tcW w:w="1029" w:type="pct"/>
            <w:shd w:val="clear" w:color="auto" w:fill="auto"/>
            <w:vAlign w:val="center"/>
          </w:tcPr>
          <w:p w:rsidR="009B4B10" w:rsidRPr="004843E9" w:rsidRDefault="009B4B10" w:rsidP="002F3C4D">
            <w:pPr>
              <w:pStyle w:val="TableText0"/>
              <w:keepNext w:val="0"/>
            </w:pPr>
            <w:r w:rsidRPr="004843E9">
              <w:t>Number of patients treated</w:t>
            </w:r>
          </w:p>
        </w:tc>
        <w:tc>
          <w:tcPr>
            <w:tcW w:w="662" w:type="pct"/>
            <w:shd w:val="clear" w:color="auto" w:fill="auto"/>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1</w:t>
            </w:r>
          </w:p>
        </w:tc>
        <w:tc>
          <w:tcPr>
            <w:tcW w:w="662" w:type="pct"/>
            <w:shd w:val="clear" w:color="auto" w:fill="auto"/>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1</w:t>
            </w:r>
          </w:p>
        </w:tc>
        <w:tc>
          <w:tcPr>
            <w:tcW w:w="662" w:type="pct"/>
            <w:shd w:val="clear" w:color="auto" w:fill="auto"/>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1</w:t>
            </w:r>
          </w:p>
        </w:tc>
        <w:tc>
          <w:tcPr>
            <w:tcW w:w="662" w:type="pct"/>
            <w:shd w:val="clear" w:color="auto" w:fill="auto"/>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2</w:t>
            </w:r>
          </w:p>
        </w:tc>
        <w:tc>
          <w:tcPr>
            <w:tcW w:w="662" w:type="pct"/>
            <w:shd w:val="clear" w:color="auto" w:fill="auto"/>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2</w:t>
            </w:r>
          </w:p>
        </w:tc>
        <w:tc>
          <w:tcPr>
            <w:tcW w:w="660" w:type="pct"/>
            <w:vAlign w:val="center"/>
          </w:tcPr>
          <w:p w:rsidR="009B4B10" w:rsidRPr="006721E7" w:rsidRDefault="00E733BF" w:rsidP="002F3C4D">
            <w:pPr>
              <w:pStyle w:val="TableText0"/>
              <w:keepNext w:val="0"/>
              <w:jc w:val="center"/>
              <w:rPr>
                <w:color w:val="000000"/>
                <w:vertAlign w:val="superscript"/>
              </w:rPr>
            </w:pPr>
            <w:r>
              <w:rPr>
                <w:noProof/>
                <w:color w:val="000000"/>
                <w:highlight w:val="black"/>
              </w:rPr>
              <w:t>''''''''</w:t>
            </w:r>
            <w:r w:rsidR="003D17AF">
              <w:rPr>
                <w:vertAlign w:val="superscript"/>
              </w:rPr>
              <w:t>2</w:t>
            </w:r>
          </w:p>
        </w:tc>
      </w:tr>
      <w:tr w:rsidR="00A07CEA" w:rsidRPr="004843E9" w:rsidTr="002F3C4D">
        <w:tc>
          <w:tcPr>
            <w:tcW w:w="1029" w:type="pct"/>
            <w:shd w:val="clear" w:color="auto" w:fill="auto"/>
            <w:vAlign w:val="center"/>
          </w:tcPr>
          <w:p w:rsidR="009B4B10" w:rsidRPr="004843E9" w:rsidRDefault="009B4B10" w:rsidP="002F3C4D">
            <w:pPr>
              <w:pStyle w:val="TableText0"/>
              <w:keepNext w:val="0"/>
            </w:pPr>
            <w:r w:rsidRPr="004843E9">
              <w:t xml:space="preserve">Number of scripts </w:t>
            </w:r>
            <w:proofErr w:type="spellStart"/>
            <w:r w:rsidRPr="004843E9">
              <w:t>dispensed</w:t>
            </w:r>
            <w:r w:rsidRPr="004843E9">
              <w:rPr>
                <w:vertAlign w:val="superscript"/>
              </w:rPr>
              <w:t>a</w:t>
            </w:r>
            <w:proofErr w:type="spellEnd"/>
          </w:p>
        </w:tc>
        <w:tc>
          <w:tcPr>
            <w:tcW w:w="662" w:type="pct"/>
            <w:shd w:val="clear" w:color="auto" w:fill="auto"/>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c>
          <w:tcPr>
            <w:tcW w:w="662" w:type="pct"/>
            <w:shd w:val="clear" w:color="auto" w:fill="auto"/>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c>
          <w:tcPr>
            <w:tcW w:w="662" w:type="pct"/>
            <w:shd w:val="clear" w:color="auto" w:fill="auto"/>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c>
          <w:tcPr>
            <w:tcW w:w="662" w:type="pct"/>
            <w:shd w:val="clear" w:color="auto" w:fill="auto"/>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c>
          <w:tcPr>
            <w:tcW w:w="662" w:type="pct"/>
            <w:shd w:val="clear" w:color="auto" w:fill="auto"/>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c>
          <w:tcPr>
            <w:tcW w:w="660" w:type="pct"/>
            <w:vAlign w:val="center"/>
          </w:tcPr>
          <w:p w:rsidR="009B4B10" w:rsidRPr="004843E9" w:rsidRDefault="00E733BF" w:rsidP="002F3C4D">
            <w:pPr>
              <w:pStyle w:val="TableText0"/>
              <w:keepNext w:val="0"/>
              <w:jc w:val="center"/>
              <w:rPr>
                <w:color w:val="000000"/>
              </w:rPr>
            </w:pPr>
            <w:r>
              <w:rPr>
                <w:noProof/>
                <w:color w:val="000000"/>
                <w:highlight w:val="black"/>
              </w:rPr>
              <w:t>'''''''''</w:t>
            </w:r>
            <w:r w:rsidR="003D17AF">
              <w:rPr>
                <w:vertAlign w:val="superscript"/>
              </w:rPr>
              <w:t>2</w:t>
            </w:r>
          </w:p>
        </w:tc>
      </w:tr>
      <w:tr w:rsidR="00871FE3" w:rsidRPr="004843E9" w:rsidTr="00B03EDB">
        <w:tc>
          <w:tcPr>
            <w:tcW w:w="5000" w:type="pct"/>
            <w:gridSpan w:val="7"/>
            <w:shd w:val="clear" w:color="auto" w:fill="auto"/>
            <w:vAlign w:val="center"/>
          </w:tcPr>
          <w:p w:rsidR="00871FE3" w:rsidRPr="004843E9" w:rsidRDefault="00871FE3" w:rsidP="002F3C4D">
            <w:pPr>
              <w:pStyle w:val="TableText0"/>
              <w:keepNext w:val="0"/>
              <w:rPr>
                <w:rFonts w:cs="Arial"/>
                <w:b/>
                <w:color w:val="000000"/>
                <w:szCs w:val="20"/>
                <w:highlight w:val="yellow"/>
              </w:rPr>
            </w:pPr>
            <w:r w:rsidRPr="004843E9">
              <w:rPr>
                <w:b/>
              </w:rPr>
              <w:t>Estimated financial implications of FA</w:t>
            </w:r>
            <w:r w:rsidR="00A07CEA" w:rsidRPr="004843E9">
              <w:rPr>
                <w:b/>
              </w:rPr>
              <w:t xml:space="preserve"> using effective prices of FA and DEX</w:t>
            </w:r>
          </w:p>
        </w:tc>
      </w:tr>
      <w:tr w:rsidR="00A07CEA" w:rsidRPr="004843E9" w:rsidTr="002F3C4D">
        <w:tc>
          <w:tcPr>
            <w:tcW w:w="1029" w:type="pct"/>
            <w:shd w:val="clear" w:color="auto" w:fill="auto"/>
            <w:vAlign w:val="center"/>
          </w:tcPr>
          <w:p w:rsidR="004962EB" w:rsidRPr="004843E9" w:rsidRDefault="004962EB" w:rsidP="002F3C4D">
            <w:pPr>
              <w:pStyle w:val="TableText0"/>
              <w:keepNext w:val="0"/>
              <w:rPr>
                <w:highlight w:val="yellow"/>
              </w:rPr>
            </w:pPr>
            <w:r w:rsidRPr="004843E9">
              <w:t xml:space="preserve">Cost to PBS/RPBS less </w:t>
            </w:r>
            <w:r w:rsidR="00870AEB" w:rsidRPr="004843E9">
              <w:t>co-payments</w:t>
            </w:r>
          </w:p>
        </w:tc>
        <w:tc>
          <w:tcPr>
            <w:tcW w:w="662" w:type="pct"/>
            <w:shd w:val="clear" w:color="auto" w:fill="auto"/>
          </w:tcPr>
          <w:p w:rsidR="004962EB" w:rsidRPr="006721E7" w:rsidRDefault="004962EB" w:rsidP="002F3C4D">
            <w:pPr>
              <w:pStyle w:val="TableText0"/>
              <w:keepNext w:val="0"/>
              <w:jc w:val="center"/>
              <w:rPr>
                <w:rFonts w:cs="Arial"/>
                <w:color w:val="000000"/>
                <w:szCs w:val="20"/>
                <w:highlight w:val="yellow"/>
                <w:vertAlign w:val="superscript"/>
              </w:rPr>
            </w:pPr>
            <w:r w:rsidRPr="004843E9">
              <w:t>$</w:t>
            </w:r>
            <w:r w:rsidR="00E733BF">
              <w:rPr>
                <w:noProof/>
                <w:color w:val="000000"/>
                <w:highlight w:val="black"/>
              </w:rPr>
              <w:t>'''''''''''''''''''''''</w:t>
            </w:r>
            <w:r w:rsidR="003D17AF">
              <w:rPr>
                <w:vertAlign w:val="superscript"/>
              </w:rPr>
              <w:t>3</w:t>
            </w:r>
          </w:p>
        </w:tc>
        <w:tc>
          <w:tcPr>
            <w:tcW w:w="662" w:type="pct"/>
            <w:shd w:val="clear" w:color="auto" w:fill="auto"/>
          </w:tcPr>
          <w:p w:rsidR="004962EB" w:rsidRPr="004843E9" w:rsidRDefault="004962EB"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4962EB" w:rsidRPr="004843E9" w:rsidRDefault="004962EB"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4962EB" w:rsidRPr="004843E9" w:rsidRDefault="004962EB"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4962EB" w:rsidRPr="004843E9" w:rsidRDefault="004962EB"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0" w:type="pct"/>
          </w:tcPr>
          <w:p w:rsidR="004962EB" w:rsidRPr="004843E9" w:rsidRDefault="004962EB"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r>
      <w:tr w:rsidR="00A07CEA" w:rsidRPr="004843E9" w:rsidTr="002F3C4D">
        <w:tc>
          <w:tcPr>
            <w:tcW w:w="1029" w:type="pct"/>
            <w:shd w:val="clear" w:color="auto" w:fill="auto"/>
            <w:vAlign w:val="center"/>
          </w:tcPr>
          <w:p w:rsidR="00F57A81" w:rsidRPr="004843E9" w:rsidRDefault="00F57A81" w:rsidP="002F3C4D">
            <w:pPr>
              <w:pStyle w:val="TableText0"/>
              <w:keepNext w:val="0"/>
              <w:rPr>
                <w:highlight w:val="yellow"/>
              </w:rPr>
            </w:pPr>
            <w:r w:rsidRPr="004843E9">
              <w:t>Net cost of displaced drugs to PBS/RPBS</w:t>
            </w:r>
          </w:p>
        </w:tc>
        <w:tc>
          <w:tcPr>
            <w:tcW w:w="662" w:type="pct"/>
            <w:shd w:val="clear" w:color="auto" w:fill="auto"/>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0" w:type="pct"/>
          </w:tcPr>
          <w:p w:rsidR="00F57A81" w:rsidRPr="004843E9" w:rsidRDefault="00F57A81"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r>
      <w:tr w:rsidR="00A07CEA" w:rsidRPr="004843E9" w:rsidTr="002F3C4D">
        <w:tc>
          <w:tcPr>
            <w:tcW w:w="1029" w:type="pct"/>
            <w:shd w:val="clear" w:color="auto" w:fill="auto"/>
            <w:vAlign w:val="center"/>
          </w:tcPr>
          <w:p w:rsidR="009B61B5" w:rsidRPr="004843E9" w:rsidRDefault="009B61B5" w:rsidP="002F3C4D">
            <w:pPr>
              <w:pStyle w:val="TableText0"/>
              <w:keepNext w:val="0"/>
            </w:pPr>
            <w:r w:rsidRPr="004843E9">
              <w:t>Net cost to PBS/RPB</w:t>
            </w:r>
            <w:r w:rsidRPr="004843E9">
              <w:rPr>
                <w:color w:val="000000" w:themeColor="text1"/>
              </w:rPr>
              <w:t>S</w:t>
            </w:r>
          </w:p>
        </w:tc>
        <w:tc>
          <w:tcPr>
            <w:tcW w:w="662" w:type="pct"/>
            <w:shd w:val="clear" w:color="auto" w:fill="auto"/>
          </w:tcPr>
          <w:p w:rsidR="009B61B5" w:rsidRPr="004843E9" w:rsidRDefault="009B61B5"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9B61B5" w:rsidRPr="004843E9" w:rsidRDefault="009B61B5"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9B61B5" w:rsidRPr="004843E9" w:rsidRDefault="009B61B5"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9B61B5" w:rsidRPr="004843E9" w:rsidRDefault="009B61B5"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2" w:type="pct"/>
            <w:shd w:val="clear" w:color="auto" w:fill="auto"/>
          </w:tcPr>
          <w:p w:rsidR="009B61B5" w:rsidRPr="004843E9" w:rsidRDefault="009B61B5" w:rsidP="002F3C4D">
            <w:pPr>
              <w:pStyle w:val="TableText0"/>
              <w:keepNext w:val="0"/>
              <w:jc w:val="center"/>
              <w:rPr>
                <w:rFonts w:cs="Arial"/>
                <w:color w:val="000000"/>
                <w:szCs w:val="20"/>
                <w:highlight w:val="yellow"/>
              </w:rPr>
            </w:pPr>
            <w:r w:rsidRPr="004843E9">
              <w:t>$</w:t>
            </w:r>
            <w:r w:rsidR="00E733BF">
              <w:rPr>
                <w:noProof/>
                <w:color w:val="000000"/>
                <w:highlight w:val="black"/>
              </w:rPr>
              <w:t>'''''''''''''''''''</w:t>
            </w:r>
            <w:r w:rsidR="003D17AF">
              <w:rPr>
                <w:vertAlign w:val="superscript"/>
              </w:rPr>
              <w:t>3</w:t>
            </w:r>
          </w:p>
        </w:tc>
        <w:tc>
          <w:tcPr>
            <w:tcW w:w="660" w:type="pct"/>
          </w:tcPr>
          <w:p w:rsidR="009B61B5" w:rsidRPr="004843E9" w:rsidRDefault="009B61B5" w:rsidP="002F3C4D">
            <w:pPr>
              <w:pStyle w:val="TableText0"/>
              <w:keepNext w:val="0"/>
              <w:jc w:val="center"/>
              <w:rPr>
                <w:rFonts w:cs="Arial"/>
                <w:color w:val="000000"/>
                <w:szCs w:val="20"/>
                <w:highlight w:val="yellow"/>
              </w:rPr>
            </w:pPr>
            <w:r w:rsidRPr="00730995">
              <w:t>$</w:t>
            </w:r>
            <w:r w:rsidR="00E733BF">
              <w:rPr>
                <w:noProof/>
                <w:color w:val="000000"/>
                <w:highlight w:val="black"/>
              </w:rPr>
              <w:t>'''''''''''''''''''''''''</w:t>
            </w:r>
            <w:r w:rsidR="003D17AF">
              <w:rPr>
                <w:vertAlign w:val="superscript"/>
              </w:rPr>
              <w:t>3</w:t>
            </w:r>
          </w:p>
        </w:tc>
      </w:tr>
      <w:tr w:rsidR="00A07CEA" w:rsidRPr="004843E9" w:rsidTr="002F3C4D">
        <w:tc>
          <w:tcPr>
            <w:tcW w:w="1029" w:type="pct"/>
            <w:shd w:val="clear" w:color="auto" w:fill="auto"/>
            <w:vAlign w:val="center"/>
          </w:tcPr>
          <w:p w:rsidR="00A07CEA" w:rsidRPr="004843E9" w:rsidRDefault="00A07CEA" w:rsidP="002F3C4D">
            <w:pPr>
              <w:pStyle w:val="TableText0"/>
              <w:keepNext w:val="0"/>
            </w:pPr>
            <w:r w:rsidRPr="004843E9">
              <w:t>Net cost to (MBS/DHS/other)</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c>
          <w:tcPr>
            <w:tcW w:w="660" w:type="pct"/>
            <w:vAlign w:val="center"/>
          </w:tcPr>
          <w:p w:rsidR="00A07CEA" w:rsidRPr="004843E9" w:rsidRDefault="00A07CEA" w:rsidP="002F3C4D">
            <w:pPr>
              <w:pStyle w:val="TableText0"/>
              <w:keepNext w:val="0"/>
              <w:jc w:val="center"/>
              <w:rPr>
                <w:highlight w:val="yellow"/>
              </w:rPr>
            </w:pPr>
            <w:r w:rsidRPr="004843E9">
              <w:rPr>
                <w:rFonts w:cs="Arial"/>
                <w:szCs w:val="20"/>
              </w:rPr>
              <w:t>-$</w:t>
            </w:r>
            <w:r w:rsidR="00E733BF">
              <w:rPr>
                <w:rFonts w:cs="Arial"/>
                <w:noProof/>
                <w:color w:val="000000"/>
                <w:szCs w:val="20"/>
                <w:highlight w:val="black"/>
              </w:rPr>
              <w:t>''''''''''''''''''</w:t>
            </w:r>
            <w:r w:rsidR="003D17AF">
              <w:rPr>
                <w:vertAlign w:val="superscript"/>
              </w:rPr>
              <w:t>3</w:t>
            </w:r>
          </w:p>
        </w:tc>
      </w:tr>
      <w:tr w:rsidR="00A07CEA" w:rsidRPr="004843E9" w:rsidTr="002F3C4D">
        <w:tc>
          <w:tcPr>
            <w:tcW w:w="1029" w:type="pct"/>
            <w:shd w:val="clear" w:color="auto" w:fill="auto"/>
            <w:vAlign w:val="center"/>
          </w:tcPr>
          <w:p w:rsidR="00A07CEA" w:rsidRPr="004843E9" w:rsidRDefault="00A07CEA" w:rsidP="002F3C4D">
            <w:pPr>
              <w:pStyle w:val="TableText0"/>
              <w:keepNext w:val="0"/>
            </w:pPr>
            <w:r w:rsidRPr="004843E9">
              <w:t>Net cost to (PBS/RPBS/MBS/DHS)</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c>
          <w:tcPr>
            <w:tcW w:w="662" w:type="pct"/>
            <w:shd w:val="clear" w:color="auto" w:fill="auto"/>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c>
          <w:tcPr>
            <w:tcW w:w="660" w:type="pct"/>
            <w:vAlign w:val="center"/>
          </w:tcPr>
          <w:p w:rsidR="00A07CEA" w:rsidRPr="004843E9" w:rsidRDefault="00A07CEA" w:rsidP="002F3C4D">
            <w:pPr>
              <w:pStyle w:val="TableText0"/>
              <w:keepNext w:val="0"/>
              <w:jc w:val="center"/>
              <w:rPr>
                <w:highlight w:val="yellow"/>
              </w:rPr>
            </w:pPr>
            <w:r w:rsidRPr="004843E9">
              <w:rPr>
                <w:rFonts w:cs="Arial"/>
                <w:bCs w:val="0"/>
                <w:szCs w:val="20"/>
              </w:rPr>
              <w:t>$</w:t>
            </w:r>
            <w:r w:rsidR="00E733BF">
              <w:rPr>
                <w:rFonts w:cs="Arial"/>
                <w:bCs w:val="0"/>
                <w:noProof/>
                <w:color w:val="000000"/>
                <w:szCs w:val="20"/>
                <w:highlight w:val="black"/>
              </w:rPr>
              <w:t>'''''''''''''''''''</w:t>
            </w:r>
            <w:r w:rsidR="003D17AF">
              <w:rPr>
                <w:vertAlign w:val="superscript"/>
              </w:rPr>
              <w:t>3</w:t>
            </w:r>
          </w:p>
        </w:tc>
      </w:tr>
    </w:tbl>
    <w:p w:rsidR="00BC2AC0" w:rsidRPr="004843E9" w:rsidRDefault="00BC2AC0" w:rsidP="002F3C4D">
      <w:pPr>
        <w:pStyle w:val="TableFigureFooter"/>
      </w:pPr>
      <w:r w:rsidRPr="004843E9">
        <w:t xml:space="preserve">Source: </w:t>
      </w:r>
      <w:r w:rsidR="00B11AA6" w:rsidRPr="004843E9">
        <w:t>Sponsor’s Excel utilisation spreadsheet</w:t>
      </w:r>
      <w:r w:rsidR="00A07CEA" w:rsidRPr="004843E9">
        <w:t>:</w:t>
      </w:r>
      <w:r w:rsidR="00CD31FA" w:rsidRPr="004843E9">
        <w:t xml:space="preserve"> ‘2. Patients’, ‘3a. Scripts – new’ and</w:t>
      </w:r>
      <w:r w:rsidR="00A07CEA" w:rsidRPr="004843E9">
        <w:t xml:space="preserve"> ‘7. Net changes – MBS’ sheets</w:t>
      </w:r>
      <w:r w:rsidRPr="004843E9">
        <w:t>.</w:t>
      </w:r>
    </w:p>
    <w:p w:rsidR="00BC2AC0" w:rsidRPr="004843E9" w:rsidRDefault="00BC2AC0" w:rsidP="002F3C4D">
      <w:pPr>
        <w:pStyle w:val="TableFigureFooter"/>
      </w:pPr>
      <w:r w:rsidRPr="004843E9">
        <w:t xml:space="preserve">DEX = dexamethasone; </w:t>
      </w:r>
      <w:r w:rsidR="00F57D70" w:rsidRPr="004843E9">
        <w:t xml:space="preserve">DHS = Department of Human Services; </w:t>
      </w:r>
      <w:r w:rsidRPr="004843E9">
        <w:t>DPMQ = dispensed price for maximum quantity; FA</w:t>
      </w:r>
      <w:r w:rsidR="00871FE3" w:rsidRPr="004843E9">
        <w:t xml:space="preserve"> </w:t>
      </w:r>
      <w:r w:rsidRPr="004843E9">
        <w:t xml:space="preserve">= </w:t>
      </w:r>
      <w:proofErr w:type="spellStart"/>
      <w:r w:rsidRPr="004843E9">
        <w:t>fluocinolone</w:t>
      </w:r>
      <w:proofErr w:type="spellEnd"/>
      <w:r w:rsidRPr="004843E9">
        <w:t xml:space="preserve"> </w:t>
      </w:r>
      <w:proofErr w:type="spellStart"/>
      <w:r w:rsidRPr="004843E9">
        <w:t>acetonide</w:t>
      </w:r>
      <w:proofErr w:type="spellEnd"/>
      <w:r w:rsidR="00F57D70" w:rsidRPr="004843E9">
        <w:t xml:space="preserve">; </w:t>
      </w:r>
      <w:r w:rsidR="00F57D70" w:rsidRPr="004843E9">
        <w:rPr>
          <w:szCs w:val="18"/>
        </w:rPr>
        <w:t>MBS = Medicare Benefits; PBS = Pharmaceutical Benefits Scheme; RPBS = Repatriation Pharmaceutical Benefits Scheme.</w:t>
      </w:r>
    </w:p>
    <w:p w:rsidR="0019451C" w:rsidRDefault="00C7409E" w:rsidP="002F3C4D">
      <w:pPr>
        <w:pStyle w:val="TableFigureFooter"/>
      </w:pPr>
      <w:proofErr w:type="spellStart"/>
      <w:proofErr w:type="gramStart"/>
      <w:r w:rsidRPr="004843E9">
        <w:rPr>
          <w:vertAlign w:val="superscript"/>
        </w:rPr>
        <w:t>a</w:t>
      </w:r>
      <w:proofErr w:type="spellEnd"/>
      <w:proofErr w:type="gramEnd"/>
      <w:r w:rsidR="00EE31A2" w:rsidRPr="004843E9">
        <w:t xml:space="preserve"> </w:t>
      </w:r>
      <w:r w:rsidRPr="004843E9">
        <w:t xml:space="preserve">Assuming </w:t>
      </w:r>
      <w:r w:rsidR="00EE1777" w:rsidRPr="004843E9">
        <w:t xml:space="preserve">1.3 </w:t>
      </w:r>
      <w:r w:rsidRPr="004843E9">
        <w:t>scripts per</w:t>
      </w:r>
      <w:r w:rsidR="00977BF3" w:rsidRPr="004843E9">
        <w:t xml:space="preserve"> patient per</w:t>
      </w:r>
      <w:r w:rsidRPr="004843E9">
        <w:t xml:space="preserve"> year as estimated by the submission</w:t>
      </w:r>
      <w:r w:rsidR="009503C3" w:rsidRPr="004843E9">
        <w:t>, to account for 30% of patients receiving an implant in both eyes</w:t>
      </w:r>
      <w:r w:rsidRPr="004843E9">
        <w:t>.</w:t>
      </w:r>
    </w:p>
    <w:p w:rsidR="003D17AF" w:rsidRPr="006721E7" w:rsidRDefault="003D17AF" w:rsidP="002F3C4D">
      <w:pPr>
        <w:pStyle w:val="TableFigureFooter"/>
        <w:rPr>
          <w:i/>
        </w:rPr>
      </w:pPr>
      <w:r w:rsidRPr="006721E7">
        <w:rPr>
          <w:i/>
        </w:rPr>
        <w:t>The redacted values correspond to the following ranges:</w:t>
      </w:r>
    </w:p>
    <w:p w:rsidR="003D17AF" w:rsidRPr="006721E7" w:rsidRDefault="003D17AF" w:rsidP="002F3C4D">
      <w:pPr>
        <w:pStyle w:val="TableFigureFooter"/>
        <w:rPr>
          <w:i/>
        </w:rPr>
      </w:pPr>
      <w:r w:rsidRPr="006721E7">
        <w:rPr>
          <w:i/>
          <w:vertAlign w:val="superscript"/>
        </w:rPr>
        <w:t>1</w:t>
      </w:r>
      <w:r w:rsidRPr="006721E7">
        <w:rPr>
          <w:i/>
        </w:rPr>
        <w:t>&lt;500</w:t>
      </w:r>
    </w:p>
    <w:p w:rsidR="003D17AF" w:rsidRPr="006721E7" w:rsidRDefault="003D17AF" w:rsidP="002F3C4D">
      <w:pPr>
        <w:pStyle w:val="TableFigureFooter"/>
        <w:rPr>
          <w:i/>
        </w:rPr>
      </w:pPr>
      <w:r w:rsidRPr="006721E7">
        <w:rPr>
          <w:i/>
          <w:vertAlign w:val="superscript"/>
        </w:rPr>
        <w:t>2</w:t>
      </w:r>
      <w:r w:rsidRPr="006721E7">
        <w:rPr>
          <w:i/>
        </w:rPr>
        <w:t>500 to &lt;5,000</w:t>
      </w:r>
    </w:p>
    <w:p w:rsidR="003D17AF" w:rsidRPr="006721E7" w:rsidRDefault="003D17AF" w:rsidP="002F3C4D">
      <w:pPr>
        <w:pStyle w:val="TableFigureFooter"/>
        <w:rPr>
          <w:i/>
        </w:rPr>
      </w:pPr>
      <w:r w:rsidRPr="006721E7">
        <w:rPr>
          <w:i/>
          <w:vertAlign w:val="superscript"/>
        </w:rPr>
        <w:t>3</w:t>
      </w:r>
      <w:r w:rsidRPr="006721E7">
        <w:rPr>
          <w:i/>
        </w:rPr>
        <w:t>$0 million to &lt;$10 million</w:t>
      </w:r>
    </w:p>
    <w:p w:rsidR="00BF27A0" w:rsidRPr="004843E9" w:rsidRDefault="00BA347C" w:rsidP="002F3C4D">
      <w:pPr>
        <w:pStyle w:val="3Bodytext"/>
        <w:jc w:val="both"/>
        <w:rPr>
          <w:rFonts w:cstheme="minorHAnsi"/>
          <w:snapToGrid w:val="0"/>
          <w:color w:val="365F91" w:themeColor="accent1" w:themeShade="BF"/>
          <w:lang w:eastAsia="en-US"/>
        </w:rPr>
      </w:pPr>
      <w:r w:rsidRPr="004843E9">
        <w:t>As a minor submission, the financial estimates have not been independently evaluated.</w:t>
      </w:r>
    </w:p>
    <w:p w:rsidR="00C32888" w:rsidRPr="004843E9" w:rsidRDefault="004F6C96" w:rsidP="002F3C4D">
      <w:pPr>
        <w:pStyle w:val="4-SubsectionHeading"/>
        <w:keepNext w:val="0"/>
      </w:pPr>
      <w:r w:rsidRPr="004843E9">
        <w:t>Financial Management – Risk Sharing Arrangements</w:t>
      </w:r>
    </w:p>
    <w:p w:rsidR="004F6C96" w:rsidRPr="004843E9" w:rsidRDefault="008B0EF6" w:rsidP="002F3C4D">
      <w:pPr>
        <w:pStyle w:val="3Bodytext"/>
        <w:jc w:val="both"/>
      </w:pPr>
      <w:r w:rsidRPr="004843E9">
        <w:t>In March 2020, the PBAC noted DEX has a</w:t>
      </w:r>
      <w:r w:rsidR="00072037" w:rsidRPr="004843E9">
        <w:t xml:space="preserve"> risk sharing arrangement</w:t>
      </w:r>
      <w:r w:rsidRPr="004843E9">
        <w:t xml:space="preserve"> </w:t>
      </w:r>
      <w:r w:rsidR="00072037" w:rsidRPr="004843E9">
        <w:t>(</w:t>
      </w:r>
      <w:r w:rsidRPr="004843E9">
        <w:t>RSA</w:t>
      </w:r>
      <w:r w:rsidR="00072037" w:rsidRPr="004843E9">
        <w:t>)</w:t>
      </w:r>
      <w:r w:rsidRPr="004843E9">
        <w:t xml:space="preserve"> with a rebate in place to account for use beyond the utilisation estimates presented in the DEX submission (paragraph 7.9, DEX PSD, March 2016). The PBAC advised that FA would be required to join the DEX RSA with no changes to the expenditure caps in order to manage any residual uncertainty regarding the financial estimates. The Sponsor stated in the minor resubmission that they are willing to agree with this condition.</w:t>
      </w:r>
    </w:p>
    <w:p w:rsidR="00A017F7" w:rsidRPr="004843E9" w:rsidRDefault="00A017F7" w:rsidP="002F3C4D">
      <w:pPr>
        <w:pStyle w:val="3Bodytext"/>
        <w:numPr>
          <w:ilvl w:val="0"/>
          <w:numId w:val="0"/>
        </w:numPr>
        <w:ind w:left="720"/>
        <w:jc w:val="both"/>
      </w:pPr>
      <w:r w:rsidRPr="004843E9">
        <w:rPr>
          <w:i/>
        </w:rPr>
        <w:t xml:space="preserve">For more detail on PBAC’s view, see section </w:t>
      </w:r>
      <w:r w:rsidR="0016028B" w:rsidRPr="004843E9">
        <w:rPr>
          <w:i/>
        </w:rPr>
        <w:t xml:space="preserve">6 </w:t>
      </w:r>
      <w:r w:rsidRPr="004843E9">
        <w:rPr>
          <w:i/>
        </w:rPr>
        <w:t>PBAC outcome.</w:t>
      </w:r>
    </w:p>
    <w:p w:rsidR="00C32888" w:rsidRPr="004843E9" w:rsidRDefault="00C32888" w:rsidP="002F3C4D">
      <w:pPr>
        <w:pStyle w:val="2-SectionHeading"/>
        <w:keepNext w:val="0"/>
      </w:pPr>
      <w:r w:rsidRPr="004843E9">
        <w:t>PBAC Outcome</w:t>
      </w:r>
    </w:p>
    <w:p w:rsidR="00C32888" w:rsidRPr="004843E9" w:rsidRDefault="00B75EFD" w:rsidP="002F3C4D">
      <w:pPr>
        <w:pStyle w:val="3Bodytext"/>
        <w:jc w:val="both"/>
        <w:rPr>
          <w:snapToGrid w:val="0"/>
        </w:rPr>
      </w:pPr>
      <w:r w:rsidRPr="004843E9">
        <w:rPr>
          <w:snapToGrid w:val="0"/>
        </w:rPr>
        <w:t xml:space="preserve">The PBAC reaffirmed its previous recommendation from March 2020 for the Authority Required listing of </w:t>
      </w:r>
      <w:proofErr w:type="spellStart"/>
      <w:r w:rsidR="004F341A">
        <w:rPr>
          <w:snapToGrid w:val="0"/>
        </w:rPr>
        <w:t>fluocinolone</w:t>
      </w:r>
      <w:proofErr w:type="spellEnd"/>
      <w:r w:rsidR="004F341A">
        <w:rPr>
          <w:snapToGrid w:val="0"/>
        </w:rPr>
        <w:t xml:space="preserve"> </w:t>
      </w:r>
      <w:proofErr w:type="spellStart"/>
      <w:r w:rsidR="004F341A">
        <w:rPr>
          <w:snapToGrid w:val="0"/>
        </w:rPr>
        <w:t>acetonide</w:t>
      </w:r>
      <w:proofErr w:type="spellEnd"/>
      <w:r w:rsidR="00B1752C">
        <w:rPr>
          <w:snapToGrid w:val="0"/>
        </w:rPr>
        <w:t xml:space="preserve"> (FA)</w:t>
      </w:r>
      <w:r w:rsidRPr="004843E9">
        <w:rPr>
          <w:snapToGrid w:val="0"/>
        </w:rPr>
        <w:t xml:space="preserve"> </w:t>
      </w:r>
      <w:r w:rsidRPr="004843E9">
        <w:t xml:space="preserve">for the treatment of diabetic macular oedema (DMO) in patients who are unsuitable for, contraindicated to, or have failed treatment with </w:t>
      </w:r>
      <w:r w:rsidRPr="004843E9">
        <w:rPr>
          <w:rFonts w:ascii="Calibri" w:eastAsia="Times New Roman" w:hAnsi="Calibri" w:cs="Times New Roman"/>
          <w:szCs w:val="24"/>
        </w:rPr>
        <w:t>vascular endothelial growth factor (</w:t>
      </w:r>
      <w:r w:rsidRPr="004843E9">
        <w:t>VEGF) inhibitors</w:t>
      </w:r>
      <w:r w:rsidR="00422420" w:rsidRPr="004843E9">
        <w:t xml:space="preserve">. The PBAC made this recommendation </w:t>
      </w:r>
      <w:r w:rsidRPr="004843E9">
        <w:rPr>
          <w:snapToGrid w:val="0"/>
        </w:rPr>
        <w:t>on a cost minimisation basis against dexamethasone (DEX)</w:t>
      </w:r>
      <w:r w:rsidR="00F46488" w:rsidRPr="004843E9">
        <w:rPr>
          <w:snapToGrid w:val="0"/>
        </w:rPr>
        <w:t>, at a dose relativity of 1.3</w:t>
      </w:r>
      <w:r w:rsidR="00C01E68" w:rsidRPr="004843E9">
        <w:rPr>
          <w:snapToGrid w:val="0"/>
        </w:rPr>
        <w:t xml:space="preserve"> FA</w:t>
      </w:r>
      <w:r w:rsidR="00F46488" w:rsidRPr="004843E9">
        <w:rPr>
          <w:snapToGrid w:val="0"/>
        </w:rPr>
        <w:t xml:space="preserve"> </w:t>
      </w:r>
      <w:r w:rsidR="00853EE4" w:rsidRPr="004843E9">
        <w:rPr>
          <w:snapToGrid w:val="0"/>
        </w:rPr>
        <w:t>administrations</w:t>
      </w:r>
      <w:r w:rsidR="00F46488" w:rsidRPr="004843E9">
        <w:rPr>
          <w:snapToGrid w:val="0"/>
        </w:rPr>
        <w:t xml:space="preserve"> versus 4.11 </w:t>
      </w:r>
      <w:r w:rsidR="00C01E68" w:rsidRPr="004843E9">
        <w:rPr>
          <w:snapToGrid w:val="0"/>
        </w:rPr>
        <w:t xml:space="preserve">DEX </w:t>
      </w:r>
      <w:r w:rsidR="00853EE4" w:rsidRPr="004843E9">
        <w:rPr>
          <w:snapToGrid w:val="0"/>
        </w:rPr>
        <w:t>administrations</w:t>
      </w:r>
      <w:r w:rsidR="00F46488" w:rsidRPr="004843E9">
        <w:rPr>
          <w:snapToGrid w:val="0"/>
        </w:rPr>
        <w:t xml:space="preserve"> over 36 months</w:t>
      </w:r>
      <w:r w:rsidRPr="004843E9">
        <w:rPr>
          <w:snapToGrid w:val="0"/>
        </w:rPr>
        <w:t>.</w:t>
      </w:r>
    </w:p>
    <w:p w:rsidR="009C70E2" w:rsidRPr="004843E9" w:rsidRDefault="00691726" w:rsidP="002F3C4D">
      <w:pPr>
        <w:pStyle w:val="3Bodytext"/>
        <w:jc w:val="both"/>
        <w:rPr>
          <w:snapToGrid w:val="0"/>
        </w:rPr>
      </w:pPr>
      <w:r w:rsidRPr="004843E9">
        <w:rPr>
          <w:rFonts w:cs="Arial"/>
          <w:bCs/>
          <w:snapToGrid w:val="0"/>
        </w:rPr>
        <w:t xml:space="preserve">The PBAC noted the input from the Consumer Comments facility on the PBS website, describing a range of benefits with FA </w:t>
      </w:r>
      <w:r w:rsidR="00856082" w:rsidRPr="004843E9">
        <w:rPr>
          <w:rFonts w:cs="Arial"/>
          <w:bCs/>
          <w:snapToGrid w:val="0"/>
        </w:rPr>
        <w:t xml:space="preserve">including access for suitable patients who are </w:t>
      </w:r>
      <w:r w:rsidR="00856082" w:rsidRPr="004843E9">
        <w:rPr>
          <w:rFonts w:cs="Arial"/>
          <w:bCs/>
          <w:snapToGrid w:val="0"/>
        </w:rPr>
        <w:lastRenderedPageBreak/>
        <w:t>recalcitrant to other forms of treatment</w:t>
      </w:r>
      <w:r w:rsidRPr="004843E9">
        <w:rPr>
          <w:rFonts w:cs="Arial"/>
          <w:bCs/>
          <w:snapToGrid w:val="0"/>
        </w:rPr>
        <w:t xml:space="preserve"> and a reduction in the </w:t>
      </w:r>
      <w:r w:rsidR="00856082" w:rsidRPr="004843E9">
        <w:rPr>
          <w:rFonts w:cs="Arial"/>
          <w:bCs/>
          <w:snapToGrid w:val="0"/>
        </w:rPr>
        <w:t xml:space="preserve">frequency of </w:t>
      </w:r>
      <w:proofErr w:type="spellStart"/>
      <w:r w:rsidR="00856082" w:rsidRPr="004843E9">
        <w:rPr>
          <w:rFonts w:cs="Arial"/>
          <w:bCs/>
          <w:snapToGrid w:val="0"/>
        </w:rPr>
        <w:t>intravitreal</w:t>
      </w:r>
      <w:proofErr w:type="spellEnd"/>
      <w:r w:rsidR="00856082" w:rsidRPr="004843E9">
        <w:rPr>
          <w:rFonts w:cs="Arial"/>
          <w:bCs/>
          <w:snapToGrid w:val="0"/>
        </w:rPr>
        <w:t xml:space="preserve"> injections.</w:t>
      </w:r>
    </w:p>
    <w:p w:rsidR="009C70E2" w:rsidRPr="004843E9" w:rsidRDefault="009C70E2" w:rsidP="00B75EFD">
      <w:pPr>
        <w:pStyle w:val="3Bodytext"/>
        <w:jc w:val="both"/>
        <w:rPr>
          <w:snapToGrid w:val="0"/>
        </w:rPr>
      </w:pPr>
      <w:r w:rsidRPr="004843E9">
        <w:rPr>
          <w:snapToGrid w:val="0"/>
        </w:rPr>
        <w:t>The PBAC recalled</w:t>
      </w:r>
      <w:r w:rsidR="00853EE4" w:rsidRPr="004843E9">
        <w:rPr>
          <w:snapToGrid w:val="0"/>
        </w:rPr>
        <w:t xml:space="preserve"> </w:t>
      </w:r>
      <w:r w:rsidR="00853EE4" w:rsidRPr="004843E9">
        <w:rPr>
          <w:rFonts w:cs="Arial"/>
          <w:bCs/>
          <w:snapToGrid w:val="0"/>
        </w:rPr>
        <w:t>that in March 2020, it had considered that a comparison</w:t>
      </w:r>
      <w:r w:rsidR="000246A0" w:rsidRPr="004843E9">
        <w:rPr>
          <w:rFonts w:cs="Arial"/>
          <w:bCs/>
          <w:snapToGrid w:val="0"/>
        </w:rPr>
        <w:t xml:space="preserve"> of FA</w:t>
      </w:r>
      <w:r w:rsidR="00853EE4" w:rsidRPr="004843E9">
        <w:rPr>
          <w:rFonts w:cs="Arial"/>
          <w:bCs/>
          <w:snapToGrid w:val="0"/>
        </w:rPr>
        <w:t xml:space="preserve"> against DEX was appropriate; however, it did not agree that the calculation of the</w:t>
      </w:r>
      <w:r w:rsidR="00FE1E82" w:rsidRPr="004843E9">
        <w:rPr>
          <w:rFonts w:cs="Arial"/>
          <w:bCs/>
          <w:snapToGrid w:val="0"/>
        </w:rPr>
        <w:t xml:space="preserve"> FA</w:t>
      </w:r>
      <w:r w:rsidR="00853EE4" w:rsidRPr="004843E9">
        <w:rPr>
          <w:rFonts w:cs="Arial"/>
          <w:bCs/>
          <w:snapToGrid w:val="0"/>
        </w:rPr>
        <w:t xml:space="preserve"> price presented in the submission</w:t>
      </w:r>
      <w:r w:rsidR="00FE1E82" w:rsidRPr="004843E9">
        <w:rPr>
          <w:rFonts w:cs="Arial"/>
          <w:bCs/>
          <w:snapToGrid w:val="0"/>
        </w:rPr>
        <w:t>,</w:t>
      </w:r>
      <w:r w:rsidR="00853EE4" w:rsidRPr="004843E9">
        <w:rPr>
          <w:rFonts w:cs="Arial"/>
          <w:bCs/>
          <w:snapToGrid w:val="0"/>
        </w:rPr>
        <w:t xml:space="preserve"> using a dose relativity of 1 administration FA to 6.48 administrations DEX over 36 months</w:t>
      </w:r>
      <w:r w:rsidR="00FE1E82" w:rsidRPr="004843E9">
        <w:rPr>
          <w:rFonts w:cs="Arial"/>
          <w:bCs/>
          <w:snapToGrid w:val="0"/>
        </w:rPr>
        <w:t>,</w:t>
      </w:r>
      <w:r w:rsidR="00853EE4" w:rsidRPr="004843E9">
        <w:rPr>
          <w:rFonts w:cs="Arial"/>
          <w:bCs/>
          <w:snapToGrid w:val="0"/>
        </w:rPr>
        <w:t xml:space="preserve"> was appropriate.</w:t>
      </w:r>
    </w:p>
    <w:p w:rsidR="00D04C29" w:rsidRPr="004843E9" w:rsidRDefault="00D04C29" w:rsidP="006F4265">
      <w:pPr>
        <w:widowControl w:val="0"/>
        <w:numPr>
          <w:ilvl w:val="1"/>
          <w:numId w:val="1"/>
        </w:numPr>
        <w:spacing w:after="120"/>
        <w:rPr>
          <w:rFonts w:asciiTheme="minorHAnsi" w:hAnsiTheme="minorHAnsi" w:cs="Arial"/>
          <w:bCs/>
          <w:snapToGrid w:val="0"/>
        </w:rPr>
      </w:pPr>
      <w:r w:rsidRPr="004843E9">
        <w:t>While the Sponsor</w:t>
      </w:r>
      <w:r w:rsidR="000E05D9" w:rsidRPr="004843E9">
        <w:t xml:space="preserve"> did not update the clinical claim from the March 2020 submission, that FA is non-inferior to DEX for both comparative effectiveness and safety, they</w:t>
      </w:r>
      <w:r w:rsidRPr="004843E9">
        <w:t xml:space="preserve"> </w:t>
      </w:r>
      <w:r w:rsidR="000E05D9" w:rsidRPr="004843E9">
        <w:t>asserted</w:t>
      </w:r>
      <w:r w:rsidR="007A49A5" w:rsidRPr="004843E9">
        <w:t xml:space="preserve"> in the resubmission</w:t>
      </w:r>
      <w:r w:rsidR="000E05D9" w:rsidRPr="004843E9">
        <w:t xml:space="preserve"> </w:t>
      </w:r>
      <w:r w:rsidRPr="004843E9">
        <w:t>that patients treated with FA had a greater improvement in BCVA compared with DEX,</w:t>
      </w:r>
      <w:r w:rsidR="00016111" w:rsidRPr="004843E9">
        <w:t xml:space="preserve"> and that clinical and anatomical fluctuations associated with DEX are not seen with FA.</w:t>
      </w:r>
      <w:r w:rsidRPr="004843E9">
        <w:t xml:space="preserve"> </w:t>
      </w:r>
      <w:r w:rsidR="000246A0" w:rsidRPr="004843E9">
        <w:t>T</w:t>
      </w:r>
      <w:r w:rsidRPr="004843E9">
        <w:t>he PBAC maintained its view from March 2020 that a claim of non-inferior comparative effectiveness of FA and DEX was reasonable (</w:t>
      </w:r>
      <w:r w:rsidR="000246A0" w:rsidRPr="004843E9">
        <w:t>paragraph 5.5</w:t>
      </w:r>
      <w:r w:rsidRPr="004843E9">
        <w:t xml:space="preserve">) and that the effectiveness of both DEX and FA was modest (paragraph 6.23, FA PSD, March 2020). </w:t>
      </w:r>
    </w:p>
    <w:p w:rsidR="00D04C29" w:rsidRPr="004843E9" w:rsidRDefault="000D5BA0" w:rsidP="000D5BA0">
      <w:pPr>
        <w:pStyle w:val="3Bodytext"/>
        <w:jc w:val="both"/>
        <w:rPr>
          <w:rFonts w:cs="Arial"/>
          <w:bCs/>
          <w:snapToGrid w:val="0"/>
        </w:rPr>
      </w:pPr>
      <w:r w:rsidRPr="004843E9">
        <w:t>The Sponsor claimed that the FAME and MEAD trial doses are not representative of Australian and global clinical practice</w:t>
      </w:r>
      <w:r w:rsidR="00231656" w:rsidRPr="004843E9">
        <w:t>, and the trials should therefore not be used to indicate the equi-effective doses</w:t>
      </w:r>
      <w:r w:rsidR="00C821BE" w:rsidRPr="004843E9">
        <w:t xml:space="preserve"> of FA and DEX</w:t>
      </w:r>
      <w:r w:rsidR="00C34A0D" w:rsidRPr="004843E9">
        <w:t>.</w:t>
      </w:r>
      <w:r w:rsidR="00231656" w:rsidRPr="004843E9">
        <w:t xml:space="preserve"> </w:t>
      </w:r>
      <w:r w:rsidR="0016028B" w:rsidRPr="004843E9">
        <w:t>T</w:t>
      </w:r>
      <w:r w:rsidR="00D04C29" w:rsidRPr="004843E9">
        <w:t xml:space="preserve">he PBAC </w:t>
      </w:r>
      <w:r w:rsidR="00231656" w:rsidRPr="004843E9">
        <w:t>advised</w:t>
      </w:r>
      <w:r w:rsidR="00D04C29" w:rsidRPr="004843E9">
        <w:t xml:space="preserve"> that the equi-effective doses should be derived from an indirect comparison using randomised trials </w:t>
      </w:r>
      <w:r w:rsidR="00D906CB" w:rsidRPr="004843E9">
        <w:t>in preference to</w:t>
      </w:r>
      <w:r w:rsidR="00D04C29" w:rsidRPr="004843E9">
        <w:t xml:space="preserve"> evidence from nonrandomised studies, in line with PBAC Guidelines.</w:t>
      </w:r>
      <w:r w:rsidR="00422420" w:rsidRPr="004843E9">
        <w:t xml:space="preserve"> </w:t>
      </w:r>
      <w:r w:rsidR="00934EED" w:rsidRPr="004843E9">
        <w:t xml:space="preserve">The PBAC </w:t>
      </w:r>
      <w:r w:rsidR="00C34A0D" w:rsidRPr="004843E9">
        <w:t>considered</w:t>
      </w:r>
      <w:r w:rsidR="00934EED" w:rsidRPr="004843E9">
        <w:t xml:space="preserve"> that </w:t>
      </w:r>
      <w:r w:rsidR="000246A0" w:rsidRPr="004843E9">
        <w:t>non-inferiority had</w:t>
      </w:r>
      <w:r w:rsidR="00F60B58" w:rsidRPr="004843E9">
        <w:t xml:space="preserve"> only been reasonably established at the dose frequencies used in the MEAD and FAME trials,</w:t>
      </w:r>
      <w:r w:rsidR="00F60B58" w:rsidRPr="004843E9" w:rsidDel="00F60B58">
        <w:rPr>
          <w:rFonts w:ascii="Calibri" w:eastAsia="Times New Roman" w:hAnsi="Calibri" w:cs="Times New Roman"/>
          <w:szCs w:val="24"/>
        </w:rPr>
        <w:t xml:space="preserve"> </w:t>
      </w:r>
      <w:r w:rsidR="000246A0" w:rsidRPr="004843E9">
        <w:rPr>
          <w:rFonts w:ascii="Calibri" w:eastAsia="Times New Roman" w:hAnsi="Calibri" w:cs="Times New Roman"/>
          <w:szCs w:val="24"/>
        </w:rPr>
        <w:t xml:space="preserve">and that </w:t>
      </w:r>
      <w:r w:rsidR="00AA481F" w:rsidRPr="004843E9">
        <w:rPr>
          <w:rFonts w:ascii="Calibri" w:eastAsia="Times New Roman" w:hAnsi="Calibri" w:cs="Times New Roman"/>
          <w:szCs w:val="24"/>
        </w:rPr>
        <w:t>while it is possible that</w:t>
      </w:r>
      <w:r w:rsidR="00422420" w:rsidRPr="004843E9">
        <w:rPr>
          <w:rFonts w:ascii="Calibri" w:eastAsia="Times New Roman" w:hAnsi="Calibri" w:cs="Times New Roman"/>
          <w:szCs w:val="24"/>
        </w:rPr>
        <w:t xml:space="preserve"> </w:t>
      </w:r>
      <w:r w:rsidR="00F60B58" w:rsidRPr="004843E9">
        <w:rPr>
          <w:rFonts w:ascii="Calibri" w:eastAsia="Times New Roman" w:hAnsi="Calibri" w:cs="Times New Roman"/>
          <w:szCs w:val="24"/>
        </w:rPr>
        <w:t>the pattern of use of FA and DEX in clinical practice is different from</w:t>
      </w:r>
      <w:r w:rsidR="00AA481F" w:rsidRPr="004843E9">
        <w:rPr>
          <w:rFonts w:ascii="Calibri" w:eastAsia="Times New Roman" w:hAnsi="Calibri" w:cs="Times New Roman"/>
          <w:szCs w:val="24"/>
        </w:rPr>
        <w:t xml:space="preserve"> the</w:t>
      </w:r>
      <w:r w:rsidR="00F60B58" w:rsidRPr="004843E9">
        <w:rPr>
          <w:rFonts w:ascii="Calibri" w:eastAsia="Times New Roman" w:hAnsi="Calibri" w:cs="Times New Roman"/>
          <w:szCs w:val="24"/>
        </w:rPr>
        <w:t xml:space="preserve"> trials</w:t>
      </w:r>
      <w:r w:rsidR="00AA481F" w:rsidRPr="004843E9">
        <w:rPr>
          <w:rFonts w:ascii="Calibri" w:eastAsia="Times New Roman" w:hAnsi="Calibri" w:cs="Times New Roman"/>
          <w:szCs w:val="24"/>
        </w:rPr>
        <w:t>,</w:t>
      </w:r>
      <w:r w:rsidR="00422420" w:rsidRPr="004843E9">
        <w:rPr>
          <w:rFonts w:ascii="Calibri" w:eastAsia="Times New Roman" w:hAnsi="Calibri" w:cs="Times New Roman"/>
          <w:szCs w:val="24"/>
        </w:rPr>
        <w:t xml:space="preserve"> there is a significant risk that</w:t>
      </w:r>
      <w:r w:rsidR="00F60B58" w:rsidRPr="004843E9">
        <w:rPr>
          <w:rFonts w:ascii="Calibri" w:eastAsia="Times New Roman" w:hAnsi="Calibri" w:cs="Times New Roman"/>
          <w:szCs w:val="24"/>
        </w:rPr>
        <w:t xml:space="preserve"> </w:t>
      </w:r>
      <w:r w:rsidR="00F60B58" w:rsidRPr="004843E9">
        <w:t>FA is inferior to DEX at a ratio of 1 FA</w:t>
      </w:r>
      <w:proofErr w:type="gramStart"/>
      <w:r w:rsidR="00F60B58" w:rsidRPr="004843E9">
        <w:t>:6.48</w:t>
      </w:r>
      <w:proofErr w:type="gramEnd"/>
      <w:r w:rsidR="00F60B58" w:rsidRPr="004843E9">
        <w:t xml:space="preserve"> DEX administrations</w:t>
      </w:r>
      <w:r w:rsidR="00F60B58" w:rsidRPr="004843E9">
        <w:rPr>
          <w:rFonts w:ascii="Calibri" w:eastAsia="Times New Roman" w:hAnsi="Calibri" w:cs="Times New Roman"/>
          <w:szCs w:val="24"/>
        </w:rPr>
        <w:t xml:space="preserve">. </w:t>
      </w:r>
      <w:r w:rsidR="00E01A62" w:rsidRPr="004843E9">
        <w:rPr>
          <w:rFonts w:ascii="Calibri" w:eastAsia="Times New Roman" w:hAnsi="Calibri" w:cs="Times New Roman"/>
          <w:szCs w:val="24"/>
        </w:rPr>
        <w:t xml:space="preserve">The PBAC advised that the original dose relativity from the March 2020 PBAC consideration should be maintained </w:t>
      </w:r>
      <w:r w:rsidR="00E01A62" w:rsidRPr="004843E9">
        <w:t xml:space="preserve">(1.3 FA </w:t>
      </w:r>
      <w:r w:rsidR="00F60B58" w:rsidRPr="004843E9">
        <w:t>administrations</w:t>
      </w:r>
      <w:r w:rsidR="00E01A62" w:rsidRPr="004843E9">
        <w:t xml:space="preserve"> versus 4.11 DEX </w:t>
      </w:r>
      <w:r w:rsidR="00F60B58" w:rsidRPr="004843E9">
        <w:t xml:space="preserve">administrations </w:t>
      </w:r>
      <w:r w:rsidR="00E01A62" w:rsidRPr="004843E9">
        <w:t>over 36 months).</w:t>
      </w:r>
    </w:p>
    <w:p w:rsidR="003B5570" w:rsidRPr="004843E9" w:rsidRDefault="007C126E" w:rsidP="00E72E35">
      <w:pPr>
        <w:pStyle w:val="3Bodytext"/>
        <w:jc w:val="both"/>
        <w:rPr>
          <w:rFonts w:cs="Arial"/>
          <w:bCs/>
          <w:snapToGrid w:val="0"/>
        </w:rPr>
      </w:pPr>
      <w:r w:rsidRPr="004843E9">
        <w:t>T</w:t>
      </w:r>
      <w:r w:rsidR="003C1A97" w:rsidRPr="004843E9">
        <w:t xml:space="preserve">he </w:t>
      </w:r>
      <w:r w:rsidRPr="004843E9">
        <w:t>cost-minimisation analysis in the resubmission</w:t>
      </w:r>
      <w:r w:rsidR="003C1A97" w:rsidRPr="004843E9">
        <w:t xml:space="preserve"> </w:t>
      </w:r>
      <w:r w:rsidR="00C440B7" w:rsidRPr="004843E9">
        <w:t>assumed 1</w:t>
      </w:r>
      <w:r w:rsidR="00AA481F" w:rsidRPr="004843E9">
        <w:t> </w:t>
      </w:r>
      <w:r w:rsidR="00C440B7" w:rsidRPr="004843E9">
        <w:t>ophthalmologist visit for patients treated with FA and 6.48</w:t>
      </w:r>
      <w:r w:rsidR="00AA481F" w:rsidRPr="004843E9">
        <w:t xml:space="preserve"> visits</w:t>
      </w:r>
      <w:r w:rsidR="00C440B7" w:rsidRPr="004843E9">
        <w:t xml:space="preserve"> for patients treated with DEX over 36 months, </w:t>
      </w:r>
      <w:r w:rsidR="00D75824" w:rsidRPr="004843E9">
        <w:t>and</w:t>
      </w:r>
      <w:r w:rsidRPr="004843E9">
        <w:t xml:space="preserve"> specified</w:t>
      </w:r>
      <w:r w:rsidR="00D75824" w:rsidRPr="004843E9">
        <w:t xml:space="preserve"> that FA patients with breakthrough oedema would be treated with anti-VEGF agents.</w:t>
      </w:r>
      <w:r w:rsidR="00C440B7" w:rsidRPr="004843E9">
        <w:t xml:space="preserve"> </w:t>
      </w:r>
      <w:r w:rsidR="00D84451" w:rsidRPr="004843E9">
        <w:t>T</w:t>
      </w:r>
      <w:r w:rsidR="003C1A97" w:rsidRPr="004843E9">
        <w:t xml:space="preserve">he PBAC reiterated </w:t>
      </w:r>
      <w:r w:rsidR="00B57668" w:rsidRPr="004843E9">
        <w:t>its</w:t>
      </w:r>
      <w:r w:rsidR="003C1A97" w:rsidRPr="004843E9">
        <w:t xml:space="preserve"> recommendation from March 2020 that the CMA should only include the cost of drug and the cost of administering the implants</w:t>
      </w:r>
      <w:r w:rsidR="00AA481F" w:rsidRPr="004843E9">
        <w:t xml:space="preserve">. The PBAC </w:t>
      </w:r>
      <w:r w:rsidR="00D84451" w:rsidRPr="004843E9">
        <w:t>noted that it previously considered the number of oph</w:t>
      </w:r>
      <w:r w:rsidR="00D75824" w:rsidRPr="004843E9">
        <w:t xml:space="preserve">thalmology visits </w:t>
      </w:r>
      <w:r w:rsidR="00D84451" w:rsidRPr="004843E9">
        <w:t>should not be different</w:t>
      </w:r>
      <w:r w:rsidR="00D75824" w:rsidRPr="004843E9">
        <w:t xml:space="preserve"> for FA and DEX</w:t>
      </w:r>
      <w:r w:rsidR="00D84451" w:rsidRPr="004843E9">
        <w:t xml:space="preserve"> (paragraph 6.29, FA PSD, March 2020)</w:t>
      </w:r>
      <w:r w:rsidR="00AA481F" w:rsidRPr="004843E9">
        <w:t>, and that the proportionate use of concomitant anti-VEGF agents in FA patients was poorly supported (paragraph 6.30, FA PSD, March 2020).</w:t>
      </w:r>
      <w:r w:rsidR="003C1A97" w:rsidRPr="004843E9">
        <w:t xml:space="preserve"> The PBAC considered </w:t>
      </w:r>
      <w:r w:rsidR="00D75824" w:rsidRPr="004843E9">
        <w:t>these</w:t>
      </w:r>
      <w:r w:rsidR="003C1A97" w:rsidRPr="004843E9">
        <w:t xml:space="preserve"> costs were highly uncertain, not well justified in the </w:t>
      </w:r>
      <w:r w:rsidR="00F22FC3" w:rsidRPr="004843E9">
        <w:t xml:space="preserve">March 2020 </w:t>
      </w:r>
      <w:r w:rsidR="003C1A97" w:rsidRPr="004843E9">
        <w:t>sub</w:t>
      </w:r>
      <w:r w:rsidR="00E95477" w:rsidRPr="004843E9">
        <w:t>mission</w:t>
      </w:r>
      <w:r w:rsidR="00F22FC3" w:rsidRPr="004843E9">
        <w:t xml:space="preserve"> or the resubmission,</w:t>
      </w:r>
      <w:r w:rsidR="003C1A97" w:rsidRPr="004843E9">
        <w:t xml:space="preserve"> and should not be included in the CMA.</w:t>
      </w:r>
      <w:r w:rsidR="00E72E35" w:rsidRPr="004843E9">
        <w:rPr>
          <w:rFonts w:cs="Arial"/>
          <w:bCs/>
          <w:snapToGrid w:val="0"/>
        </w:rPr>
        <w:t xml:space="preserve"> </w:t>
      </w:r>
    </w:p>
    <w:p w:rsidR="008619CB" w:rsidRDefault="004F6C96" w:rsidP="00E72E35">
      <w:pPr>
        <w:pStyle w:val="3Bodytext"/>
        <w:jc w:val="both"/>
      </w:pPr>
      <w:r w:rsidRPr="004843E9">
        <w:t>The PBAC emphasised that</w:t>
      </w:r>
      <w:r w:rsidR="00E72E35" w:rsidRPr="004843E9">
        <w:t xml:space="preserve"> the PBS listing of FA should be cost neutral to the Government, as the</w:t>
      </w:r>
      <w:r w:rsidR="00A40B03" w:rsidRPr="004843E9">
        <w:t xml:space="preserve"> Australian population already has access to therapy that is at least as effective and safe.</w:t>
      </w:r>
    </w:p>
    <w:p w:rsidR="003B5570" w:rsidRPr="004843E9" w:rsidRDefault="003B5570" w:rsidP="00E72E35">
      <w:pPr>
        <w:pStyle w:val="3Bodytext"/>
        <w:jc w:val="both"/>
        <w:rPr>
          <w:rFonts w:cs="Arial"/>
          <w:bCs/>
          <w:snapToGrid w:val="0"/>
        </w:rPr>
      </w:pPr>
      <w:r w:rsidRPr="004843E9">
        <w:rPr>
          <w:rFonts w:cs="Arial"/>
          <w:bCs/>
          <w:snapToGrid w:val="0"/>
        </w:rPr>
        <w:t>The PBAC noted that this submission is eligible for an Independent Review.</w:t>
      </w:r>
    </w:p>
    <w:p w:rsidR="00C32888" w:rsidRPr="004843E9" w:rsidRDefault="00C32888" w:rsidP="00C32888">
      <w:pPr>
        <w:spacing w:before="240"/>
        <w:rPr>
          <w:rFonts w:asciiTheme="minorHAnsi" w:hAnsiTheme="minorHAnsi" w:cs="Arial"/>
          <w:b/>
          <w:bCs/>
          <w:snapToGrid w:val="0"/>
        </w:rPr>
      </w:pPr>
      <w:r w:rsidRPr="004843E9">
        <w:rPr>
          <w:rFonts w:asciiTheme="minorHAnsi" w:hAnsiTheme="minorHAnsi" w:cs="Arial"/>
          <w:b/>
          <w:bCs/>
          <w:snapToGrid w:val="0"/>
        </w:rPr>
        <w:lastRenderedPageBreak/>
        <w:t>Outcome:</w:t>
      </w:r>
    </w:p>
    <w:p w:rsidR="00C32888" w:rsidRDefault="00C32888" w:rsidP="00C32888">
      <w:pPr>
        <w:rPr>
          <w:rFonts w:asciiTheme="minorHAnsi" w:hAnsiTheme="minorHAnsi" w:cs="Arial"/>
          <w:bCs/>
          <w:snapToGrid w:val="0"/>
        </w:rPr>
      </w:pPr>
      <w:r w:rsidRPr="004843E9">
        <w:rPr>
          <w:rFonts w:asciiTheme="minorHAnsi" w:hAnsiTheme="minorHAnsi" w:cs="Arial"/>
          <w:bCs/>
          <w:snapToGrid w:val="0"/>
        </w:rPr>
        <w:t>Reje</w:t>
      </w:r>
      <w:r w:rsidR="000E5370" w:rsidRPr="004843E9">
        <w:rPr>
          <w:rFonts w:asciiTheme="minorHAnsi" w:hAnsiTheme="minorHAnsi" w:cs="Arial"/>
          <w:bCs/>
          <w:snapToGrid w:val="0"/>
        </w:rPr>
        <w:t>cted</w:t>
      </w:r>
    </w:p>
    <w:p w:rsidR="00CE51C1" w:rsidRDefault="00CE51C1" w:rsidP="00C32888">
      <w:pPr>
        <w:rPr>
          <w:rFonts w:asciiTheme="minorHAnsi" w:hAnsiTheme="minorHAnsi" w:cs="Arial"/>
          <w:bCs/>
          <w:snapToGrid w:val="0"/>
        </w:rPr>
      </w:pPr>
    </w:p>
    <w:p w:rsidR="00CE51C1" w:rsidRPr="006721E7" w:rsidRDefault="00CE51C1" w:rsidP="006721E7">
      <w:pPr>
        <w:pStyle w:val="2-SectionHeading"/>
      </w:pPr>
      <w:r w:rsidRPr="00C07617">
        <w:t>Context for Decision</w:t>
      </w:r>
    </w:p>
    <w:p w:rsidR="00CE51C1" w:rsidRPr="006721E7" w:rsidRDefault="00CE51C1" w:rsidP="006721E7">
      <w:pPr>
        <w:pStyle w:val="3Bodytext"/>
        <w:numPr>
          <w:ilvl w:val="0"/>
          <w:numId w:val="0"/>
        </w:numPr>
        <w:ind w:left="720"/>
        <w:jc w:val="both"/>
        <w:rPr>
          <w:snapToGrid w:val="0"/>
        </w:rPr>
      </w:pPr>
      <w:r w:rsidRPr="006721E7">
        <w:rPr>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E51C1" w:rsidRPr="006721E7" w:rsidRDefault="00CE51C1" w:rsidP="006721E7">
      <w:pPr>
        <w:pStyle w:val="2-SectionHeading"/>
        <w:rPr>
          <w:b w:val="0"/>
        </w:rPr>
      </w:pPr>
      <w:r>
        <w:t>Sponsor’s Comment</w:t>
      </w:r>
    </w:p>
    <w:p w:rsidR="002D1BBB" w:rsidRPr="006721E7" w:rsidRDefault="002D1BBB" w:rsidP="006721E7">
      <w:pPr>
        <w:pStyle w:val="3Bodytext"/>
        <w:numPr>
          <w:ilvl w:val="0"/>
          <w:numId w:val="0"/>
        </w:numPr>
        <w:ind w:left="720"/>
        <w:jc w:val="both"/>
        <w:rPr>
          <w:snapToGrid w:val="0"/>
        </w:rPr>
      </w:pPr>
      <w:r w:rsidRPr="006721E7">
        <w:t xml:space="preserve">It is very disappointing that the original PBAC conditional recommendation, and subsequent minor application, has been unsuccessful in achieving a price that is similar to reimbursed prices in Europe and the UK. While the proposed Risk Share terms were acceptable, the ex-manufacture net price offered is less than half the global average reimbursed price for </w:t>
      </w:r>
      <w:proofErr w:type="spellStart"/>
      <w:r w:rsidRPr="006721E7">
        <w:t>Iluvien</w:t>
      </w:r>
      <w:proofErr w:type="spellEnd"/>
      <w:r w:rsidRPr="006721E7">
        <w:t xml:space="preserve">. Given the acquisition cost from the drug developer </w:t>
      </w:r>
      <w:proofErr w:type="spellStart"/>
      <w:r w:rsidRPr="006721E7">
        <w:t>Alimera</w:t>
      </w:r>
      <w:proofErr w:type="spellEnd"/>
      <w:r w:rsidRPr="006721E7">
        <w:t xml:space="preserve"> is greater than the proposed PBS price, and the impact such a low price, if accepted, would have on </w:t>
      </w:r>
      <w:proofErr w:type="spellStart"/>
      <w:r w:rsidRPr="006721E7">
        <w:t>Alimera's</w:t>
      </w:r>
      <w:proofErr w:type="spellEnd"/>
      <w:r w:rsidRPr="006721E7">
        <w:t xml:space="preserve"> existing reimbursed global pricing, Specialised Therapeutics cannot proceed with </w:t>
      </w:r>
      <w:proofErr w:type="spellStart"/>
      <w:r w:rsidRPr="006721E7">
        <w:t>Iluvien's</w:t>
      </w:r>
      <w:proofErr w:type="spellEnd"/>
      <w:r w:rsidRPr="006721E7">
        <w:t xml:space="preserve"> listing on the PBS</w:t>
      </w:r>
      <w:r w:rsidR="006721E7">
        <w:t>.</w:t>
      </w:r>
    </w:p>
    <w:p w:rsidR="00CE51C1" w:rsidRPr="004843E9" w:rsidRDefault="00CE51C1" w:rsidP="00C32888">
      <w:pPr>
        <w:rPr>
          <w:rFonts w:asciiTheme="minorHAnsi" w:hAnsiTheme="minorHAnsi" w:cs="Arial"/>
          <w:bCs/>
          <w:snapToGrid w:val="0"/>
        </w:rPr>
      </w:pPr>
    </w:p>
    <w:sectPr w:rsidR="00CE51C1" w:rsidRPr="004843E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BF" w:rsidRDefault="00E733BF">
      <w:r>
        <w:separator/>
      </w:r>
    </w:p>
    <w:p w:rsidR="00E733BF" w:rsidRDefault="00E733BF"/>
  </w:endnote>
  <w:endnote w:type="continuationSeparator" w:id="0">
    <w:p w:rsidR="00E733BF" w:rsidRDefault="00E733BF">
      <w:r>
        <w:continuationSeparator/>
      </w:r>
    </w:p>
    <w:p w:rsidR="00E733BF" w:rsidRDefault="00E73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E0F34" w:rsidTr="005A3173">
      <w:trPr>
        <w:trHeight w:val="151"/>
      </w:trPr>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c>
        <w:tcPr>
          <w:tcW w:w="500" w:type="pct"/>
          <w:vMerge w:val="restart"/>
          <w:noWrap/>
          <w:vAlign w:val="center"/>
          <w:hideMark/>
        </w:tcPr>
        <w:p w:rsidR="00CE0F34" w:rsidRPr="005A3173" w:rsidRDefault="00CE0F3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r>
    <w:tr w:rsidR="00CE0F34" w:rsidTr="005A3173">
      <w:trPr>
        <w:trHeight w:val="150"/>
      </w:trPr>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c>
        <w:tcPr>
          <w:tcW w:w="0" w:type="auto"/>
          <w:vMerge/>
          <w:vAlign w:val="center"/>
          <w:hideMark/>
        </w:tcPr>
        <w:p w:rsidR="00CE0F34" w:rsidRPr="005A3173" w:rsidRDefault="00CE0F34" w:rsidP="005A3173">
          <w:pPr>
            <w:rPr>
              <w:color w:val="365F91"/>
              <w:sz w:val="22"/>
              <w:szCs w:val="22"/>
            </w:rPr>
          </w:pPr>
        </w:p>
      </w:tc>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r>
  </w:tbl>
  <w:p w:rsidR="00CE0F34" w:rsidRDefault="00CE0F3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F34" w:rsidRDefault="00CE0F34">
    <w:pPr>
      <w:pStyle w:val="Footer"/>
    </w:pPr>
  </w:p>
  <w:p w:rsidR="00CE0F34" w:rsidRDefault="00CE0F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34" w:rsidRDefault="00CE0F34">
    <w:pPr>
      <w:pStyle w:val="Footer"/>
      <w:jc w:val="center"/>
    </w:pPr>
  </w:p>
  <w:p w:rsidR="00CE0F34" w:rsidRPr="007B387F" w:rsidRDefault="00811338" w:rsidP="007B387F">
    <w:pPr>
      <w:pStyle w:val="Footer"/>
      <w:jc w:val="center"/>
    </w:pPr>
    <w:sdt>
      <w:sdtPr>
        <w:id w:val="-138347648"/>
        <w:docPartObj>
          <w:docPartGallery w:val="Page Numbers (Bottom of Page)"/>
          <w:docPartUnique/>
        </w:docPartObj>
      </w:sdtPr>
      <w:sdtEndPr>
        <w:rPr>
          <w:noProof/>
        </w:rPr>
      </w:sdtEndPr>
      <w:sdtContent>
        <w:r w:rsidR="00CE0F34" w:rsidRPr="00490A1C">
          <w:rPr>
            <w:b/>
          </w:rPr>
          <w:fldChar w:fldCharType="begin"/>
        </w:r>
        <w:r w:rsidR="00CE0F34" w:rsidRPr="00490A1C">
          <w:rPr>
            <w:b/>
          </w:rPr>
          <w:instrText xml:space="preserve"> PAGE   \* MERGEFORMAT </w:instrText>
        </w:r>
        <w:r w:rsidR="00CE0F34" w:rsidRPr="00490A1C">
          <w:rPr>
            <w:b/>
          </w:rPr>
          <w:fldChar w:fldCharType="separate"/>
        </w:r>
        <w:r>
          <w:rPr>
            <w:b/>
            <w:noProof/>
          </w:rPr>
          <w:t>14</w:t>
        </w:r>
        <w:r w:rsidR="00CE0F34" w:rsidRPr="00490A1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CE0F34" w:rsidTr="005A3173">
      <w:trPr>
        <w:trHeight w:val="151"/>
      </w:trPr>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c>
        <w:tcPr>
          <w:tcW w:w="500" w:type="pct"/>
          <w:vMerge w:val="restart"/>
          <w:noWrap/>
          <w:vAlign w:val="center"/>
          <w:hideMark/>
        </w:tcPr>
        <w:p w:rsidR="00CE0F34" w:rsidRPr="005A3173" w:rsidRDefault="00CE0F3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r>
    <w:tr w:rsidR="00CE0F34" w:rsidTr="005A3173">
      <w:trPr>
        <w:trHeight w:val="150"/>
      </w:trPr>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c>
        <w:tcPr>
          <w:tcW w:w="0" w:type="auto"/>
          <w:vMerge/>
          <w:vAlign w:val="center"/>
          <w:hideMark/>
        </w:tcPr>
        <w:p w:rsidR="00CE0F34" w:rsidRPr="005A3173" w:rsidRDefault="00CE0F34" w:rsidP="005A3173">
          <w:pPr>
            <w:rPr>
              <w:color w:val="365F91"/>
              <w:sz w:val="22"/>
              <w:szCs w:val="22"/>
            </w:rPr>
          </w:pPr>
        </w:p>
      </w:tc>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E0F34" w:rsidTr="005A3173">
      <w:trPr>
        <w:trHeight w:val="151"/>
      </w:trPr>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c>
        <w:tcPr>
          <w:tcW w:w="500" w:type="pct"/>
          <w:vMerge w:val="restart"/>
          <w:noWrap/>
          <w:vAlign w:val="center"/>
          <w:hideMark/>
        </w:tcPr>
        <w:p w:rsidR="00CE0F34" w:rsidRPr="005A3173" w:rsidRDefault="00CE0F3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0F34" w:rsidRPr="005A3173" w:rsidRDefault="00CE0F34" w:rsidP="005A3173">
          <w:pPr>
            <w:pStyle w:val="Header"/>
            <w:spacing w:line="276" w:lineRule="auto"/>
            <w:rPr>
              <w:rFonts w:eastAsia="MS Gothic"/>
              <w:b/>
              <w:bCs/>
              <w:color w:val="4F81BD"/>
            </w:rPr>
          </w:pPr>
        </w:p>
      </w:tc>
    </w:tr>
    <w:tr w:rsidR="00CE0F34" w:rsidTr="005A3173">
      <w:trPr>
        <w:trHeight w:val="150"/>
      </w:trPr>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c>
        <w:tcPr>
          <w:tcW w:w="0" w:type="auto"/>
          <w:vMerge/>
          <w:vAlign w:val="center"/>
          <w:hideMark/>
        </w:tcPr>
        <w:p w:rsidR="00CE0F34" w:rsidRPr="005A3173" w:rsidRDefault="00CE0F34" w:rsidP="005A3173">
          <w:pPr>
            <w:rPr>
              <w:color w:val="365F91"/>
              <w:sz w:val="22"/>
              <w:szCs w:val="22"/>
            </w:rPr>
          </w:pPr>
        </w:p>
      </w:tc>
      <w:tc>
        <w:tcPr>
          <w:tcW w:w="2250" w:type="pct"/>
          <w:tcBorders>
            <w:top w:val="single" w:sz="4" w:space="0" w:color="4F81BD"/>
            <w:left w:val="nil"/>
            <w:bottom w:val="nil"/>
            <w:right w:val="nil"/>
          </w:tcBorders>
        </w:tcPr>
        <w:p w:rsidR="00CE0F34" w:rsidRPr="005A3173" w:rsidRDefault="00CE0F34" w:rsidP="005A3173">
          <w:pPr>
            <w:pStyle w:val="Header"/>
            <w:spacing w:line="276" w:lineRule="auto"/>
            <w:rPr>
              <w:rFonts w:eastAsia="MS Gothic"/>
              <w:b/>
              <w:bCs/>
              <w:color w:val="4F81BD"/>
            </w:rPr>
          </w:pPr>
        </w:p>
      </w:tc>
    </w:tr>
  </w:tbl>
  <w:p w:rsidR="00CE0F34" w:rsidRPr="007C0F57" w:rsidRDefault="00CE0F3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321E87">
      <w:rPr>
        <w:rStyle w:val="PageNumber"/>
        <w:noProof/>
      </w:rPr>
      <w:t>1</w:t>
    </w:r>
    <w:r>
      <w:rPr>
        <w:rStyle w:val="PageNumber"/>
      </w:rPr>
      <w:fldChar w:fldCharType="end"/>
    </w:r>
    <w:r w:rsidRPr="007C0F57">
      <w:rPr>
        <w:b/>
        <w:i/>
        <w:sz w:val="20"/>
        <w:szCs w:val="20"/>
      </w:rPr>
      <w:t>BAC Meeting</w:t>
    </w:r>
  </w:p>
  <w:p w:rsidR="00CE0F34" w:rsidRPr="007C0F57" w:rsidRDefault="00CE0F34" w:rsidP="007C0F57">
    <w:pPr>
      <w:pStyle w:val="Footer"/>
      <w:jc w:val="center"/>
      <w:rPr>
        <w:b/>
        <w:i/>
        <w:sz w:val="20"/>
        <w:szCs w:val="20"/>
      </w:rPr>
    </w:pPr>
    <w:r w:rsidRPr="007C0F57">
      <w:rPr>
        <w:b/>
        <w:i/>
        <w:sz w:val="20"/>
        <w:szCs w:val="20"/>
      </w:rPr>
      <w:t>Commercial-in-Confidence</w:t>
    </w:r>
  </w:p>
  <w:p w:rsidR="00CE0F34" w:rsidRDefault="00CE0F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BF" w:rsidRDefault="00E733BF">
      <w:r>
        <w:separator/>
      </w:r>
    </w:p>
    <w:p w:rsidR="00E733BF" w:rsidRDefault="00E733BF"/>
  </w:footnote>
  <w:footnote w:type="continuationSeparator" w:id="0">
    <w:p w:rsidR="00E733BF" w:rsidRDefault="00E733BF">
      <w:r>
        <w:continuationSeparator/>
      </w:r>
    </w:p>
    <w:p w:rsidR="00E733BF" w:rsidRDefault="00E733BF"/>
  </w:footnote>
  <w:footnote w:id="1">
    <w:p w:rsidR="00CE0F34" w:rsidRPr="0069255F" w:rsidRDefault="00CE0F34">
      <w:pPr>
        <w:pStyle w:val="FootnoteText"/>
        <w:rPr>
          <w:rFonts w:ascii="Arial Narrow" w:hAnsi="Arial Narrow"/>
          <w:sz w:val="18"/>
          <w:szCs w:val="18"/>
        </w:rPr>
      </w:pPr>
      <w:r w:rsidRPr="0069255F">
        <w:rPr>
          <w:rStyle w:val="FootnoteReference"/>
          <w:rFonts w:ascii="Arial Narrow" w:hAnsi="Arial Narrow"/>
          <w:sz w:val="18"/>
          <w:szCs w:val="18"/>
        </w:rPr>
        <w:footnoteRef/>
      </w:r>
      <w:r w:rsidRPr="0069255F">
        <w:rPr>
          <w:rFonts w:ascii="Arial Narrow" w:hAnsi="Arial Narrow"/>
          <w:sz w:val="18"/>
          <w:szCs w:val="18"/>
        </w:rPr>
        <w:t xml:space="preserve"> </w:t>
      </w:r>
      <w:hyperlink r:id="rId1" w:history="1">
        <w:r w:rsidRPr="0069255F">
          <w:rPr>
            <w:rStyle w:val="Hyperlink"/>
            <w:rFonts w:ascii="Arial Narrow" w:hAnsi="Arial Narrow"/>
            <w:sz w:val="18"/>
            <w:szCs w:val="18"/>
          </w:rPr>
          <w:t>https://pbac.pbs.gov.au/section-3b/3b-2-estimation-of-equi-effective-doses.html</w:t>
        </w:r>
      </w:hyperlink>
      <w:r w:rsidRPr="0069255F">
        <w:rPr>
          <w:rFonts w:ascii="Arial Narrow" w:hAnsi="Arial Narrow"/>
          <w:sz w:val="18"/>
          <w:szCs w:val="18"/>
        </w:rPr>
        <w:t xml:space="preserve"> </w:t>
      </w:r>
    </w:p>
  </w:footnote>
  <w:footnote w:id="2">
    <w:p w:rsidR="00CE0F34" w:rsidRPr="00522D0F" w:rsidRDefault="00CE0F34">
      <w:pPr>
        <w:pStyle w:val="FootnoteText"/>
        <w:rPr>
          <w:rFonts w:ascii="Arial Narrow" w:hAnsi="Arial Narrow"/>
          <w:sz w:val="18"/>
          <w:szCs w:val="18"/>
        </w:rPr>
      </w:pPr>
      <w:r w:rsidRPr="00522D0F">
        <w:rPr>
          <w:rStyle w:val="FootnoteReference"/>
          <w:rFonts w:ascii="Arial Narrow" w:hAnsi="Arial Narrow"/>
          <w:sz w:val="18"/>
          <w:szCs w:val="18"/>
        </w:rPr>
        <w:footnoteRef/>
      </w:r>
      <w:r w:rsidRPr="00522D0F">
        <w:rPr>
          <w:rFonts w:ascii="Arial Narrow" w:hAnsi="Arial Narrow"/>
          <w:sz w:val="18"/>
          <w:szCs w:val="18"/>
        </w:rPr>
        <w:t xml:space="preserve"> Si</w:t>
      </w:r>
      <w:r>
        <w:rPr>
          <w:rFonts w:ascii="Arial Narrow" w:hAnsi="Arial Narrow"/>
          <w:sz w:val="18"/>
          <w:szCs w:val="18"/>
        </w:rPr>
        <w:t>nce FA received a positive recommendation at the March 2020 PBAC meeting, the effective price of DEX is known by the Sponsor.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CE0F34" w:rsidRPr="008E0D90" w:rsidTr="00A06225">
      <w:trPr>
        <w:trHeight w:val="151"/>
      </w:trPr>
      <w:tc>
        <w:tcPr>
          <w:tcW w:w="2389" w:type="pct"/>
          <w:tcBorders>
            <w:top w:val="nil"/>
            <w:left w:val="nil"/>
            <w:bottom w:val="single" w:sz="4" w:space="0" w:color="4F81BD"/>
            <w:right w:val="nil"/>
          </w:tcBorders>
        </w:tcPr>
        <w:p w:rsidR="00CE0F34" w:rsidRPr="00A06225" w:rsidRDefault="00CE0F34">
          <w:pPr>
            <w:pStyle w:val="Header"/>
            <w:spacing w:line="276" w:lineRule="auto"/>
            <w:rPr>
              <w:rFonts w:ascii="Cambria" w:eastAsia="MS Gothic" w:hAnsi="Cambria"/>
              <w:b/>
              <w:bCs/>
              <w:color w:val="4F81BD"/>
            </w:rPr>
          </w:pPr>
        </w:p>
      </w:tc>
      <w:tc>
        <w:tcPr>
          <w:tcW w:w="333" w:type="pct"/>
          <w:vMerge w:val="restart"/>
          <w:noWrap/>
          <w:vAlign w:val="center"/>
          <w:hideMark/>
        </w:tcPr>
        <w:p w:rsidR="00CE0F34" w:rsidRPr="00A06225" w:rsidRDefault="00CE0F3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E0F34" w:rsidRPr="00A06225" w:rsidRDefault="00CE0F34">
          <w:pPr>
            <w:pStyle w:val="Header"/>
            <w:spacing w:line="276" w:lineRule="auto"/>
            <w:rPr>
              <w:rFonts w:ascii="Cambria" w:eastAsia="MS Gothic" w:hAnsi="Cambria"/>
              <w:b/>
              <w:bCs/>
              <w:color w:val="4F81BD"/>
            </w:rPr>
          </w:pPr>
        </w:p>
      </w:tc>
    </w:tr>
    <w:tr w:rsidR="00CE0F34" w:rsidRPr="008E0D90" w:rsidTr="00A06225">
      <w:trPr>
        <w:trHeight w:val="150"/>
      </w:trPr>
      <w:tc>
        <w:tcPr>
          <w:tcW w:w="2389" w:type="pct"/>
          <w:tcBorders>
            <w:top w:val="single" w:sz="4" w:space="0" w:color="4F81BD"/>
            <w:left w:val="nil"/>
            <w:bottom w:val="nil"/>
            <w:right w:val="nil"/>
          </w:tcBorders>
        </w:tcPr>
        <w:p w:rsidR="00CE0F34" w:rsidRPr="00A06225" w:rsidRDefault="00CE0F34">
          <w:pPr>
            <w:pStyle w:val="Header"/>
            <w:spacing w:line="276" w:lineRule="auto"/>
            <w:rPr>
              <w:rFonts w:ascii="Cambria" w:eastAsia="MS Gothic" w:hAnsi="Cambria"/>
              <w:b/>
              <w:bCs/>
              <w:color w:val="4F81BD"/>
            </w:rPr>
          </w:pPr>
        </w:p>
      </w:tc>
      <w:tc>
        <w:tcPr>
          <w:tcW w:w="0" w:type="auto"/>
          <w:vMerge/>
          <w:vAlign w:val="center"/>
          <w:hideMark/>
        </w:tcPr>
        <w:p w:rsidR="00CE0F34" w:rsidRPr="00A06225" w:rsidRDefault="00CE0F34">
          <w:pPr>
            <w:rPr>
              <w:rFonts w:ascii="Cambria" w:hAnsi="Cambria"/>
              <w:color w:val="4F81BD"/>
              <w:sz w:val="22"/>
              <w:szCs w:val="22"/>
            </w:rPr>
          </w:pPr>
        </w:p>
      </w:tc>
      <w:tc>
        <w:tcPr>
          <w:tcW w:w="2278" w:type="pct"/>
          <w:tcBorders>
            <w:top w:val="single" w:sz="4" w:space="0" w:color="4F81BD"/>
            <w:left w:val="nil"/>
            <w:bottom w:val="nil"/>
            <w:right w:val="nil"/>
          </w:tcBorders>
        </w:tcPr>
        <w:p w:rsidR="00CE0F34" w:rsidRPr="00A06225" w:rsidRDefault="00CE0F34">
          <w:pPr>
            <w:pStyle w:val="Header"/>
            <w:spacing w:line="276" w:lineRule="auto"/>
            <w:rPr>
              <w:rFonts w:ascii="Cambria" w:eastAsia="MS Gothic" w:hAnsi="Cambria"/>
              <w:b/>
              <w:bCs/>
              <w:color w:val="4F81BD"/>
            </w:rPr>
          </w:pPr>
        </w:p>
      </w:tc>
    </w:tr>
  </w:tbl>
  <w:p w:rsidR="00CE0F34" w:rsidRDefault="00CE0F34">
    <w:pPr>
      <w:pStyle w:val="Header"/>
    </w:pPr>
  </w:p>
  <w:p w:rsidR="00CE0F34" w:rsidRDefault="00CE0F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34" w:rsidRPr="00490A1C" w:rsidRDefault="00CE51C1" w:rsidP="00490A1C">
    <w:pPr>
      <w:pStyle w:val="Header"/>
      <w:ind w:left="360"/>
      <w:rPr>
        <w:rFonts w:asciiTheme="minorHAnsi" w:hAnsiTheme="minorHAnsi" w:cs="Arial"/>
        <w:i/>
      </w:rPr>
    </w:pPr>
    <w:r>
      <w:rPr>
        <w:rFonts w:asciiTheme="minorHAnsi" w:hAnsiTheme="minorHAnsi" w:cs="Arial"/>
        <w:i/>
      </w:rPr>
      <w:t>Public Summary Document</w:t>
    </w:r>
    <w:r w:rsidR="00CE0F34" w:rsidRPr="00490A1C">
      <w:rPr>
        <w:rFonts w:asciiTheme="minorHAnsi" w:hAnsiTheme="minorHAnsi" w:cs="Arial"/>
        <w:i/>
      </w:rPr>
      <w:t xml:space="preserve"> – </w:t>
    </w:r>
    <w:r w:rsidR="00CE0F34">
      <w:rPr>
        <w:rFonts w:asciiTheme="minorHAnsi" w:hAnsiTheme="minorHAnsi" w:cs="Arial"/>
        <w:i/>
      </w:rPr>
      <w:t>November 2020</w:t>
    </w:r>
    <w:r w:rsidR="00CE0F34" w:rsidRPr="00490A1C">
      <w:rPr>
        <w:rFonts w:asciiTheme="minorHAnsi" w:hAnsiTheme="minorHAnsi" w:cs="Arial"/>
        <w:i/>
      </w:rPr>
      <w:t xml:space="preserve"> PBAC Meeting</w:t>
    </w:r>
  </w:p>
  <w:p w:rsidR="00CE0F34" w:rsidRDefault="00CE0F34"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87" w:rsidRDefault="00321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53F11"/>
    <w:multiLevelType w:val="multilevel"/>
    <w:tmpl w:val="31DE9C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E55641E"/>
    <w:multiLevelType w:val="hybridMultilevel"/>
    <w:tmpl w:val="62F4C8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36238"/>
    <w:multiLevelType w:val="hybridMultilevel"/>
    <w:tmpl w:val="B94C20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D47DC"/>
    <w:multiLevelType w:val="hybridMultilevel"/>
    <w:tmpl w:val="2424D2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F50FFE"/>
    <w:multiLevelType w:val="hybridMultilevel"/>
    <w:tmpl w:val="9154D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8B5CC3"/>
    <w:multiLevelType w:val="hybridMultilevel"/>
    <w:tmpl w:val="CC4E687C"/>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E331F"/>
    <w:multiLevelType w:val="hybridMultilevel"/>
    <w:tmpl w:val="BCEACDBA"/>
    <w:lvl w:ilvl="0" w:tplc="E6A83D22">
      <w:start w:val="1"/>
      <w:numFmt w:val="bullet"/>
      <w:lvlText w:val="•"/>
      <w:lvlJc w:val="left"/>
      <w:pPr>
        <w:tabs>
          <w:tab w:val="num" w:pos="720"/>
        </w:tabs>
        <w:ind w:left="720" w:hanging="360"/>
      </w:pPr>
      <w:rPr>
        <w:rFonts w:ascii="Arial" w:hAnsi="Arial" w:hint="default"/>
      </w:rPr>
    </w:lvl>
    <w:lvl w:ilvl="1" w:tplc="BA1C3DE0">
      <w:start w:val="183"/>
      <w:numFmt w:val="bullet"/>
      <w:lvlText w:val="•"/>
      <w:lvlJc w:val="left"/>
      <w:pPr>
        <w:tabs>
          <w:tab w:val="num" w:pos="1440"/>
        </w:tabs>
        <w:ind w:left="1440" w:hanging="360"/>
      </w:pPr>
      <w:rPr>
        <w:rFonts w:ascii="Arial" w:hAnsi="Arial" w:hint="default"/>
      </w:rPr>
    </w:lvl>
    <w:lvl w:ilvl="2" w:tplc="2258FFA0" w:tentative="1">
      <w:start w:val="1"/>
      <w:numFmt w:val="bullet"/>
      <w:lvlText w:val="•"/>
      <w:lvlJc w:val="left"/>
      <w:pPr>
        <w:tabs>
          <w:tab w:val="num" w:pos="2160"/>
        </w:tabs>
        <w:ind w:left="2160" w:hanging="360"/>
      </w:pPr>
      <w:rPr>
        <w:rFonts w:ascii="Arial" w:hAnsi="Arial" w:hint="default"/>
      </w:rPr>
    </w:lvl>
    <w:lvl w:ilvl="3" w:tplc="52307756" w:tentative="1">
      <w:start w:val="1"/>
      <w:numFmt w:val="bullet"/>
      <w:lvlText w:val="•"/>
      <w:lvlJc w:val="left"/>
      <w:pPr>
        <w:tabs>
          <w:tab w:val="num" w:pos="2880"/>
        </w:tabs>
        <w:ind w:left="2880" w:hanging="360"/>
      </w:pPr>
      <w:rPr>
        <w:rFonts w:ascii="Arial" w:hAnsi="Arial" w:hint="default"/>
      </w:rPr>
    </w:lvl>
    <w:lvl w:ilvl="4" w:tplc="AC084C6C" w:tentative="1">
      <w:start w:val="1"/>
      <w:numFmt w:val="bullet"/>
      <w:lvlText w:val="•"/>
      <w:lvlJc w:val="left"/>
      <w:pPr>
        <w:tabs>
          <w:tab w:val="num" w:pos="3600"/>
        </w:tabs>
        <w:ind w:left="3600" w:hanging="360"/>
      </w:pPr>
      <w:rPr>
        <w:rFonts w:ascii="Arial" w:hAnsi="Arial" w:hint="default"/>
      </w:rPr>
    </w:lvl>
    <w:lvl w:ilvl="5" w:tplc="54F4A93C" w:tentative="1">
      <w:start w:val="1"/>
      <w:numFmt w:val="bullet"/>
      <w:lvlText w:val="•"/>
      <w:lvlJc w:val="left"/>
      <w:pPr>
        <w:tabs>
          <w:tab w:val="num" w:pos="4320"/>
        </w:tabs>
        <w:ind w:left="4320" w:hanging="360"/>
      </w:pPr>
      <w:rPr>
        <w:rFonts w:ascii="Arial" w:hAnsi="Arial" w:hint="default"/>
      </w:rPr>
    </w:lvl>
    <w:lvl w:ilvl="6" w:tplc="FB6ACC92" w:tentative="1">
      <w:start w:val="1"/>
      <w:numFmt w:val="bullet"/>
      <w:lvlText w:val="•"/>
      <w:lvlJc w:val="left"/>
      <w:pPr>
        <w:tabs>
          <w:tab w:val="num" w:pos="5040"/>
        </w:tabs>
        <w:ind w:left="5040" w:hanging="360"/>
      </w:pPr>
      <w:rPr>
        <w:rFonts w:ascii="Arial" w:hAnsi="Arial" w:hint="default"/>
      </w:rPr>
    </w:lvl>
    <w:lvl w:ilvl="7" w:tplc="B53C3F7C" w:tentative="1">
      <w:start w:val="1"/>
      <w:numFmt w:val="bullet"/>
      <w:lvlText w:val="•"/>
      <w:lvlJc w:val="left"/>
      <w:pPr>
        <w:tabs>
          <w:tab w:val="num" w:pos="5760"/>
        </w:tabs>
        <w:ind w:left="5760" w:hanging="360"/>
      </w:pPr>
      <w:rPr>
        <w:rFonts w:ascii="Arial" w:hAnsi="Arial" w:hint="default"/>
      </w:rPr>
    </w:lvl>
    <w:lvl w:ilvl="8" w:tplc="07360B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7" w15:restartNumberingAfterBreak="0">
    <w:nsid w:val="409F546F"/>
    <w:multiLevelType w:val="hybridMultilevel"/>
    <w:tmpl w:val="BDD2A2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933D41"/>
    <w:multiLevelType w:val="hybridMultilevel"/>
    <w:tmpl w:val="743CC5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575A44"/>
    <w:multiLevelType w:val="hybridMultilevel"/>
    <w:tmpl w:val="64A80B64"/>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751B4D2B"/>
    <w:multiLevelType w:val="hybridMultilevel"/>
    <w:tmpl w:val="7B4201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5EC1DDC"/>
    <w:multiLevelType w:val="hybridMultilevel"/>
    <w:tmpl w:val="4DE48DF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66377CF"/>
    <w:multiLevelType w:val="multilevel"/>
    <w:tmpl w:val="185E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D033C"/>
    <w:multiLevelType w:val="multilevel"/>
    <w:tmpl w:val="5D4218E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4FD635F0"/>
    <w:lvl w:ilvl="0" w:tplc="971A31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5"/>
  </w:num>
  <w:num w:numId="4">
    <w:abstractNumId w:val="20"/>
  </w:num>
  <w:num w:numId="5">
    <w:abstractNumId w:val="16"/>
  </w:num>
  <w:num w:numId="6">
    <w:abstractNumId w:val="1"/>
  </w:num>
  <w:num w:numId="7">
    <w:abstractNumId w:val="26"/>
  </w:num>
  <w:num w:numId="8">
    <w:abstractNumId w:val="25"/>
  </w:num>
  <w:num w:numId="9">
    <w:abstractNumId w:val="19"/>
  </w:num>
  <w:num w:numId="10">
    <w:abstractNumId w:val="10"/>
  </w:num>
  <w:num w:numId="11">
    <w:abstractNumId w:val="11"/>
  </w:num>
  <w:num w:numId="12">
    <w:abstractNumId w:val="7"/>
  </w:num>
  <w:num w:numId="13">
    <w:abstractNumId w:val="23"/>
  </w:num>
  <w:num w:numId="14">
    <w:abstractNumId w:val="17"/>
  </w:num>
  <w:num w:numId="15">
    <w:abstractNumId w:val="5"/>
  </w:num>
  <w:num w:numId="16">
    <w:abstractNumId w:val="6"/>
  </w:num>
  <w:num w:numId="17">
    <w:abstractNumId w:val="12"/>
  </w:num>
  <w:num w:numId="18">
    <w:abstractNumId w:val="24"/>
  </w:num>
  <w:num w:numId="19">
    <w:abstractNumId w:val="13"/>
  </w:num>
  <w:num w:numId="20">
    <w:abstractNumId w:val="3"/>
  </w:num>
  <w:num w:numId="21">
    <w:abstractNumId w:val="21"/>
  </w:num>
  <w:num w:numId="22">
    <w:abstractNumId w:val="18"/>
  </w:num>
  <w:num w:numId="23">
    <w:abstractNumId w:val="4"/>
  </w:num>
  <w:num w:numId="24">
    <w:abstractNumId w:val="2"/>
  </w:num>
  <w:num w:numId="25">
    <w:abstractNumId w:val="9"/>
  </w:num>
  <w:num w:numId="26">
    <w:abstractNumId w:val="14"/>
  </w:num>
  <w:num w:numId="27">
    <w:abstractNumId w:val="8"/>
  </w:num>
  <w:num w:numId="28">
    <w:abstractNumId w:val="15"/>
  </w:num>
  <w:num w:numId="29">
    <w:abstractNumId w:val="22"/>
  </w:num>
  <w:num w:numId="30">
    <w:abstractNumId w:val="25"/>
  </w:num>
  <w:num w:numId="31">
    <w:abstractNumId w:val="25"/>
  </w:num>
  <w:num w:numId="32">
    <w:abstractNumId w:val="25"/>
  </w:num>
  <w:num w:numId="33">
    <w:abstractNumId w:val="25"/>
  </w:num>
  <w:num w:numId="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23D9"/>
    <w:rsid w:val="00016111"/>
    <w:rsid w:val="00016A41"/>
    <w:rsid w:val="00017238"/>
    <w:rsid w:val="000202CA"/>
    <w:rsid w:val="00020EC8"/>
    <w:rsid w:val="000214D1"/>
    <w:rsid w:val="0002208C"/>
    <w:rsid w:val="0002241E"/>
    <w:rsid w:val="0002464A"/>
    <w:rsid w:val="000246A0"/>
    <w:rsid w:val="00027ED4"/>
    <w:rsid w:val="0003106B"/>
    <w:rsid w:val="000325B9"/>
    <w:rsid w:val="00034905"/>
    <w:rsid w:val="0003597E"/>
    <w:rsid w:val="000421A1"/>
    <w:rsid w:val="0004240E"/>
    <w:rsid w:val="0004400C"/>
    <w:rsid w:val="00045E26"/>
    <w:rsid w:val="00047059"/>
    <w:rsid w:val="000514B5"/>
    <w:rsid w:val="00057249"/>
    <w:rsid w:val="000607B1"/>
    <w:rsid w:val="00060A35"/>
    <w:rsid w:val="00060E64"/>
    <w:rsid w:val="00066755"/>
    <w:rsid w:val="00072037"/>
    <w:rsid w:val="0007231F"/>
    <w:rsid w:val="00072625"/>
    <w:rsid w:val="00074386"/>
    <w:rsid w:val="00075479"/>
    <w:rsid w:val="000763D5"/>
    <w:rsid w:val="00077143"/>
    <w:rsid w:val="00082169"/>
    <w:rsid w:val="00083866"/>
    <w:rsid w:val="00085927"/>
    <w:rsid w:val="000918CB"/>
    <w:rsid w:val="00091B06"/>
    <w:rsid w:val="000936CC"/>
    <w:rsid w:val="000951C4"/>
    <w:rsid w:val="00095ADA"/>
    <w:rsid w:val="000969AD"/>
    <w:rsid w:val="000A0464"/>
    <w:rsid w:val="000A3AA2"/>
    <w:rsid w:val="000A44B2"/>
    <w:rsid w:val="000A4C1B"/>
    <w:rsid w:val="000A52F6"/>
    <w:rsid w:val="000B2893"/>
    <w:rsid w:val="000B44C3"/>
    <w:rsid w:val="000B558D"/>
    <w:rsid w:val="000B5B57"/>
    <w:rsid w:val="000C3D99"/>
    <w:rsid w:val="000C5F95"/>
    <w:rsid w:val="000C6996"/>
    <w:rsid w:val="000D09E9"/>
    <w:rsid w:val="000D113F"/>
    <w:rsid w:val="000D23BA"/>
    <w:rsid w:val="000D5BA0"/>
    <w:rsid w:val="000D6B2B"/>
    <w:rsid w:val="000D6B83"/>
    <w:rsid w:val="000E05D9"/>
    <w:rsid w:val="000E18E2"/>
    <w:rsid w:val="000E2099"/>
    <w:rsid w:val="000E5370"/>
    <w:rsid w:val="000E5EA1"/>
    <w:rsid w:val="000E681E"/>
    <w:rsid w:val="000F0003"/>
    <w:rsid w:val="000F17DE"/>
    <w:rsid w:val="000F3384"/>
    <w:rsid w:val="000F3F7F"/>
    <w:rsid w:val="000F4E6A"/>
    <w:rsid w:val="000F7354"/>
    <w:rsid w:val="00101ABE"/>
    <w:rsid w:val="00102202"/>
    <w:rsid w:val="00102CCB"/>
    <w:rsid w:val="00104227"/>
    <w:rsid w:val="001071EA"/>
    <w:rsid w:val="001107BF"/>
    <w:rsid w:val="00113649"/>
    <w:rsid w:val="0012417C"/>
    <w:rsid w:val="0012749D"/>
    <w:rsid w:val="001274BC"/>
    <w:rsid w:val="001316B7"/>
    <w:rsid w:val="00142395"/>
    <w:rsid w:val="00142714"/>
    <w:rsid w:val="001452ED"/>
    <w:rsid w:val="00147D84"/>
    <w:rsid w:val="001549C1"/>
    <w:rsid w:val="0015618E"/>
    <w:rsid w:val="001577AD"/>
    <w:rsid w:val="0016028B"/>
    <w:rsid w:val="00162A92"/>
    <w:rsid w:val="00162BDD"/>
    <w:rsid w:val="00162D4E"/>
    <w:rsid w:val="00163329"/>
    <w:rsid w:val="001633D6"/>
    <w:rsid w:val="00164623"/>
    <w:rsid w:val="001652DE"/>
    <w:rsid w:val="00165B64"/>
    <w:rsid w:val="0016613D"/>
    <w:rsid w:val="001738D2"/>
    <w:rsid w:val="00173FF4"/>
    <w:rsid w:val="00180713"/>
    <w:rsid w:val="00180720"/>
    <w:rsid w:val="00181DC0"/>
    <w:rsid w:val="001830CE"/>
    <w:rsid w:val="0018643B"/>
    <w:rsid w:val="00190497"/>
    <w:rsid w:val="00191CD1"/>
    <w:rsid w:val="00193A42"/>
    <w:rsid w:val="00194507"/>
    <w:rsid w:val="0019451C"/>
    <w:rsid w:val="00196307"/>
    <w:rsid w:val="00197057"/>
    <w:rsid w:val="001A062E"/>
    <w:rsid w:val="001A33EA"/>
    <w:rsid w:val="001A4C4F"/>
    <w:rsid w:val="001A76FB"/>
    <w:rsid w:val="001B017F"/>
    <w:rsid w:val="001B066B"/>
    <w:rsid w:val="001B2BBC"/>
    <w:rsid w:val="001B3A40"/>
    <w:rsid w:val="001B3FB8"/>
    <w:rsid w:val="001B3FFE"/>
    <w:rsid w:val="001B5129"/>
    <w:rsid w:val="001C0B4C"/>
    <w:rsid w:val="001C0BC1"/>
    <w:rsid w:val="001C1195"/>
    <w:rsid w:val="001C2D37"/>
    <w:rsid w:val="001C2E42"/>
    <w:rsid w:val="001C3D16"/>
    <w:rsid w:val="001C51E9"/>
    <w:rsid w:val="001C7E2A"/>
    <w:rsid w:val="001D1B3E"/>
    <w:rsid w:val="001D1F5F"/>
    <w:rsid w:val="001D5429"/>
    <w:rsid w:val="001E06D2"/>
    <w:rsid w:val="001E0DE8"/>
    <w:rsid w:val="001E1947"/>
    <w:rsid w:val="001E42CB"/>
    <w:rsid w:val="001E61B2"/>
    <w:rsid w:val="001F005B"/>
    <w:rsid w:val="001F1850"/>
    <w:rsid w:val="001F3189"/>
    <w:rsid w:val="001F3956"/>
    <w:rsid w:val="001F43C3"/>
    <w:rsid w:val="001F6B65"/>
    <w:rsid w:val="002021EE"/>
    <w:rsid w:val="00203FAC"/>
    <w:rsid w:val="00212688"/>
    <w:rsid w:val="00212E99"/>
    <w:rsid w:val="00213CFB"/>
    <w:rsid w:val="002154C6"/>
    <w:rsid w:val="0021553C"/>
    <w:rsid w:val="0021557B"/>
    <w:rsid w:val="002174FD"/>
    <w:rsid w:val="00217BE1"/>
    <w:rsid w:val="002203F3"/>
    <w:rsid w:val="002220EC"/>
    <w:rsid w:val="002221BD"/>
    <w:rsid w:val="00223E27"/>
    <w:rsid w:val="00224674"/>
    <w:rsid w:val="00231656"/>
    <w:rsid w:val="00232CB7"/>
    <w:rsid w:val="00234252"/>
    <w:rsid w:val="00237AC6"/>
    <w:rsid w:val="00244490"/>
    <w:rsid w:val="00245B9C"/>
    <w:rsid w:val="0024683F"/>
    <w:rsid w:val="0025142E"/>
    <w:rsid w:val="00253499"/>
    <w:rsid w:val="00254342"/>
    <w:rsid w:val="0025462E"/>
    <w:rsid w:val="002551A4"/>
    <w:rsid w:val="002572B7"/>
    <w:rsid w:val="00257664"/>
    <w:rsid w:val="0026031F"/>
    <w:rsid w:val="0026042F"/>
    <w:rsid w:val="002617C0"/>
    <w:rsid w:val="00262641"/>
    <w:rsid w:val="00263164"/>
    <w:rsid w:val="00265151"/>
    <w:rsid w:val="00266509"/>
    <w:rsid w:val="00270447"/>
    <w:rsid w:val="00271BA1"/>
    <w:rsid w:val="002741C6"/>
    <w:rsid w:val="002762FA"/>
    <w:rsid w:val="00277505"/>
    <w:rsid w:val="002823B6"/>
    <w:rsid w:val="002827BA"/>
    <w:rsid w:val="002922E2"/>
    <w:rsid w:val="002923A7"/>
    <w:rsid w:val="00292512"/>
    <w:rsid w:val="00292D43"/>
    <w:rsid w:val="002934F2"/>
    <w:rsid w:val="00293A0B"/>
    <w:rsid w:val="0029420B"/>
    <w:rsid w:val="00294274"/>
    <w:rsid w:val="0029458F"/>
    <w:rsid w:val="002974C7"/>
    <w:rsid w:val="002A0E04"/>
    <w:rsid w:val="002A104C"/>
    <w:rsid w:val="002A1EF7"/>
    <w:rsid w:val="002A494D"/>
    <w:rsid w:val="002A4960"/>
    <w:rsid w:val="002A4D13"/>
    <w:rsid w:val="002A4DB8"/>
    <w:rsid w:val="002B0AE0"/>
    <w:rsid w:val="002B0FDE"/>
    <w:rsid w:val="002B1322"/>
    <w:rsid w:val="002B1AE6"/>
    <w:rsid w:val="002B1D51"/>
    <w:rsid w:val="002B2DE8"/>
    <w:rsid w:val="002B30F8"/>
    <w:rsid w:val="002B388A"/>
    <w:rsid w:val="002B43EA"/>
    <w:rsid w:val="002B5596"/>
    <w:rsid w:val="002B7E82"/>
    <w:rsid w:val="002C0D15"/>
    <w:rsid w:val="002C212F"/>
    <w:rsid w:val="002C5843"/>
    <w:rsid w:val="002C65B5"/>
    <w:rsid w:val="002C7485"/>
    <w:rsid w:val="002D1BBB"/>
    <w:rsid w:val="002D2484"/>
    <w:rsid w:val="002D283A"/>
    <w:rsid w:val="002D2C82"/>
    <w:rsid w:val="002D4543"/>
    <w:rsid w:val="002E1E4D"/>
    <w:rsid w:val="002E3153"/>
    <w:rsid w:val="002E4B46"/>
    <w:rsid w:val="002E5292"/>
    <w:rsid w:val="002E72CA"/>
    <w:rsid w:val="002F0A66"/>
    <w:rsid w:val="002F18F8"/>
    <w:rsid w:val="002F3C4D"/>
    <w:rsid w:val="002F4756"/>
    <w:rsid w:val="002F4B01"/>
    <w:rsid w:val="002F4E49"/>
    <w:rsid w:val="002F600D"/>
    <w:rsid w:val="00300AD6"/>
    <w:rsid w:val="00300B1B"/>
    <w:rsid w:val="003019D0"/>
    <w:rsid w:val="003064AF"/>
    <w:rsid w:val="00310B68"/>
    <w:rsid w:val="00310EDD"/>
    <w:rsid w:val="0031578F"/>
    <w:rsid w:val="00316B19"/>
    <w:rsid w:val="00317C6C"/>
    <w:rsid w:val="00320CD3"/>
    <w:rsid w:val="00320E84"/>
    <w:rsid w:val="00321E87"/>
    <w:rsid w:val="00323F6F"/>
    <w:rsid w:val="003264F5"/>
    <w:rsid w:val="00326E79"/>
    <w:rsid w:val="003301B1"/>
    <w:rsid w:val="00331189"/>
    <w:rsid w:val="0033263D"/>
    <w:rsid w:val="00333F98"/>
    <w:rsid w:val="0033518A"/>
    <w:rsid w:val="0033593D"/>
    <w:rsid w:val="003367EF"/>
    <w:rsid w:val="00341690"/>
    <w:rsid w:val="00341AE4"/>
    <w:rsid w:val="00344283"/>
    <w:rsid w:val="00344D3D"/>
    <w:rsid w:val="003476EE"/>
    <w:rsid w:val="003502F4"/>
    <w:rsid w:val="003534AD"/>
    <w:rsid w:val="003541DD"/>
    <w:rsid w:val="00355004"/>
    <w:rsid w:val="003568A8"/>
    <w:rsid w:val="00356E5B"/>
    <w:rsid w:val="00357276"/>
    <w:rsid w:val="00357E73"/>
    <w:rsid w:val="003633E0"/>
    <w:rsid w:val="00367038"/>
    <w:rsid w:val="003736C9"/>
    <w:rsid w:val="0037529D"/>
    <w:rsid w:val="00375A0A"/>
    <w:rsid w:val="00384988"/>
    <w:rsid w:val="003872CF"/>
    <w:rsid w:val="0039434C"/>
    <w:rsid w:val="00394953"/>
    <w:rsid w:val="0039782C"/>
    <w:rsid w:val="003A4FF6"/>
    <w:rsid w:val="003A5B4A"/>
    <w:rsid w:val="003A5D95"/>
    <w:rsid w:val="003B23C5"/>
    <w:rsid w:val="003B2A75"/>
    <w:rsid w:val="003B5570"/>
    <w:rsid w:val="003B6124"/>
    <w:rsid w:val="003C093A"/>
    <w:rsid w:val="003C1A97"/>
    <w:rsid w:val="003C1ECF"/>
    <w:rsid w:val="003C27DD"/>
    <w:rsid w:val="003C2FB5"/>
    <w:rsid w:val="003C3BDD"/>
    <w:rsid w:val="003D17AF"/>
    <w:rsid w:val="003D24C5"/>
    <w:rsid w:val="003D4AC4"/>
    <w:rsid w:val="003D63B7"/>
    <w:rsid w:val="003D74C5"/>
    <w:rsid w:val="003E386B"/>
    <w:rsid w:val="003E468B"/>
    <w:rsid w:val="003E62BD"/>
    <w:rsid w:val="003F063F"/>
    <w:rsid w:val="003F0C3A"/>
    <w:rsid w:val="003F10E1"/>
    <w:rsid w:val="003F3228"/>
    <w:rsid w:val="003F5C8C"/>
    <w:rsid w:val="003F63CE"/>
    <w:rsid w:val="003F775A"/>
    <w:rsid w:val="00400E55"/>
    <w:rsid w:val="00401259"/>
    <w:rsid w:val="0040128E"/>
    <w:rsid w:val="0040216B"/>
    <w:rsid w:val="00411D50"/>
    <w:rsid w:val="00414A5F"/>
    <w:rsid w:val="004154F2"/>
    <w:rsid w:val="0042001A"/>
    <w:rsid w:val="00422420"/>
    <w:rsid w:val="00424752"/>
    <w:rsid w:val="00424B4D"/>
    <w:rsid w:val="004252EC"/>
    <w:rsid w:val="00430D39"/>
    <w:rsid w:val="00436FFA"/>
    <w:rsid w:val="00441B10"/>
    <w:rsid w:val="00442B4A"/>
    <w:rsid w:val="00442E10"/>
    <w:rsid w:val="00442FD0"/>
    <w:rsid w:val="0044410B"/>
    <w:rsid w:val="00445C69"/>
    <w:rsid w:val="004465BD"/>
    <w:rsid w:val="00446938"/>
    <w:rsid w:val="00447601"/>
    <w:rsid w:val="004514EA"/>
    <w:rsid w:val="00461A44"/>
    <w:rsid w:val="00466ADA"/>
    <w:rsid w:val="004702BB"/>
    <w:rsid w:val="00471DC2"/>
    <w:rsid w:val="0047494B"/>
    <w:rsid w:val="004757F5"/>
    <w:rsid w:val="00476245"/>
    <w:rsid w:val="00477A9B"/>
    <w:rsid w:val="00483035"/>
    <w:rsid w:val="004843E9"/>
    <w:rsid w:val="00485940"/>
    <w:rsid w:val="004904B9"/>
    <w:rsid w:val="00490A1C"/>
    <w:rsid w:val="004961B4"/>
    <w:rsid w:val="004962EB"/>
    <w:rsid w:val="00496662"/>
    <w:rsid w:val="00496AAB"/>
    <w:rsid w:val="004A0397"/>
    <w:rsid w:val="004A2484"/>
    <w:rsid w:val="004A5A85"/>
    <w:rsid w:val="004A71D1"/>
    <w:rsid w:val="004A7C5B"/>
    <w:rsid w:val="004B1845"/>
    <w:rsid w:val="004B2E74"/>
    <w:rsid w:val="004B2E98"/>
    <w:rsid w:val="004B2FC5"/>
    <w:rsid w:val="004B4339"/>
    <w:rsid w:val="004B5640"/>
    <w:rsid w:val="004C03D0"/>
    <w:rsid w:val="004C1BD7"/>
    <w:rsid w:val="004C31FE"/>
    <w:rsid w:val="004C3B61"/>
    <w:rsid w:val="004C524C"/>
    <w:rsid w:val="004C574D"/>
    <w:rsid w:val="004C5FFA"/>
    <w:rsid w:val="004C691D"/>
    <w:rsid w:val="004C6C07"/>
    <w:rsid w:val="004D3D48"/>
    <w:rsid w:val="004D4FF6"/>
    <w:rsid w:val="004E0009"/>
    <w:rsid w:val="004E3018"/>
    <w:rsid w:val="004E3BF7"/>
    <w:rsid w:val="004E60FA"/>
    <w:rsid w:val="004E692D"/>
    <w:rsid w:val="004E7D87"/>
    <w:rsid w:val="004F2553"/>
    <w:rsid w:val="004F341A"/>
    <w:rsid w:val="004F3FDA"/>
    <w:rsid w:val="004F5C88"/>
    <w:rsid w:val="004F6C96"/>
    <w:rsid w:val="00501554"/>
    <w:rsid w:val="005021BF"/>
    <w:rsid w:val="00502AFE"/>
    <w:rsid w:val="00503AD7"/>
    <w:rsid w:val="00504E0C"/>
    <w:rsid w:val="0050774C"/>
    <w:rsid w:val="00507DAC"/>
    <w:rsid w:val="005109D4"/>
    <w:rsid w:val="00511E2F"/>
    <w:rsid w:val="00513316"/>
    <w:rsid w:val="00513462"/>
    <w:rsid w:val="00514CD7"/>
    <w:rsid w:val="00515EA9"/>
    <w:rsid w:val="00520D6A"/>
    <w:rsid w:val="00521C77"/>
    <w:rsid w:val="00522D0F"/>
    <w:rsid w:val="00522DB6"/>
    <w:rsid w:val="0052792D"/>
    <w:rsid w:val="005315A9"/>
    <w:rsid w:val="005316B1"/>
    <w:rsid w:val="005319B2"/>
    <w:rsid w:val="00532402"/>
    <w:rsid w:val="00532C74"/>
    <w:rsid w:val="00534E2E"/>
    <w:rsid w:val="00536F8B"/>
    <w:rsid w:val="00544552"/>
    <w:rsid w:val="00545130"/>
    <w:rsid w:val="00547E95"/>
    <w:rsid w:val="0055286A"/>
    <w:rsid w:val="00555745"/>
    <w:rsid w:val="00556341"/>
    <w:rsid w:val="00557D4F"/>
    <w:rsid w:val="00561E86"/>
    <w:rsid w:val="005626F6"/>
    <w:rsid w:val="0056484E"/>
    <w:rsid w:val="005747B4"/>
    <w:rsid w:val="00575414"/>
    <w:rsid w:val="005764CD"/>
    <w:rsid w:val="00577C4D"/>
    <w:rsid w:val="00580532"/>
    <w:rsid w:val="00581932"/>
    <w:rsid w:val="00582851"/>
    <w:rsid w:val="00583EA3"/>
    <w:rsid w:val="00584F15"/>
    <w:rsid w:val="005854EF"/>
    <w:rsid w:val="005860F3"/>
    <w:rsid w:val="00591D03"/>
    <w:rsid w:val="0059516F"/>
    <w:rsid w:val="005963BB"/>
    <w:rsid w:val="005A3173"/>
    <w:rsid w:val="005A3223"/>
    <w:rsid w:val="005A3DA3"/>
    <w:rsid w:val="005A52C4"/>
    <w:rsid w:val="005A7E97"/>
    <w:rsid w:val="005C4F73"/>
    <w:rsid w:val="005C76F9"/>
    <w:rsid w:val="005C7CF2"/>
    <w:rsid w:val="005D03AB"/>
    <w:rsid w:val="005D0D1F"/>
    <w:rsid w:val="005D4ECB"/>
    <w:rsid w:val="005D5017"/>
    <w:rsid w:val="005D63FA"/>
    <w:rsid w:val="005D7518"/>
    <w:rsid w:val="005E0D82"/>
    <w:rsid w:val="005E1333"/>
    <w:rsid w:val="005E3136"/>
    <w:rsid w:val="005E507D"/>
    <w:rsid w:val="005F2FA0"/>
    <w:rsid w:val="005F7F02"/>
    <w:rsid w:val="00601A91"/>
    <w:rsid w:val="00602BA3"/>
    <w:rsid w:val="006032E0"/>
    <w:rsid w:val="00605B63"/>
    <w:rsid w:val="00605F9A"/>
    <w:rsid w:val="00606EED"/>
    <w:rsid w:val="006079E8"/>
    <w:rsid w:val="00612E34"/>
    <w:rsid w:val="00614159"/>
    <w:rsid w:val="00614CE0"/>
    <w:rsid w:val="0061520B"/>
    <w:rsid w:val="00616C5F"/>
    <w:rsid w:val="00616DAC"/>
    <w:rsid w:val="00617C00"/>
    <w:rsid w:val="00621C5F"/>
    <w:rsid w:val="00623430"/>
    <w:rsid w:val="006250D0"/>
    <w:rsid w:val="006263BF"/>
    <w:rsid w:val="0062748A"/>
    <w:rsid w:val="00630A2C"/>
    <w:rsid w:val="006361C7"/>
    <w:rsid w:val="0063682E"/>
    <w:rsid w:val="006405EA"/>
    <w:rsid w:val="00642DA8"/>
    <w:rsid w:val="006436CD"/>
    <w:rsid w:val="006438B6"/>
    <w:rsid w:val="006449BA"/>
    <w:rsid w:val="006463E2"/>
    <w:rsid w:val="00651169"/>
    <w:rsid w:val="00653D69"/>
    <w:rsid w:val="006552E6"/>
    <w:rsid w:val="00655794"/>
    <w:rsid w:val="00657C63"/>
    <w:rsid w:val="006670BE"/>
    <w:rsid w:val="00670A76"/>
    <w:rsid w:val="006711AA"/>
    <w:rsid w:val="006721E7"/>
    <w:rsid w:val="00672B57"/>
    <w:rsid w:val="00672F1E"/>
    <w:rsid w:val="00673F1F"/>
    <w:rsid w:val="00675622"/>
    <w:rsid w:val="0067747D"/>
    <w:rsid w:val="00681529"/>
    <w:rsid w:val="006818D5"/>
    <w:rsid w:val="00681CA4"/>
    <w:rsid w:val="006864E6"/>
    <w:rsid w:val="0069039D"/>
    <w:rsid w:val="006906DB"/>
    <w:rsid w:val="00691726"/>
    <w:rsid w:val="00691E6C"/>
    <w:rsid w:val="0069255F"/>
    <w:rsid w:val="00693DFB"/>
    <w:rsid w:val="0069501D"/>
    <w:rsid w:val="006958BB"/>
    <w:rsid w:val="00696129"/>
    <w:rsid w:val="00697CF2"/>
    <w:rsid w:val="006A0D4A"/>
    <w:rsid w:val="006A12A5"/>
    <w:rsid w:val="006A5E20"/>
    <w:rsid w:val="006B0D94"/>
    <w:rsid w:val="006B485D"/>
    <w:rsid w:val="006B7385"/>
    <w:rsid w:val="006B7C47"/>
    <w:rsid w:val="006C27A2"/>
    <w:rsid w:val="006C334C"/>
    <w:rsid w:val="006C46F6"/>
    <w:rsid w:val="006C64FC"/>
    <w:rsid w:val="006C6ED0"/>
    <w:rsid w:val="006C708E"/>
    <w:rsid w:val="006D14E7"/>
    <w:rsid w:val="006D1813"/>
    <w:rsid w:val="006D188B"/>
    <w:rsid w:val="006D4444"/>
    <w:rsid w:val="006D6493"/>
    <w:rsid w:val="006D6EC7"/>
    <w:rsid w:val="006D7837"/>
    <w:rsid w:val="006E1BCD"/>
    <w:rsid w:val="006E4D36"/>
    <w:rsid w:val="006F0A71"/>
    <w:rsid w:val="006F15BD"/>
    <w:rsid w:val="006F40C2"/>
    <w:rsid w:val="006F4265"/>
    <w:rsid w:val="006F5125"/>
    <w:rsid w:val="006F5840"/>
    <w:rsid w:val="006F733D"/>
    <w:rsid w:val="00702B6F"/>
    <w:rsid w:val="00702FB3"/>
    <w:rsid w:val="00706A2F"/>
    <w:rsid w:val="0070718E"/>
    <w:rsid w:val="00710259"/>
    <w:rsid w:val="0071031F"/>
    <w:rsid w:val="007109FC"/>
    <w:rsid w:val="007114D9"/>
    <w:rsid w:val="0071340B"/>
    <w:rsid w:val="00715BBB"/>
    <w:rsid w:val="007174BB"/>
    <w:rsid w:val="0072025D"/>
    <w:rsid w:val="00721B0E"/>
    <w:rsid w:val="00726443"/>
    <w:rsid w:val="007275F5"/>
    <w:rsid w:val="00730995"/>
    <w:rsid w:val="007309BF"/>
    <w:rsid w:val="0073137C"/>
    <w:rsid w:val="007353D3"/>
    <w:rsid w:val="007366BC"/>
    <w:rsid w:val="0074156B"/>
    <w:rsid w:val="00747092"/>
    <w:rsid w:val="0074760F"/>
    <w:rsid w:val="00752724"/>
    <w:rsid w:val="00754381"/>
    <w:rsid w:val="007555E8"/>
    <w:rsid w:val="007624DD"/>
    <w:rsid w:val="00762820"/>
    <w:rsid w:val="0076420C"/>
    <w:rsid w:val="00764CC2"/>
    <w:rsid w:val="00766191"/>
    <w:rsid w:val="00771D07"/>
    <w:rsid w:val="00771DA4"/>
    <w:rsid w:val="00773BE3"/>
    <w:rsid w:val="007743DD"/>
    <w:rsid w:val="00774E2C"/>
    <w:rsid w:val="007753C2"/>
    <w:rsid w:val="00777B0C"/>
    <w:rsid w:val="007803E6"/>
    <w:rsid w:val="00782A85"/>
    <w:rsid w:val="007838B8"/>
    <w:rsid w:val="00784070"/>
    <w:rsid w:val="00785320"/>
    <w:rsid w:val="007915BA"/>
    <w:rsid w:val="00794C1B"/>
    <w:rsid w:val="007A1914"/>
    <w:rsid w:val="007A47FD"/>
    <w:rsid w:val="007A49A5"/>
    <w:rsid w:val="007B387F"/>
    <w:rsid w:val="007B39A5"/>
    <w:rsid w:val="007B3DDC"/>
    <w:rsid w:val="007B6BE7"/>
    <w:rsid w:val="007B72A6"/>
    <w:rsid w:val="007B74DC"/>
    <w:rsid w:val="007C0F57"/>
    <w:rsid w:val="007C126E"/>
    <w:rsid w:val="007C40B6"/>
    <w:rsid w:val="007C729F"/>
    <w:rsid w:val="007D503D"/>
    <w:rsid w:val="007D50E8"/>
    <w:rsid w:val="007D6AAD"/>
    <w:rsid w:val="007E1D28"/>
    <w:rsid w:val="007E2D14"/>
    <w:rsid w:val="007F0021"/>
    <w:rsid w:val="007F1945"/>
    <w:rsid w:val="007F2641"/>
    <w:rsid w:val="007F35CE"/>
    <w:rsid w:val="007F7C36"/>
    <w:rsid w:val="00804EA0"/>
    <w:rsid w:val="00806796"/>
    <w:rsid w:val="00811293"/>
    <w:rsid w:val="00811338"/>
    <w:rsid w:val="00811CC0"/>
    <w:rsid w:val="0081342F"/>
    <w:rsid w:val="008151D6"/>
    <w:rsid w:val="008179EF"/>
    <w:rsid w:val="00821527"/>
    <w:rsid w:val="00824DF6"/>
    <w:rsid w:val="008252E9"/>
    <w:rsid w:val="008268BB"/>
    <w:rsid w:val="00826F6D"/>
    <w:rsid w:val="008306F3"/>
    <w:rsid w:val="00830E40"/>
    <w:rsid w:val="008325C1"/>
    <w:rsid w:val="00832CAE"/>
    <w:rsid w:val="00835454"/>
    <w:rsid w:val="00835C62"/>
    <w:rsid w:val="00846056"/>
    <w:rsid w:val="00846586"/>
    <w:rsid w:val="00847EC0"/>
    <w:rsid w:val="00850AD7"/>
    <w:rsid w:val="0085208A"/>
    <w:rsid w:val="00853EE4"/>
    <w:rsid w:val="00854B42"/>
    <w:rsid w:val="00855FD6"/>
    <w:rsid w:val="00856082"/>
    <w:rsid w:val="00856DDD"/>
    <w:rsid w:val="008619CB"/>
    <w:rsid w:val="00863E68"/>
    <w:rsid w:val="008647B5"/>
    <w:rsid w:val="0086491F"/>
    <w:rsid w:val="00867D5F"/>
    <w:rsid w:val="00870AEB"/>
    <w:rsid w:val="00871FE3"/>
    <w:rsid w:val="00874225"/>
    <w:rsid w:val="00874C95"/>
    <w:rsid w:val="00874F93"/>
    <w:rsid w:val="00875DCB"/>
    <w:rsid w:val="00880042"/>
    <w:rsid w:val="00881629"/>
    <w:rsid w:val="00882085"/>
    <w:rsid w:val="00883188"/>
    <w:rsid w:val="008857EA"/>
    <w:rsid w:val="00890192"/>
    <w:rsid w:val="00897D58"/>
    <w:rsid w:val="00897F22"/>
    <w:rsid w:val="008A0B39"/>
    <w:rsid w:val="008A1956"/>
    <w:rsid w:val="008A3C89"/>
    <w:rsid w:val="008A4181"/>
    <w:rsid w:val="008A4937"/>
    <w:rsid w:val="008A495D"/>
    <w:rsid w:val="008A50F1"/>
    <w:rsid w:val="008A59D9"/>
    <w:rsid w:val="008A6819"/>
    <w:rsid w:val="008B0417"/>
    <w:rsid w:val="008B0EF6"/>
    <w:rsid w:val="008B2BED"/>
    <w:rsid w:val="008B2EC0"/>
    <w:rsid w:val="008B74A3"/>
    <w:rsid w:val="008C3B37"/>
    <w:rsid w:val="008C57FE"/>
    <w:rsid w:val="008D080B"/>
    <w:rsid w:val="008D1B5C"/>
    <w:rsid w:val="008D3C82"/>
    <w:rsid w:val="008D447E"/>
    <w:rsid w:val="008D7A41"/>
    <w:rsid w:val="008E1F4E"/>
    <w:rsid w:val="008E1F83"/>
    <w:rsid w:val="008E2C72"/>
    <w:rsid w:val="008E3680"/>
    <w:rsid w:val="008E5870"/>
    <w:rsid w:val="008E681E"/>
    <w:rsid w:val="008F0213"/>
    <w:rsid w:val="008F1434"/>
    <w:rsid w:val="008F54C3"/>
    <w:rsid w:val="008F5CB2"/>
    <w:rsid w:val="008F7355"/>
    <w:rsid w:val="0090235E"/>
    <w:rsid w:val="009023DC"/>
    <w:rsid w:val="009027C5"/>
    <w:rsid w:val="00904591"/>
    <w:rsid w:val="009067B7"/>
    <w:rsid w:val="00906FFB"/>
    <w:rsid w:val="00910AC5"/>
    <w:rsid w:val="00912C95"/>
    <w:rsid w:val="00917023"/>
    <w:rsid w:val="00917D69"/>
    <w:rsid w:val="0092075C"/>
    <w:rsid w:val="00921841"/>
    <w:rsid w:val="0092525D"/>
    <w:rsid w:val="00926560"/>
    <w:rsid w:val="0092736C"/>
    <w:rsid w:val="00930937"/>
    <w:rsid w:val="009324A6"/>
    <w:rsid w:val="00933797"/>
    <w:rsid w:val="00933E6C"/>
    <w:rsid w:val="00934EA3"/>
    <w:rsid w:val="00934EED"/>
    <w:rsid w:val="00936DA0"/>
    <w:rsid w:val="00937958"/>
    <w:rsid w:val="009400EE"/>
    <w:rsid w:val="00941602"/>
    <w:rsid w:val="00942160"/>
    <w:rsid w:val="009503C3"/>
    <w:rsid w:val="00950D07"/>
    <w:rsid w:val="0095146F"/>
    <w:rsid w:val="00955036"/>
    <w:rsid w:val="009550A0"/>
    <w:rsid w:val="0095518C"/>
    <w:rsid w:val="00957944"/>
    <w:rsid w:val="0096004E"/>
    <w:rsid w:val="009602C5"/>
    <w:rsid w:val="0096037D"/>
    <w:rsid w:val="00961921"/>
    <w:rsid w:val="00962223"/>
    <w:rsid w:val="00966D0D"/>
    <w:rsid w:val="0096783C"/>
    <w:rsid w:val="0097097E"/>
    <w:rsid w:val="009722B3"/>
    <w:rsid w:val="009723B9"/>
    <w:rsid w:val="00974C21"/>
    <w:rsid w:val="00975948"/>
    <w:rsid w:val="00976644"/>
    <w:rsid w:val="00976711"/>
    <w:rsid w:val="00976980"/>
    <w:rsid w:val="00977BF3"/>
    <w:rsid w:val="00977E1A"/>
    <w:rsid w:val="00980251"/>
    <w:rsid w:val="009803E4"/>
    <w:rsid w:val="00980B0E"/>
    <w:rsid w:val="00983219"/>
    <w:rsid w:val="009836A3"/>
    <w:rsid w:val="009855A8"/>
    <w:rsid w:val="00986DC1"/>
    <w:rsid w:val="00987767"/>
    <w:rsid w:val="009913F4"/>
    <w:rsid w:val="0099465B"/>
    <w:rsid w:val="009A0CDD"/>
    <w:rsid w:val="009A3168"/>
    <w:rsid w:val="009A3627"/>
    <w:rsid w:val="009A61CA"/>
    <w:rsid w:val="009B0C64"/>
    <w:rsid w:val="009B0F67"/>
    <w:rsid w:val="009B139B"/>
    <w:rsid w:val="009B4B10"/>
    <w:rsid w:val="009B61B5"/>
    <w:rsid w:val="009B69FA"/>
    <w:rsid w:val="009C0CBF"/>
    <w:rsid w:val="009C703C"/>
    <w:rsid w:val="009C70E2"/>
    <w:rsid w:val="009D1478"/>
    <w:rsid w:val="009D206E"/>
    <w:rsid w:val="009D3CAA"/>
    <w:rsid w:val="009D6532"/>
    <w:rsid w:val="009E2E8E"/>
    <w:rsid w:val="009E40E1"/>
    <w:rsid w:val="009F0EFA"/>
    <w:rsid w:val="009F4E46"/>
    <w:rsid w:val="009F4E5E"/>
    <w:rsid w:val="009F56FF"/>
    <w:rsid w:val="009F5B65"/>
    <w:rsid w:val="009F5F2E"/>
    <w:rsid w:val="00A01432"/>
    <w:rsid w:val="00A017F7"/>
    <w:rsid w:val="00A06225"/>
    <w:rsid w:val="00A07CEA"/>
    <w:rsid w:val="00A11C96"/>
    <w:rsid w:val="00A127B2"/>
    <w:rsid w:val="00A128E6"/>
    <w:rsid w:val="00A144D3"/>
    <w:rsid w:val="00A15ED1"/>
    <w:rsid w:val="00A16940"/>
    <w:rsid w:val="00A22AC3"/>
    <w:rsid w:val="00A23F3F"/>
    <w:rsid w:val="00A24067"/>
    <w:rsid w:val="00A24CF9"/>
    <w:rsid w:val="00A25AA4"/>
    <w:rsid w:val="00A2744D"/>
    <w:rsid w:val="00A34E6C"/>
    <w:rsid w:val="00A36398"/>
    <w:rsid w:val="00A36BCB"/>
    <w:rsid w:val="00A37C8D"/>
    <w:rsid w:val="00A4020E"/>
    <w:rsid w:val="00A40B03"/>
    <w:rsid w:val="00A40FB5"/>
    <w:rsid w:val="00A42826"/>
    <w:rsid w:val="00A429B3"/>
    <w:rsid w:val="00A471D3"/>
    <w:rsid w:val="00A510E4"/>
    <w:rsid w:val="00A5273B"/>
    <w:rsid w:val="00A528FD"/>
    <w:rsid w:val="00A52E1C"/>
    <w:rsid w:val="00A53A9D"/>
    <w:rsid w:val="00A55FEE"/>
    <w:rsid w:val="00A57422"/>
    <w:rsid w:val="00A60AF2"/>
    <w:rsid w:val="00A62C1A"/>
    <w:rsid w:val="00A630B9"/>
    <w:rsid w:val="00A634C9"/>
    <w:rsid w:val="00A6426D"/>
    <w:rsid w:val="00A64FA6"/>
    <w:rsid w:val="00A650EE"/>
    <w:rsid w:val="00A659D1"/>
    <w:rsid w:val="00A665C1"/>
    <w:rsid w:val="00A673A4"/>
    <w:rsid w:val="00A70622"/>
    <w:rsid w:val="00A70977"/>
    <w:rsid w:val="00A70D58"/>
    <w:rsid w:val="00A744F9"/>
    <w:rsid w:val="00A76561"/>
    <w:rsid w:val="00A77613"/>
    <w:rsid w:val="00A81851"/>
    <w:rsid w:val="00A8390C"/>
    <w:rsid w:val="00A86AE0"/>
    <w:rsid w:val="00A87462"/>
    <w:rsid w:val="00A87486"/>
    <w:rsid w:val="00A87650"/>
    <w:rsid w:val="00A90743"/>
    <w:rsid w:val="00A928BD"/>
    <w:rsid w:val="00A9489E"/>
    <w:rsid w:val="00A952E1"/>
    <w:rsid w:val="00A96EDB"/>
    <w:rsid w:val="00A97DE9"/>
    <w:rsid w:val="00AA12CD"/>
    <w:rsid w:val="00AA2E28"/>
    <w:rsid w:val="00AA481F"/>
    <w:rsid w:val="00AA4882"/>
    <w:rsid w:val="00AA4D1C"/>
    <w:rsid w:val="00AA52FD"/>
    <w:rsid w:val="00AB2170"/>
    <w:rsid w:val="00AB5856"/>
    <w:rsid w:val="00AC193C"/>
    <w:rsid w:val="00AC4DE5"/>
    <w:rsid w:val="00AC5206"/>
    <w:rsid w:val="00AC5D34"/>
    <w:rsid w:val="00AD0C6B"/>
    <w:rsid w:val="00AD4322"/>
    <w:rsid w:val="00AD670D"/>
    <w:rsid w:val="00AE11A5"/>
    <w:rsid w:val="00AE13E2"/>
    <w:rsid w:val="00AE22D3"/>
    <w:rsid w:val="00AE5A49"/>
    <w:rsid w:val="00AF0F3B"/>
    <w:rsid w:val="00AF62DF"/>
    <w:rsid w:val="00AF68CC"/>
    <w:rsid w:val="00AF70D7"/>
    <w:rsid w:val="00AF7EA7"/>
    <w:rsid w:val="00B03EDB"/>
    <w:rsid w:val="00B04FE1"/>
    <w:rsid w:val="00B06478"/>
    <w:rsid w:val="00B07CFB"/>
    <w:rsid w:val="00B1059E"/>
    <w:rsid w:val="00B11AA6"/>
    <w:rsid w:val="00B14F08"/>
    <w:rsid w:val="00B16273"/>
    <w:rsid w:val="00B170A5"/>
    <w:rsid w:val="00B1752C"/>
    <w:rsid w:val="00B176C8"/>
    <w:rsid w:val="00B17EE5"/>
    <w:rsid w:val="00B205AA"/>
    <w:rsid w:val="00B22E84"/>
    <w:rsid w:val="00B233AD"/>
    <w:rsid w:val="00B23E25"/>
    <w:rsid w:val="00B25D72"/>
    <w:rsid w:val="00B25F75"/>
    <w:rsid w:val="00B26B3F"/>
    <w:rsid w:val="00B2778F"/>
    <w:rsid w:val="00B305D0"/>
    <w:rsid w:val="00B33635"/>
    <w:rsid w:val="00B42202"/>
    <w:rsid w:val="00B42AF4"/>
    <w:rsid w:val="00B43E90"/>
    <w:rsid w:val="00B44E43"/>
    <w:rsid w:val="00B467DC"/>
    <w:rsid w:val="00B5403B"/>
    <w:rsid w:val="00B56118"/>
    <w:rsid w:val="00B56A4D"/>
    <w:rsid w:val="00B57668"/>
    <w:rsid w:val="00B66395"/>
    <w:rsid w:val="00B67318"/>
    <w:rsid w:val="00B6773F"/>
    <w:rsid w:val="00B70EB3"/>
    <w:rsid w:val="00B743E5"/>
    <w:rsid w:val="00B7525E"/>
    <w:rsid w:val="00B75EFD"/>
    <w:rsid w:val="00B760FB"/>
    <w:rsid w:val="00B767AB"/>
    <w:rsid w:val="00B772D0"/>
    <w:rsid w:val="00B801BA"/>
    <w:rsid w:val="00B84D5C"/>
    <w:rsid w:val="00B90E28"/>
    <w:rsid w:val="00B91183"/>
    <w:rsid w:val="00B923BE"/>
    <w:rsid w:val="00B93FCF"/>
    <w:rsid w:val="00B9714E"/>
    <w:rsid w:val="00BA2DA8"/>
    <w:rsid w:val="00BA347C"/>
    <w:rsid w:val="00BA759F"/>
    <w:rsid w:val="00BA7D10"/>
    <w:rsid w:val="00BB147B"/>
    <w:rsid w:val="00BB5C49"/>
    <w:rsid w:val="00BB69F5"/>
    <w:rsid w:val="00BB7A1B"/>
    <w:rsid w:val="00BB7EC3"/>
    <w:rsid w:val="00BC13B4"/>
    <w:rsid w:val="00BC1D8D"/>
    <w:rsid w:val="00BC2AC0"/>
    <w:rsid w:val="00BC4228"/>
    <w:rsid w:val="00BC4B9A"/>
    <w:rsid w:val="00BC5B1F"/>
    <w:rsid w:val="00BD02C3"/>
    <w:rsid w:val="00BD7483"/>
    <w:rsid w:val="00BD784C"/>
    <w:rsid w:val="00BE020A"/>
    <w:rsid w:val="00BE13DF"/>
    <w:rsid w:val="00BE5AB3"/>
    <w:rsid w:val="00BF092C"/>
    <w:rsid w:val="00BF13DB"/>
    <w:rsid w:val="00BF27A0"/>
    <w:rsid w:val="00BF37FD"/>
    <w:rsid w:val="00BF4438"/>
    <w:rsid w:val="00BF4CB6"/>
    <w:rsid w:val="00C00DA7"/>
    <w:rsid w:val="00C01E68"/>
    <w:rsid w:val="00C0386B"/>
    <w:rsid w:val="00C04CDE"/>
    <w:rsid w:val="00C07423"/>
    <w:rsid w:val="00C11700"/>
    <w:rsid w:val="00C117FE"/>
    <w:rsid w:val="00C12768"/>
    <w:rsid w:val="00C12D70"/>
    <w:rsid w:val="00C13D8B"/>
    <w:rsid w:val="00C150D7"/>
    <w:rsid w:val="00C200DB"/>
    <w:rsid w:val="00C21B09"/>
    <w:rsid w:val="00C24115"/>
    <w:rsid w:val="00C24307"/>
    <w:rsid w:val="00C2673A"/>
    <w:rsid w:val="00C27B58"/>
    <w:rsid w:val="00C31054"/>
    <w:rsid w:val="00C32888"/>
    <w:rsid w:val="00C34A0D"/>
    <w:rsid w:val="00C35996"/>
    <w:rsid w:val="00C440B7"/>
    <w:rsid w:val="00C44E92"/>
    <w:rsid w:val="00C472FB"/>
    <w:rsid w:val="00C4747E"/>
    <w:rsid w:val="00C5151E"/>
    <w:rsid w:val="00C532BE"/>
    <w:rsid w:val="00C5342C"/>
    <w:rsid w:val="00C534C5"/>
    <w:rsid w:val="00C53B2B"/>
    <w:rsid w:val="00C5669B"/>
    <w:rsid w:val="00C60272"/>
    <w:rsid w:val="00C603D4"/>
    <w:rsid w:val="00C62211"/>
    <w:rsid w:val="00C6256A"/>
    <w:rsid w:val="00C710E2"/>
    <w:rsid w:val="00C71C3F"/>
    <w:rsid w:val="00C731FD"/>
    <w:rsid w:val="00C7409E"/>
    <w:rsid w:val="00C7492D"/>
    <w:rsid w:val="00C74D6D"/>
    <w:rsid w:val="00C75992"/>
    <w:rsid w:val="00C76E76"/>
    <w:rsid w:val="00C774DA"/>
    <w:rsid w:val="00C77891"/>
    <w:rsid w:val="00C821BE"/>
    <w:rsid w:val="00C83409"/>
    <w:rsid w:val="00C909F9"/>
    <w:rsid w:val="00C91449"/>
    <w:rsid w:val="00C92D10"/>
    <w:rsid w:val="00C92E47"/>
    <w:rsid w:val="00C94A2C"/>
    <w:rsid w:val="00C9607F"/>
    <w:rsid w:val="00CA48D9"/>
    <w:rsid w:val="00CB1193"/>
    <w:rsid w:val="00CB36C2"/>
    <w:rsid w:val="00CB4767"/>
    <w:rsid w:val="00CB493D"/>
    <w:rsid w:val="00CC096C"/>
    <w:rsid w:val="00CC3B97"/>
    <w:rsid w:val="00CC3F69"/>
    <w:rsid w:val="00CC4B99"/>
    <w:rsid w:val="00CD0CE8"/>
    <w:rsid w:val="00CD31FA"/>
    <w:rsid w:val="00CE0F34"/>
    <w:rsid w:val="00CE10C4"/>
    <w:rsid w:val="00CE21DE"/>
    <w:rsid w:val="00CE27B5"/>
    <w:rsid w:val="00CE51C1"/>
    <w:rsid w:val="00CE6DAF"/>
    <w:rsid w:val="00CF410A"/>
    <w:rsid w:val="00CF4294"/>
    <w:rsid w:val="00D0152C"/>
    <w:rsid w:val="00D0321E"/>
    <w:rsid w:val="00D04C29"/>
    <w:rsid w:val="00D05AAD"/>
    <w:rsid w:val="00D07A8A"/>
    <w:rsid w:val="00D11409"/>
    <w:rsid w:val="00D1455A"/>
    <w:rsid w:val="00D17B21"/>
    <w:rsid w:val="00D17B64"/>
    <w:rsid w:val="00D22093"/>
    <w:rsid w:val="00D24AF0"/>
    <w:rsid w:val="00D30689"/>
    <w:rsid w:val="00D31150"/>
    <w:rsid w:val="00D3138B"/>
    <w:rsid w:val="00D31E5D"/>
    <w:rsid w:val="00D3280C"/>
    <w:rsid w:val="00D3406A"/>
    <w:rsid w:val="00D366F0"/>
    <w:rsid w:val="00D37027"/>
    <w:rsid w:val="00D40B11"/>
    <w:rsid w:val="00D40CA9"/>
    <w:rsid w:val="00D4209C"/>
    <w:rsid w:val="00D441F1"/>
    <w:rsid w:val="00D4551A"/>
    <w:rsid w:val="00D4572C"/>
    <w:rsid w:val="00D469B2"/>
    <w:rsid w:val="00D51C04"/>
    <w:rsid w:val="00D54B09"/>
    <w:rsid w:val="00D602BB"/>
    <w:rsid w:val="00D65658"/>
    <w:rsid w:val="00D66FA0"/>
    <w:rsid w:val="00D70326"/>
    <w:rsid w:val="00D72B6F"/>
    <w:rsid w:val="00D730D7"/>
    <w:rsid w:val="00D741EB"/>
    <w:rsid w:val="00D75824"/>
    <w:rsid w:val="00D7679C"/>
    <w:rsid w:val="00D76EA9"/>
    <w:rsid w:val="00D815D3"/>
    <w:rsid w:val="00D820F3"/>
    <w:rsid w:val="00D83605"/>
    <w:rsid w:val="00D83BA0"/>
    <w:rsid w:val="00D84451"/>
    <w:rsid w:val="00D84934"/>
    <w:rsid w:val="00D906CB"/>
    <w:rsid w:val="00D91271"/>
    <w:rsid w:val="00D919F5"/>
    <w:rsid w:val="00D94F03"/>
    <w:rsid w:val="00DA0A82"/>
    <w:rsid w:val="00DA0D14"/>
    <w:rsid w:val="00DA1FC9"/>
    <w:rsid w:val="00DA2CB5"/>
    <w:rsid w:val="00DA35E9"/>
    <w:rsid w:val="00DA3F04"/>
    <w:rsid w:val="00DA4BAC"/>
    <w:rsid w:val="00DA5C04"/>
    <w:rsid w:val="00DA735D"/>
    <w:rsid w:val="00DB0151"/>
    <w:rsid w:val="00DB2618"/>
    <w:rsid w:val="00DC2339"/>
    <w:rsid w:val="00DC2C3E"/>
    <w:rsid w:val="00DC4880"/>
    <w:rsid w:val="00DC5022"/>
    <w:rsid w:val="00DC5572"/>
    <w:rsid w:val="00DC5F7C"/>
    <w:rsid w:val="00DE1471"/>
    <w:rsid w:val="00DE1685"/>
    <w:rsid w:val="00DE455A"/>
    <w:rsid w:val="00DE6D27"/>
    <w:rsid w:val="00DE70D1"/>
    <w:rsid w:val="00DF01F8"/>
    <w:rsid w:val="00DF1EA9"/>
    <w:rsid w:val="00DF217D"/>
    <w:rsid w:val="00DF26A7"/>
    <w:rsid w:val="00DF3277"/>
    <w:rsid w:val="00DF7919"/>
    <w:rsid w:val="00E01A62"/>
    <w:rsid w:val="00E0207E"/>
    <w:rsid w:val="00E03912"/>
    <w:rsid w:val="00E078D9"/>
    <w:rsid w:val="00E10293"/>
    <w:rsid w:val="00E12017"/>
    <w:rsid w:val="00E132B3"/>
    <w:rsid w:val="00E15627"/>
    <w:rsid w:val="00E164B3"/>
    <w:rsid w:val="00E16910"/>
    <w:rsid w:val="00E22427"/>
    <w:rsid w:val="00E22B29"/>
    <w:rsid w:val="00E24375"/>
    <w:rsid w:val="00E24E09"/>
    <w:rsid w:val="00E27234"/>
    <w:rsid w:val="00E33090"/>
    <w:rsid w:val="00E3495C"/>
    <w:rsid w:val="00E35AD4"/>
    <w:rsid w:val="00E40BFB"/>
    <w:rsid w:val="00E42BDB"/>
    <w:rsid w:val="00E545A9"/>
    <w:rsid w:val="00E54D3A"/>
    <w:rsid w:val="00E56142"/>
    <w:rsid w:val="00E56632"/>
    <w:rsid w:val="00E57E2E"/>
    <w:rsid w:val="00E57EEB"/>
    <w:rsid w:val="00E604A6"/>
    <w:rsid w:val="00E62903"/>
    <w:rsid w:val="00E62CFD"/>
    <w:rsid w:val="00E62D94"/>
    <w:rsid w:val="00E64F37"/>
    <w:rsid w:val="00E65E54"/>
    <w:rsid w:val="00E661C7"/>
    <w:rsid w:val="00E67CF6"/>
    <w:rsid w:val="00E70362"/>
    <w:rsid w:val="00E72316"/>
    <w:rsid w:val="00E72E35"/>
    <w:rsid w:val="00E733BF"/>
    <w:rsid w:val="00E75660"/>
    <w:rsid w:val="00E777E1"/>
    <w:rsid w:val="00E80155"/>
    <w:rsid w:val="00E8134B"/>
    <w:rsid w:val="00E81E0D"/>
    <w:rsid w:val="00E81F28"/>
    <w:rsid w:val="00E843E2"/>
    <w:rsid w:val="00E848C0"/>
    <w:rsid w:val="00E85D98"/>
    <w:rsid w:val="00E86843"/>
    <w:rsid w:val="00E91B96"/>
    <w:rsid w:val="00E93D1E"/>
    <w:rsid w:val="00E93E87"/>
    <w:rsid w:val="00E941A1"/>
    <w:rsid w:val="00E95477"/>
    <w:rsid w:val="00E95CE3"/>
    <w:rsid w:val="00EA252F"/>
    <w:rsid w:val="00EA2825"/>
    <w:rsid w:val="00EA4B43"/>
    <w:rsid w:val="00EA6518"/>
    <w:rsid w:val="00EA7466"/>
    <w:rsid w:val="00EA7EDE"/>
    <w:rsid w:val="00EB0B63"/>
    <w:rsid w:val="00EB1936"/>
    <w:rsid w:val="00EB37BE"/>
    <w:rsid w:val="00EB4492"/>
    <w:rsid w:val="00EB5088"/>
    <w:rsid w:val="00EC467A"/>
    <w:rsid w:val="00ED1644"/>
    <w:rsid w:val="00ED2593"/>
    <w:rsid w:val="00ED271D"/>
    <w:rsid w:val="00ED6E32"/>
    <w:rsid w:val="00ED7D55"/>
    <w:rsid w:val="00ED7D9C"/>
    <w:rsid w:val="00EE0BD5"/>
    <w:rsid w:val="00EE1777"/>
    <w:rsid w:val="00EE31A2"/>
    <w:rsid w:val="00EE4F2A"/>
    <w:rsid w:val="00EF0069"/>
    <w:rsid w:val="00EF1236"/>
    <w:rsid w:val="00EF4428"/>
    <w:rsid w:val="00EF44A0"/>
    <w:rsid w:val="00EF4FED"/>
    <w:rsid w:val="00EF6FB3"/>
    <w:rsid w:val="00EF7998"/>
    <w:rsid w:val="00F007C6"/>
    <w:rsid w:val="00F0172E"/>
    <w:rsid w:val="00F050BD"/>
    <w:rsid w:val="00F05657"/>
    <w:rsid w:val="00F05BD1"/>
    <w:rsid w:val="00F17E88"/>
    <w:rsid w:val="00F17ED6"/>
    <w:rsid w:val="00F209E2"/>
    <w:rsid w:val="00F22FC3"/>
    <w:rsid w:val="00F24278"/>
    <w:rsid w:val="00F25578"/>
    <w:rsid w:val="00F258E5"/>
    <w:rsid w:val="00F25B9C"/>
    <w:rsid w:val="00F26CC6"/>
    <w:rsid w:val="00F300BC"/>
    <w:rsid w:val="00F30762"/>
    <w:rsid w:val="00F3263C"/>
    <w:rsid w:val="00F327C9"/>
    <w:rsid w:val="00F3334E"/>
    <w:rsid w:val="00F34345"/>
    <w:rsid w:val="00F359C2"/>
    <w:rsid w:val="00F35F11"/>
    <w:rsid w:val="00F36CCB"/>
    <w:rsid w:val="00F374E5"/>
    <w:rsid w:val="00F37B93"/>
    <w:rsid w:val="00F37BAD"/>
    <w:rsid w:val="00F37ECA"/>
    <w:rsid w:val="00F41A35"/>
    <w:rsid w:val="00F41B91"/>
    <w:rsid w:val="00F43AF2"/>
    <w:rsid w:val="00F46488"/>
    <w:rsid w:val="00F5007E"/>
    <w:rsid w:val="00F50EC4"/>
    <w:rsid w:val="00F52232"/>
    <w:rsid w:val="00F550CF"/>
    <w:rsid w:val="00F57A6D"/>
    <w:rsid w:val="00F57A81"/>
    <w:rsid w:val="00F57D70"/>
    <w:rsid w:val="00F60B58"/>
    <w:rsid w:val="00F638CC"/>
    <w:rsid w:val="00F64C9E"/>
    <w:rsid w:val="00F64CC1"/>
    <w:rsid w:val="00F65B5C"/>
    <w:rsid w:val="00F668E7"/>
    <w:rsid w:val="00F66D2C"/>
    <w:rsid w:val="00F72317"/>
    <w:rsid w:val="00F740BE"/>
    <w:rsid w:val="00F7649B"/>
    <w:rsid w:val="00F77729"/>
    <w:rsid w:val="00F80475"/>
    <w:rsid w:val="00F8247A"/>
    <w:rsid w:val="00F82E5C"/>
    <w:rsid w:val="00F86AE9"/>
    <w:rsid w:val="00F9629A"/>
    <w:rsid w:val="00F97EFC"/>
    <w:rsid w:val="00FA1BDD"/>
    <w:rsid w:val="00FA305C"/>
    <w:rsid w:val="00FA4DD5"/>
    <w:rsid w:val="00FA5883"/>
    <w:rsid w:val="00FA6055"/>
    <w:rsid w:val="00FA7FE0"/>
    <w:rsid w:val="00FB0B39"/>
    <w:rsid w:val="00FB322F"/>
    <w:rsid w:val="00FB442F"/>
    <w:rsid w:val="00FC118C"/>
    <w:rsid w:val="00FC1929"/>
    <w:rsid w:val="00FC4026"/>
    <w:rsid w:val="00FC5035"/>
    <w:rsid w:val="00FC5B46"/>
    <w:rsid w:val="00FD6D8E"/>
    <w:rsid w:val="00FE0663"/>
    <w:rsid w:val="00FE0E94"/>
    <w:rsid w:val="00FE1E82"/>
    <w:rsid w:val="00FE3B56"/>
    <w:rsid w:val="00FE3CD9"/>
    <w:rsid w:val="00FE5120"/>
    <w:rsid w:val="00FF00BD"/>
    <w:rsid w:val="00FF1ED4"/>
    <w:rsid w:val="00FF2801"/>
    <w:rsid w:val="00FF4A8E"/>
    <w:rsid w:val="00FF4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A8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7D50E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2923A7"/>
    <w:rPr>
      <w:rFonts w:ascii="Calibri" w:hAnsi="Calibri"/>
      <w:sz w:val="24"/>
      <w:szCs w:val="24"/>
    </w:rPr>
  </w:style>
  <w:style w:type="paragraph" w:styleId="FootnoteText">
    <w:name w:val="footnote text"/>
    <w:basedOn w:val="Normal"/>
    <w:link w:val="FootnoteTextChar"/>
    <w:semiHidden/>
    <w:unhideWhenUsed/>
    <w:rsid w:val="0031578F"/>
    <w:rPr>
      <w:sz w:val="20"/>
      <w:szCs w:val="20"/>
    </w:rPr>
  </w:style>
  <w:style w:type="character" w:customStyle="1" w:styleId="FootnoteTextChar">
    <w:name w:val="Footnote Text Char"/>
    <w:basedOn w:val="DefaultParagraphFont"/>
    <w:link w:val="FootnoteText"/>
    <w:semiHidden/>
    <w:rsid w:val="0031578F"/>
    <w:rPr>
      <w:rFonts w:ascii="Calibri" w:hAnsi="Calibri"/>
    </w:rPr>
  </w:style>
  <w:style w:type="character" w:styleId="FootnoteReference">
    <w:name w:val="footnote reference"/>
    <w:basedOn w:val="DefaultParagraphFont"/>
    <w:semiHidden/>
    <w:unhideWhenUsed/>
    <w:rsid w:val="0031578F"/>
    <w:rPr>
      <w:vertAlign w:val="superscript"/>
    </w:rPr>
  </w:style>
  <w:style w:type="paragraph" w:customStyle="1" w:styleId="TableNotes0">
    <w:name w:val="TableNotes+0"/>
    <w:basedOn w:val="Normal"/>
    <w:rsid w:val="007F35CE"/>
    <w:pPr>
      <w:keepNext/>
      <w:keepLines/>
      <w:ind w:left="720"/>
      <w:jc w:val="left"/>
    </w:pPr>
    <w:rPr>
      <w:rFonts w:ascii="Arial Narrow" w:hAnsi="Arial Narrow" w:cs="Arial Narrow"/>
      <w:snapToGrid w:val="0"/>
      <w:sz w:val="18"/>
      <w:szCs w:val="18"/>
    </w:rPr>
  </w:style>
  <w:style w:type="paragraph" w:customStyle="1" w:styleId="Table">
    <w:name w:val="Table"/>
    <w:basedOn w:val="Normal"/>
    <w:qFormat/>
    <w:rsid w:val="007F35CE"/>
    <w:pPr>
      <w:jc w:val="left"/>
    </w:pPr>
    <w:rPr>
      <w:rFonts w:ascii="Arial Narrow" w:eastAsiaTheme="minorHAnsi" w:hAnsi="Arial Narrow" w:cstheme="minorBidi"/>
      <w:sz w:val="20"/>
      <w:szCs w:val="22"/>
      <w:lang w:eastAsia="en-US"/>
    </w:rPr>
  </w:style>
  <w:style w:type="table" w:customStyle="1" w:styleId="TableGrid1">
    <w:name w:val="Table Grid1"/>
    <w:basedOn w:val="TableNormal"/>
    <w:next w:val="TableGrid"/>
    <w:uiPriority w:val="39"/>
    <w:rsid w:val="007F35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bullet0">
    <w:name w:val="Number bullet"/>
    <w:basedOn w:val="ListBullet"/>
    <w:qFormat/>
    <w:rsid w:val="002934F2"/>
    <w:pPr>
      <w:numPr>
        <w:numId w:val="16"/>
      </w:numPr>
      <w:adjustRightInd w:val="0"/>
      <w:snapToGrid w:val="0"/>
      <w:spacing w:before="180" w:after="160" w:line="240" w:lineRule="atLeast"/>
      <w:contextualSpacing w:val="0"/>
      <w:jc w:val="left"/>
    </w:pPr>
    <w:rPr>
      <w:rFonts w:ascii="Cambria" w:eastAsia="MS Mincho" w:hAnsi="Cambria"/>
      <w:sz w:val="22"/>
      <w:szCs w:val="20"/>
      <w:lang w:eastAsia="ja-JP"/>
    </w:rPr>
  </w:style>
  <w:style w:type="paragraph" w:customStyle="1" w:styleId="Numberbullet3">
    <w:name w:val="Number bullet 3"/>
    <w:basedOn w:val="ListBullet3"/>
    <w:qFormat/>
    <w:rsid w:val="002934F2"/>
    <w:pPr>
      <w:numPr>
        <w:ilvl w:val="2"/>
      </w:numPr>
      <w:adjustRightInd w:val="0"/>
      <w:snapToGrid w:val="0"/>
      <w:spacing w:before="180" w:after="180" w:line="240" w:lineRule="atLeast"/>
      <w:ind w:left="2160" w:hanging="360"/>
      <w:jc w:val="left"/>
    </w:pPr>
    <w:rPr>
      <w:rFonts w:ascii="Cambria" w:eastAsia="MS Mincho" w:hAnsi="Cambria"/>
      <w:sz w:val="22"/>
      <w:szCs w:val="20"/>
      <w:lang w:eastAsia="ja-JP"/>
    </w:rPr>
  </w:style>
  <w:style w:type="numbering" w:customStyle="1" w:styleId="NumberBullet">
    <w:name w:val="NumberBullet"/>
    <w:uiPriority w:val="99"/>
    <w:locked/>
    <w:rsid w:val="002934F2"/>
    <w:pPr>
      <w:numPr>
        <w:numId w:val="16"/>
      </w:numPr>
    </w:pPr>
  </w:style>
  <w:style w:type="paragraph" w:styleId="ListBullet3">
    <w:name w:val="List Bullet 3"/>
    <w:basedOn w:val="Normal"/>
    <w:semiHidden/>
    <w:unhideWhenUsed/>
    <w:rsid w:val="002934F2"/>
    <w:pPr>
      <w:ind w:left="425" w:hanging="425"/>
      <w:contextualSpacing/>
    </w:pPr>
  </w:style>
  <w:style w:type="character" w:customStyle="1" w:styleId="Heading4Char">
    <w:name w:val="Heading 4 Char"/>
    <w:basedOn w:val="DefaultParagraphFont"/>
    <w:link w:val="Heading4"/>
    <w:semiHidden/>
    <w:rsid w:val="007D50E8"/>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7D50E8"/>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1273438">
      <w:bodyDiv w:val="1"/>
      <w:marLeft w:val="0"/>
      <w:marRight w:val="0"/>
      <w:marTop w:val="0"/>
      <w:marBottom w:val="0"/>
      <w:divBdr>
        <w:top w:val="none" w:sz="0" w:space="0" w:color="auto"/>
        <w:left w:val="none" w:sz="0" w:space="0" w:color="auto"/>
        <w:bottom w:val="none" w:sz="0" w:space="0" w:color="auto"/>
        <w:right w:val="none" w:sz="0" w:space="0" w:color="auto"/>
      </w:divBdr>
    </w:div>
    <w:div w:id="57364072">
      <w:bodyDiv w:val="1"/>
      <w:marLeft w:val="0"/>
      <w:marRight w:val="0"/>
      <w:marTop w:val="0"/>
      <w:marBottom w:val="0"/>
      <w:divBdr>
        <w:top w:val="none" w:sz="0" w:space="0" w:color="auto"/>
        <w:left w:val="none" w:sz="0" w:space="0" w:color="auto"/>
        <w:bottom w:val="none" w:sz="0" w:space="0" w:color="auto"/>
        <w:right w:val="none" w:sz="0" w:space="0" w:color="auto"/>
      </w:divBdr>
    </w:div>
    <w:div w:id="181625869">
      <w:bodyDiv w:val="1"/>
      <w:marLeft w:val="0"/>
      <w:marRight w:val="0"/>
      <w:marTop w:val="0"/>
      <w:marBottom w:val="0"/>
      <w:divBdr>
        <w:top w:val="none" w:sz="0" w:space="0" w:color="auto"/>
        <w:left w:val="none" w:sz="0" w:space="0" w:color="auto"/>
        <w:bottom w:val="none" w:sz="0" w:space="0" w:color="auto"/>
        <w:right w:val="none" w:sz="0" w:space="0" w:color="auto"/>
      </w:divBdr>
    </w:div>
    <w:div w:id="39139035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0203288">
      <w:bodyDiv w:val="1"/>
      <w:marLeft w:val="0"/>
      <w:marRight w:val="0"/>
      <w:marTop w:val="0"/>
      <w:marBottom w:val="0"/>
      <w:divBdr>
        <w:top w:val="none" w:sz="0" w:space="0" w:color="auto"/>
        <w:left w:val="none" w:sz="0" w:space="0" w:color="auto"/>
        <w:bottom w:val="none" w:sz="0" w:space="0" w:color="auto"/>
        <w:right w:val="none" w:sz="0" w:space="0" w:color="auto"/>
      </w:divBdr>
    </w:div>
    <w:div w:id="528029493">
      <w:bodyDiv w:val="1"/>
      <w:marLeft w:val="0"/>
      <w:marRight w:val="0"/>
      <w:marTop w:val="0"/>
      <w:marBottom w:val="0"/>
      <w:divBdr>
        <w:top w:val="none" w:sz="0" w:space="0" w:color="auto"/>
        <w:left w:val="none" w:sz="0" w:space="0" w:color="auto"/>
        <w:bottom w:val="none" w:sz="0" w:space="0" w:color="auto"/>
        <w:right w:val="none" w:sz="0" w:space="0" w:color="auto"/>
      </w:divBdr>
    </w:div>
    <w:div w:id="78546154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03762548">
      <w:bodyDiv w:val="1"/>
      <w:marLeft w:val="0"/>
      <w:marRight w:val="0"/>
      <w:marTop w:val="0"/>
      <w:marBottom w:val="0"/>
      <w:divBdr>
        <w:top w:val="none" w:sz="0" w:space="0" w:color="auto"/>
        <w:left w:val="none" w:sz="0" w:space="0" w:color="auto"/>
        <w:bottom w:val="none" w:sz="0" w:space="0" w:color="auto"/>
        <w:right w:val="none" w:sz="0" w:space="0" w:color="auto"/>
      </w:divBdr>
      <w:divsChild>
        <w:div w:id="2629168">
          <w:marLeft w:val="360"/>
          <w:marRight w:val="0"/>
          <w:marTop w:val="200"/>
          <w:marBottom w:val="0"/>
          <w:divBdr>
            <w:top w:val="none" w:sz="0" w:space="0" w:color="auto"/>
            <w:left w:val="none" w:sz="0" w:space="0" w:color="auto"/>
            <w:bottom w:val="none" w:sz="0" w:space="0" w:color="auto"/>
            <w:right w:val="none" w:sz="0" w:space="0" w:color="auto"/>
          </w:divBdr>
        </w:div>
        <w:div w:id="766391508">
          <w:marLeft w:val="360"/>
          <w:marRight w:val="0"/>
          <w:marTop w:val="200"/>
          <w:marBottom w:val="0"/>
          <w:divBdr>
            <w:top w:val="none" w:sz="0" w:space="0" w:color="auto"/>
            <w:left w:val="none" w:sz="0" w:space="0" w:color="auto"/>
            <w:bottom w:val="none" w:sz="0" w:space="0" w:color="auto"/>
            <w:right w:val="none" w:sz="0" w:space="0" w:color="auto"/>
          </w:divBdr>
        </w:div>
        <w:div w:id="244263744">
          <w:marLeft w:val="360"/>
          <w:marRight w:val="0"/>
          <w:marTop w:val="200"/>
          <w:marBottom w:val="0"/>
          <w:divBdr>
            <w:top w:val="none" w:sz="0" w:space="0" w:color="auto"/>
            <w:left w:val="none" w:sz="0" w:space="0" w:color="auto"/>
            <w:bottom w:val="none" w:sz="0" w:space="0" w:color="auto"/>
            <w:right w:val="none" w:sz="0" w:space="0" w:color="auto"/>
          </w:divBdr>
        </w:div>
        <w:div w:id="128061366">
          <w:marLeft w:val="360"/>
          <w:marRight w:val="0"/>
          <w:marTop w:val="200"/>
          <w:marBottom w:val="0"/>
          <w:divBdr>
            <w:top w:val="none" w:sz="0" w:space="0" w:color="auto"/>
            <w:left w:val="none" w:sz="0" w:space="0" w:color="auto"/>
            <w:bottom w:val="none" w:sz="0" w:space="0" w:color="auto"/>
            <w:right w:val="none" w:sz="0" w:space="0" w:color="auto"/>
          </w:divBdr>
        </w:div>
        <w:div w:id="1069309380">
          <w:marLeft w:val="360"/>
          <w:marRight w:val="0"/>
          <w:marTop w:val="200"/>
          <w:marBottom w:val="0"/>
          <w:divBdr>
            <w:top w:val="none" w:sz="0" w:space="0" w:color="auto"/>
            <w:left w:val="none" w:sz="0" w:space="0" w:color="auto"/>
            <w:bottom w:val="none" w:sz="0" w:space="0" w:color="auto"/>
            <w:right w:val="none" w:sz="0" w:space="0" w:color="auto"/>
          </w:divBdr>
        </w:div>
        <w:div w:id="196088999">
          <w:marLeft w:val="1080"/>
          <w:marRight w:val="0"/>
          <w:marTop w:val="100"/>
          <w:marBottom w:val="0"/>
          <w:divBdr>
            <w:top w:val="none" w:sz="0" w:space="0" w:color="auto"/>
            <w:left w:val="none" w:sz="0" w:space="0" w:color="auto"/>
            <w:bottom w:val="none" w:sz="0" w:space="0" w:color="auto"/>
            <w:right w:val="none" w:sz="0" w:space="0" w:color="auto"/>
          </w:divBdr>
        </w:div>
        <w:div w:id="829640707">
          <w:marLeft w:val="1080"/>
          <w:marRight w:val="0"/>
          <w:marTop w:val="100"/>
          <w:marBottom w:val="0"/>
          <w:divBdr>
            <w:top w:val="none" w:sz="0" w:space="0" w:color="auto"/>
            <w:left w:val="none" w:sz="0" w:space="0" w:color="auto"/>
            <w:bottom w:val="none" w:sz="0" w:space="0" w:color="auto"/>
            <w:right w:val="none" w:sz="0" w:space="0" w:color="auto"/>
          </w:divBdr>
        </w:div>
        <w:div w:id="1525047411">
          <w:marLeft w:val="1080"/>
          <w:marRight w:val="0"/>
          <w:marTop w:val="100"/>
          <w:marBottom w:val="0"/>
          <w:divBdr>
            <w:top w:val="none" w:sz="0" w:space="0" w:color="auto"/>
            <w:left w:val="none" w:sz="0" w:space="0" w:color="auto"/>
            <w:bottom w:val="none" w:sz="0" w:space="0" w:color="auto"/>
            <w:right w:val="none" w:sz="0" w:space="0" w:color="auto"/>
          </w:divBdr>
        </w:div>
      </w:divsChild>
    </w:div>
    <w:div w:id="1344168833">
      <w:bodyDiv w:val="1"/>
      <w:marLeft w:val="0"/>
      <w:marRight w:val="0"/>
      <w:marTop w:val="0"/>
      <w:marBottom w:val="0"/>
      <w:divBdr>
        <w:top w:val="none" w:sz="0" w:space="0" w:color="auto"/>
        <w:left w:val="none" w:sz="0" w:space="0" w:color="auto"/>
        <w:bottom w:val="none" w:sz="0" w:space="0" w:color="auto"/>
        <w:right w:val="none" w:sz="0" w:space="0" w:color="auto"/>
      </w:divBdr>
    </w:div>
    <w:div w:id="1419208940">
      <w:bodyDiv w:val="1"/>
      <w:marLeft w:val="0"/>
      <w:marRight w:val="0"/>
      <w:marTop w:val="0"/>
      <w:marBottom w:val="0"/>
      <w:divBdr>
        <w:top w:val="none" w:sz="0" w:space="0" w:color="auto"/>
        <w:left w:val="none" w:sz="0" w:space="0" w:color="auto"/>
        <w:bottom w:val="none" w:sz="0" w:space="0" w:color="auto"/>
        <w:right w:val="none" w:sz="0" w:space="0" w:color="auto"/>
      </w:divBdr>
    </w:div>
    <w:div w:id="1444228139">
      <w:bodyDiv w:val="1"/>
      <w:marLeft w:val="0"/>
      <w:marRight w:val="0"/>
      <w:marTop w:val="0"/>
      <w:marBottom w:val="0"/>
      <w:divBdr>
        <w:top w:val="none" w:sz="0" w:space="0" w:color="auto"/>
        <w:left w:val="none" w:sz="0" w:space="0" w:color="auto"/>
        <w:bottom w:val="none" w:sz="0" w:space="0" w:color="auto"/>
        <w:right w:val="none" w:sz="0" w:space="0" w:color="auto"/>
      </w:divBdr>
    </w:div>
    <w:div w:id="16181000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158860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1424342">
      <w:bodyDiv w:val="1"/>
      <w:marLeft w:val="0"/>
      <w:marRight w:val="0"/>
      <w:marTop w:val="0"/>
      <w:marBottom w:val="0"/>
      <w:divBdr>
        <w:top w:val="none" w:sz="0" w:space="0" w:color="auto"/>
        <w:left w:val="none" w:sz="0" w:space="0" w:color="auto"/>
        <w:bottom w:val="none" w:sz="0" w:space="0" w:color="auto"/>
        <w:right w:val="none" w:sz="0" w:space="0" w:color="auto"/>
      </w:divBdr>
    </w:div>
    <w:div w:id="2020113533">
      <w:bodyDiv w:val="1"/>
      <w:marLeft w:val="0"/>
      <w:marRight w:val="0"/>
      <w:marTop w:val="0"/>
      <w:marBottom w:val="0"/>
      <w:divBdr>
        <w:top w:val="none" w:sz="0" w:space="0" w:color="auto"/>
        <w:left w:val="none" w:sz="0" w:space="0" w:color="auto"/>
        <w:bottom w:val="none" w:sz="0" w:space="0" w:color="auto"/>
        <w:right w:val="none" w:sz="0" w:space="0" w:color="auto"/>
      </w:divBdr>
    </w:div>
    <w:div w:id="21407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bac.pbs.gov.au/section-3b/3b-2-estimation-of-equi-effective-do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DDF0-803F-471C-9F63-68006C20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5755</Words>
  <Characters>31651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2021-03-03T23:19:00Z</dcterms:created>
  <dcterms:modified xsi:type="dcterms:W3CDTF">2021-03-15T23:51:00Z</dcterms:modified>
</cp:coreProperties>
</file>