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6102E" w14:textId="77777777" w:rsidR="00BF27A0" w:rsidRPr="00BF27A0" w:rsidRDefault="002A32F5" w:rsidP="00B95707">
      <w:pPr>
        <w:pStyle w:val="1MainTitle"/>
        <w:jc w:val="left"/>
        <w:rPr>
          <w:rFonts w:eastAsia="Calibri"/>
          <w:lang w:eastAsia="en-US"/>
        </w:rPr>
      </w:pPr>
      <w:r>
        <w:rPr>
          <w:rFonts w:eastAsia="Calibri"/>
          <w:lang w:eastAsia="en-US"/>
        </w:rPr>
        <w:t>6.17</w:t>
      </w:r>
      <w:r w:rsidR="00BF27A0" w:rsidRPr="00BF27A0">
        <w:rPr>
          <w:rFonts w:eastAsia="Calibri"/>
          <w:lang w:eastAsia="en-US"/>
        </w:rPr>
        <w:tab/>
      </w:r>
      <w:r>
        <w:rPr>
          <w:rFonts w:eastAsia="Calibri"/>
          <w:lang w:eastAsia="en-US"/>
        </w:rPr>
        <w:t>EVOLOCUMAB</w:t>
      </w:r>
      <w:r w:rsidR="00F82E5C">
        <w:rPr>
          <w:rFonts w:eastAsia="Calibri"/>
          <w:lang w:eastAsia="en-US"/>
        </w:rPr>
        <w:t xml:space="preserve"> </w:t>
      </w:r>
      <w:r w:rsidR="005E0D82">
        <w:rPr>
          <w:rFonts w:eastAsia="Calibri"/>
          <w:lang w:eastAsia="en-US"/>
        </w:rPr>
        <w:br/>
      </w:r>
      <w:r w:rsidRPr="00762563">
        <w:t>Injection 420 mg in 3.5 mL single use pre-filled cartridge,</w:t>
      </w:r>
      <w:r w:rsidRPr="00762563">
        <w:br/>
        <w:t xml:space="preserve">Injection 140 mg in 1 mL single use pre-filled pen, </w:t>
      </w:r>
      <w:r w:rsidRPr="00762563">
        <w:br/>
        <w:t xml:space="preserve">Repatha®, </w:t>
      </w:r>
      <w:r w:rsidRPr="00762563">
        <w:br/>
        <w:t>Amgen Australia Pty Ltd</w:t>
      </w:r>
    </w:p>
    <w:p w14:paraId="14077813" w14:textId="77777777" w:rsidR="008A50F1" w:rsidRPr="00D4572C" w:rsidRDefault="00CE10C4" w:rsidP="00B95707">
      <w:pPr>
        <w:pStyle w:val="2-SectionHeading"/>
      </w:pPr>
      <w:r w:rsidRPr="0033263D">
        <w:t xml:space="preserve">Purpose of </w:t>
      </w:r>
      <w:r w:rsidR="0004240E" w:rsidRPr="0033263D">
        <w:t>Application</w:t>
      </w:r>
      <w:r w:rsidR="00034905">
        <w:t xml:space="preserve"> </w:t>
      </w:r>
    </w:p>
    <w:p w14:paraId="7D962FB0" w14:textId="77777777" w:rsidR="00D10C0F" w:rsidRPr="00D10C0F" w:rsidRDefault="00EF44A0" w:rsidP="00884DDE">
      <w:pPr>
        <w:pStyle w:val="3Bodytext"/>
        <w:jc w:val="both"/>
      </w:pPr>
      <w:r w:rsidRPr="009E2E8E">
        <w:t>The mi</w:t>
      </w:r>
      <w:r w:rsidR="00FF2801" w:rsidRPr="00545130">
        <w:t xml:space="preserve">nor submission </w:t>
      </w:r>
      <w:r w:rsidR="00076640">
        <w:t xml:space="preserve">requested </w:t>
      </w:r>
      <w:r w:rsidR="00E3135B" w:rsidRPr="00E3135B">
        <w:t>an amendment to the Authority Required listing</w:t>
      </w:r>
      <w:r w:rsidR="00E3135B">
        <w:t>s of evolocumab</w:t>
      </w:r>
      <w:r w:rsidR="00E3135B" w:rsidRPr="00E3135B">
        <w:t xml:space="preserve"> </w:t>
      </w:r>
      <w:r w:rsidR="006A6E39">
        <w:t xml:space="preserve">for all indications </w:t>
      </w:r>
      <w:r w:rsidR="00E3135B" w:rsidRPr="00E3135B">
        <w:t xml:space="preserve">to allow general practitioners </w:t>
      </w:r>
      <w:r w:rsidR="00884DDE">
        <w:t xml:space="preserve">(GPs) </w:t>
      </w:r>
      <w:r w:rsidR="00E3135B" w:rsidRPr="00E3135B">
        <w:t>to initiate treatment</w:t>
      </w:r>
      <w:r w:rsidR="00BD20F2">
        <w:t>, but only after</w:t>
      </w:r>
      <w:r w:rsidR="00E3135B" w:rsidRPr="00E3135B">
        <w:t xml:space="preserve"> </w:t>
      </w:r>
      <w:r w:rsidR="00BD20F2">
        <w:t>hav</w:t>
      </w:r>
      <w:r w:rsidR="00E3135B" w:rsidRPr="00E3135B">
        <w:t>in</w:t>
      </w:r>
      <w:r w:rsidR="00BD20F2">
        <w:t>g</w:t>
      </w:r>
      <w:r w:rsidR="00E3135B" w:rsidRPr="00E3135B">
        <w:t xml:space="preserve"> consult</w:t>
      </w:r>
      <w:r w:rsidR="00BD20F2">
        <w:t>ed</w:t>
      </w:r>
      <w:r w:rsidR="00E320B2">
        <w:t xml:space="preserve"> </w:t>
      </w:r>
      <w:r w:rsidR="00E3135B" w:rsidRPr="00E3135B">
        <w:t>a specialist.</w:t>
      </w:r>
    </w:p>
    <w:p w14:paraId="05B07B63" w14:textId="77777777" w:rsidR="00A01432" w:rsidRDefault="00A01432" w:rsidP="00B95707">
      <w:pPr>
        <w:pStyle w:val="2-SectionHeading"/>
      </w:pPr>
      <w:r w:rsidRPr="009E2E8E">
        <w:t>Background</w:t>
      </w:r>
      <w:r>
        <w:t xml:space="preserve"> </w:t>
      </w:r>
    </w:p>
    <w:p w14:paraId="5E7A2F99" w14:textId="77777777" w:rsidR="003C2334" w:rsidRDefault="00E3135B" w:rsidP="00884DDE">
      <w:pPr>
        <w:pStyle w:val="3Bodytext"/>
        <w:jc w:val="both"/>
      </w:pPr>
      <w:r w:rsidRPr="009A763A">
        <w:t xml:space="preserve">Historically, the </w:t>
      </w:r>
      <w:r w:rsidR="008E565D">
        <w:t>treatment criterion</w:t>
      </w:r>
      <w:r w:rsidRPr="009A763A">
        <w:t xml:space="preserve"> for evolocumab for the </w:t>
      </w:r>
      <w:r>
        <w:t xml:space="preserve">homozygous </w:t>
      </w:r>
      <w:r w:rsidRPr="009A763A">
        <w:t xml:space="preserve">familial hypercholesterolaemia </w:t>
      </w:r>
      <w:r>
        <w:t>(</w:t>
      </w:r>
      <w:r w:rsidRPr="009A763A">
        <w:t>ho</w:t>
      </w:r>
      <w:r>
        <w:t>-FH)</w:t>
      </w:r>
      <w:r w:rsidRPr="009A763A">
        <w:t xml:space="preserve"> listing (for initiation) was, “Must be treated by or in consultation with a specialist physician”. </w:t>
      </w:r>
    </w:p>
    <w:p w14:paraId="1080E7FC" w14:textId="77777777" w:rsidR="00884DDE" w:rsidRDefault="00E3135B" w:rsidP="00884DDE">
      <w:pPr>
        <w:pStyle w:val="3Bodytext"/>
        <w:jc w:val="both"/>
      </w:pPr>
      <w:r w:rsidRPr="009A763A">
        <w:t>In March 2018, when evolocumab was recommended for listing in he</w:t>
      </w:r>
      <w:r>
        <w:t xml:space="preserve">terozygous </w:t>
      </w:r>
      <w:r w:rsidRPr="009A763A">
        <w:t>FH</w:t>
      </w:r>
      <w:r>
        <w:t xml:space="preserve"> (he-FH)</w:t>
      </w:r>
      <w:r w:rsidRPr="009A763A">
        <w:t xml:space="preserve">, the treatment criterion was changed to “Must be treated by a specialist physician” as a means of tightening the restriction for the larger he-FH population. The existing ho-FH listing was changed accordingly to align the restrictions. </w:t>
      </w:r>
      <w:r w:rsidR="00884DDE">
        <w:t>The</w:t>
      </w:r>
      <w:r w:rsidR="006A6E39">
        <w:t xml:space="preserve"> current</w:t>
      </w:r>
      <w:r w:rsidR="00884DDE">
        <w:t xml:space="preserve"> minor submi</w:t>
      </w:r>
      <w:r w:rsidR="002E52F7">
        <w:t>ssion explained that</w:t>
      </w:r>
      <w:r w:rsidR="00884DDE">
        <w:t>, as the overall FH population is relatively small, evolocumab treatment for both homozygous and heterozygous eligible patients c</w:t>
      </w:r>
      <w:r w:rsidR="003C2334">
        <w:t>ould</w:t>
      </w:r>
      <w:r w:rsidR="00884DDE">
        <w:t xml:space="preserve"> reasonably be managed by specialists, particularly those practising in </w:t>
      </w:r>
      <w:r w:rsidR="00884DDE" w:rsidRPr="001940E2">
        <w:t>lipid clinics</w:t>
      </w:r>
      <w:r w:rsidR="00884DDE">
        <w:t>,</w:t>
      </w:r>
      <w:r w:rsidR="00884DDE" w:rsidRPr="001940E2">
        <w:t xml:space="preserve"> due to</w:t>
      </w:r>
      <w:r w:rsidR="005422DA">
        <w:t xml:space="preserve"> the</w:t>
      </w:r>
      <w:r w:rsidR="00884DDE" w:rsidRPr="001940E2">
        <w:t xml:space="preserve"> hereditary nature of</w:t>
      </w:r>
      <w:r w:rsidR="005422DA">
        <w:t xml:space="preserve"> the</w:t>
      </w:r>
      <w:r w:rsidR="00884DDE" w:rsidRPr="001940E2">
        <w:t xml:space="preserve"> disease</w:t>
      </w:r>
      <w:r w:rsidR="006A6E39">
        <w:t>.</w:t>
      </w:r>
    </w:p>
    <w:p w14:paraId="3C507B80" w14:textId="77777777" w:rsidR="00E3135B" w:rsidRDefault="00E3135B" w:rsidP="00884DDE">
      <w:pPr>
        <w:pStyle w:val="3Bodytext"/>
        <w:jc w:val="both"/>
      </w:pPr>
      <w:r w:rsidRPr="009A763A">
        <w:t>The</w:t>
      </w:r>
      <w:r w:rsidR="006A6E39">
        <w:t xml:space="preserve"> July 2019 submission for non-FH, followed by the</w:t>
      </w:r>
      <w:r w:rsidRPr="009A763A">
        <w:t xml:space="preserve"> </w:t>
      </w:r>
      <w:r w:rsidR="00884DDE">
        <w:t xml:space="preserve">November 2019 </w:t>
      </w:r>
      <w:r w:rsidR="00C73994">
        <w:t xml:space="preserve">minor </w:t>
      </w:r>
      <w:r w:rsidRPr="009A763A">
        <w:t>resubmission</w:t>
      </w:r>
      <w:r w:rsidR="00C37591">
        <w:t xml:space="preserve"> (effective 1 May 2020)</w:t>
      </w:r>
      <w:r w:rsidR="006A6E39">
        <w:t xml:space="preserve">, </w:t>
      </w:r>
      <w:r w:rsidRPr="009A763A">
        <w:t xml:space="preserve">requested that, for all evolocumab initiation listings across all indications, </w:t>
      </w:r>
      <w:r w:rsidR="008E565D">
        <w:t>the treatment criterion should be</w:t>
      </w:r>
      <w:r w:rsidRPr="009A763A">
        <w:t xml:space="preserve"> “Must be treated by or in consultation with a specialist physician”. </w:t>
      </w:r>
      <w:r w:rsidR="00884DDE" w:rsidRPr="00884DDE">
        <w:rPr>
          <w:snapToGrid w:val="0"/>
        </w:rPr>
        <w:t xml:space="preserve">The </w:t>
      </w:r>
      <w:r w:rsidR="00422142">
        <w:rPr>
          <w:snapToGrid w:val="0"/>
        </w:rPr>
        <w:t xml:space="preserve">current </w:t>
      </w:r>
      <w:r w:rsidR="00884DDE" w:rsidRPr="00884DDE">
        <w:rPr>
          <w:snapToGrid w:val="0"/>
        </w:rPr>
        <w:t>minor submission stated that the eligible non-FH patient population is substantially larger and is predominantly managed in the community by GPs</w:t>
      </w:r>
      <w:r w:rsidR="003C2334">
        <w:rPr>
          <w:snapToGrid w:val="0"/>
        </w:rPr>
        <w:t>. Furthermore,</w:t>
      </w:r>
      <w:r w:rsidR="00884DDE">
        <w:t xml:space="preserve"> </w:t>
      </w:r>
      <w:r w:rsidR="00C73994">
        <w:t xml:space="preserve">the sponsor claimed that </w:t>
      </w:r>
      <w:r w:rsidR="004D61FA">
        <w:t>the patient numbers that</w:t>
      </w:r>
      <w:r w:rsidR="00884DDE">
        <w:t xml:space="preserve"> informed the financial estim</w:t>
      </w:r>
      <w:r w:rsidR="005147B5">
        <w:t>ates of the current evolocumab risk sharing a</w:t>
      </w:r>
      <w:r w:rsidR="00884DDE">
        <w:t xml:space="preserve">rrangement (RSA) were calculated based on the assumption that GPs would be able to initiate treatment in consultation with a specialist physician. </w:t>
      </w:r>
      <w:r w:rsidR="003C2334">
        <w:t xml:space="preserve">However, </w:t>
      </w:r>
      <w:r w:rsidR="00422142">
        <w:t xml:space="preserve">in its consideration of the November 2019 minor resubmission, </w:t>
      </w:r>
      <w:r w:rsidR="003C2334">
        <w:t>t</w:t>
      </w:r>
      <w:r w:rsidRPr="009A763A">
        <w:t xml:space="preserve">he PBAC considered that </w:t>
      </w:r>
      <w:r w:rsidR="008E565D">
        <w:t xml:space="preserve">the treatment criterion </w:t>
      </w:r>
      <w:r w:rsidRPr="009A763A">
        <w:t>“Must be treated by a specialist physician” for initiation of treatment should remain for all indications, consistent with its previous advice</w:t>
      </w:r>
      <w:r>
        <w:t xml:space="preserve"> (paragraph 2.7, evolocumab Public Summary Document (PS</w:t>
      </w:r>
      <w:r w:rsidR="00884DDE">
        <w:t>D), November 2019).</w:t>
      </w:r>
    </w:p>
    <w:p w14:paraId="769EA5E1" w14:textId="77777777" w:rsidR="001B27D7" w:rsidRPr="009A763A" w:rsidRDefault="001B27D7" w:rsidP="001B27D7">
      <w:pPr>
        <w:pStyle w:val="3Bodytext"/>
        <w:numPr>
          <w:ilvl w:val="0"/>
          <w:numId w:val="0"/>
        </w:numPr>
        <w:ind w:left="720"/>
        <w:jc w:val="both"/>
      </w:pPr>
      <w:r w:rsidRPr="00525B39">
        <w:rPr>
          <w:i/>
        </w:rPr>
        <w:t>For more detail</w:t>
      </w:r>
      <w:r>
        <w:rPr>
          <w:i/>
        </w:rPr>
        <w:t xml:space="preserve"> on PBAC’s view, see section 5 </w:t>
      </w:r>
      <w:r w:rsidRPr="00525B39">
        <w:rPr>
          <w:i/>
        </w:rPr>
        <w:t>PBAC outcome.</w:t>
      </w:r>
    </w:p>
    <w:p w14:paraId="3F4E9469" w14:textId="77777777" w:rsidR="00B17EE5" w:rsidRPr="00577C4D" w:rsidRDefault="00B17EE5" w:rsidP="00E3135B">
      <w:pPr>
        <w:pStyle w:val="2-SectionHeading"/>
      </w:pPr>
      <w:r w:rsidRPr="009E2E8E">
        <w:lastRenderedPageBreak/>
        <w:t>Requested</w:t>
      </w:r>
      <w:r w:rsidRPr="002B5596">
        <w:t xml:space="preserve"> listing</w:t>
      </w:r>
    </w:p>
    <w:p w14:paraId="44A05ABC" w14:textId="77777777" w:rsidR="00DB0E99" w:rsidRDefault="001946DB" w:rsidP="00DB0E99">
      <w:pPr>
        <w:pStyle w:val="3Bodytext"/>
        <w:jc w:val="both"/>
      </w:pPr>
      <w:r>
        <w:t xml:space="preserve">The </w:t>
      </w:r>
      <w:r w:rsidR="00E3135B">
        <w:t xml:space="preserve">minor </w:t>
      </w:r>
      <w:r>
        <w:t>submission requested</w:t>
      </w:r>
      <w:r w:rsidR="002A32F5">
        <w:t xml:space="preserve"> </w:t>
      </w:r>
      <w:r w:rsidR="00E3135B">
        <w:t>amendme</w:t>
      </w:r>
      <w:r w:rsidR="00DF3ED8">
        <w:t>nts to the treatment criteria for</w:t>
      </w:r>
      <w:r w:rsidR="00E3135B">
        <w:t xml:space="preserve"> all evolocumab initial treatment restrictions from “</w:t>
      </w:r>
      <w:r w:rsidR="00884DDE">
        <w:t>M</w:t>
      </w:r>
      <w:r w:rsidR="00E3135B">
        <w:t>ust be treated by a specialist physician” to “</w:t>
      </w:r>
      <w:r w:rsidR="00884DDE">
        <w:t>M</w:t>
      </w:r>
      <w:r w:rsidR="00E3135B">
        <w:t>ust be treated by or in consultation with a specialist physician”</w:t>
      </w:r>
      <w:r w:rsidR="00DB0E99">
        <w:t>.</w:t>
      </w:r>
    </w:p>
    <w:p w14:paraId="56C5A8ED" w14:textId="77777777" w:rsidR="00DB0E99" w:rsidRDefault="00DB0E99" w:rsidP="00DB0E99">
      <w:pPr>
        <w:pStyle w:val="3Bodytext"/>
        <w:jc w:val="both"/>
      </w:pPr>
      <w:r>
        <w:t>It was requested that the amendments would apply to all existing evolocumab initial treatment restrictions, including any remaining grandfathering restrictions:</w:t>
      </w:r>
    </w:p>
    <w:p w14:paraId="77EE62A3" w14:textId="77777777" w:rsidR="00DB0E99" w:rsidRDefault="00DB0E99" w:rsidP="005147B5">
      <w:pPr>
        <w:pStyle w:val="ListParagraph"/>
        <w:numPr>
          <w:ilvl w:val="0"/>
          <w:numId w:val="10"/>
        </w:numPr>
        <w:ind w:hanging="371"/>
        <w:jc w:val="both"/>
      </w:pPr>
      <w:r>
        <w:t>Evolocumab homozygous familial hypercholesterolaemia restrictions (Item codes 10958R, 11193D); and</w:t>
      </w:r>
    </w:p>
    <w:p w14:paraId="0F4AFF8E" w14:textId="77777777" w:rsidR="00DB0E99" w:rsidRDefault="00DB0E99" w:rsidP="005147B5">
      <w:pPr>
        <w:pStyle w:val="ListParagraph"/>
        <w:numPr>
          <w:ilvl w:val="0"/>
          <w:numId w:val="10"/>
        </w:numPr>
        <w:ind w:hanging="371"/>
        <w:jc w:val="both"/>
      </w:pPr>
      <w:r>
        <w:t xml:space="preserve">Evolocumab heterozygous familial hypercholesterolaemia and non-familial hypercholesterolaemia restriction (Item codes 11484K, 11485L). </w:t>
      </w:r>
    </w:p>
    <w:p w14:paraId="4B3A9346" w14:textId="77777777" w:rsidR="00DB0E99" w:rsidRDefault="00DB0E99" w:rsidP="00DB0E99">
      <w:pPr>
        <w:pStyle w:val="3Bodytext"/>
        <w:jc w:val="both"/>
      </w:pPr>
      <w:r>
        <w:t xml:space="preserve">Under the proposed changes, the existing Authority Required restriction </w:t>
      </w:r>
      <w:r w:rsidR="007178E5">
        <w:t xml:space="preserve">types </w:t>
      </w:r>
      <w:r>
        <w:t>would remain unchanged</w:t>
      </w:r>
      <w:r w:rsidR="00B331B4">
        <w:t xml:space="preserve"> as</w:t>
      </w:r>
      <w:r>
        <w:t xml:space="preserve">: </w:t>
      </w:r>
    </w:p>
    <w:p w14:paraId="2130B01C" w14:textId="77777777" w:rsidR="00DB0E99" w:rsidRDefault="00DB0E99" w:rsidP="005147B5">
      <w:pPr>
        <w:pStyle w:val="ListParagraph"/>
        <w:numPr>
          <w:ilvl w:val="0"/>
          <w:numId w:val="10"/>
        </w:numPr>
        <w:ind w:hanging="371"/>
        <w:jc w:val="both"/>
      </w:pPr>
      <w:r>
        <w:t>Autho</w:t>
      </w:r>
      <w:r w:rsidR="00A365E3">
        <w:t>rity</w:t>
      </w:r>
      <w:r w:rsidR="007178E5">
        <w:t xml:space="preserve"> Required (online/telephone)</w:t>
      </w:r>
      <w:r w:rsidR="00A365E3">
        <w:t xml:space="preserve"> for initial t</w:t>
      </w:r>
      <w:r>
        <w:t xml:space="preserve">reatment; and </w:t>
      </w:r>
    </w:p>
    <w:p w14:paraId="63E0E72E" w14:textId="77777777" w:rsidR="00DB0E99" w:rsidRDefault="00DB0E99" w:rsidP="005147B5">
      <w:pPr>
        <w:pStyle w:val="ListParagraph"/>
        <w:numPr>
          <w:ilvl w:val="0"/>
          <w:numId w:val="10"/>
        </w:numPr>
        <w:jc w:val="both"/>
      </w:pPr>
      <w:r>
        <w:t xml:space="preserve">Authority </w:t>
      </w:r>
      <w:r w:rsidR="007178E5">
        <w:t xml:space="preserve">Required (STREAMLINED) </w:t>
      </w:r>
      <w:r>
        <w:t xml:space="preserve">for </w:t>
      </w:r>
      <w:r w:rsidR="001555B5">
        <w:t>continuing</w:t>
      </w:r>
      <w:r w:rsidR="007178E5">
        <w:t xml:space="preserve"> treatment</w:t>
      </w:r>
      <w:r>
        <w:t xml:space="preserve"> (which </w:t>
      </w:r>
      <w:r w:rsidR="001555B5">
        <w:t>is silent on prescriber type</w:t>
      </w:r>
      <w:r>
        <w:t>).</w:t>
      </w:r>
    </w:p>
    <w:p w14:paraId="4611B4B7" w14:textId="77777777" w:rsidR="00DB0E99" w:rsidRPr="002A32F5" w:rsidRDefault="00DB0E99" w:rsidP="00DB0E99">
      <w:pPr>
        <w:pStyle w:val="3Bodytext"/>
        <w:jc w:val="both"/>
      </w:pPr>
      <w:r>
        <w:t xml:space="preserve">The minor submission stated that patient eligibility criteria </w:t>
      </w:r>
      <w:r w:rsidR="00C73994">
        <w:t xml:space="preserve">to initiate evolocumab treatment </w:t>
      </w:r>
      <w:r>
        <w:t>would continue to be a</w:t>
      </w:r>
      <w:r w:rsidR="00C73994">
        <w:t xml:space="preserve">ssessed by Services Australia. </w:t>
      </w:r>
      <w:r>
        <w:t xml:space="preserve">GPs would need to provide and document evidence of </w:t>
      </w:r>
      <w:r w:rsidRPr="000D0772">
        <w:t>pat</w:t>
      </w:r>
      <w:r w:rsidR="002E151E">
        <w:t xml:space="preserve">ient </w:t>
      </w:r>
      <w:r>
        <w:t>eligibility</w:t>
      </w:r>
      <w:r w:rsidR="00D8137D">
        <w:t>, as specialists currently do</w:t>
      </w:r>
      <w:r>
        <w:t>. The sponsor stated that</w:t>
      </w:r>
      <w:r w:rsidRPr="000D0772">
        <w:t xml:space="preserve"> the expansion of the prescriber type to include GPs to initiate evolocumab treatment in consultation with a specialist should </w:t>
      </w:r>
      <w:r w:rsidR="002E151E">
        <w:t xml:space="preserve">therefore </w:t>
      </w:r>
      <w:r w:rsidRPr="000D0772">
        <w:t>not result in utilisation outside of the eligible population.</w:t>
      </w:r>
    </w:p>
    <w:p w14:paraId="304EA4A0" w14:textId="77777777" w:rsidR="00514C78" w:rsidRPr="001D0DA6" w:rsidRDefault="00271E1E" w:rsidP="00B95707">
      <w:pPr>
        <w:pStyle w:val="3Bodytext"/>
        <w:rPr>
          <w:color w:val="FF00FF"/>
        </w:rPr>
      </w:pPr>
      <w:r>
        <w:t>The PBAC noted that t</w:t>
      </w:r>
      <w:r w:rsidR="00514C78" w:rsidRPr="001D0DA6">
        <w:t xml:space="preserve">he nature of “in consultation with a specialist” has never been defined in </w:t>
      </w:r>
      <w:r w:rsidR="005E1180" w:rsidRPr="001D0DA6">
        <w:t xml:space="preserve">PBS </w:t>
      </w:r>
      <w:r w:rsidR="00514C78" w:rsidRPr="001D0DA6">
        <w:t>restrictions because the consultation could, in practice, occur through a variety of reasonable means (e.g. formalised management plan in writ</w:t>
      </w:r>
      <w:r w:rsidR="0014079A" w:rsidRPr="001D0DA6">
        <w:t>ing or a telephone conversation).</w:t>
      </w:r>
    </w:p>
    <w:p w14:paraId="540E674A" w14:textId="77777777" w:rsidR="006A6E39" w:rsidRPr="001B27D7" w:rsidRDefault="00017121" w:rsidP="001B27D7">
      <w:pPr>
        <w:pStyle w:val="3Bodytext"/>
        <w:rPr>
          <w:color w:val="FF00FF"/>
        </w:rPr>
      </w:pPr>
      <w:r>
        <w:t>The PBAC noted t</w:t>
      </w:r>
      <w:r w:rsidR="00271E1E">
        <w:t xml:space="preserve">he </w:t>
      </w:r>
      <w:r w:rsidR="00514C78" w:rsidRPr="001D0DA6">
        <w:t>options</w:t>
      </w:r>
      <w:r w:rsidR="00363201" w:rsidRPr="001D0DA6">
        <w:t xml:space="preserve"> for </w:t>
      </w:r>
      <w:r>
        <w:t>the requested listing presented</w:t>
      </w:r>
      <w:r w:rsidR="00514C78" w:rsidRPr="001D0DA6">
        <w:t xml:space="preserve"> below.  </w:t>
      </w:r>
    </w:p>
    <w:p w14:paraId="479D6191" w14:textId="77777777" w:rsidR="00572867" w:rsidRPr="001D0DA6" w:rsidRDefault="00572867" w:rsidP="00572867">
      <w:pPr>
        <w:pStyle w:val="3Bodytext"/>
        <w:numPr>
          <w:ilvl w:val="0"/>
          <w:numId w:val="0"/>
        </w:numPr>
        <w:ind w:left="720"/>
      </w:pPr>
      <w:r w:rsidRPr="001D0DA6">
        <w:t>Option 1 – proposed</w:t>
      </w:r>
      <w:r w:rsidR="005E1180" w:rsidRPr="001D0DA6">
        <w:t xml:space="preserve"> by sponsor</w:t>
      </w:r>
      <w:r w:rsidRPr="001D0DA6">
        <w:t>:</w:t>
      </w:r>
    </w:p>
    <w:tbl>
      <w:tblPr>
        <w:tblStyle w:val="TableGrid"/>
        <w:tblW w:w="3903" w:type="pct"/>
        <w:tblInd w:w="720" w:type="dxa"/>
        <w:tblLook w:val="04A0" w:firstRow="1" w:lastRow="0" w:firstColumn="1" w:lastColumn="0" w:noHBand="0" w:noVBand="1"/>
        <w:tblCaption w:val="Option 1 – proposed by sponsor:"/>
      </w:tblPr>
      <w:tblGrid>
        <w:gridCol w:w="7038"/>
      </w:tblGrid>
      <w:tr w:rsidR="0093629E" w:rsidRPr="00572867" w14:paraId="62946999" w14:textId="77777777" w:rsidTr="00B260BF">
        <w:trPr>
          <w:tblHeader/>
        </w:trPr>
        <w:tc>
          <w:tcPr>
            <w:tcW w:w="7037" w:type="dxa"/>
          </w:tcPr>
          <w:p w14:paraId="7BB4CFCA" w14:textId="77777777" w:rsidR="0093629E" w:rsidRPr="00572867" w:rsidRDefault="0093629E" w:rsidP="007F506B">
            <w:pPr>
              <w:pStyle w:val="3Bodytext"/>
              <w:numPr>
                <w:ilvl w:val="0"/>
                <w:numId w:val="0"/>
              </w:numPr>
              <w:rPr>
                <w:rFonts w:ascii="Arial Narrow" w:hAnsi="Arial Narrow"/>
                <w:b/>
                <w:sz w:val="18"/>
                <w:szCs w:val="18"/>
              </w:rPr>
            </w:pPr>
            <w:r w:rsidRPr="00572867">
              <w:rPr>
                <w:rFonts w:ascii="Arial Narrow" w:hAnsi="Arial Narrow"/>
                <w:b/>
                <w:sz w:val="18"/>
                <w:szCs w:val="18"/>
              </w:rPr>
              <w:t>Treatment criteria:</w:t>
            </w:r>
          </w:p>
        </w:tc>
      </w:tr>
      <w:tr w:rsidR="0093629E" w:rsidRPr="00572867" w14:paraId="18581E63" w14:textId="77777777" w:rsidTr="0093629E">
        <w:tc>
          <w:tcPr>
            <w:tcW w:w="7037" w:type="dxa"/>
          </w:tcPr>
          <w:p w14:paraId="72A3FE1A" w14:textId="77777777" w:rsidR="0093629E" w:rsidRPr="00572867" w:rsidRDefault="0093629E" w:rsidP="007F506B">
            <w:pPr>
              <w:pStyle w:val="3Bodytext"/>
              <w:numPr>
                <w:ilvl w:val="0"/>
                <w:numId w:val="0"/>
              </w:numPr>
              <w:rPr>
                <w:rFonts w:ascii="Arial Narrow" w:hAnsi="Arial Narrow"/>
                <w:sz w:val="18"/>
                <w:szCs w:val="18"/>
              </w:rPr>
            </w:pPr>
            <w:r w:rsidRPr="00572867">
              <w:rPr>
                <w:rFonts w:ascii="Arial Narrow" w:hAnsi="Arial Narrow"/>
                <w:sz w:val="18"/>
                <w:szCs w:val="18"/>
              </w:rPr>
              <w:t xml:space="preserve">Must be treated by </w:t>
            </w:r>
            <w:r>
              <w:rPr>
                <w:rFonts w:ascii="Arial Narrow" w:hAnsi="Arial Narrow"/>
                <w:i/>
                <w:sz w:val="18"/>
                <w:szCs w:val="18"/>
              </w:rPr>
              <w:t xml:space="preserve">or in consultation with </w:t>
            </w:r>
            <w:r w:rsidRPr="00572867">
              <w:rPr>
                <w:rFonts w:ascii="Arial Narrow" w:hAnsi="Arial Narrow"/>
                <w:sz w:val="18"/>
                <w:szCs w:val="18"/>
              </w:rPr>
              <w:t>a specialist physician</w:t>
            </w:r>
          </w:p>
        </w:tc>
      </w:tr>
    </w:tbl>
    <w:p w14:paraId="07928805" w14:textId="77777777" w:rsidR="00572867" w:rsidRPr="00572867" w:rsidRDefault="00572867" w:rsidP="00572867">
      <w:pPr>
        <w:pStyle w:val="3Bodytext"/>
        <w:numPr>
          <w:ilvl w:val="0"/>
          <w:numId w:val="0"/>
        </w:numPr>
        <w:ind w:left="720"/>
      </w:pPr>
    </w:p>
    <w:p w14:paraId="1B78E94E" w14:textId="77777777" w:rsidR="00572867" w:rsidRPr="001D0DA6" w:rsidRDefault="00572867" w:rsidP="00572867">
      <w:pPr>
        <w:pStyle w:val="3Bodytext"/>
        <w:numPr>
          <w:ilvl w:val="0"/>
          <w:numId w:val="0"/>
        </w:numPr>
        <w:ind w:left="720"/>
      </w:pPr>
      <w:r w:rsidRPr="001D0DA6">
        <w:t>Option 2 – proposed</w:t>
      </w:r>
      <w:r w:rsidR="005E1180" w:rsidRPr="001D0DA6">
        <w:t xml:space="preserve"> by sponsor,</w:t>
      </w:r>
      <w:r w:rsidRPr="001D0DA6">
        <w:t xml:space="preserve"> re-phrased by the Secretariat</w:t>
      </w:r>
      <w:r w:rsidR="00017121">
        <w:t>:</w:t>
      </w:r>
    </w:p>
    <w:tbl>
      <w:tblPr>
        <w:tblStyle w:val="TableGrid"/>
        <w:tblW w:w="0" w:type="auto"/>
        <w:tblInd w:w="720" w:type="dxa"/>
        <w:tblLook w:val="04A0" w:firstRow="1" w:lastRow="0" w:firstColumn="1" w:lastColumn="0" w:noHBand="0" w:noVBand="1"/>
        <w:tblCaption w:val="Option 2 – proposed by sponsor, re-phrased by the Secretariat:"/>
      </w:tblPr>
      <w:tblGrid>
        <w:gridCol w:w="7036"/>
      </w:tblGrid>
      <w:tr w:rsidR="0093629E" w:rsidRPr="00572867" w14:paraId="43037351" w14:textId="77777777" w:rsidTr="00B260BF">
        <w:trPr>
          <w:tblHeader/>
        </w:trPr>
        <w:tc>
          <w:tcPr>
            <w:tcW w:w="7036" w:type="dxa"/>
          </w:tcPr>
          <w:p w14:paraId="089B25BD" w14:textId="77777777" w:rsidR="0093629E" w:rsidRPr="00572867" w:rsidRDefault="0093629E" w:rsidP="007F506B">
            <w:pPr>
              <w:pStyle w:val="3Bodytext"/>
              <w:numPr>
                <w:ilvl w:val="0"/>
                <w:numId w:val="0"/>
              </w:numPr>
              <w:rPr>
                <w:rFonts w:ascii="Arial Narrow" w:hAnsi="Arial Narrow"/>
                <w:b/>
                <w:sz w:val="18"/>
                <w:szCs w:val="18"/>
              </w:rPr>
            </w:pPr>
            <w:bookmarkStart w:id="0" w:name="_GoBack" w:colFirst="0" w:colLast="1"/>
            <w:r w:rsidRPr="00572867">
              <w:rPr>
                <w:rFonts w:ascii="Arial Narrow" w:hAnsi="Arial Narrow"/>
                <w:b/>
                <w:sz w:val="18"/>
                <w:szCs w:val="18"/>
              </w:rPr>
              <w:t>Treatment criteria:</w:t>
            </w:r>
          </w:p>
        </w:tc>
      </w:tr>
      <w:bookmarkEnd w:id="0"/>
      <w:tr w:rsidR="0093629E" w:rsidRPr="00572867" w14:paraId="1C97D5EF" w14:textId="77777777" w:rsidTr="007F506B">
        <w:tc>
          <w:tcPr>
            <w:tcW w:w="7036" w:type="dxa"/>
          </w:tcPr>
          <w:p w14:paraId="766BB1FB" w14:textId="77777777" w:rsidR="0093629E" w:rsidRPr="00572867" w:rsidRDefault="0093629E" w:rsidP="007F506B">
            <w:pPr>
              <w:pStyle w:val="3Bodytext"/>
              <w:numPr>
                <w:ilvl w:val="0"/>
                <w:numId w:val="0"/>
              </w:numPr>
              <w:rPr>
                <w:rFonts w:ascii="Arial Narrow" w:hAnsi="Arial Narrow"/>
                <w:sz w:val="18"/>
                <w:szCs w:val="18"/>
              </w:rPr>
            </w:pPr>
            <w:r w:rsidRPr="00572867">
              <w:rPr>
                <w:rFonts w:ascii="Arial Narrow" w:hAnsi="Arial Narrow"/>
                <w:sz w:val="18"/>
                <w:szCs w:val="18"/>
              </w:rPr>
              <w:t>Must be treated by a specialist physician</w:t>
            </w:r>
            <w:r>
              <w:rPr>
                <w:rFonts w:ascii="Arial Narrow" w:hAnsi="Arial Narrow"/>
                <w:sz w:val="18"/>
                <w:szCs w:val="18"/>
              </w:rPr>
              <w:t>; or</w:t>
            </w:r>
          </w:p>
        </w:tc>
      </w:tr>
      <w:tr w:rsidR="0093629E" w:rsidRPr="00572867" w14:paraId="26F27F32" w14:textId="77777777" w:rsidTr="007F506B">
        <w:tc>
          <w:tcPr>
            <w:tcW w:w="7036" w:type="dxa"/>
          </w:tcPr>
          <w:p w14:paraId="07F6ED19" w14:textId="77777777" w:rsidR="0093629E" w:rsidRPr="00572867" w:rsidRDefault="0093629E" w:rsidP="007F506B">
            <w:pPr>
              <w:pStyle w:val="3Bodytext"/>
              <w:numPr>
                <w:ilvl w:val="0"/>
                <w:numId w:val="0"/>
              </w:numPr>
              <w:rPr>
                <w:rFonts w:ascii="Arial Narrow" w:hAnsi="Arial Narrow"/>
                <w:sz w:val="18"/>
                <w:szCs w:val="18"/>
              </w:rPr>
            </w:pPr>
            <w:r w:rsidRPr="00572867">
              <w:rPr>
                <w:rFonts w:ascii="Arial Narrow" w:hAnsi="Arial Narrow"/>
                <w:sz w:val="18"/>
                <w:szCs w:val="18"/>
              </w:rPr>
              <w:t>Must be treated by a physician who has consulted a specialist physician.</w:t>
            </w:r>
          </w:p>
        </w:tc>
      </w:tr>
    </w:tbl>
    <w:p w14:paraId="400673F6" w14:textId="77777777" w:rsidR="00065FB6" w:rsidRDefault="00065FB6" w:rsidP="00631DCA">
      <w:pPr>
        <w:pStyle w:val="3Bodytext"/>
        <w:numPr>
          <w:ilvl w:val="0"/>
          <w:numId w:val="0"/>
        </w:numPr>
      </w:pPr>
    </w:p>
    <w:p w14:paraId="529B7331" w14:textId="77777777" w:rsidR="001B27D7" w:rsidRPr="001D0DA6" w:rsidRDefault="001B27D7" w:rsidP="001B27D7">
      <w:pPr>
        <w:pStyle w:val="3Bodytext"/>
        <w:numPr>
          <w:ilvl w:val="0"/>
          <w:numId w:val="0"/>
        </w:numPr>
        <w:ind w:left="720"/>
      </w:pPr>
      <w:r w:rsidRPr="00525B39">
        <w:rPr>
          <w:i/>
        </w:rPr>
        <w:t>For more detail</w:t>
      </w:r>
      <w:r>
        <w:rPr>
          <w:i/>
        </w:rPr>
        <w:t xml:space="preserve"> on PBAC’s view, see section 5</w:t>
      </w:r>
      <w:r w:rsidRPr="00525B39">
        <w:rPr>
          <w:i/>
        </w:rPr>
        <w:t xml:space="preserve"> PBAC outcome.</w:t>
      </w:r>
    </w:p>
    <w:p w14:paraId="309EFBF0" w14:textId="77777777" w:rsidR="00356E5B" w:rsidRDefault="008D7A41" w:rsidP="00B95707">
      <w:pPr>
        <w:pStyle w:val="2-SectionHeading"/>
      </w:pPr>
      <w:r w:rsidRPr="003C2FB5">
        <w:lastRenderedPageBreak/>
        <w:t>C</w:t>
      </w:r>
      <w:r w:rsidR="00D84934" w:rsidRPr="003C2FB5">
        <w:t>onsideration of the evidence</w:t>
      </w:r>
    </w:p>
    <w:p w14:paraId="5E33F78F" w14:textId="77777777" w:rsidR="00214474" w:rsidRPr="00836F75" w:rsidRDefault="00214474" w:rsidP="00214474">
      <w:pPr>
        <w:pStyle w:val="4-SubsectionHeading"/>
        <w:rPr>
          <w:rFonts w:cs="Arial"/>
          <w:b w:val="0"/>
          <w:bCs/>
          <w:i w:val="0"/>
          <w:snapToGrid w:val="0"/>
          <w:szCs w:val="28"/>
        </w:rPr>
      </w:pPr>
      <w:r w:rsidRPr="00214474">
        <w:rPr>
          <w:lang w:eastAsia="en-US"/>
        </w:rPr>
        <w:t>Sponsor hearing</w:t>
      </w:r>
    </w:p>
    <w:p w14:paraId="0AAD0CD5" w14:textId="77777777" w:rsidR="00214474" w:rsidRPr="00271E1E" w:rsidRDefault="00214474" w:rsidP="00271E1E">
      <w:pPr>
        <w:widowControl w:val="0"/>
        <w:numPr>
          <w:ilvl w:val="1"/>
          <w:numId w:val="1"/>
        </w:numPr>
        <w:spacing w:after="120"/>
        <w:rPr>
          <w:rFonts w:asciiTheme="minorHAnsi" w:hAnsiTheme="minorHAnsi" w:cs="Arial"/>
          <w:bCs/>
          <w:snapToGrid w:val="0"/>
        </w:rPr>
      </w:pPr>
      <w:r w:rsidRPr="00836F75">
        <w:rPr>
          <w:rFonts w:asciiTheme="minorHAnsi" w:hAnsiTheme="minorHAnsi" w:cs="Arial"/>
          <w:bCs/>
          <w:snapToGrid w:val="0"/>
        </w:rPr>
        <w:t xml:space="preserve">There was no hearing for this item </w:t>
      </w:r>
      <w:r>
        <w:rPr>
          <w:rFonts w:asciiTheme="minorHAnsi" w:hAnsiTheme="minorHAnsi" w:cs="Arial"/>
          <w:bCs/>
          <w:snapToGrid w:val="0"/>
        </w:rPr>
        <w:t>as it was a minor submission.</w:t>
      </w:r>
    </w:p>
    <w:p w14:paraId="2BD1FFBA" w14:textId="77777777" w:rsidR="00214474" w:rsidRPr="00214474" w:rsidRDefault="00214474" w:rsidP="00214474">
      <w:pPr>
        <w:pStyle w:val="4-SubsectionHeading"/>
        <w:rPr>
          <w:lang w:eastAsia="en-US"/>
        </w:rPr>
      </w:pPr>
      <w:r w:rsidRPr="00214474">
        <w:rPr>
          <w:lang w:eastAsia="en-US"/>
        </w:rPr>
        <w:t>Consumer comments</w:t>
      </w:r>
    </w:p>
    <w:p w14:paraId="324C4CD3" w14:textId="77777777" w:rsidR="00FC4ECD" w:rsidRPr="00560A11" w:rsidRDefault="00FC4ECD" w:rsidP="00FC4ECD">
      <w:pPr>
        <w:widowControl w:val="0"/>
        <w:numPr>
          <w:ilvl w:val="1"/>
          <w:numId w:val="1"/>
        </w:numPr>
        <w:spacing w:after="120"/>
      </w:pPr>
      <w:r w:rsidRPr="00836F75">
        <w:rPr>
          <w:rFonts w:asciiTheme="minorHAnsi" w:hAnsiTheme="minorHAnsi" w:cs="Arial"/>
          <w:bCs/>
          <w:snapToGrid w:val="0"/>
        </w:rPr>
        <w:t xml:space="preserve">The PBAC noted and welcomed </w:t>
      </w:r>
      <w:r>
        <w:rPr>
          <w:rFonts w:asciiTheme="minorHAnsi" w:hAnsiTheme="minorHAnsi" w:cs="Arial"/>
          <w:bCs/>
          <w:snapToGrid w:val="0"/>
        </w:rPr>
        <w:t xml:space="preserve">the input from </w:t>
      </w:r>
      <w:r w:rsidRPr="00836F75">
        <w:rPr>
          <w:rFonts w:asciiTheme="minorHAnsi" w:hAnsiTheme="minorHAnsi" w:cs="Arial"/>
          <w:bCs/>
          <w:snapToGrid w:val="0"/>
        </w:rPr>
        <w:t>health care pr</w:t>
      </w:r>
      <w:r>
        <w:rPr>
          <w:rFonts w:asciiTheme="minorHAnsi" w:hAnsiTheme="minorHAnsi" w:cs="Arial"/>
          <w:bCs/>
          <w:snapToGrid w:val="0"/>
        </w:rPr>
        <w:t xml:space="preserve">ofessionals (12) </w:t>
      </w:r>
      <w:r w:rsidRPr="00836F75">
        <w:rPr>
          <w:rFonts w:asciiTheme="minorHAnsi" w:hAnsiTheme="minorHAnsi" w:cs="Arial"/>
          <w:bCs/>
          <w:snapToGrid w:val="0"/>
        </w:rPr>
        <w:t xml:space="preserve">via the Consumer Comments facility on the PBS website. The comments described </w:t>
      </w:r>
      <w:r>
        <w:rPr>
          <w:rFonts w:asciiTheme="minorHAnsi" w:hAnsiTheme="minorHAnsi" w:cs="Arial"/>
          <w:bCs/>
          <w:snapToGrid w:val="0"/>
        </w:rPr>
        <w:t>the benefits of treatment with evolocumab in terms of lipid-lowering effects and prevention of cardiovascular events. The majority of comments were in support of the proposed listing as a means of allowing timely access to the drug, particularly for rural and remote patients. One comment, from a consulta</w:t>
      </w:r>
      <w:r w:rsidR="00560A11">
        <w:rPr>
          <w:rFonts w:asciiTheme="minorHAnsi" w:hAnsiTheme="minorHAnsi" w:cs="Arial"/>
          <w:bCs/>
          <w:snapToGrid w:val="0"/>
        </w:rPr>
        <w:t xml:space="preserve">nt physician, stated </w:t>
      </w:r>
      <w:r w:rsidR="00102A8E">
        <w:rPr>
          <w:rFonts w:asciiTheme="minorHAnsi" w:hAnsiTheme="minorHAnsi" w:cs="Arial"/>
          <w:bCs/>
          <w:snapToGrid w:val="0"/>
        </w:rPr>
        <w:t>that</w:t>
      </w:r>
      <w:r w:rsidR="00000740">
        <w:rPr>
          <w:rFonts w:asciiTheme="minorHAnsi" w:hAnsiTheme="minorHAnsi" w:cs="Arial"/>
          <w:bCs/>
          <w:snapToGrid w:val="0"/>
        </w:rPr>
        <w:t xml:space="preserve"> </w:t>
      </w:r>
      <w:r w:rsidR="00560A11">
        <w:rPr>
          <w:rFonts w:asciiTheme="minorHAnsi" w:hAnsiTheme="minorHAnsi" w:cs="Arial"/>
          <w:bCs/>
          <w:snapToGrid w:val="0"/>
        </w:rPr>
        <w:t>patient</w:t>
      </w:r>
      <w:r w:rsidR="00102A8E">
        <w:rPr>
          <w:rFonts w:asciiTheme="minorHAnsi" w:hAnsiTheme="minorHAnsi" w:cs="Arial"/>
          <w:bCs/>
          <w:snapToGrid w:val="0"/>
        </w:rPr>
        <w:t>s</w:t>
      </w:r>
      <w:r w:rsidR="00000740">
        <w:rPr>
          <w:rFonts w:asciiTheme="minorHAnsi" w:hAnsiTheme="minorHAnsi" w:cs="Arial"/>
          <w:bCs/>
          <w:snapToGrid w:val="0"/>
        </w:rPr>
        <w:t>, in most cases,</w:t>
      </w:r>
      <w:r w:rsidR="00560A11">
        <w:rPr>
          <w:rFonts w:asciiTheme="minorHAnsi" w:hAnsiTheme="minorHAnsi" w:cs="Arial"/>
          <w:bCs/>
          <w:snapToGrid w:val="0"/>
        </w:rPr>
        <w:t xml:space="preserve"> should </w:t>
      </w:r>
      <w:r w:rsidR="00000740">
        <w:rPr>
          <w:rFonts w:asciiTheme="minorHAnsi" w:hAnsiTheme="minorHAnsi" w:cs="Arial"/>
          <w:bCs/>
          <w:snapToGrid w:val="0"/>
        </w:rPr>
        <w:t>see a</w:t>
      </w:r>
      <w:r w:rsidR="00560A11">
        <w:rPr>
          <w:rFonts w:asciiTheme="minorHAnsi" w:hAnsiTheme="minorHAnsi" w:cs="Arial"/>
          <w:bCs/>
          <w:snapToGrid w:val="0"/>
        </w:rPr>
        <w:t xml:space="preserve"> specialist before evolocumab is </w:t>
      </w:r>
      <w:r w:rsidR="006953FF">
        <w:rPr>
          <w:rFonts w:asciiTheme="minorHAnsi" w:hAnsiTheme="minorHAnsi" w:cs="Arial"/>
          <w:bCs/>
          <w:snapToGrid w:val="0"/>
        </w:rPr>
        <w:t>prescribed, and</w:t>
      </w:r>
      <w:r w:rsidR="00560A11">
        <w:rPr>
          <w:rFonts w:asciiTheme="minorHAnsi" w:hAnsiTheme="minorHAnsi" w:cs="Arial"/>
          <w:bCs/>
          <w:snapToGrid w:val="0"/>
        </w:rPr>
        <w:t xml:space="preserve"> that treatment by a GP in collaboration with a consultant physician would</w:t>
      </w:r>
      <w:r w:rsidR="00F71B71">
        <w:rPr>
          <w:rFonts w:asciiTheme="minorHAnsi" w:hAnsiTheme="minorHAnsi" w:cs="Arial"/>
          <w:bCs/>
          <w:snapToGrid w:val="0"/>
        </w:rPr>
        <w:t xml:space="preserve"> only</w:t>
      </w:r>
      <w:r w:rsidR="00560A11">
        <w:rPr>
          <w:rFonts w:asciiTheme="minorHAnsi" w:hAnsiTheme="minorHAnsi" w:cs="Arial"/>
          <w:bCs/>
          <w:snapToGrid w:val="0"/>
        </w:rPr>
        <w:t xml:space="preserve"> be appropriate</w:t>
      </w:r>
      <w:r w:rsidR="00F71B71">
        <w:rPr>
          <w:rFonts w:asciiTheme="minorHAnsi" w:hAnsiTheme="minorHAnsi" w:cs="Arial"/>
          <w:bCs/>
          <w:snapToGrid w:val="0"/>
        </w:rPr>
        <w:t xml:space="preserve"> for continuing therapy</w:t>
      </w:r>
      <w:r w:rsidR="00560A11">
        <w:rPr>
          <w:rFonts w:asciiTheme="minorHAnsi" w:hAnsiTheme="minorHAnsi" w:cs="Arial"/>
          <w:bCs/>
          <w:snapToGrid w:val="0"/>
        </w:rPr>
        <w:t>.</w:t>
      </w:r>
    </w:p>
    <w:p w14:paraId="342C14B8" w14:textId="77777777" w:rsidR="00214474" w:rsidRDefault="00214474" w:rsidP="00214474">
      <w:pPr>
        <w:pStyle w:val="4-SubsectionHeading"/>
        <w:rPr>
          <w:lang w:eastAsia="en-US"/>
        </w:rPr>
      </w:pPr>
      <w:r>
        <w:rPr>
          <w:lang w:eastAsia="en-US"/>
        </w:rPr>
        <w:t xml:space="preserve">Supporting evidence </w:t>
      </w:r>
    </w:p>
    <w:p w14:paraId="1A23970F" w14:textId="77777777" w:rsidR="0059736F" w:rsidRDefault="0059736F" w:rsidP="0059736F">
      <w:pPr>
        <w:pStyle w:val="3Bodytext"/>
        <w:jc w:val="both"/>
      </w:pPr>
      <w:r w:rsidRPr="00213D9A">
        <w:t xml:space="preserve">The </w:t>
      </w:r>
      <w:r>
        <w:t xml:space="preserve">minor </w:t>
      </w:r>
      <w:r w:rsidRPr="00213D9A">
        <w:t xml:space="preserve">submission </w:t>
      </w:r>
      <w:r>
        <w:t xml:space="preserve">provided several arguments to support the requested expanded listing. These are outlined in the table below. </w:t>
      </w:r>
    </w:p>
    <w:p w14:paraId="6266E779" w14:textId="77777777" w:rsidR="00560A11" w:rsidRPr="0059736F" w:rsidRDefault="00560A11" w:rsidP="00560A11">
      <w:pPr>
        <w:pStyle w:val="3Bodytext"/>
        <w:numPr>
          <w:ilvl w:val="0"/>
          <w:numId w:val="0"/>
        </w:numPr>
        <w:jc w:val="both"/>
      </w:pPr>
    </w:p>
    <w:p w14:paraId="32CA13F7" w14:textId="77777777" w:rsidR="00630075" w:rsidRDefault="00630075">
      <w:pPr>
        <w:jc w:val="left"/>
        <w:rPr>
          <w:rFonts w:ascii="Arial Narrow" w:eastAsiaTheme="minorHAnsi" w:hAnsi="Arial Narrow" w:cstheme="minorBidi"/>
          <w:b/>
          <w:sz w:val="20"/>
          <w:szCs w:val="20"/>
        </w:rPr>
      </w:pPr>
      <w:r>
        <w:rPr>
          <w:rFonts w:ascii="Arial Narrow" w:hAnsi="Arial Narrow"/>
          <w:b/>
          <w:sz w:val="20"/>
          <w:szCs w:val="20"/>
        </w:rPr>
        <w:br w:type="page"/>
      </w:r>
    </w:p>
    <w:p w14:paraId="20CB02AC" w14:textId="0287E789" w:rsidR="00313BDF" w:rsidRPr="00313BDF" w:rsidRDefault="00313BDF" w:rsidP="00CC7A32">
      <w:pPr>
        <w:pStyle w:val="3Bodytext"/>
        <w:numPr>
          <w:ilvl w:val="0"/>
          <w:numId w:val="0"/>
        </w:numPr>
        <w:spacing w:after="0"/>
        <w:rPr>
          <w:rFonts w:ascii="Arial Narrow" w:hAnsi="Arial Narrow"/>
          <w:b/>
          <w:sz w:val="20"/>
          <w:szCs w:val="20"/>
        </w:rPr>
      </w:pPr>
      <w:r w:rsidRPr="00313BDF">
        <w:rPr>
          <w:rFonts w:ascii="Arial Narrow" w:hAnsi="Arial Narrow"/>
          <w:b/>
          <w:sz w:val="20"/>
          <w:szCs w:val="20"/>
        </w:rPr>
        <w:t xml:space="preserve">Table 1: </w:t>
      </w:r>
      <w:r w:rsidR="00907AE3">
        <w:rPr>
          <w:rFonts w:ascii="Arial Narrow" w:hAnsi="Arial Narrow"/>
          <w:b/>
          <w:sz w:val="20"/>
          <w:szCs w:val="20"/>
        </w:rPr>
        <w:t xml:space="preserve">Arguments to support the expanded evolocumab listing </w:t>
      </w:r>
    </w:p>
    <w:tbl>
      <w:tblPr>
        <w:tblStyle w:val="TableGrid"/>
        <w:tblW w:w="5000" w:type="pct"/>
        <w:tblLook w:val="04A0" w:firstRow="1" w:lastRow="0" w:firstColumn="1" w:lastColumn="0" w:noHBand="0" w:noVBand="1"/>
        <w:tblCaption w:val="Table 1: Arguments to support the expanded evolocumab listing "/>
      </w:tblPr>
      <w:tblGrid>
        <w:gridCol w:w="2218"/>
        <w:gridCol w:w="6798"/>
      </w:tblGrid>
      <w:tr w:rsidR="0019011B" w:rsidRPr="00ED5C01" w14:paraId="137BA904" w14:textId="77777777" w:rsidTr="00CC7A32">
        <w:trPr>
          <w:trHeight w:val="287"/>
          <w:tblHeader/>
        </w:trPr>
        <w:tc>
          <w:tcPr>
            <w:tcW w:w="1230" w:type="pct"/>
          </w:tcPr>
          <w:p w14:paraId="273241AD" w14:textId="77777777" w:rsidR="0019011B" w:rsidRPr="006A6E39" w:rsidRDefault="0019011B" w:rsidP="006A6E39">
            <w:pPr>
              <w:pStyle w:val="3Bodytext"/>
              <w:numPr>
                <w:ilvl w:val="0"/>
                <w:numId w:val="0"/>
              </w:numPr>
              <w:spacing w:after="0"/>
              <w:jc w:val="center"/>
              <w:rPr>
                <w:rFonts w:ascii="Arial Narrow" w:hAnsi="Arial Narrow"/>
                <w:b/>
                <w:sz w:val="20"/>
                <w:szCs w:val="20"/>
              </w:rPr>
            </w:pPr>
            <w:r w:rsidRPr="006A6E39">
              <w:rPr>
                <w:rFonts w:ascii="Arial Narrow" w:hAnsi="Arial Narrow"/>
                <w:b/>
                <w:sz w:val="20"/>
                <w:szCs w:val="20"/>
              </w:rPr>
              <w:t>Argument</w:t>
            </w:r>
          </w:p>
        </w:tc>
        <w:tc>
          <w:tcPr>
            <w:tcW w:w="3770" w:type="pct"/>
          </w:tcPr>
          <w:p w14:paraId="4E0E3E5F" w14:textId="77777777" w:rsidR="0019011B" w:rsidRPr="006A6E39" w:rsidRDefault="0019011B" w:rsidP="006A6E39">
            <w:pPr>
              <w:pStyle w:val="Default"/>
              <w:jc w:val="center"/>
              <w:rPr>
                <w:rFonts w:ascii="Arial Narrow" w:hAnsi="Arial Narrow" w:cstheme="minorBidi"/>
                <w:b/>
                <w:color w:val="auto"/>
                <w:sz w:val="20"/>
                <w:szCs w:val="20"/>
              </w:rPr>
            </w:pPr>
            <w:r w:rsidRPr="006A6E39">
              <w:rPr>
                <w:rFonts w:ascii="Arial Narrow" w:hAnsi="Arial Narrow" w:cstheme="minorBidi"/>
                <w:b/>
                <w:color w:val="auto"/>
                <w:sz w:val="20"/>
                <w:szCs w:val="20"/>
              </w:rPr>
              <w:t>Supporting evidence</w:t>
            </w:r>
          </w:p>
        </w:tc>
      </w:tr>
      <w:tr w:rsidR="00921338" w:rsidRPr="00ED5C01" w14:paraId="184BF784" w14:textId="77777777" w:rsidTr="00CC7A32">
        <w:trPr>
          <w:trHeight w:val="1945"/>
        </w:trPr>
        <w:tc>
          <w:tcPr>
            <w:tcW w:w="1230" w:type="pct"/>
          </w:tcPr>
          <w:p w14:paraId="0A0FC484" w14:textId="77777777" w:rsidR="00313BDF" w:rsidRPr="00ED5C01" w:rsidRDefault="00313BDF" w:rsidP="00907AE3">
            <w:pPr>
              <w:pStyle w:val="3Bodytext"/>
              <w:numPr>
                <w:ilvl w:val="0"/>
                <w:numId w:val="0"/>
              </w:numPr>
              <w:spacing w:after="0"/>
              <w:rPr>
                <w:rFonts w:ascii="Arial Narrow" w:hAnsi="Arial Narrow"/>
                <w:sz w:val="20"/>
                <w:szCs w:val="20"/>
              </w:rPr>
            </w:pPr>
            <w:r w:rsidRPr="00ED5C01">
              <w:rPr>
                <w:rFonts w:ascii="Arial Narrow" w:hAnsi="Arial Narrow"/>
                <w:sz w:val="20"/>
                <w:szCs w:val="20"/>
              </w:rPr>
              <w:t xml:space="preserve">Specialist physician numbers are insufficient to initiate evolocumab treatment for the number of high-risk atherosclerotic cardiovascular disease (ASCVD) patients deemed eligible by the PBAC. </w:t>
            </w:r>
          </w:p>
        </w:tc>
        <w:tc>
          <w:tcPr>
            <w:tcW w:w="3770" w:type="pct"/>
          </w:tcPr>
          <w:p w14:paraId="19F2A910" w14:textId="77777777" w:rsidR="00313BDF" w:rsidRPr="00E523C1" w:rsidRDefault="00313BDF" w:rsidP="005147B5">
            <w:pPr>
              <w:pStyle w:val="Default"/>
              <w:numPr>
                <w:ilvl w:val="0"/>
                <w:numId w:val="11"/>
              </w:numPr>
              <w:rPr>
                <w:rFonts w:ascii="Arial Narrow" w:hAnsi="Arial Narrow" w:cstheme="minorBidi"/>
                <w:color w:val="auto"/>
                <w:sz w:val="20"/>
                <w:szCs w:val="20"/>
              </w:rPr>
            </w:pPr>
            <w:r w:rsidRPr="00E523C1">
              <w:rPr>
                <w:rFonts w:ascii="Arial Narrow" w:hAnsi="Arial Narrow" w:cstheme="minorBidi"/>
                <w:color w:val="auto"/>
                <w:sz w:val="20"/>
                <w:szCs w:val="20"/>
              </w:rPr>
              <w:t xml:space="preserve">The </w:t>
            </w:r>
            <w:r w:rsidR="00E523C1">
              <w:rPr>
                <w:rFonts w:ascii="Arial Narrow" w:hAnsi="Arial Narrow" w:cstheme="minorBidi"/>
                <w:color w:val="auto"/>
                <w:sz w:val="20"/>
                <w:szCs w:val="20"/>
              </w:rPr>
              <w:t>fi</w:t>
            </w:r>
            <w:r w:rsidR="003520D2">
              <w:rPr>
                <w:rFonts w:ascii="Arial Narrow" w:hAnsi="Arial Narrow" w:cstheme="minorBidi"/>
                <w:color w:val="auto"/>
                <w:sz w:val="20"/>
                <w:szCs w:val="20"/>
              </w:rPr>
              <w:t xml:space="preserve">nancial estimates provided by the sponsor in December 2019 </w:t>
            </w:r>
            <w:r w:rsidR="0028097C">
              <w:rPr>
                <w:rFonts w:ascii="Arial Narrow" w:hAnsi="Arial Narrow" w:cstheme="minorBidi"/>
                <w:color w:val="auto"/>
                <w:sz w:val="20"/>
                <w:szCs w:val="20"/>
              </w:rPr>
              <w:t>calculated</w:t>
            </w:r>
            <w:r w:rsidRPr="00E523C1">
              <w:rPr>
                <w:rFonts w:ascii="Arial Narrow" w:hAnsi="Arial Narrow" w:cstheme="minorBidi"/>
                <w:color w:val="auto"/>
                <w:sz w:val="20"/>
                <w:szCs w:val="20"/>
              </w:rPr>
              <w:t xml:space="preserve"> that up to </w:t>
            </w:r>
            <w:r w:rsidR="0060734C">
              <w:rPr>
                <w:rFonts w:ascii="Arial Narrow" w:hAnsi="Arial Narrow" w:cstheme="minorBidi"/>
                <w:noProof/>
                <w:sz w:val="20"/>
                <w:szCs w:val="20"/>
                <w:highlight w:val="black"/>
              </w:rPr>
              <w:t>'''''''''''''''''</w:t>
            </w:r>
            <w:r w:rsidR="00BC1FFF" w:rsidRPr="00461B4F">
              <w:rPr>
                <w:rFonts w:ascii="Arial Narrow" w:hAnsi="Arial Narrow" w:cstheme="minorBidi"/>
                <w:color w:val="auto"/>
                <w:sz w:val="20"/>
                <w:szCs w:val="20"/>
                <w:vertAlign w:val="superscript"/>
              </w:rPr>
              <w:t>1</w:t>
            </w:r>
            <w:r w:rsidRPr="00E523C1">
              <w:rPr>
                <w:rFonts w:ascii="Arial Narrow" w:hAnsi="Arial Narrow" w:cstheme="minorBidi"/>
                <w:color w:val="auto"/>
                <w:sz w:val="20"/>
                <w:szCs w:val="20"/>
              </w:rPr>
              <w:t xml:space="preserve"> patients</w:t>
            </w:r>
            <w:r w:rsidR="0019011B" w:rsidRPr="00E523C1">
              <w:rPr>
                <w:rFonts w:ascii="Arial Narrow" w:hAnsi="Arial Narrow" w:cstheme="minorBidi"/>
                <w:color w:val="auto"/>
                <w:sz w:val="20"/>
                <w:szCs w:val="20"/>
              </w:rPr>
              <w:t xml:space="preserve"> would</w:t>
            </w:r>
            <w:r w:rsidRPr="00E523C1">
              <w:rPr>
                <w:rFonts w:ascii="Arial Narrow" w:hAnsi="Arial Narrow" w:cstheme="minorBidi"/>
                <w:color w:val="auto"/>
                <w:sz w:val="20"/>
                <w:szCs w:val="20"/>
              </w:rPr>
              <w:t xml:space="preserve"> receive PBS-funded treatment. </w:t>
            </w:r>
          </w:p>
          <w:p w14:paraId="0D4C8BA1" w14:textId="77777777" w:rsidR="00921338" w:rsidRPr="00E523C1" w:rsidRDefault="00313BDF" w:rsidP="005147B5">
            <w:pPr>
              <w:pStyle w:val="Default"/>
              <w:numPr>
                <w:ilvl w:val="0"/>
                <w:numId w:val="11"/>
              </w:numPr>
              <w:rPr>
                <w:rFonts w:ascii="Arial Narrow" w:hAnsi="Arial Narrow" w:cstheme="minorBidi"/>
                <w:color w:val="auto"/>
                <w:sz w:val="20"/>
                <w:szCs w:val="20"/>
              </w:rPr>
            </w:pPr>
            <w:r w:rsidRPr="00E523C1">
              <w:rPr>
                <w:rFonts w:ascii="Arial Narrow" w:hAnsi="Arial Narrow" w:cstheme="minorBidi"/>
                <w:color w:val="auto"/>
                <w:sz w:val="20"/>
                <w:szCs w:val="20"/>
              </w:rPr>
              <w:t>In 2020, the Australian Health Practitioner Regulation Agency reported that there are 1,535 cardiologists, 1,940 general medicine physicians and 805 endocrinologists registered in Australia</w:t>
            </w:r>
            <w:r w:rsidR="00921338" w:rsidRPr="00E523C1">
              <w:rPr>
                <w:rStyle w:val="EndnoteReference"/>
                <w:rFonts w:ascii="Arial Narrow" w:hAnsi="Arial Narrow" w:cstheme="minorBidi"/>
                <w:color w:val="auto"/>
                <w:sz w:val="20"/>
                <w:szCs w:val="20"/>
              </w:rPr>
              <w:endnoteReference w:id="1"/>
            </w:r>
            <w:r w:rsidR="00921338" w:rsidRPr="00E523C1">
              <w:rPr>
                <w:rFonts w:ascii="Arial Narrow" w:hAnsi="Arial Narrow" w:cstheme="minorBidi"/>
                <w:color w:val="auto"/>
                <w:sz w:val="20"/>
                <w:szCs w:val="20"/>
              </w:rPr>
              <w:t xml:space="preserve">. </w:t>
            </w:r>
          </w:p>
          <w:p w14:paraId="4C955789" w14:textId="77777777" w:rsidR="00921338" w:rsidRPr="00907AE3" w:rsidRDefault="00921338" w:rsidP="005147B5">
            <w:pPr>
              <w:pStyle w:val="Default"/>
              <w:numPr>
                <w:ilvl w:val="0"/>
                <w:numId w:val="11"/>
              </w:numPr>
              <w:rPr>
                <w:rFonts w:ascii="Arial Narrow" w:hAnsi="Arial Narrow" w:cstheme="minorBidi"/>
                <w:color w:val="auto"/>
                <w:sz w:val="20"/>
                <w:szCs w:val="20"/>
              </w:rPr>
            </w:pPr>
            <w:r w:rsidRPr="00E523C1">
              <w:rPr>
                <w:rFonts w:ascii="Arial Narrow" w:hAnsi="Arial Narrow" w:cstheme="minorBidi"/>
                <w:color w:val="auto"/>
                <w:sz w:val="20"/>
                <w:szCs w:val="20"/>
              </w:rPr>
              <w:t>Of these specialists, approximately 1000 appear to be involved in prescribing lipid lowering therapies</w:t>
            </w:r>
            <w:r w:rsidRPr="00E523C1">
              <w:rPr>
                <w:rStyle w:val="EndnoteReference"/>
                <w:rFonts w:ascii="Arial Narrow" w:hAnsi="Arial Narrow" w:cstheme="minorBidi"/>
                <w:color w:val="auto"/>
                <w:sz w:val="20"/>
                <w:szCs w:val="20"/>
              </w:rPr>
              <w:endnoteReference w:id="2"/>
            </w:r>
            <w:r w:rsidRPr="00E523C1">
              <w:rPr>
                <w:rFonts w:ascii="Arial Narrow" w:hAnsi="Arial Narrow" w:cstheme="minorBidi"/>
                <w:color w:val="auto"/>
                <w:sz w:val="20"/>
                <w:szCs w:val="20"/>
              </w:rPr>
              <w:t>. Each specialist is therefore tasked with initiating over 500 eligible patients in addition to their current case load.</w:t>
            </w:r>
            <w:r w:rsidRPr="00ED5C01">
              <w:rPr>
                <w:rFonts w:ascii="Arial Narrow" w:hAnsi="Arial Narrow" w:cstheme="minorBidi"/>
                <w:color w:val="auto"/>
                <w:sz w:val="20"/>
                <w:szCs w:val="20"/>
              </w:rPr>
              <w:t xml:space="preserve"> </w:t>
            </w:r>
          </w:p>
        </w:tc>
      </w:tr>
      <w:tr w:rsidR="00313BDF" w:rsidRPr="00ED5C01" w14:paraId="12805894" w14:textId="77777777" w:rsidTr="00CC7A32">
        <w:trPr>
          <w:trHeight w:val="5785"/>
        </w:trPr>
        <w:tc>
          <w:tcPr>
            <w:tcW w:w="1230" w:type="pct"/>
          </w:tcPr>
          <w:p w14:paraId="35634724" w14:textId="77777777" w:rsidR="00921338" w:rsidRPr="00ED5C01" w:rsidRDefault="0019011B" w:rsidP="00907AE3">
            <w:pPr>
              <w:autoSpaceDE w:val="0"/>
              <w:autoSpaceDN w:val="0"/>
              <w:adjustRightInd w:val="0"/>
              <w:jc w:val="left"/>
              <w:rPr>
                <w:rFonts w:ascii="Arial Narrow" w:hAnsi="Arial Narrow"/>
                <w:sz w:val="20"/>
                <w:szCs w:val="20"/>
              </w:rPr>
            </w:pPr>
            <w:r>
              <w:rPr>
                <w:rFonts w:ascii="Arial Narrow" w:hAnsi="Arial Narrow"/>
                <w:sz w:val="20"/>
                <w:szCs w:val="20"/>
              </w:rPr>
              <w:lastRenderedPageBreak/>
              <w:t>R</w:t>
            </w:r>
            <w:r w:rsidR="00921338" w:rsidRPr="00ED5C01">
              <w:rPr>
                <w:rFonts w:ascii="Arial Narrow" w:hAnsi="Arial Narrow"/>
                <w:sz w:val="20"/>
                <w:szCs w:val="20"/>
              </w:rPr>
              <w:t>estricting treatment initiation to specialist physicians only</w:t>
            </w:r>
            <w:r>
              <w:rPr>
                <w:rFonts w:ascii="Arial Narrow" w:hAnsi="Arial Narrow"/>
                <w:sz w:val="20"/>
                <w:szCs w:val="20"/>
              </w:rPr>
              <w:t xml:space="preserve"> creates inequity of access.</w:t>
            </w:r>
          </w:p>
        </w:tc>
        <w:tc>
          <w:tcPr>
            <w:tcW w:w="3770" w:type="pct"/>
          </w:tcPr>
          <w:p w14:paraId="3CACEECB" w14:textId="77777777" w:rsidR="00921338" w:rsidRDefault="00921338" w:rsidP="0024640F">
            <w:pPr>
              <w:pStyle w:val="Default"/>
              <w:numPr>
                <w:ilvl w:val="0"/>
                <w:numId w:val="12"/>
              </w:numPr>
              <w:rPr>
                <w:rFonts w:ascii="Arial Narrow" w:hAnsi="Arial Narrow" w:cstheme="minorBidi"/>
                <w:color w:val="auto"/>
                <w:sz w:val="20"/>
                <w:szCs w:val="20"/>
              </w:rPr>
            </w:pPr>
            <w:r>
              <w:rPr>
                <w:rFonts w:ascii="Arial Narrow" w:hAnsi="Arial Narrow" w:cstheme="minorBidi"/>
                <w:color w:val="auto"/>
                <w:sz w:val="20"/>
                <w:szCs w:val="20"/>
              </w:rPr>
              <w:t>Geography:</w:t>
            </w:r>
          </w:p>
          <w:p w14:paraId="5151BCDC" w14:textId="77777777" w:rsidR="00921338" w:rsidRPr="003724A1" w:rsidRDefault="00921338" w:rsidP="0024640F">
            <w:pPr>
              <w:pStyle w:val="Default"/>
              <w:numPr>
                <w:ilvl w:val="1"/>
                <w:numId w:val="11"/>
              </w:numPr>
              <w:rPr>
                <w:rFonts w:ascii="Arial Narrow" w:hAnsi="Arial Narrow" w:cstheme="minorBidi"/>
                <w:color w:val="auto"/>
                <w:sz w:val="20"/>
                <w:szCs w:val="20"/>
              </w:rPr>
            </w:pPr>
            <w:r w:rsidRPr="003724A1">
              <w:rPr>
                <w:rFonts w:ascii="Arial Narrow" w:hAnsi="Arial Narrow" w:cstheme="minorBidi"/>
                <w:color w:val="auto"/>
                <w:sz w:val="20"/>
                <w:szCs w:val="20"/>
              </w:rPr>
              <w:t>One in four Australians living in non-urban regions suffer from CVD</w:t>
            </w:r>
            <w:r w:rsidR="00D3239C">
              <w:rPr>
                <w:rFonts w:ascii="Arial Narrow" w:hAnsi="Arial Narrow" w:cstheme="minorBidi"/>
                <w:color w:val="auto"/>
                <w:sz w:val="20"/>
                <w:szCs w:val="20"/>
              </w:rPr>
              <w:t>. People living in remote and very remote areas have 30% higher hospitalisation rates for CVD compared to those liv</w:t>
            </w:r>
            <w:r w:rsidR="00EC1D2A">
              <w:rPr>
                <w:rFonts w:ascii="Arial Narrow" w:hAnsi="Arial Narrow" w:cstheme="minorBidi"/>
                <w:color w:val="auto"/>
                <w:sz w:val="20"/>
                <w:szCs w:val="20"/>
              </w:rPr>
              <w:t xml:space="preserve">ing in metropolitan areas, and </w:t>
            </w:r>
            <w:r w:rsidR="00D3239C">
              <w:rPr>
                <w:rFonts w:ascii="Arial Narrow" w:hAnsi="Arial Narrow" w:cstheme="minorBidi"/>
                <w:color w:val="auto"/>
                <w:sz w:val="20"/>
                <w:szCs w:val="20"/>
              </w:rPr>
              <w:t>CVD death rates are 1.4 times higher in remote and very remote areas than metropolitan areas</w:t>
            </w:r>
            <w:r w:rsidRPr="003724A1">
              <w:rPr>
                <w:rStyle w:val="EndnoteReference"/>
                <w:rFonts w:ascii="Arial Narrow" w:hAnsi="Arial Narrow" w:cstheme="minorBidi"/>
                <w:color w:val="auto"/>
                <w:sz w:val="20"/>
                <w:szCs w:val="20"/>
              </w:rPr>
              <w:endnoteReference w:id="3"/>
            </w:r>
            <w:r w:rsidRPr="003724A1">
              <w:rPr>
                <w:rFonts w:ascii="Arial Narrow" w:hAnsi="Arial Narrow" w:cstheme="minorBidi"/>
                <w:color w:val="auto"/>
                <w:sz w:val="20"/>
                <w:szCs w:val="20"/>
                <w:vertAlign w:val="superscript"/>
              </w:rPr>
              <w:t>,</w:t>
            </w:r>
            <w:r w:rsidRPr="003724A1">
              <w:rPr>
                <w:rStyle w:val="EndnoteReference"/>
                <w:rFonts w:ascii="Arial Narrow" w:hAnsi="Arial Narrow" w:cstheme="minorBidi"/>
                <w:color w:val="auto"/>
                <w:sz w:val="20"/>
                <w:szCs w:val="20"/>
              </w:rPr>
              <w:endnoteReference w:id="4"/>
            </w:r>
            <w:r w:rsidRPr="003724A1">
              <w:rPr>
                <w:rFonts w:ascii="Arial Narrow" w:hAnsi="Arial Narrow" w:cstheme="minorBidi"/>
                <w:color w:val="auto"/>
                <w:sz w:val="20"/>
                <w:szCs w:val="20"/>
              </w:rPr>
              <w:t xml:space="preserve">. </w:t>
            </w:r>
          </w:p>
          <w:p w14:paraId="47C718F7" w14:textId="77777777" w:rsidR="00921338" w:rsidRPr="00ED5C01" w:rsidRDefault="00921338" w:rsidP="0024640F">
            <w:pPr>
              <w:pStyle w:val="Default"/>
              <w:numPr>
                <w:ilvl w:val="1"/>
                <w:numId w:val="11"/>
              </w:numPr>
              <w:rPr>
                <w:rFonts w:ascii="Arial Narrow" w:hAnsi="Arial Narrow" w:cstheme="minorBidi"/>
                <w:color w:val="auto"/>
                <w:sz w:val="20"/>
                <w:szCs w:val="20"/>
              </w:rPr>
            </w:pPr>
            <w:r w:rsidRPr="00ED5C01">
              <w:rPr>
                <w:rFonts w:ascii="Arial Narrow" w:hAnsi="Arial Narrow"/>
                <w:sz w:val="20"/>
                <w:szCs w:val="20"/>
              </w:rPr>
              <w:t>Only 11.5% of cardiologists are located in regional, rural and remote areas and the availability of local specialist services diminishes with population remoteness</w:t>
            </w:r>
            <w:r>
              <w:rPr>
                <w:rStyle w:val="EndnoteReference"/>
                <w:rFonts w:ascii="Arial Narrow" w:hAnsi="Arial Narrow"/>
                <w:sz w:val="20"/>
                <w:szCs w:val="20"/>
              </w:rPr>
              <w:endnoteReference w:id="5"/>
            </w:r>
            <w:r w:rsidRPr="004A2C1F">
              <w:rPr>
                <w:rFonts w:ascii="Arial Narrow" w:hAnsi="Arial Narrow"/>
                <w:sz w:val="20"/>
                <w:szCs w:val="20"/>
                <w:vertAlign w:val="superscript"/>
              </w:rPr>
              <w:t>,</w:t>
            </w:r>
            <w:r>
              <w:rPr>
                <w:rStyle w:val="EndnoteReference"/>
                <w:rFonts w:ascii="Arial Narrow" w:hAnsi="Arial Narrow"/>
                <w:sz w:val="20"/>
                <w:szCs w:val="20"/>
              </w:rPr>
              <w:endnoteReference w:id="6"/>
            </w:r>
            <w:r w:rsidRPr="00ED5C01">
              <w:rPr>
                <w:rFonts w:ascii="Arial Narrow" w:hAnsi="Arial Narrow"/>
                <w:sz w:val="20"/>
                <w:szCs w:val="20"/>
              </w:rPr>
              <w:t>.</w:t>
            </w:r>
          </w:p>
          <w:p w14:paraId="3C159BCA" w14:textId="77777777" w:rsidR="00921338" w:rsidRPr="00E410C8" w:rsidRDefault="00921338" w:rsidP="0024640F">
            <w:pPr>
              <w:pStyle w:val="Default"/>
              <w:numPr>
                <w:ilvl w:val="0"/>
                <w:numId w:val="11"/>
              </w:numPr>
              <w:rPr>
                <w:rFonts w:ascii="Arial Narrow" w:hAnsi="Arial Narrow" w:cstheme="minorBidi"/>
                <w:color w:val="auto"/>
                <w:sz w:val="20"/>
                <w:szCs w:val="20"/>
              </w:rPr>
            </w:pPr>
            <w:r w:rsidRPr="00ED5C01">
              <w:rPr>
                <w:rFonts w:ascii="Arial Narrow" w:hAnsi="Arial Narrow"/>
                <w:sz w:val="20"/>
                <w:szCs w:val="20"/>
              </w:rPr>
              <w:t>S</w:t>
            </w:r>
            <w:r>
              <w:rPr>
                <w:rFonts w:ascii="Arial Narrow" w:hAnsi="Arial Narrow"/>
                <w:sz w:val="20"/>
                <w:szCs w:val="20"/>
              </w:rPr>
              <w:t>ocio-economic status:</w:t>
            </w:r>
          </w:p>
          <w:p w14:paraId="240668FB" w14:textId="77777777" w:rsidR="00921338" w:rsidRPr="000C46E1" w:rsidRDefault="00921338" w:rsidP="0024640F">
            <w:pPr>
              <w:pStyle w:val="Default"/>
              <w:numPr>
                <w:ilvl w:val="1"/>
                <w:numId w:val="11"/>
              </w:numPr>
              <w:rPr>
                <w:rFonts w:ascii="Arial Narrow" w:hAnsi="Arial Narrow" w:cstheme="minorBidi"/>
                <w:color w:val="auto"/>
                <w:sz w:val="20"/>
                <w:szCs w:val="20"/>
              </w:rPr>
            </w:pPr>
            <w:r w:rsidRPr="000C46E1">
              <w:rPr>
                <w:rFonts w:ascii="Arial Narrow" w:hAnsi="Arial Narrow"/>
                <w:sz w:val="20"/>
                <w:szCs w:val="20"/>
              </w:rPr>
              <w:t>In 2016, Australians living in the lowest socioeconomic areas reported 1.76 times the heart attack rates compared to those in the highest socioeconomic areas and were 1.5 times more likely to die from their disease</w:t>
            </w:r>
            <w:r>
              <w:rPr>
                <w:rStyle w:val="EndnoteReference"/>
                <w:rFonts w:ascii="Arial Narrow" w:hAnsi="Arial Narrow"/>
                <w:sz w:val="20"/>
                <w:szCs w:val="20"/>
              </w:rPr>
              <w:endnoteReference w:id="7"/>
            </w:r>
            <w:r>
              <w:t>.</w:t>
            </w:r>
          </w:p>
          <w:p w14:paraId="24F61B6F" w14:textId="77777777" w:rsidR="00921338" w:rsidRPr="000C46E1" w:rsidRDefault="00921338" w:rsidP="0024640F">
            <w:pPr>
              <w:pStyle w:val="Default"/>
              <w:numPr>
                <w:ilvl w:val="1"/>
                <w:numId w:val="11"/>
              </w:numPr>
              <w:rPr>
                <w:rFonts w:ascii="Arial Narrow" w:hAnsi="Arial Narrow" w:cstheme="minorBidi"/>
                <w:color w:val="auto"/>
                <w:sz w:val="20"/>
                <w:szCs w:val="20"/>
              </w:rPr>
            </w:pPr>
            <w:r w:rsidRPr="000C46E1">
              <w:rPr>
                <w:rFonts w:ascii="Arial Narrow" w:hAnsi="Arial Narrow"/>
                <w:sz w:val="20"/>
                <w:szCs w:val="20"/>
              </w:rPr>
              <w:t>Cardiologists are also less likely to practice in the public hospital sector, with 60% working in the private sector</w:t>
            </w:r>
            <w:r>
              <w:rPr>
                <w:rStyle w:val="EndnoteReference"/>
                <w:rFonts w:ascii="Arial Narrow" w:hAnsi="Arial Narrow"/>
                <w:sz w:val="20"/>
                <w:szCs w:val="20"/>
              </w:rPr>
              <w:endnoteReference w:id="8"/>
            </w:r>
            <w:r>
              <w:t>.</w:t>
            </w:r>
          </w:p>
          <w:p w14:paraId="10873849" w14:textId="77777777" w:rsidR="000C46E1" w:rsidRPr="000C46E1" w:rsidRDefault="00921338" w:rsidP="0024640F">
            <w:pPr>
              <w:pStyle w:val="Default"/>
              <w:numPr>
                <w:ilvl w:val="1"/>
                <w:numId w:val="11"/>
              </w:numPr>
              <w:rPr>
                <w:rFonts w:ascii="Arial Narrow" w:hAnsi="Arial Narrow" w:cstheme="minorBidi"/>
                <w:color w:val="auto"/>
                <w:sz w:val="20"/>
                <w:szCs w:val="20"/>
              </w:rPr>
            </w:pPr>
            <w:r w:rsidRPr="000C46E1">
              <w:rPr>
                <w:rFonts w:ascii="Arial Narrow" w:hAnsi="Arial Narrow"/>
                <w:sz w:val="20"/>
                <w:szCs w:val="20"/>
              </w:rPr>
              <w:t>The</w:t>
            </w:r>
            <w:r>
              <w:t xml:space="preserve"> </w:t>
            </w:r>
            <w:r w:rsidRPr="000C46E1">
              <w:rPr>
                <w:rFonts w:ascii="Arial Narrow" w:hAnsi="Arial Narrow"/>
                <w:sz w:val="20"/>
                <w:szCs w:val="20"/>
              </w:rPr>
              <w:t>South Australian Health Specialist Outpatient Clinics Waiting Ti</w:t>
            </w:r>
            <w:r>
              <w:rPr>
                <w:rFonts w:ascii="Arial Narrow" w:hAnsi="Arial Narrow"/>
                <w:sz w:val="20"/>
                <w:szCs w:val="20"/>
              </w:rPr>
              <w:t xml:space="preserve">me Report (December 2019) </w:t>
            </w:r>
            <w:r w:rsidRPr="000C46E1">
              <w:rPr>
                <w:rFonts w:ascii="Arial Narrow" w:hAnsi="Arial Narrow"/>
                <w:sz w:val="20"/>
                <w:szCs w:val="20"/>
              </w:rPr>
              <w:t>reported a median waiting time of over a year to see a cardiologist at the State’s largest hospital (Royal Adelaide Hospital</w:t>
            </w:r>
            <w:r>
              <w:rPr>
                <w:rFonts w:ascii="Arial Narrow" w:hAnsi="Arial Narrow"/>
                <w:sz w:val="20"/>
                <w:szCs w:val="20"/>
              </w:rPr>
              <w:t>)</w:t>
            </w:r>
            <w:r>
              <w:rPr>
                <w:rStyle w:val="EndnoteReference"/>
                <w:rFonts w:ascii="Arial Narrow" w:hAnsi="Arial Narrow"/>
                <w:sz w:val="20"/>
                <w:szCs w:val="20"/>
              </w:rPr>
              <w:endnoteReference w:id="9"/>
            </w:r>
            <w:r>
              <w:rPr>
                <w:rFonts w:ascii="Arial Narrow" w:hAnsi="Arial Narrow"/>
                <w:sz w:val="20"/>
                <w:szCs w:val="20"/>
              </w:rPr>
              <w:t>.</w:t>
            </w:r>
          </w:p>
          <w:p w14:paraId="2E86FC85" w14:textId="77777777" w:rsidR="00E410C8" w:rsidRDefault="00E410C8" w:rsidP="0024640F">
            <w:pPr>
              <w:pStyle w:val="ListParagraph"/>
              <w:widowControl w:val="0"/>
              <w:numPr>
                <w:ilvl w:val="0"/>
                <w:numId w:val="11"/>
              </w:numPr>
              <w:autoSpaceDE w:val="0"/>
              <w:autoSpaceDN w:val="0"/>
              <w:adjustRightInd w:val="0"/>
              <w:spacing w:after="0"/>
              <w:rPr>
                <w:rFonts w:ascii="Arial Narrow" w:hAnsi="Arial Narrow"/>
                <w:sz w:val="20"/>
                <w:szCs w:val="20"/>
              </w:rPr>
            </w:pPr>
            <w:r w:rsidRPr="00ED5C01">
              <w:rPr>
                <w:rFonts w:ascii="Arial Narrow" w:hAnsi="Arial Narrow"/>
                <w:sz w:val="20"/>
                <w:szCs w:val="20"/>
              </w:rPr>
              <w:t>Aboriginal and Torres Strait Islanders</w:t>
            </w:r>
            <w:r>
              <w:rPr>
                <w:rFonts w:ascii="Arial Narrow" w:hAnsi="Arial Narrow"/>
                <w:sz w:val="20"/>
                <w:szCs w:val="20"/>
              </w:rPr>
              <w:t>;</w:t>
            </w:r>
            <w:r w:rsidRPr="00ED5C01">
              <w:rPr>
                <w:rFonts w:ascii="Arial Narrow" w:hAnsi="Arial Narrow"/>
                <w:sz w:val="20"/>
                <w:szCs w:val="20"/>
              </w:rPr>
              <w:t xml:space="preserve"> those with mental illness</w:t>
            </w:r>
            <w:r>
              <w:rPr>
                <w:rFonts w:ascii="Arial Narrow" w:hAnsi="Arial Narrow"/>
                <w:sz w:val="20"/>
                <w:szCs w:val="20"/>
              </w:rPr>
              <w:t>;</w:t>
            </w:r>
            <w:r w:rsidRPr="00ED5C01">
              <w:rPr>
                <w:rFonts w:ascii="Arial Narrow" w:hAnsi="Arial Narrow"/>
                <w:sz w:val="20"/>
                <w:szCs w:val="20"/>
              </w:rPr>
              <w:t xml:space="preserve"> and the elderly</w:t>
            </w:r>
            <w:r>
              <w:rPr>
                <w:rFonts w:ascii="Arial Narrow" w:hAnsi="Arial Narrow"/>
                <w:sz w:val="20"/>
                <w:szCs w:val="20"/>
              </w:rPr>
              <w:t>:</w:t>
            </w:r>
          </w:p>
          <w:p w14:paraId="0B925668" w14:textId="77777777" w:rsidR="00E410C8" w:rsidRPr="00E410C8" w:rsidRDefault="000C46E1" w:rsidP="0024640F">
            <w:pPr>
              <w:pStyle w:val="ListParagraph"/>
              <w:widowControl w:val="0"/>
              <w:numPr>
                <w:ilvl w:val="1"/>
                <w:numId w:val="11"/>
              </w:numPr>
              <w:autoSpaceDE w:val="0"/>
              <w:autoSpaceDN w:val="0"/>
              <w:adjustRightInd w:val="0"/>
              <w:spacing w:after="0"/>
              <w:rPr>
                <w:rFonts w:ascii="Arial Narrow" w:hAnsi="Arial Narrow"/>
                <w:sz w:val="20"/>
                <w:szCs w:val="20"/>
              </w:rPr>
            </w:pPr>
            <w:r w:rsidRPr="00E410C8">
              <w:rPr>
                <w:rFonts w:ascii="Arial Narrow" w:hAnsi="Arial Narrow"/>
                <w:color w:val="000000"/>
                <w:sz w:val="20"/>
                <w:szCs w:val="20"/>
                <w:shd w:val="clear" w:color="auto" w:fill="FFFFFF"/>
              </w:rPr>
              <w:t>Sixteen percent of Indigenous peoples aged 35-74 years have a high primary absolute CVD risk</w:t>
            </w:r>
            <w:r w:rsidR="00EC1D2A">
              <w:rPr>
                <w:rFonts w:ascii="Arial Narrow" w:hAnsi="Arial Narrow"/>
                <w:color w:val="000000"/>
                <w:sz w:val="20"/>
                <w:szCs w:val="20"/>
                <w:shd w:val="clear" w:color="auto" w:fill="FFFFFF"/>
              </w:rPr>
              <w:t>, and</w:t>
            </w:r>
            <w:r w:rsidRPr="00E410C8">
              <w:rPr>
                <w:rFonts w:ascii="Arial Narrow" w:hAnsi="Arial Narrow"/>
                <w:color w:val="000000"/>
                <w:sz w:val="20"/>
                <w:szCs w:val="20"/>
                <w:shd w:val="clear" w:color="auto" w:fill="FFFFFF"/>
              </w:rPr>
              <w:t xml:space="preserve"> </w:t>
            </w:r>
            <w:r w:rsidR="00D3239C">
              <w:rPr>
                <w:rFonts w:ascii="Arial Narrow" w:hAnsi="Arial Narrow"/>
                <w:color w:val="000000"/>
                <w:sz w:val="20"/>
                <w:szCs w:val="20"/>
                <w:shd w:val="clear" w:color="auto" w:fill="FFFFFF"/>
              </w:rPr>
              <w:t>I</w:t>
            </w:r>
            <w:r w:rsidR="00D3239C" w:rsidRPr="00E410C8">
              <w:rPr>
                <w:rFonts w:ascii="Arial Narrow" w:hAnsi="Arial Narrow"/>
                <w:color w:val="000000"/>
                <w:sz w:val="20"/>
                <w:szCs w:val="20"/>
                <w:shd w:val="clear" w:color="auto" w:fill="FFFFFF"/>
              </w:rPr>
              <w:t xml:space="preserve">ndigenous people </w:t>
            </w:r>
            <w:r w:rsidR="00D3239C">
              <w:rPr>
                <w:rFonts w:ascii="Arial Narrow" w:hAnsi="Arial Narrow"/>
                <w:color w:val="000000"/>
                <w:sz w:val="20"/>
                <w:szCs w:val="20"/>
                <w:shd w:val="clear" w:color="auto" w:fill="FFFFFF"/>
              </w:rPr>
              <w:t>die from circulatory diseases at 1.7 times the rate of non-Indigenous Australians</w:t>
            </w:r>
            <w:r w:rsidR="00921338">
              <w:rPr>
                <w:rStyle w:val="EndnoteReference"/>
                <w:rFonts w:ascii="Arial Narrow" w:hAnsi="Arial Narrow"/>
                <w:color w:val="000000"/>
                <w:sz w:val="20"/>
                <w:szCs w:val="20"/>
                <w:shd w:val="clear" w:color="auto" w:fill="FFFFFF"/>
              </w:rPr>
              <w:endnoteReference w:id="10"/>
            </w:r>
            <w:r w:rsidR="00921338" w:rsidRPr="00921338">
              <w:rPr>
                <w:rFonts w:ascii="Arial Narrow" w:hAnsi="Arial Narrow"/>
                <w:color w:val="000000"/>
                <w:sz w:val="20"/>
                <w:szCs w:val="20"/>
                <w:shd w:val="clear" w:color="auto" w:fill="FFFFFF"/>
                <w:vertAlign w:val="superscript"/>
              </w:rPr>
              <w:t>,</w:t>
            </w:r>
            <w:r w:rsidR="00921338">
              <w:rPr>
                <w:rStyle w:val="EndnoteReference"/>
                <w:rFonts w:ascii="Arial Narrow" w:hAnsi="Arial Narrow"/>
                <w:color w:val="000000"/>
                <w:sz w:val="20"/>
                <w:szCs w:val="20"/>
                <w:shd w:val="clear" w:color="auto" w:fill="FFFFFF"/>
              </w:rPr>
              <w:endnoteReference w:id="11"/>
            </w:r>
            <w:r w:rsidRPr="00E410C8">
              <w:rPr>
                <w:rFonts w:ascii="Arial Narrow" w:hAnsi="Arial Narrow"/>
                <w:sz w:val="20"/>
                <w:szCs w:val="20"/>
                <w:shd w:val="clear" w:color="auto" w:fill="FFFFFF"/>
              </w:rPr>
              <w:t>.</w:t>
            </w:r>
          </w:p>
          <w:p w14:paraId="08099054" w14:textId="77777777" w:rsidR="00E410C8" w:rsidRDefault="00E410C8" w:rsidP="0024640F">
            <w:pPr>
              <w:pStyle w:val="ListParagraph"/>
              <w:widowControl w:val="0"/>
              <w:numPr>
                <w:ilvl w:val="1"/>
                <w:numId w:val="11"/>
              </w:numPr>
              <w:autoSpaceDE w:val="0"/>
              <w:autoSpaceDN w:val="0"/>
              <w:adjustRightInd w:val="0"/>
              <w:spacing w:after="0"/>
              <w:rPr>
                <w:rFonts w:ascii="Arial Narrow" w:hAnsi="Arial Narrow"/>
                <w:sz w:val="20"/>
                <w:szCs w:val="20"/>
              </w:rPr>
            </w:pPr>
            <w:r>
              <w:rPr>
                <w:rFonts w:ascii="Arial Narrow" w:hAnsi="Arial Narrow"/>
                <w:iCs/>
                <w:sz w:val="20"/>
                <w:szCs w:val="20"/>
              </w:rPr>
              <w:t>Serious mental illness patients face a</w:t>
            </w:r>
            <w:r w:rsidR="000C46E1" w:rsidRPr="00E410C8">
              <w:rPr>
                <w:rFonts w:ascii="Arial Narrow" w:hAnsi="Arial Narrow"/>
                <w:iCs/>
                <w:sz w:val="20"/>
                <w:szCs w:val="20"/>
              </w:rPr>
              <w:t xml:space="preserve"> 78% chance of developing CVD over the longer term</w:t>
            </w:r>
            <w:r w:rsidR="00921338">
              <w:rPr>
                <w:rStyle w:val="EndnoteReference"/>
                <w:rFonts w:ascii="Arial Narrow" w:hAnsi="Arial Narrow"/>
                <w:iCs/>
                <w:sz w:val="20"/>
                <w:szCs w:val="20"/>
              </w:rPr>
              <w:endnoteReference w:id="12"/>
            </w:r>
            <w:r w:rsidR="000C46E1" w:rsidRPr="00E410C8">
              <w:rPr>
                <w:rFonts w:ascii="Arial Narrow" w:hAnsi="Arial Narrow"/>
                <w:sz w:val="20"/>
                <w:szCs w:val="20"/>
              </w:rPr>
              <w:t xml:space="preserve">. </w:t>
            </w:r>
          </w:p>
          <w:p w14:paraId="71F290FF" w14:textId="77777777" w:rsidR="00E410C8" w:rsidRPr="00E410C8" w:rsidRDefault="000C46E1" w:rsidP="0024640F">
            <w:pPr>
              <w:pStyle w:val="ListParagraph"/>
              <w:widowControl w:val="0"/>
              <w:numPr>
                <w:ilvl w:val="1"/>
                <w:numId w:val="11"/>
              </w:numPr>
              <w:autoSpaceDE w:val="0"/>
              <w:autoSpaceDN w:val="0"/>
              <w:adjustRightInd w:val="0"/>
              <w:spacing w:after="0"/>
            </w:pPr>
            <w:r w:rsidRPr="00E410C8">
              <w:rPr>
                <w:rFonts w:ascii="Arial Narrow" w:hAnsi="Arial Narrow"/>
                <w:sz w:val="20"/>
                <w:szCs w:val="20"/>
              </w:rPr>
              <w:t>In Australia, the AIHW reported that 30% of patients aged over 65 years report high LDL-C levels and more than 4 out of 5 CVD hospitalisations (83%) occur in high-risk patients aged 55 years or olde</w:t>
            </w:r>
            <w:r w:rsidR="005147B5">
              <w:rPr>
                <w:rFonts w:ascii="Arial Narrow" w:hAnsi="Arial Narrow"/>
                <w:sz w:val="20"/>
                <w:szCs w:val="20"/>
              </w:rPr>
              <w:t>r</w:t>
            </w:r>
            <w:r w:rsidR="00921338">
              <w:rPr>
                <w:rStyle w:val="EndnoteReference"/>
                <w:rFonts w:ascii="Arial Narrow" w:hAnsi="Arial Narrow"/>
                <w:sz w:val="20"/>
                <w:szCs w:val="20"/>
              </w:rPr>
              <w:endnoteReference w:id="13"/>
            </w:r>
            <w:r w:rsidR="005147B5">
              <w:rPr>
                <w:rFonts w:ascii="Arial Narrow" w:hAnsi="Arial Narrow"/>
                <w:sz w:val="20"/>
                <w:szCs w:val="20"/>
              </w:rPr>
              <w:t>.</w:t>
            </w:r>
          </w:p>
          <w:p w14:paraId="01B18678" w14:textId="77777777" w:rsidR="000C46E1" w:rsidRPr="000C46E1" w:rsidRDefault="000C46E1" w:rsidP="00907AE3">
            <w:pPr>
              <w:pStyle w:val="ListParagraph"/>
              <w:spacing w:after="0"/>
              <w:ind w:left="0"/>
            </w:pPr>
            <w:r w:rsidRPr="00E410C8">
              <w:rPr>
                <w:rFonts w:ascii="Arial Narrow" w:hAnsi="Arial Narrow" w:cstheme="minorBidi"/>
                <w:sz w:val="20"/>
                <w:szCs w:val="20"/>
              </w:rPr>
              <w:t>I</w:t>
            </w:r>
          </w:p>
        </w:tc>
      </w:tr>
      <w:tr w:rsidR="00E410C8" w:rsidRPr="00ED5C01" w14:paraId="6C910AAF" w14:textId="77777777" w:rsidTr="00CC7A32">
        <w:trPr>
          <w:trHeight w:val="1026"/>
        </w:trPr>
        <w:tc>
          <w:tcPr>
            <w:tcW w:w="1230" w:type="pct"/>
          </w:tcPr>
          <w:p w14:paraId="60D2D4F9" w14:textId="77777777" w:rsidR="00E410C8" w:rsidRPr="00E410C8" w:rsidRDefault="00E410C8" w:rsidP="00907AE3">
            <w:pPr>
              <w:widowControl w:val="0"/>
              <w:autoSpaceDE w:val="0"/>
              <w:autoSpaceDN w:val="0"/>
              <w:adjustRightInd w:val="0"/>
              <w:jc w:val="left"/>
              <w:rPr>
                <w:rFonts w:ascii="Arial Narrow" w:hAnsi="Arial Narrow"/>
                <w:sz w:val="20"/>
                <w:szCs w:val="20"/>
              </w:rPr>
            </w:pPr>
            <w:r w:rsidRPr="00E410C8">
              <w:rPr>
                <w:rFonts w:ascii="Arial Narrow" w:hAnsi="Arial Narrow"/>
                <w:sz w:val="20"/>
                <w:szCs w:val="20"/>
              </w:rPr>
              <w:t>Evolocumab eligible patients are at even higher risk during Covid-19.</w:t>
            </w:r>
          </w:p>
          <w:p w14:paraId="13412F93" w14:textId="77777777" w:rsidR="00E410C8" w:rsidRPr="00ED5C01" w:rsidRDefault="00E410C8" w:rsidP="00907AE3">
            <w:pPr>
              <w:autoSpaceDE w:val="0"/>
              <w:autoSpaceDN w:val="0"/>
              <w:adjustRightInd w:val="0"/>
              <w:rPr>
                <w:rFonts w:ascii="Arial Narrow" w:hAnsi="Arial Narrow"/>
                <w:sz w:val="20"/>
                <w:szCs w:val="20"/>
              </w:rPr>
            </w:pPr>
          </w:p>
        </w:tc>
        <w:tc>
          <w:tcPr>
            <w:tcW w:w="3770" w:type="pct"/>
          </w:tcPr>
          <w:p w14:paraId="46CAC915" w14:textId="77777777" w:rsidR="00907AE3" w:rsidRPr="00907AE3" w:rsidRDefault="00907AE3" w:rsidP="005147B5">
            <w:pPr>
              <w:pStyle w:val="Default"/>
              <w:numPr>
                <w:ilvl w:val="0"/>
                <w:numId w:val="13"/>
              </w:numPr>
              <w:rPr>
                <w:rFonts w:ascii="Arial Narrow" w:hAnsi="Arial Narrow" w:cstheme="minorBidi"/>
                <w:color w:val="auto"/>
                <w:sz w:val="20"/>
                <w:szCs w:val="20"/>
              </w:rPr>
            </w:pPr>
            <w:r w:rsidRPr="00907AE3">
              <w:rPr>
                <w:rFonts w:ascii="Arial Narrow" w:hAnsi="Arial Narrow"/>
                <w:sz w:val="20"/>
                <w:szCs w:val="20"/>
              </w:rPr>
              <w:t xml:space="preserve">The Cardiovascular Disease and Covid-19: Australian/New Zealand Consensus Statement states that </w:t>
            </w:r>
            <w:r w:rsidRPr="006C3F9F">
              <w:rPr>
                <w:rFonts w:ascii="Arial Narrow" w:hAnsi="Arial Narrow"/>
                <w:sz w:val="20"/>
                <w:szCs w:val="20"/>
              </w:rPr>
              <w:t>“</w:t>
            </w:r>
            <w:r w:rsidRPr="00D50B49">
              <w:rPr>
                <w:rFonts w:ascii="Arial Narrow" w:hAnsi="Arial Narrow"/>
                <w:sz w:val="20"/>
                <w:szCs w:val="20"/>
              </w:rPr>
              <w:t>the presence of underlying cardiovascular disease (CVD) confers the highest mortality with COVID-19 disease, and thus patients with CVD must be considered a particularly high-risk population</w:t>
            </w:r>
            <w:r w:rsidR="004A2C1F">
              <w:rPr>
                <w:rFonts w:ascii="Arial Narrow" w:hAnsi="Arial Narrow"/>
                <w:sz w:val="20"/>
                <w:szCs w:val="20"/>
              </w:rPr>
              <w:t>”</w:t>
            </w:r>
            <w:r w:rsidR="00921338">
              <w:rPr>
                <w:rStyle w:val="EndnoteReference"/>
                <w:rFonts w:ascii="Arial Narrow" w:hAnsi="Arial Narrow"/>
                <w:sz w:val="20"/>
                <w:szCs w:val="20"/>
              </w:rPr>
              <w:endnoteReference w:id="14"/>
            </w:r>
            <w:r w:rsidR="004A2C1F">
              <w:rPr>
                <w:rFonts w:ascii="Arial Narrow" w:hAnsi="Arial Narrow"/>
                <w:sz w:val="20"/>
                <w:szCs w:val="20"/>
              </w:rPr>
              <w:t>.</w:t>
            </w:r>
          </w:p>
        </w:tc>
      </w:tr>
      <w:tr w:rsidR="00907AE3" w:rsidRPr="00ED5C01" w14:paraId="7A511C26" w14:textId="77777777" w:rsidTr="00CC7A32">
        <w:trPr>
          <w:trHeight w:val="852"/>
        </w:trPr>
        <w:tc>
          <w:tcPr>
            <w:tcW w:w="1230" w:type="pct"/>
          </w:tcPr>
          <w:p w14:paraId="1353D689" w14:textId="77777777" w:rsidR="00907AE3" w:rsidRPr="00907AE3" w:rsidRDefault="0019011B" w:rsidP="00F74863">
            <w:pPr>
              <w:keepNext/>
              <w:keepLines/>
              <w:widowControl w:val="0"/>
              <w:jc w:val="left"/>
              <w:rPr>
                <w:rFonts w:ascii="Arial Narrow" w:hAnsi="Arial Narrow"/>
                <w:sz w:val="20"/>
                <w:szCs w:val="20"/>
              </w:rPr>
            </w:pPr>
            <w:r>
              <w:rPr>
                <w:rFonts w:ascii="Arial Narrow" w:hAnsi="Arial Narrow"/>
                <w:sz w:val="20"/>
                <w:szCs w:val="20"/>
              </w:rPr>
              <w:t>There is c</w:t>
            </w:r>
            <w:r w:rsidR="00907AE3" w:rsidRPr="00907AE3">
              <w:rPr>
                <w:rFonts w:ascii="Arial Narrow" w:hAnsi="Arial Narrow"/>
                <w:sz w:val="20"/>
                <w:szCs w:val="20"/>
              </w:rPr>
              <w:t>linician support for the proposed amendment</w:t>
            </w:r>
            <w:r w:rsidR="00907AE3">
              <w:rPr>
                <w:rFonts w:ascii="Arial Narrow" w:hAnsi="Arial Narrow"/>
                <w:sz w:val="20"/>
                <w:szCs w:val="20"/>
              </w:rPr>
              <w:t>.</w:t>
            </w:r>
          </w:p>
          <w:p w14:paraId="1259FC18" w14:textId="77777777" w:rsidR="00907AE3" w:rsidRPr="00E410C8" w:rsidRDefault="00907AE3" w:rsidP="00F74863">
            <w:pPr>
              <w:keepNext/>
              <w:keepLines/>
              <w:widowControl w:val="0"/>
              <w:autoSpaceDE w:val="0"/>
              <w:autoSpaceDN w:val="0"/>
              <w:adjustRightInd w:val="0"/>
              <w:jc w:val="left"/>
              <w:rPr>
                <w:rFonts w:ascii="Arial Narrow" w:hAnsi="Arial Narrow"/>
                <w:sz w:val="20"/>
                <w:szCs w:val="20"/>
              </w:rPr>
            </w:pPr>
          </w:p>
        </w:tc>
        <w:tc>
          <w:tcPr>
            <w:tcW w:w="3770" w:type="pct"/>
          </w:tcPr>
          <w:p w14:paraId="2128F2A5" w14:textId="77777777" w:rsidR="00907AE3" w:rsidRPr="001D0DA6" w:rsidRDefault="00907AE3" w:rsidP="00F74863">
            <w:pPr>
              <w:pStyle w:val="ListParagraph"/>
              <w:keepNext/>
              <w:keepLines/>
              <w:numPr>
                <w:ilvl w:val="0"/>
                <w:numId w:val="13"/>
              </w:numPr>
              <w:spacing w:after="0"/>
              <w:ind w:left="357" w:hanging="357"/>
              <w:rPr>
                <w:rFonts w:ascii="Arial Narrow" w:hAnsi="Arial Narrow"/>
                <w:sz w:val="20"/>
                <w:szCs w:val="20"/>
              </w:rPr>
            </w:pPr>
            <w:r w:rsidRPr="001D0DA6">
              <w:rPr>
                <w:rFonts w:ascii="Arial Narrow" w:hAnsi="Arial Narrow"/>
                <w:sz w:val="20"/>
                <w:szCs w:val="20"/>
              </w:rPr>
              <w:t xml:space="preserve">Of the 43,513 GPs currently registered across Australia, it is anticipated that up to 2,500 GPs who sub-specialise in ASCVD will be confident to initiate evolocumab treatment with support from their cardiologist, or endocrinologist partner. </w:t>
            </w:r>
            <w:r w:rsidR="00631DCA" w:rsidRPr="002E02A8">
              <w:rPr>
                <w:rFonts w:ascii="Arial Narrow" w:hAnsi="Arial Narrow"/>
                <w:sz w:val="20"/>
                <w:szCs w:val="20"/>
              </w:rPr>
              <w:t xml:space="preserve">The </w:t>
            </w:r>
            <w:r w:rsidR="002E02A8">
              <w:rPr>
                <w:rFonts w:ascii="Arial Narrow" w:hAnsi="Arial Narrow"/>
                <w:sz w:val="20"/>
                <w:szCs w:val="20"/>
              </w:rPr>
              <w:t>PBAC</w:t>
            </w:r>
            <w:r w:rsidR="00631DCA" w:rsidRPr="002E02A8">
              <w:rPr>
                <w:rFonts w:ascii="Arial Narrow" w:hAnsi="Arial Narrow"/>
                <w:sz w:val="20"/>
                <w:szCs w:val="20"/>
              </w:rPr>
              <w:t xml:space="preserve"> noted that</w:t>
            </w:r>
            <w:r w:rsidR="004F3043" w:rsidRPr="002E02A8">
              <w:rPr>
                <w:rFonts w:ascii="Arial Narrow" w:hAnsi="Arial Narrow"/>
                <w:sz w:val="20"/>
                <w:szCs w:val="20"/>
              </w:rPr>
              <w:t>, according to the reference provided by the sponsor, the number of GPs currently registered</w:t>
            </w:r>
            <w:r w:rsidR="004F3043" w:rsidRPr="001D0DA6">
              <w:rPr>
                <w:rFonts w:ascii="Arial Narrow" w:hAnsi="Arial Narrow"/>
                <w:sz w:val="20"/>
                <w:szCs w:val="20"/>
              </w:rPr>
              <w:t xml:space="preserve"> in Australia is 27,145. There are 43,513 medical practitioners with General Registration</w:t>
            </w:r>
            <w:r w:rsidR="004F3043" w:rsidRPr="001D0DA6">
              <w:rPr>
                <w:rFonts w:ascii="Arial Narrow" w:hAnsi="Arial Narrow"/>
                <w:sz w:val="20"/>
                <w:szCs w:val="20"/>
                <w:vertAlign w:val="superscript"/>
              </w:rPr>
              <w:t>1</w:t>
            </w:r>
            <w:r w:rsidR="004F3043" w:rsidRPr="001D0DA6">
              <w:rPr>
                <w:rFonts w:ascii="Arial Narrow" w:hAnsi="Arial Narrow"/>
                <w:sz w:val="20"/>
                <w:szCs w:val="20"/>
              </w:rPr>
              <w:t>.</w:t>
            </w:r>
            <w:r w:rsidR="00631DCA" w:rsidRPr="001D0DA6">
              <w:rPr>
                <w:rFonts w:ascii="Arial Narrow" w:hAnsi="Arial Narrow"/>
                <w:sz w:val="20"/>
                <w:szCs w:val="20"/>
              </w:rPr>
              <w:t xml:space="preserve"> </w:t>
            </w:r>
          </w:p>
          <w:p w14:paraId="3AF17A2F" w14:textId="77777777" w:rsidR="00907AE3" w:rsidRPr="001D0DA6" w:rsidRDefault="00907AE3" w:rsidP="00F74863">
            <w:pPr>
              <w:pStyle w:val="ListParagraph"/>
              <w:keepNext/>
              <w:keepLines/>
              <w:numPr>
                <w:ilvl w:val="0"/>
                <w:numId w:val="13"/>
              </w:numPr>
              <w:spacing w:after="0"/>
              <w:ind w:left="357" w:hanging="357"/>
              <w:rPr>
                <w:rFonts w:ascii="Arial Narrow" w:hAnsi="Arial Narrow"/>
                <w:sz w:val="20"/>
                <w:szCs w:val="20"/>
              </w:rPr>
            </w:pPr>
            <w:r w:rsidRPr="001D0DA6">
              <w:rPr>
                <w:rFonts w:ascii="Arial Narrow" w:hAnsi="Arial Narrow"/>
                <w:sz w:val="20"/>
                <w:szCs w:val="20"/>
              </w:rPr>
              <w:t xml:space="preserve">Members of the sponsor’s advisory board have advised that there are several established pathways through which specialists and GPs </w:t>
            </w:r>
            <w:r w:rsidR="005147B5" w:rsidRPr="001D0DA6">
              <w:rPr>
                <w:rFonts w:ascii="Arial Narrow" w:hAnsi="Arial Narrow"/>
                <w:sz w:val="20"/>
                <w:szCs w:val="20"/>
              </w:rPr>
              <w:t xml:space="preserve">can </w:t>
            </w:r>
            <w:r w:rsidRPr="001D0DA6">
              <w:rPr>
                <w:rFonts w:ascii="Arial Narrow" w:hAnsi="Arial Narrow"/>
                <w:sz w:val="20"/>
                <w:szCs w:val="20"/>
              </w:rPr>
              <w:t xml:space="preserve">collaborate on appropriate patient care within the community. </w:t>
            </w:r>
          </w:p>
          <w:p w14:paraId="5CE93989" w14:textId="77777777" w:rsidR="00907AE3" w:rsidRPr="00907AE3" w:rsidRDefault="00907AE3" w:rsidP="00F74863">
            <w:pPr>
              <w:pStyle w:val="ListParagraph"/>
              <w:keepNext/>
              <w:keepLines/>
              <w:numPr>
                <w:ilvl w:val="1"/>
                <w:numId w:val="13"/>
              </w:numPr>
              <w:spacing w:after="0"/>
              <w:rPr>
                <w:rFonts w:ascii="Arial Narrow" w:hAnsi="Arial Narrow"/>
                <w:sz w:val="20"/>
                <w:szCs w:val="20"/>
              </w:rPr>
            </w:pPr>
            <w:r w:rsidRPr="00907AE3">
              <w:rPr>
                <w:rFonts w:ascii="Arial Narrow" w:hAnsi="Arial Narrow"/>
                <w:sz w:val="20"/>
                <w:szCs w:val="20"/>
              </w:rPr>
              <w:t xml:space="preserve">These include multidisciplinary case conferences, the hospital discharge letter, </w:t>
            </w:r>
            <w:r>
              <w:rPr>
                <w:rFonts w:ascii="Arial Narrow" w:hAnsi="Arial Narrow"/>
                <w:sz w:val="20"/>
                <w:szCs w:val="20"/>
              </w:rPr>
              <w:t xml:space="preserve">and </w:t>
            </w:r>
            <w:r w:rsidRPr="00907AE3">
              <w:rPr>
                <w:rFonts w:ascii="Arial Narrow" w:hAnsi="Arial Narrow"/>
                <w:sz w:val="20"/>
                <w:szCs w:val="20"/>
              </w:rPr>
              <w:t xml:space="preserve">the specialist’s response to the GP patient referral letter following in-person or telehealth consultation and e-mail correspondence.  </w:t>
            </w:r>
          </w:p>
        </w:tc>
      </w:tr>
      <w:tr w:rsidR="00907AE3" w:rsidRPr="00ED5C01" w14:paraId="489EC95D" w14:textId="77777777" w:rsidTr="00CC7A32">
        <w:trPr>
          <w:trHeight w:val="998"/>
        </w:trPr>
        <w:tc>
          <w:tcPr>
            <w:tcW w:w="1230" w:type="pct"/>
          </w:tcPr>
          <w:p w14:paraId="14B1E6C7" w14:textId="77777777" w:rsidR="00907AE3" w:rsidRPr="00907AE3" w:rsidRDefault="0019011B" w:rsidP="00960648">
            <w:pPr>
              <w:widowControl w:val="0"/>
              <w:jc w:val="left"/>
              <w:rPr>
                <w:rFonts w:ascii="Arial Narrow" w:hAnsi="Arial Narrow"/>
                <w:sz w:val="20"/>
                <w:szCs w:val="20"/>
              </w:rPr>
            </w:pPr>
            <w:r>
              <w:rPr>
                <w:rFonts w:ascii="Arial Narrow" w:hAnsi="Arial Narrow"/>
                <w:sz w:val="20"/>
                <w:szCs w:val="20"/>
              </w:rPr>
              <w:t>There will be n</w:t>
            </w:r>
            <w:r w:rsidR="00907AE3" w:rsidRPr="00907AE3">
              <w:rPr>
                <w:rFonts w:ascii="Arial Narrow" w:hAnsi="Arial Narrow"/>
                <w:sz w:val="20"/>
                <w:szCs w:val="20"/>
              </w:rPr>
              <w:t xml:space="preserve">o additional financial </w:t>
            </w:r>
            <w:r>
              <w:rPr>
                <w:rFonts w:ascii="Arial Narrow" w:hAnsi="Arial Narrow"/>
                <w:sz w:val="20"/>
                <w:szCs w:val="20"/>
              </w:rPr>
              <w:t>i</w:t>
            </w:r>
            <w:r w:rsidR="00907AE3" w:rsidRPr="00907AE3">
              <w:rPr>
                <w:rFonts w:ascii="Arial Narrow" w:hAnsi="Arial Narrow"/>
                <w:sz w:val="20"/>
                <w:szCs w:val="20"/>
              </w:rPr>
              <w:t xml:space="preserve">mpact </w:t>
            </w:r>
            <w:r w:rsidR="001D7D19">
              <w:rPr>
                <w:rFonts w:ascii="Arial Narrow" w:hAnsi="Arial Narrow"/>
                <w:sz w:val="20"/>
                <w:szCs w:val="20"/>
              </w:rPr>
              <w:t xml:space="preserve">beyond </w:t>
            </w:r>
            <w:r w:rsidR="002E52F7">
              <w:rPr>
                <w:rFonts w:ascii="Arial Narrow" w:hAnsi="Arial Narrow"/>
                <w:sz w:val="20"/>
                <w:szCs w:val="20"/>
              </w:rPr>
              <w:t xml:space="preserve">the </w:t>
            </w:r>
            <w:r w:rsidR="00960648">
              <w:rPr>
                <w:rFonts w:ascii="Arial Narrow" w:hAnsi="Arial Narrow"/>
                <w:sz w:val="20"/>
                <w:szCs w:val="20"/>
              </w:rPr>
              <w:t xml:space="preserve">existing financial estimates and RSA. </w:t>
            </w:r>
          </w:p>
        </w:tc>
        <w:tc>
          <w:tcPr>
            <w:tcW w:w="3770" w:type="pct"/>
          </w:tcPr>
          <w:p w14:paraId="07EF1545" w14:textId="77777777" w:rsidR="00E0137C" w:rsidRPr="00E0137C" w:rsidRDefault="00960648" w:rsidP="00E0137C">
            <w:pPr>
              <w:pStyle w:val="ListParagraph"/>
              <w:numPr>
                <w:ilvl w:val="0"/>
                <w:numId w:val="14"/>
              </w:numPr>
              <w:spacing w:after="0"/>
              <w:ind w:left="357" w:hanging="357"/>
              <w:rPr>
                <w:rFonts w:ascii="Arial Narrow" w:hAnsi="Arial Narrow"/>
                <w:sz w:val="20"/>
                <w:szCs w:val="20"/>
              </w:rPr>
            </w:pPr>
            <w:r>
              <w:rPr>
                <w:rFonts w:ascii="Arial Narrow" w:hAnsi="Arial Narrow"/>
                <w:sz w:val="20"/>
                <w:szCs w:val="20"/>
              </w:rPr>
              <w:t>The minor submission claimed that t</w:t>
            </w:r>
            <w:r w:rsidR="0028097C">
              <w:rPr>
                <w:rFonts w:ascii="Arial Narrow" w:hAnsi="Arial Narrow"/>
                <w:sz w:val="20"/>
                <w:szCs w:val="20"/>
              </w:rPr>
              <w:t>he</w:t>
            </w:r>
            <w:r w:rsidR="003520D2">
              <w:rPr>
                <w:rFonts w:ascii="Arial Narrow" w:hAnsi="Arial Narrow"/>
                <w:sz w:val="20"/>
                <w:szCs w:val="20"/>
              </w:rPr>
              <w:t xml:space="preserve"> patient numbers that informed the </w:t>
            </w:r>
            <w:r w:rsidR="00E0137C" w:rsidRPr="00E0137C">
              <w:rPr>
                <w:rFonts w:ascii="Arial Narrow" w:hAnsi="Arial Narrow"/>
                <w:sz w:val="20"/>
                <w:szCs w:val="20"/>
              </w:rPr>
              <w:t>financial estimates</w:t>
            </w:r>
            <w:r w:rsidR="001B6BD1">
              <w:rPr>
                <w:rFonts w:ascii="Arial Narrow" w:hAnsi="Arial Narrow"/>
                <w:sz w:val="20"/>
                <w:szCs w:val="20"/>
              </w:rPr>
              <w:t xml:space="preserve"> </w:t>
            </w:r>
            <w:r w:rsidR="0028097C">
              <w:rPr>
                <w:rFonts w:ascii="Arial Narrow" w:hAnsi="Arial Narrow"/>
                <w:sz w:val="20"/>
                <w:szCs w:val="20"/>
              </w:rPr>
              <w:t>of the</w:t>
            </w:r>
            <w:r w:rsidR="001B6BD1">
              <w:rPr>
                <w:rFonts w:ascii="Arial Narrow" w:hAnsi="Arial Narrow"/>
                <w:sz w:val="20"/>
                <w:szCs w:val="20"/>
              </w:rPr>
              <w:t xml:space="preserve"> current</w:t>
            </w:r>
            <w:r w:rsidR="0028097C">
              <w:rPr>
                <w:rFonts w:ascii="Arial Narrow" w:hAnsi="Arial Narrow"/>
                <w:sz w:val="20"/>
                <w:szCs w:val="20"/>
              </w:rPr>
              <w:t xml:space="preserve"> RSA</w:t>
            </w:r>
            <w:r w:rsidR="003520D2">
              <w:rPr>
                <w:rFonts w:ascii="Arial Narrow" w:hAnsi="Arial Narrow"/>
                <w:sz w:val="20"/>
                <w:szCs w:val="20"/>
              </w:rPr>
              <w:t xml:space="preserve"> were calculated </w:t>
            </w:r>
            <w:r w:rsidR="00E0137C" w:rsidRPr="00E0137C">
              <w:rPr>
                <w:rFonts w:ascii="Arial Narrow" w:hAnsi="Arial Narrow"/>
                <w:sz w:val="20"/>
                <w:szCs w:val="20"/>
              </w:rPr>
              <w:t>based</w:t>
            </w:r>
            <w:r w:rsidR="003520D2">
              <w:rPr>
                <w:rFonts w:ascii="Arial Narrow" w:hAnsi="Arial Narrow"/>
                <w:sz w:val="20"/>
                <w:szCs w:val="20"/>
              </w:rPr>
              <w:t xml:space="preserve"> on the assumption that </w:t>
            </w:r>
            <w:r w:rsidR="00E0137C" w:rsidRPr="00E0137C">
              <w:rPr>
                <w:rFonts w:ascii="Arial Narrow" w:hAnsi="Arial Narrow"/>
                <w:sz w:val="20"/>
                <w:szCs w:val="20"/>
              </w:rPr>
              <w:t>GP</w:t>
            </w:r>
            <w:r w:rsidR="003520D2">
              <w:rPr>
                <w:rFonts w:ascii="Arial Narrow" w:hAnsi="Arial Narrow"/>
                <w:sz w:val="20"/>
                <w:szCs w:val="20"/>
              </w:rPr>
              <w:t>s would be able to initiate treatment in consultation with a specialist physician.</w:t>
            </w:r>
            <w:r w:rsidR="00E0137C" w:rsidRPr="00E0137C">
              <w:rPr>
                <w:rFonts w:ascii="Arial Narrow" w:hAnsi="Arial Narrow"/>
                <w:sz w:val="20"/>
                <w:szCs w:val="20"/>
              </w:rPr>
              <w:t xml:space="preserve"> </w:t>
            </w:r>
          </w:p>
          <w:p w14:paraId="7A0FBBA6" w14:textId="77777777" w:rsidR="00921338" w:rsidRPr="00921338" w:rsidRDefault="00907AE3" w:rsidP="00E0137C">
            <w:pPr>
              <w:pStyle w:val="ListParagraph"/>
              <w:numPr>
                <w:ilvl w:val="0"/>
                <w:numId w:val="14"/>
              </w:numPr>
              <w:spacing w:after="0"/>
              <w:ind w:left="357" w:hanging="357"/>
              <w:rPr>
                <w:rFonts w:ascii="Arial Narrow" w:hAnsi="Arial Narrow"/>
                <w:sz w:val="20"/>
                <w:szCs w:val="20"/>
              </w:rPr>
            </w:pPr>
            <w:r w:rsidRPr="00E0137C">
              <w:rPr>
                <w:rFonts w:ascii="Arial Narrow" w:hAnsi="Arial Narrow"/>
                <w:sz w:val="20"/>
                <w:szCs w:val="20"/>
              </w:rPr>
              <w:t>In proposing the amendment, the sponsor does not anticipate an</w:t>
            </w:r>
            <w:r w:rsidR="0028097C">
              <w:rPr>
                <w:rFonts w:ascii="Arial Narrow" w:hAnsi="Arial Narrow"/>
                <w:sz w:val="20"/>
                <w:szCs w:val="20"/>
              </w:rPr>
              <w:t xml:space="preserve">y change to the special pricing </w:t>
            </w:r>
            <w:r w:rsidRPr="00E0137C">
              <w:rPr>
                <w:rFonts w:ascii="Arial Narrow" w:hAnsi="Arial Narrow"/>
                <w:sz w:val="20"/>
                <w:szCs w:val="20"/>
              </w:rPr>
              <w:t>arrange</w:t>
            </w:r>
            <w:r w:rsidR="00E523C1">
              <w:rPr>
                <w:rFonts w:ascii="Arial Narrow" w:hAnsi="Arial Narrow"/>
                <w:sz w:val="20"/>
                <w:szCs w:val="20"/>
              </w:rPr>
              <w:t>ment (SPA) and RSA</w:t>
            </w:r>
            <w:r w:rsidR="004D61FA">
              <w:rPr>
                <w:rFonts w:ascii="Arial Narrow" w:hAnsi="Arial Narrow"/>
                <w:sz w:val="20"/>
                <w:szCs w:val="20"/>
              </w:rPr>
              <w:t>,</w:t>
            </w:r>
            <w:r w:rsidR="00E523C1">
              <w:rPr>
                <w:rFonts w:ascii="Arial Narrow" w:hAnsi="Arial Narrow"/>
                <w:sz w:val="20"/>
                <w:szCs w:val="20"/>
              </w:rPr>
              <w:t xml:space="preserve"> which inform</w:t>
            </w:r>
            <w:r w:rsidRPr="00E0137C">
              <w:rPr>
                <w:rFonts w:ascii="Arial Narrow" w:hAnsi="Arial Narrow"/>
                <w:sz w:val="20"/>
                <w:szCs w:val="20"/>
              </w:rPr>
              <w:t xml:space="preserve"> the existing Evolocumab Deed of Agreement.</w:t>
            </w:r>
            <w:r w:rsidRPr="00907AE3">
              <w:rPr>
                <w:rFonts w:ascii="Arial Narrow" w:hAnsi="Arial Narrow"/>
                <w:sz w:val="20"/>
                <w:szCs w:val="20"/>
              </w:rPr>
              <w:t xml:space="preserve"> </w:t>
            </w:r>
          </w:p>
        </w:tc>
      </w:tr>
    </w:tbl>
    <w:p w14:paraId="0E9FCA95" w14:textId="77777777" w:rsidR="00921338" w:rsidRDefault="00921338" w:rsidP="00921338">
      <w:pPr>
        <w:rPr>
          <w:rFonts w:ascii="Arial Narrow" w:hAnsi="Arial Narrow"/>
          <w:sz w:val="18"/>
          <w:szCs w:val="18"/>
          <w:lang w:eastAsia="en-US"/>
        </w:rPr>
      </w:pPr>
      <w:r>
        <w:rPr>
          <w:rFonts w:ascii="Arial Narrow" w:hAnsi="Arial Narrow"/>
          <w:sz w:val="18"/>
          <w:szCs w:val="18"/>
          <w:lang w:eastAsia="en-US"/>
        </w:rPr>
        <w:t>Source: Minor submission, pages 4-11</w:t>
      </w:r>
    </w:p>
    <w:p w14:paraId="232B68C8" w14:textId="77777777" w:rsidR="00BC1FFF" w:rsidRPr="00461B4F" w:rsidRDefault="00BC1FFF" w:rsidP="00921338">
      <w:pPr>
        <w:rPr>
          <w:rFonts w:ascii="Arial Narrow" w:hAnsi="Arial Narrow"/>
          <w:i/>
          <w:sz w:val="18"/>
          <w:szCs w:val="18"/>
          <w:lang w:eastAsia="en-US"/>
        </w:rPr>
      </w:pPr>
      <w:r w:rsidRPr="00461B4F">
        <w:rPr>
          <w:rFonts w:ascii="Arial Narrow" w:hAnsi="Arial Narrow"/>
          <w:i/>
          <w:sz w:val="18"/>
          <w:szCs w:val="18"/>
          <w:lang w:eastAsia="en-US"/>
        </w:rPr>
        <w:t>The redacted values correspond to the following range:</w:t>
      </w:r>
    </w:p>
    <w:p w14:paraId="535F9267" w14:textId="77777777" w:rsidR="00BC1FFF" w:rsidRPr="00461B4F" w:rsidRDefault="00BC1FFF" w:rsidP="00921338">
      <w:pPr>
        <w:rPr>
          <w:rFonts w:ascii="Arial Narrow" w:hAnsi="Arial Narrow"/>
          <w:i/>
          <w:sz w:val="18"/>
          <w:szCs w:val="18"/>
          <w:lang w:eastAsia="en-US"/>
        </w:rPr>
      </w:pPr>
      <w:r w:rsidRPr="00461B4F">
        <w:rPr>
          <w:rFonts w:ascii="Arial Narrow" w:hAnsi="Arial Narrow"/>
          <w:i/>
          <w:sz w:val="18"/>
          <w:szCs w:val="18"/>
          <w:vertAlign w:val="superscript"/>
          <w:lang w:eastAsia="en-US"/>
        </w:rPr>
        <w:lastRenderedPageBreak/>
        <w:t>1</w:t>
      </w:r>
      <w:r w:rsidRPr="00461B4F">
        <w:rPr>
          <w:rFonts w:ascii="Arial Narrow" w:hAnsi="Arial Narrow"/>
          <w:i/>
          <w:sz w:val="18"/>
          <w:szCs w:val="18"/>
          <w:lang w:eastAsia="en-US"/>
        </w:rPr>
        <w:t>50,000 to 60,000</w:t>
      </w:r>
    </w:p>
    <w:p w14:paraId="148059C7" w14:textId="77777777" w:rsidR="00631DCA" w:rsidRPr="00921338" w:rsidRDefault="00631DCA" w:rsidP="00921338">
      <w:pPr>
        <w:rPr>
          <w:rFonts w:ascii="Arial Narrow" w:hAnsi="Arial Narrow"/>
          <w:sz w:val="18"/>
          <w:szCs w:val="18"/>
          <w:lang w:eastAsia="en-US"/>
        </w:rPr>
      </w:pPr>
    </w:p>
    <w:p w14:paraId="1B00F166" w14:textId="77777777" w:rsidR="005A3173" w:rsidRPr="008306F3" w:rsidRDefault="005A3173" w:rsidP="00B95707">
      <w:pPr>
        <w:pStyle w:val="4-SubsectionHeading"/>
        <w:rPr>
          <w:lang w:eastAsia="en-US"/>
        </w:rPr>
      </w:pPr>
      <w:r w:rsidRPr="003C2FB5">
        <w:rPr>
          <w:lang w:eastAsia="en-US"/>
        </w:rPr>
        <w:t>Estimated PBS usage &amp; financial implications</w:t>
      </w:r>
    </w:p>
    <w:p w14:paraId="0E39A22F" w14:textId="77777777" w:rsidR="0013752F" w:rsidRDefault="00FF2801" w:rsidP="0013752F">
      <w:pPr>
        <w:pStyle w:val="3Bodytext"/>
        <w:jc w:val="both"/>
      </w:pPr>
      <w:r w:rsidRPr="003C2FB5">
        <w:t>The</w:t>
      </w:r>
      <w:r w:rsidR="008539F5">
        <w:t xml:space="preserve"> minor</w:t>
      </w:r>
      <w:r w:rsidRPr="003C2FB5">
        <w:t xml:space="preserve"> submission </w:t>
      </w:r>
      <w:r w:rsidR="003724A1">
        <w:t>claimed</w:t>
      </w:r>
      <w:r w:rsidR="008539F5">
        <w:t xml:space="preserve"> that the proposed amendment would not increase the cost of evolocuma</w:t>
      </w:r>
      <w:r w:rsidR="00E0137C">
        <w:t xml:space="preserve">b above the financial estimates that </w:t>
      </w:r>
      <w:r w:rsidR="008539F5">
        <w:t xml:space="preserve">form the basis of the RSA. </w:t>
      </w:r>
    </w:p>
    <w:p w14:paraId="540FAD87" w14:textId="77777777" w:rsidR="008539F5" w:rsidRDefault="003724A1" w:rsidP="0013752F">
      <w:pPr>
        <w:pStyle w:val="3Bodytext"/>
        <w:jc w:val="both"/>
      </w:pPr>
      <w:r>
        <w:t>The minor submission also claimed</w:t>
      </w:r>
      <w:r w:rsidR="008539F5">
        <w:t xml:space="preserve"> that these estimates already assumed GPs would initiate treatment in consultation with specialists under an Authority </w:t>
      </w:r>
      <w:r w:rsidR="006C3F9F">
        <w:t xml:space="preserve">Required </w:t>
      </w:r>
      <w:r w:rsidR="008539F5">
        <w:t xml:space="preserve">restriction. </w:t>
      </w:r>
    </w:p>
    <w:p w14:paraId="788106AE" w14:textId="77777777" w:rsidR="00CE2373" w:rsidRPr="001D0DA6" w:rsidRDefault="00CE2373" w:rsidP="0013752F">
      <w:pPr>
        <w:pStyle w:val="3Bodytext"/>
        <w:jc w:val="both"/>
      </w:pPr>
      <w:r w:rsidRPr="001D0DA6">
        <w:t xml:space="preserve">The </w:t>
      </w:r>
      <w:r w:rsidR="002122BD">
        <w:t xml:space="preserve">PBAC noted that these two </w:t>
      </w:r>
      <w:r w:rsidRPr="001D0DA6">
        <w:t xml:space="preserve">claims appear to be reasonable. </w:t>
      </w:r>
      <w:r w:rsidR="002122BD">
        <w:t>Data extracted by the PBAC Drug Utilisation Subcommittee (</w:t>
      </w:r>
      <w:r w:rsidRPr="001D0DA6">
        <w:t>DUS</w:t>
      </w:r>
      <w:r w:rsidR="003C7841" w:rsidRPr="001D0DA6">
        <w:t>C</w:t>
      </w:r>
      <w:r w:rsidR="002122BD">
        <w:t xml:space="preserve">) Secretariat </w:t>
      </w:r>
      <w:r w:rsidR="0032548D">
        <w:t xml:space="preserve">showed that, </w:t>
      </w:r>
      <w:r w:rsidR="003C7841" w:rsidRPr="001D0DA6">
        <w:t>from 2017-2019</w:t>
      </w:r>
      <w:r w:rsidR="0032548D">
        <w:t>,</w:t>
      </w:r>
      <w:r w:rsidR="003C7841" w:rsidRPr="001D0DA6">
        <w:t xml:space="preserve"> </w:t>
      </w:r>
      <w:r w:rsidRPr="001D0DA6">
        <w:t>GPs</w:t>
      </w:r>
      <w:r w:rsidR="0032548D">
        <w:t xml:space="preserve"> were</w:t>
      </w:r>
      <w:r w:rsidRPr="001D0DA6">
        <w:t xml:space="preserve"> identified as prescribers for current claims, although they tend</w:t>
      </w:r>
      <w:r w:rsidR="0032548D">
        <w:t>ed</w:t>
      </w:r>
      <w:r w:rsidRPr="001D0DA6">
        <w:t xml:space="preserve"> to be more involved in prescribing continuing scripts. Further, based on the </w:t>
      </w:r>
      <w:r w:rsidR="001C2629" w:rsidRPr="001D0DA6">
        <w:t>Deed</w:t>
      </w:r>
      <w:r w:rsidRPr="001D0DA6">
        <w:t xml:space="preserve"> for evolocumab, current use is within the RSA</w:t>
      </w:r>
      <w:r w:rsidR="001C2629" w:rsidRPr="001D0DA6">
        <w:t>.</w:t>
      </w:r>
      <w:r w:rsidRPr="001D0DA6">
        <w:t xml:space="preserve"> </w:t>
      </w:r>
    </w:p>
    <w:p w14:paraId="08EA3DF8" w14:textId="77777777" w:rsidR="008539F5" w:rsidRPr="001D0DA6" w:rsidRDefault="003724A1" w:rsidP="00B96FF8">
      <w:pPr>
        <w:pStyle w:val="3Bodytext"/>
        <w:jc w:val="both"/>
      </w:pPr>
      <w:r w:rsidRPr="001D0DA6">
        <w:t>A summary of the</w:t>
      </w:r>
      <w:r w:rsidR="008539F5" w:rsidRPr="001D0DA6">
        <w:t xml:space="preserve"> evolocumab RSA subsidisation caps are included in </w:t>
      </w:r>
      <w:r w:rsidR="00A42BC3" w:rsidRPr="001D0DA6">
        <w:t>Table 2</w:t>
      </w:r>
      <w:r w:rsidR="008539F5" w:rsidRPr="001D0DA6">
        <w:t xml:space="preserve">. A tiered arrangement was agreed, with a </w:t>
      </w:r>
      <w:r w:rsidR="0060734C">
        <w:rPr>
          <w:noProof/>
          <w:color w:val="000000"/>
          <w:highlight w:val="black"/>
        </w:rPr>
        <w:t>'''''</w:t>
      </w:r>
      <w:r w:rsidR="008539F5" w:rsidRPr="001D0DA6">
        <w:t xml:space="preserve">% rebate for expenditure between Tier 1 and Tier 2 and a </w:t>
      </w:r>
      <w:r w:rsidR="0060734C">
        <w:rPr>
          <w:noProof/>
          <w:color w:val="000000"/>
          <w:highlight w:val="black"/>
        </w:rPr>
        <w:t>'''''''' ''''''</w:t>
      </w:r>
      <w:r w:rsidR="008539F5" w:rsidRPr="001D0DA6">
        <w:t>(</w:t>
      </w:r>
      <w:r w:rsidR="0060734C">
        <w:rPr>
          <w:noProof/>
          <w:color w:val="000000"/>
          <w:highlight w:val="black"/>
        </w:rPr>
        <w:t>''''''''</w:t>
      </w:r>
      <w:r w:rsidR="008539F5" w:rsidRPr="001D0DA6">
        <w:t>%</w:t>
      </w:r>
      <w:r w:rsidR="00A42BC3" w:rsidRPr="001D0DA6">
        <w:t xml:space="preserve"> rebate</w:t>
      </w:r>
      <w:r w:rsidR="00424E4F">
        <w:t xml:space="preserve">) beyond Tier 2. </w:t>
      </w:r>
      <w:r w:rsidR="008539F5" w:rsidRPr="001D0DA6">
        <w:t xml:space="preserve">The maximum cost impact of </w:t>
      </w:r>
      <w:r w:rsidR="004F56B3" w:rsidRPr="001D0DA6">
        <w:t xml:space="preserve">the evolocumab listing </w:t>
      </w:r>
      <w:r w:rsidR="00A056F2" w:rsidRPr="001D0DA6">
        <w:t>is also shown in Table 2</w:t>
      </w:r>
      <w:r w:rsidR="008539F5" w:rsidRPr="001D0DA6">
        <w:t xml:space="preserve">. </w:t>
      </w:r>
    </w:p>
    <w:p w14:paraId="1D581735" w14:textId="77777777" w:rsidR="008539F5" w:rsidRPr="008539F5" w:rsidRDefault="00A056F2" w:rsidP="008539F5">
      <w:pPr>
        <w:rPr>
          <w:rFonts w:ascii="Arial Narrow" w:hAnsi="Arial Narrow"/>
          <w:b/>
          <w:sz w:val="20"/>
          <w:szCs w:val="20"/>
        </w:rPr>
      </w:pPr>
      <w:r>
        <w:rPr>
          <w:rFonts w:ascii="Arial Narrow" w:hAnsi="Arial Narrow"/>
          <w:b/>
          <w:sz w:val="20"/>
          <w:szCs w:val="20"/>
        </w:rPr>
        <w:t>Table 2</w:t>
      </w:r>
      <w:r w:rsidR="001A1876">
        <w:rPr>
          <w:rFonts w:ascii="Arial Narrow" w:hAnsi="Arial Narrow"/>
          <w:b/>
          <w:sz w:val="20"/>
          <w:szCs w:val="20"/>
        </w:rPr>
        <w:t>: E</w:t>
      </w:r>
      <w:r w:rsidR="008539F5" w:rsidRPr="008539F5">
        <w:rPr>
          <w:rFonts w:ascii="Arial Narrow" w:hAnsi="Arial Narrow"/>
          <w:b/>
          <w:sz w:val="20"/>
          <w:szCs w:val="20"/>
        </w:rPr>
        <w:t>volocumab RSA caps – commonwealth payment</w:t>
      </w:r>
    </w:p>
    <w:tbl>
      <w:tblPr>
        <w:tblW w:w="5000" w:type="pct"/>
        <w:tblLook w:val="04A0" w:firstRow="1" w:lastRow="0" w:firstColumn="1" w:lastColumn="0" w:noHBand="0" w:noVBand="1"/>
      </w:tblPr>
      <w:tblGrid>
        <w:gridCol w:w="1552"/>
        <w:gridCol w:w="1488"/>
        <w:gridCol w:w="1406"/>
        <w:gridCol w:w="1524"/>
        <w:gridCol w:w="1524"/>
        <w:gridCol w:w="1522"/>
      </w:tblGrid>
      <w:tr w:rsidR="008539F5" w:rsidRPr="008539F5" w14:paraId="2EC7BA63" w14:textId="77777777" w:rsidTr="00CC7A32">
        <w:trPr>
          <w:trHeight w:val="306"/>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F0400"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 </w:t>
            </w:r>
          </w:p>
        </w:tc>
        <w:tc>
          <w:tcPr>
            <w:tcW w:w="825" w:type="pct"/>
            <w:tcBorders>
              <w:top w:val="single" w:sz="4" w:space="0" w:color="auto"/>
              <w:left w:val="nil"/>
              <w:bottom w:val="single" w:sz="4" w:space="0" w:color="auto"/>
              <w:right w:val="single" w:sz="4" w:space="0" w:color="auto"/>
            </w:tcBorders>
            <w:shd w:val="clear" w:color="auto" w:fill="auto"/>
            <w:vAlign w:val="center"/>
            <w:hideMark/>
          </w:tcPr>
          <w:p w14:paraId="3EC9533C" w14:textId="77777777" w:rsidR="008539F5" w:rsidRPr="008539F5" w:rsidRDefault="008539F5" w:rsidP="008539F5">
            <w:pPr>
              <w:rPr>
                <w:rFonts w:ascii="Arial Narrow" w:hAnsi="Arial Narrow" w:cs="Arial"/>
                <w:b/>
                <w:bCs/>
                <w:color w:val="000000"/>
                <w:sz w:val="20"/>
                <w:szCs w:val="20"/>
              </w:rPr>
            </w:pPr>
            <w:r w:rsidRPr="008539F5">
              <w:rPr>
                <w:rFonts w:ascii="Arial Narrow" w:hAnsi="Arial Narrow" w:cs="Arial"/>
                <w:b/>
                <w:bCs/>
                <w:color w:val="000000"/>
                <w:sz w:val="20"/>
                <w:szCs w:val="20"/>
              </w:rPr>
              <w:t>Year 1</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4C8AF977" w14:textId="77777777" w:rsidR="008539F5" w:rsidRPr="008539F5" w:rsidRDefault="008539F5" w:rsidP="008539F5">
            <w:pPr>
              <w:rPr>
                <w:rFonts w:ascii="Arial Narrow" w:hAnsi="Arial Narrow" w:cs="Arial"/>
                <w:b/>
                <w:bCs/>
                <w:color w:val="000000"/>
                <w:sz w:val="20"/>
                <w:szCs w:val="20"/>
              </w:rPr>
            </w:pPr>
            <w:r w:rsidRPr="008539F5">
              <w:rPr>
                <w:rFonts w:ascii="Arial Narrow" w:hAnsi="Arial Narrow" w:cs="Arial"/>
                <w:b/>
                <w:bCs/>
                <w:color w:val="000000"/>
                <w:sz w:val="20"/>
                <w:szCs w:val="20"/>
              </w:rPr>
              <w:t>Year 2</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0A912DD0" w14:textId="77777777" w:rsidR="008539F5" w:rsidRPr="008539F5" w:rsidRDefault="008539F5" w:rsidP="008539F5">
            <w:pPr>
              <w:rPr>
                <w:rFonts w:ascii="Arial Narrow" w:hAnsi="Arial Narrow" w:cs="Arial"/>
                <w:b/>
                <w:bCs/>
                <w:color w:val="000000"/>
                <w:sz w:val="20"/>
                <w:szCs w:val="20"/>
              </w:rPr>
            </w:pPr>
            <w:r w:rsidRPr="008539F5">
              <w:rPr>
                <w:rFonts w:ascii="Arial Narrow" w:hAnsi="Arial Narrow" w:cs="Arial"/>
                <w:b/>
                <w:bCs/>
                <w:color w:val="000000"/>
                <w:sz w:val="20"/>
                <w:szCs w:val="20"/>
              </w:rPr>
              <w:t>Year 3</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7E974765" w14:textId="77777777" w:rsidR="008539F5" w:rsidRPr="008539F5" w:rsidRDefault="008539F5" w:rsidP="008539F5">
            <w:pPr>
              <w:rPr>
                <w:rFonts w:ascii="Arial Narrow" w:hAnsi="Arial Narrow" w:cs="Arial"/>
                <w:b/>
                <w:bCs/>
                <w:color w:val="000000"/>
                <w:sz w:val="20"/>
                <w:szCs w:val="20"/>
              </w:rPr>
            </w:pPr>
            <w:r w:rsidRPr="008539F5">
              <w:rPr>
                <w:rFonts w:ascii="Arial Narrow" w:hAnsi="Arial Narrow" w:cs="Arial"/>
                <w:b/>
                <w:bCs/>
                <w:color w:val="000000"/>
                <w:sz w:val="20"/>
                <w:szCs w:val="20"/>
              </w:rPr>
              <w:t>Year 4</w:t>
            </w:r>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0C9AEECC" w14:textId="77777777" w:rsidR="008539F5" w:rsidRPr="008539F5" w:rsidRDefault="008539F5" w:rsidP="008539F5">
            <w:pPr>
              <w:rPr>
                <w:rFonts w:ascii="Arial Narrow" w:hAnsi="Arial Narrow" w:cs="Arial"/>
                <w:b/>
                <w:bCs/>
                <w:color w:val="000000"/>
                <w:sz w:val="20"/>
                <w:szCs w:val="20"/>
              </w:rPr>
            </w:pPr>
            <w:r w:rsidRPr="008539F5">
              <w:rPr>
                <w:rFonts w:ascii="Arial Narrow" w:hAnsi="Arial Narrow" w:cs="Arial"/>
                <w:b/>
                <w:bCs/>
                <w:color w:val="000000"/>
                <w:sz w:val="20"/>
                <w:szCs w:val="20"/>
              </w:rPr>
              <w:t>Year 5</w:t>
            </w:r>
          </w:p>
        </w:tc>
      </w:tr>
      <w:tr w:rsidR="008539F5" w:rsidRPr="008539F5" w14:paraId="733B0BF0" w14:textId="77777777" w:rsidTr="00CC7A32">
        <w:trPr>
          <w:trHeight w:val="491"/>
        </w:trPr>
        <w:tc>
          <w:tcPr>
            <w:tcW w:w="861" w:type="pct"/>
            <w:tcBorders>
              <w:top w:val="nil"/>
              <w:left w:val="single" w:sz="4" w:space="0" w:color="auto"/>
              <w:bottom w:val="single" w:sz="4" w:space="0" w:color="auto"/>
              <w:right w:val="single" w:sz="4" w:space="0" w:color="auto"/>
            </w:tcBorders>
            <w:shd w:val="clear" w:color="auto" w:fill="auto"/>
            <w:vAlign w:val="center"/>
            <w:hideMark/>
          </w:tcPr>
          <w:p w14:paraId="3F463D3C"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Subsidisation Cap 1 (Tier 1)</w:t>
            </w:r>
          </w:p>
        </w:tc>
        <w:tc>
          <w:tcPr>
            <w:tcW w:w="825" w:type="pct"/>
            <w:tcBorders>
              <w:top w:val="nil"/>
              <w:left w:val="nil"/>
              <w:bottom w:val="single" w:sz="4" w:space="0" w:color="auto"/>
              <w:right w:val="single" w:sz="4" w:space="0" w:color="auto"/>
            </w:tcBorders>
            <w:shd w:val="clear" w:color="auto" w:fill="auto"/>
            <w:vAlign w:val="center"/>
            <w:hideMark/>
          </w:tcPr>
          <w:p w14:paraId="04A7F567"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780" w:type="pct"/>
            <w:tcBorders>
              <w:top w:val="nil"/>
              <w:left w:val="nil"/>
              <w:bottom w:val="single" w:sz="4" w:space="0" w:color="auto"/>
              <w:right w:val="single" w:sz="4" w:space="0" w:color="auto"/>
            </w:tcBorders>
            <w:shd w:val="clear" w:color="auto" w:fill="auto"/>
            <w:vAlign w:val="center"/>
            <w:hideMark/>
          </w:tcPr>
          <w:p w14:paraId="3A7E1249"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nil"/>
              <w:left w:val="nil"/>
              <w:bottom w:val="single" w:sz="4" w:space="0" w:color="auto"/>
              <w:right w:val="single" w:sz="4" w:space="0" w:color="auto"/>
            </w:tcBorders>
            <w:shd w:val="clear" w:color="auto" w:fill="auto"/>
            <w:vAlign w:val="center"/>
            <w:hideMark/>
          </w:tcPr>
          <w:p w14:paraId="11905842"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nil"/>
              <w:left w:val="nil"/>
              <w:bottom w:val="single" w:sz="4" w:space="0" w:color="auto"/>
              <w:right w:val="single" w:sz="4" w:space="0" w:color="auto"/>
            </w:tcBorders>
            <w:shd w:val="clear" w:color="auto" w:fill="auto"/>
            <w:vAlign w:val="center"/>
            <w:hideMark/>
          </w:tcPr>
          <w:p w14:paraId="6996985E"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4" w:type="pct"/>
            <w:tcBorders>
              <w:top w:val="nil"/>
              <w:left w:val="nil"/>
              <w:bottom w:val="single" w:sz="4" w:space="0" w:color="auto"/>
              <w:right w:val="single" w:sz="4" w:space="0" w:color="auto"/>
            </w:tcBorders>
            <w:shd w:val="clear" w:color="auto" w:fill="auto"/>
            <w:vAlign w:val="center"/>
            <w:hideMark/>
          </w:tcPr>
          <w:p w14:paraId="5160376C"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r>
      <w:tr w:rsidR="008539F5" w:rsidRPr="008539F5" w14:paraId="2A5D8FCC" w14:textId="77777777" w:rsidTr="00C13598">
        <w:trPr>
          <w:trHeight w:val="491"/>
        </w:trPr>
        <w:tc>
          <w:tcPr>
            <w:tcW w:w="861" w:type="pct"/>
            <w:tcBorders>
              <w:top w:val="nil"/>
              <w:left w:val="single" w:sz="4" w:space="0" w:color="auto"/>
              <w:bottom w:val="single" w:sz="4" w:space="0" w:color="auto"/>
              <w:right w:val="single" w:sz="4" w:space="0" w:color="auto"/>
            </w:tcBorders>
            <w:shd w:val="clear" w:color="auto" w:fill="auto"/>
            <w:vAlign w:val="center"/>
            <w:hideMark/>
          </w:tcPr>
          <w:p w14:paraId="3B45F0FF"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Subsidisation Cap 2 (Tier 2)</w:t>
            </w:r>
          </w:p>
        </w:tc>
        <w:tc>
          <w:tcPr>
            <w:tcW w:w="825" w:type="pct"/>
            <w:tcBorders>
              <w:top w:val="nil"/>
              <w:left w:val="nil"/>
              <w:bottom w:val="single" w:sz="4" w:space="0" w:color="auto"/>
              <w:right w:val="single" w:sz="4" w:space="0" w:color="auto"/>
            </w:tcBorders>
            <w:shd w:val="clear" w:color="auto" w:fill="auto"/>
            <w:vAlign w:val="center"/>
            <w:hideMark/>
          </w:tcPr>
          <w:p w14:paraId="053B3564"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780" w:type="pct"/>
            <w:tcBorders>
              <w:top w:val="nil"/>
              <w:left w:val="nil"/>
              <w:bottom w:val="single" w:sz="4" w:space="0" w:color="auto"/>
              <w:right w:val="single" w:sz="4" w:space="0" w:color="auto"/>
            </w:tcBorders>
            <w:shd w:val="clear" w:color="auto" w:fill="auto"/>
            <w:vAlign w:val="center"/>
            <w:hideMark/>
          </w:tcPr>
          <w:p w14:paraId="4B7BED22"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nil"/>
              <w:left w:val="nil"/>
              <w:bottom w:val="single" w:sz="4" w:space="0" w:color="auto"/>
              <w:right w:val="single" w:sz="4" w:space="0" w:color="auto"/>
            </w:tcBorders>
            <w:shd w:val="clear" w:color="auto" w:fill="auto"/>
            <w:vAlign w:val="center"/>
            <w:hideMark/>
          </w:tcPr>
          <w:p w14:paraId="6C4506D8"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nil"/>
              <w:left w:val="nil"/>
              <w:bottom w:val="single" w:sz="4" w:space="0" w:color="auto"/>
              <w:right w:val="single" w:sz="4" w:space="0" w:color="auto"/>
            </w:tcBorders>
            <w:shd w:val="clear" w:color="auto" w:fill="auto"/>
            <w:vAlign w:val="center"/>
            <w:hideMark/>
          </w:tcPr>
          <w:p w14:paraId="2F246FFA"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4" w:type="pct"/>
            <w:tcBorders>
              <w:top w:val="nil"/>
              <w:left w:val="nil"/>
              <w:bottom w:val="single" w:sz="4" w:space="0" w:color="auto"/>
              <w:right w:val="single" w:sz="4" w:space="0" w:color="auto"/>
            </w:tcBorders>
            <w:shd w:val="clear" w:color="auto" w:fill="auto"/>
            <w:vAlign w:val="center"/>
            <w:hideMark/>
          </w:tcPr>
          <w:p w14:paraId="23E885B1"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r>
      <w:tr w:rsidR="008539F5" w:rsidRPr="008539F5" w14:paraId="1C5C4A86" w14:textId="77777777" w:rsidTr="00C13598">
        <w:trPr>
          <w:trHeight w:val="306"/>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625D4C"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 xml:space="preserve">Maximum cost of PBS evolocumab </w:t>
            </w:r>
          </w:p>
        </w:tc>
        <w:tc>
          <w:tcPr>
            <w:tcW w:w="825" w:type="pct"/>
            <w:tcBorders>
              <w:top w:val="single" w:sz="4" w:space="0" w:color="auto"/>
              <w:left w:val="nil"/>
              <w:bottom w:val="single" w:sz="4" w:space="0" w:color="auto"/>
              <w:right w:val="single" w:sz="4" w:space="0" w:color="auto"/>
            </w:tcBorders>
            <w:shd w:val="clear" w:color="auto" w:fill="auto"/>
            <w:vAlign w:val="center"/>
            <w:hideMark/>
          </w:tcPr>
          <w:p w14:paraId="72A224CB"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780" w:type="pct"/>
            <w:tcBorders>
              <w:top w:val="single" w:sz="4" w:space="0" w:color="auto"/>
              <w:left w:val="nil"/>
              <w:bottom w:val="single" w:sz="4" w:space="0" w:color="auto"/>
              <w:right w:val="single" w:sz="4" w:space="0" w:color="auto"/>
            </w:tcBorders>
            <w:shd w:val="clear" w:color="auto" w:fill="auto"/>
            <w:vAlign w:val="center"/>
            <w:hideMark/>
          </w:tcPr>
          <w:p w14:paraId="516A6712"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7A0109F5"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5" w:type="pct"/>
            <w:tcBorders>
              <w:top w:val="single" w:sz="4" w:space="0" w:color="auto"/>
              <w:left w:val="nil"/>
              <w:bottom w:val="single" w:sz="4" w:space="0" w:color="auto"/>
              <w:right w:val="single" w:sz="4" w:space="0" w:color="auto"/>
            </w:tcBorders>
            <w:shd w:val="clear" w:color="auto" w:fill="auto"/>
            <w:vAlign w:val="center"/>
            <w:hideMark/>
          </w:tcPr>
          <w:p w14:paraId="14E7F5D7"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c>
          <w:tcPr>
            <w:tcW w:w="844" w:type="pct"/>
            <w:tcBorders>
              <w:top w:val="single" w:sz="4" w:space="0" w:color="auto"/>
              <w:left w:val="nil"/>
              <w:bottom w:val="single" w:sz="4" w:space="0" w:color="auto"/>
              <w:right w:val="single" w:sz="4" w:space="0" w:color="auto"/>
            </w:tcBorders>
            <w:shd w:val="clear" w:color="auto" w:fill="auto"/>
            <w:vAlign w:val="center"/>
            <w:hideMark/>
          </w:tcPr>
          <w:p w14:paraId="21CEFA12" w14:textId="77777777" w:rsidR="008539F5" w:rsidRPr="008539F5" w:rsidRDefault="008539F5" w:rsidP="008539F5">
            <w:pPr>
              <w:rPr>
                <w:rFonts w:ascii="Arial Narrow" w:hAnsi="Arial Narrow" w:cs="Arial"/>
                <w:color w:val="000000"/>
                <w:sz w:val="20"/>
                <w:szCs w:val="20"/>
              </w:rPr>
            </w:pPr>
            <w:r w:rsidRPr="008539F5">
              <w:rPr>
                <w:rFonts w:ascii="Arial Narrow" w:hAnsi="Arial Narrow" w:cs="Arial"/>
                <w:color w:val="000000"/>
                <w:sz w:val="20"/>
                <w:szCs w:val="20"/>
              </w:rPr>
              <w:t>$</w:t>
            </w:r>
            <w:r w:rsidR="0060734C">
              <w:rPr>
                <w:rFonts w:ascii="Arial Narrow" w:hAnsi="Arial Narrow" w:cs="Arial"/>
                <w:noProof/>
                <w:color w:val="000000"/>
                <w:sz w:val="20"/>
                <w:szCs w:val="20"/>
                <w:highlight w:val="black"/>
              </w:rPr>
              <w:t>''''''''''''''''''''''''''''</w:t>
            </w:r>
          </w:p>
        </w:tc>
      </w:tr>
    </w:tbl>
    <w:p w14:paraId="1BA3C32F" w14:textId="77777777" w:rsidR="008539F5" w:rsidRPr="008539F5" w:rsidRDefault="008539F5" w:rsidP="008539F5">
      <w:pPr>
        <w:rPr>
          <w:rFonts w:ascii="Arial Narrow" w:hAnsi="Arial Narrow"/>
          <w:sz w:val="18"/>
          <w:szCs w:val="18"/>
        </w:rPr>
      </w:pPr>
      <w:r w:rsidRPr="008539F5">
        <w:rPr>
          <w:rFonts w:ascii="Arial Narrow" w:hAnsi="Arial Narrow"/>
          <w:sz w:val="18"/>
          <w:szCs w:val="18"/>
        </w:rPr>
        <w:t xml:space="preserve">Source: </w:t>
      </w:r>
      <w:r w:rsidR="00B96FF8">
        <w:rPr>
          <w:rFonts w:ascii="Arial Narrow" w:hAnsi="Arial Narrow"/>
          <w:sz w:val="18"/>
          <w:szCs w:val="18"/>
        </w:rPr>
        <w:t xml:space="preserve">Table 1, page 11 of minor submission; </w:t>
      </w:r>
      <w:r w:rsidRPr="008539F5">
        <w:rPr>
          <w:rFonts w:ascii="Arial Narrow" w:hAnsi="Arial Narrow"/>
          <w:sz w:val="18"/>
          <w:szCs w:val="18"/>
        </w:rPr>
        <w:t xml:space="preserve">Evolocumab Deed of Agreement signed </w:t>
      </w:r>
      <w:r w:rsidR="0060734C">
        <w:rPr>
          <w:rFonts w:ascii="Arial Narrow" w:hAnsi="Arial Narrow"/>
          <w:noProof/>
          <w:color w:val="000000"/>
          <w:sz w:val="18"/>
          <w:szCs w:val="18"/>
          <w:highlight w:val="black"/>
        </w:rPr>
        <w:t>'''''''''''' '''''''''''' ''''''''''''</w:t>
      </w:r>
    </w:p>
    <w:p w14:paraId="7483A701" w14:textId="77777777" w:rsidR="008539F5" w:rsidRDefault="008539F5" w:rsidP="008539F5"/>
    <w:p w14:paraId="79AAD5C2" w14:textId="77777777" w:rsidR="008539F5" w:rsidRPr="001D0DA6" w:rsidRDefault="008539F5" w:rsidP="008539F5">
      <w:pPr>
        <w:pStyle w:val="3Bodytext"/>
        <w:jc w:val="both"/>
      </w:pPr>
      <w:r w:rsidRPr="001D0DA6">
        <w:t>The minor submission stated that the sponsor is committed to supporting the quality use of evolocum</w:t>
      </w:r>
      <w:r w:rsidR="004F56B3" w:rsidRPr="001D0DA6">
        <w:t xml:space="preserve">ab for treatment of the </w:t>
      </w:r>
      <w:r w:rsidRPr="001D0DA6">
        <w:t>eligible population. The sponsor anticipate</w:t>
      </w:r>
      <w:r w:rsidR="0032548D">
        <w:t>d</w:t>
      </w:r>
      <w:r w:rsidRPr="001D0DA6">
        <w:t xml:space="preserve"> that GPs with a</w:t>
      </w:r>
      <w:r w:rsidR="00D3239C" w:rsidRPr="001D0DA6">
        <w:t xml:space="preserve"> cardiovascular (</w:t>
      </w:r>
      <w:r w:rsidRPr="001D0DA6">
        <w:t>CV</w:t>
      </w:r>
      <w:r w:rsidR="00D3239C" w:rsidRPr="001D0DA6">
        <w:t>)</w:t>
      </w:r>
      <w:r w:rsidRPr="001D0DA6">
        <w:t xml:space="preserve"> speciality who currently work within an established care partnership with a specialist would prescribe evolocumab. </w:t>
      </w:r>
      <w:r w:rsidR="00FD4760">
        <w:t>T</w:t>
      </w:r>
      <w:r w:rsidR="00631DCA" w:rsidRPr="001D0DA6">
        <w:t xml:space="preserve">he sponsor </w:t>
      </w:r>
      <w:r w:rsidR="00370B27">
        <w:t>was</w:t>
      </w:r>
      <w:r w:rsidR="00631DCA" w:rsidRPr="001D0DA6">
        <w:t xml:space="preserve"> asked to clarify</w:t>
      </w:r>
      <w:r w:rsidR="00CE2373" w:rsidRPr="001D0DA6">
        <w:t xml:space="preserve"> whether</w:t>
      </w:r>
      <w:r w:rsidR="00631DCA" w:rsidRPr="001D0DA6">
        <w:t xml:space="preserve"> </w:t>
      </w:r>
      <w:r w:rsidR="00CE2373" w:rsidRPr="001D0DA6">
        <w:t>“CV speciality” refer</w:t>
      </w:r>
      <w:r w:rsidR="00370B27">
        <w:t>red</w:t>
      </w:r>
      <w:r w:rsidR="00CE2373" w:rsidRPr="001D0DA6">
        <w:t xml:space="preserve"> to any </w:t>
      </w:r>
      <w:r w:rsidR="00631DCA" w:rsidRPr="001D0DA6">
        <w:t>specific cardiology qualifications</w:t>
      </w:r>
      <w:r w:rsidR="00CE2373" w:rsidRPr="001D0DA6">
        <w:t xml:space="preserve">. </w:t>
      </w:r>
      <w:r w:rsidR="00FD4760">
        <w:t xml:space="preserve">The pre-PBAC response stated that those who initiate evolocumab treatment will be a subset of GPs, without any specific qualifications, but with high awareness of cardiovascular disease management, knowledge of the treatment guidelines, and recognition of the importance of treating to lipid targets. </w:t>
      </w:r>
    </w:p>
    <w:p w14:paraId="29D7722F" w14:textId="77777777" w:rsidR="0013752F" w:rsidRPr="001D0DA6" w:rsidRDefault="00B96FF8" w:rsidP="0093331E">
      <w:pPr>
        <w:pStyle w:val="3Bodytext"/>
        <w:jc w:val="both"/>
      </w:pPr>
      <w:r w:rsidRPr="001D0DA6">
        <w:t>The minor submission also provided a</w:t>
      </w:r>
      <w:r w:rsidR="008539F5" w:rsidRPr="001D0DA6">
        <w:t xml:space="preserve">n overview of planned educational activities to upskill </w:t>
      </w:r>
      <w:r w:rsidR="00A42BC3" w:rsidRPr="001D0DA6">
        <w:t>GPs</w:t>
      </w:r>
      <w:r w:rsidR="008539F5" w:rsidRPr="001D0DA6">
        <w:t xml:space="preserve"> on CV health and optimal treatment, appropriate use of CV medicines, evolocumab patient elig</w:t>
      </w:r>
      <w:r w:rsidRPr="001D0DA6">
        <w:t xml:space="preserve">ibility and PBS restrictions. </w:t>
      </w:r>
      <w:r w:rsidR="008539F5" w:rsidRPr="001D0DA6">
        <w:t xml:space="preserve"> </w:t>
      </w:r>
    </w:p>
    <w:p w14:paraId="49442E8B" w14:textId="77777777" w:rsidR="0093331E" w:rsidRPr="0093331E" w:rsidRDefault="001B27D7" w:rsidP="001B27D7">
      <w:pPr>
        <w:pStyle w:val="3Bodytext"/>
        <w:numPr>
          <w:ilvl w:val="0"/>
          <w:numId w:val="0"/>
        </w:numPr>
        <w:ind w:firstLine="720"/>
        <w:jc w:val="both"/>
      </w:pPr>
      <w:r w:rsidRPr="00525B39">
        <w:rPr>
          <w:i/>
        </w:rPr>
        <w:t>For more detail</w:t>
      </w:r>
      <w:r>
        <w:rPr>
          <w:i/>
        </w:rPr>
        <w:t xml:space="preserve"> on PBAC’s view, see section 5</w:t>
      </w:r>
      <w:r w:rsidRPr="00525B39">
        <w:rPr>
          <w:i/>
        </w:rPr>
        <w:t xml:space="preserve"> PBAC outcome.</w:t>
      </w:r>
    </w:p>
    <w:p w14:paraId="57BA708C" w14:textId="77777777" w:rsidR="0059736F" w:rsidRPr="0059736F" w:rsidRDefault="0059736F" w:rsidP="0059736F">
      <w:pPr>
        <w:pStyle w:val="2-SectionHeading"/>
      </w:pPr>
      <w:r w:rsidRPr="0059736F">
        <w:lastRenderedPageBreak/>
        <w:t>PBAC Outcome</w:t>
      </w:r>
    </w:p>
    <w:p w14:paraId="267C93D6" w14:textId="77777777" w:rsidR="0059736F" w:rsidRDefault="002E02A8" w:rsidP="0059736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did not recommend </w:t>
      </w:r>
      <w:r w:rsidR="00ED3FD2">
        <w:rPr>
          <w:rFonts w:asciiTheme="minorHAnsi" w:hAnsiTheme="minorHAnsi" w:cs="Arial"/>
          <w:bCs/>
          <w:snapToGrid w:val="0"/>
          <w:lang w:val="en-GB"/>
        </w:rPr>
        <w:t xml:space="preserve">an amendment to the Authority Required listings of evolocumab for all indications </w:t>
      </w:r>
      <w:r w:rsidR="003146C0">
        <w:rPr>
          <w:rFonts w:asciiTheme="minorHAnsi" w:hAnsiTheme="minorHAnsi" w:cs="Arial"/>
          <w:bCs/>
          <w:snapToGrid w:val="0"/>
          <w:lang w:val="en-GB"/>
        </w:rPr>
        <w:t>to allow GPs</w:t>
      </w:r>
      <w:r w:rsidR="00ED3FD2">
        <w:rPr>
          <w:rFonts w:asciiTheme="minorHAnsi" w:hAnsiTheme="minorHAnsi" w:cs="Arial"/>
          <w:bCs/>
          <w:snapToGrid w:val="0"/>
          <w:lang w:val="en-GB"/>
        </w:rPr>
        <w:t xml:space="preserve"> to initiate treatment </w:t>
      </w:r>
      <w:r w:rsidR="00BD20F2">
        <w:rPr>
          <w:rFonts w:asciiTheme="minorHAnsi" w:hAnsiTheme="minorHAnsi" w:cs="Arial"/>
          <w:bCs/>
          <w:snapToGrid w:val="0"/>
          <w:lang w:val="en-GB"/>
        </w:rPr>
        <w:t>after hav</w:t>
      </w:r>
      <w:r w:rsidR="00ED3FD2">
        <w:rPr>
          <w:rFonts w:asciiTheme="minorHAnsi" w:hAnsiTheme="minorHAnsi" w:cs="Arial"/>
          <w:bCs/>
          <w:snapToGrid w:val="0"/>
          <w:lang w:val="en-GB"/>
        </w:rPr>
        <w:t>in</w:t>
      </w:r>
      <w:r w:rsidR="00BD20F2">
        <w:rPr>
          <w:rFonts w:asciiTheme="minorHAnsi" w:hAnsiTheme="minorHAnsi" w:cs="Arial"/>
          <w:bCs/>
          <w:snapToGrid w:val="0"/>
          <w:lang w:val="en-GB"/>
        </w:rPr>
        <w:t>g</w:t>
      </w:r>
      <w:r w:rsidR="00ED3FD2">
        <w:rPr>
          <w:rFonts w:asciiTheme="minorHAnsi" w:hAnsiTheme="minorHAnsi" w:cs="Arial"/>
          <w:bCs/>
          <w:snapToGrid w:val="0"/>
          <w:lang w:val="en-GB"/>
        </w:rPr>
        <w:t xml:space="preserve"> consult</w:t>
      </w:r>
      <w:r w:rsidR="00BD20F2">
        <w:rPr>
          <w:rFonts w:asciiTheme="minorHAnsi" w:hAnsiTheme="minorHAnsi" w:cs="Arial"/>
          <w:bCs/>
          <w:snapToGrid w:val="0"/>
          <w:lang w:val="en-GB"/>
        </w:rPr>
        <w:t>ed</w:t>
      </w:r>
      <w:r w:rsidR="00ED3FD2">
        <w:rPr>
          <w:rFonts w:asciiTheme="minorHAnsi" w:hAnsiTheme="minorHAnsi" w:cs="Arial"/>
          <w:bCs/>
          <w:snapToGrid w:val="0"/>
          <w:lang w:val="en-GB"/>
        </w:rPr>
        <w:t xml:space="preserve"> a specialist. </w:t>
      </w:r>
      <w:r w:rsidR="00424E4F">
        <w:t>The PBAC advised</w:t>
      </w:r>
      <w:r w:rsidR="00950202" w:rsidRPr="009A763A">
        <w:t xml:space="preserve"> that “Must be treated by a specialist physician” for initiation of treatment should remain for all indications, consistent with its previous advice</w:t>
      </w:r>
      <w:r w:rsidR="00950202">
        <w:t>.</w:t>
      </w:r>
    </w:p>
    <w:p w14:paraId="14403E94" w14:textId="77777777" w:rsidR="00B27EDD" w:rsidRDefault="00B27EDD" w:rsidP="00B27EDD">
      <w:pPr>
        <w:widowControl w:val="0"/>
        <w:numPr>
          <w:ilvl w:val="1"/>
          <w:numId w:val="1"/>
        </w:numPr>
        <w:spacing w:after="120"/>
        <w:rPr>
          <w:rFonts w:asciiTheme="minorHAnsi" w:hAnsiTheme="minorHAnsi"/>
          <w:bCs/>
          <w:snapToGrid w:val="0"/>
          <w:lang w:val="en-GB"/>
        </w:rPr>
      </w:pPr>
      <w:r>
        <w:rPr>
          <w:rFonts w:asciiTheme="minorHAnsi" w:hAnsiTheme="minorHAnsi"/>
          <w:bCs/>
          <w:snapToGrid w:val="0"/>
          <w:lang w:val="en-GB"/>
        </w:rPr>
        <w:t>The PBAC noted that the majority of</w:t>
      </w:r>
      <w:r w:rsidR="003146C0">
        <w:rPr>
          <w:rFonts w:asciiTheme="minorHAnsi" w:hAnsiTheme="minorHAnsi"/>
          <w:bCs/>
          <w:snapToGrid w:val="0"/>
          <w:lang w:val="en-GB"/>
        </w:rPr>
        <w:t xml:space="preserve"> consumer comments were from health professionals </w:t>
      </w:r>
      <w:r>
        <w:rPr>
          <w:rFonts w:asciiTheme="minorHAnsi" w:hAnsiTheme="minorHAnsi"/>
          <w:bCs/>
          <w:snapToGrid w:val="0"/>
          <w:lang w:val="en-GB"/>
        </w:rPr>
        <w:t xml:space="preserve">in support of the requested listing for evolocumab, describing the need for timely access to treatment, particularly for rural and remote patients.  </w:t>
      </w:r>
    </w:p>
    <w:p w14:paraId="7FAD7254" w14:textId="77777777" w:rsidR="00ED3FD2" w:rsidRDefault="001E7AF5" w:rsidP="0059736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Noting the arguments to support the requested l</w:t>
      </w:r>
      <w:r w:rsidR="003146C0">
        <w:rPr>
          <w:rFonts w:asciiTheme="minorHAnsi" w:hAnsiTheme="minorHAnsi" w:cs="Arial"/>
          <w:bCs/>
          <w:snapToGrid w:val="0"/>
          <w:lang w:val="en-GB"/>
        </w:rPr>
        <w:t>isting, as outlined in paragraph 4.3</w:t>
      </w:r>
      <w:r>
        <w:rPr>
          <w:rFonts w:asciiTheme="minorHAnsi" w:hAnsiTheme="minorHAnsi" w:cs="Arial"/>
          <w:bCs/>
          <w:snapToGrid w:val="0"/>
          <w:lang w:val="en-GB"/>
        </w:rPr>
        <w:t>, the PBAC recalled</w:t>
      </w:r>
      <w:r w:rsidR="00950202">
        <w:rPr>
          <w:rFonts w:asciiTheme="minorHAnsi" w:hAnsiTheme="minorHAnsi" w:cs="Arial"/>
          <w:bCs/>
          <w:snapToGrid w:val="0"/>
          <w:lang w:val="en-GB"/>
        </w:rPr>
        <w:t xml:space="preserve"> that it </w:t>
      </w:r>
      <w:r w:rsidR="003146C0">
        <w:rPr>
          <w:rFonts w:asciiTheme="minorHAnsi" w:hAnsiTheme="minorHAnsi" w:cs="Arial"/>
          <w:bCs/>
          <w:snapToGrid w:val="0"/>
          <w:lang w:val="en-GB"/>
        </w:rPr>
        <w:t>had</w:t>
      </w:r>
      <w:r>
        <w:rPr>
          <w:rFonts w:asciiTheme="minorHAnsi" w:hAnsiTheme="minorHAnsi" w:cs="Arial"/>
          <w:bCs/>
          <w:snapToGrid w:val="0"/>
          <w:lang w:val="en-GB"/>
        </w:rPr>
        <w:t xml:space="preserve"> recently considered the</w:t>
      </w:r>
      <w:r w:rsidR="00950202">
        <w:rPr>
          <w:rFonts w:asciiTheme="minorHAnsi" w:hAnsiTheme="minorHAnsi" w:cs="Arial"/>
          <w:bCs/>
          <w:snapToGrid w:val="0"/>
          <w:lang w:val="en-GB"/>
        </w:rPr>
        <w:t xml:space="preserve"> issue </w:t>
      </w:r>
      <w:r w:rsidR="00424E4F">
        <w:rPr>
          <w:rFonts w:asciiTheme="minorHAnsi" w:hAnsiTheme="minorHAnsi" w:cs="Arial"/>
          <w:bCs/>
          <w:snapToGrid w:val="0"/>
          <w:lang w:val="en-GB"/>
        </w:rPr>
        <w:t>(in November 2019)</w:t>
      </w:r>
      <w:r w:rsidR="0092491E">
        <w:rPr>
          <w:rFonts w:asciiTheme="minorHAnsi" w:hAnsiTheme="minorHAnsi" w:cs="Arial"/>
          <w:bCs/>
          <w:snapToGrid w:val="0"/>
          <w:lang w:val="en-GB"/>
        </w:rPr>
        <w:t>, and had</w:t>
      </w:r>
      <w:r w:rsidR="00560A11">
        <w:rPr>
          <w:rFonts w:asciiTheme="minorHAnsi" w:hAnsiTheme="minorHAnsi" w:cs="Arial"/>
          <w:bCs/>
          <w:snapToGrid w:val="0"/>
          <w:lang w:val="en-GB"/>
        </w:rPr>
        <w:t xml:space="preserve"> </w:t>
      </w:r>
      <w:r w:rsidR="00950202">
        <w:rPr>
          <w:rFonts w:asciiTheme="minorHAnsi" w:hAnsiTheme="minorHAnsi" w:cs="Arial"/>
          <w:bCs/>
          <w:snapToGrid w:val="0"/>
          <w:lang w:val="en-GB"/>
        </w:rPr>
        <w:t>determined that</w:t>
      </w:r>
      <w:r w:rsidR="003146C0">
        <w:rPr>
          <w:rFonts w:asciiTheme="minorHAnsi" w:hAnsiTheme="minorHAnsi" w:cs="Arial"/>
          <w:bCs/>
          <w:snapToGrid w:val="0"/>
          <w:lang w:val="en-GB"/>
        </w:rPr>
        <w:t xml:space="preserve"> only specialists </w:t>
      </w:r>
      <w:r w:rsidR="00950202">
        <w:rPr>
          <w:rFonts w:asciiTheme="minorHAnsi" w:hAnsiTheme="minorHAnsi" w:cs="Arial"/>
          <w:bCs/>
          <w:snapToGrid w:val="0"/>
          <w:lang w:val="en-GB"/>
        </w:rPr>
        <w:t xml:space="preserve">should initiate treatment. </w:t>
      </w:r>
      <w:r w:rsidR="00E865F8">
        <w:rPr>
          <w:rFonts w:asciiTheme="minorHAnsi" w:hAnsiTheme="minorHAnsi" w:cs="Arial"/>
          <w:bCs/>
          <w:snapToGrid w:val="0"/>
          <w:lang w:val="en-GB"/>
        </w:rPr>
        <w:t>Furthermor</w:t>
      </w:r>
      <w:r w:rsidR="003146C0">
        <w:rPr>
          <w:rFonts w:asciiTheme="minorHAnsi" w:hAnsiTheme="minorHAnsi" w:cs="Arial"/>
          <w:bCs/>
          <w:snapToGrid w:val="0"/>
          <w:lang w:val="en-GB"/>
        </w:rPr>
        <w:t xml:space="preserve">e, the PBAC considered that </w:t>
      </w:r>
      <w:r w:rsidR="00E865F8">
        <w:rPr>
          <w:rFonts w:asciiTheme="minorHAnsi" w:hAnsiTheme="minorHAnsi" w:cs="Arial"/>
          <w:bCs/>
          <w:snapToGrid w:val="0"/>
          <w:lang w:val="en-GB"/>
        </w:rPr>
        <w:t xml:space="preserve">“consultation with a specialist physician” could, in practice, occur through a variety </w:t>
      </w:r>
      <w:r w:rsidR="000A0EB4">
        <w:rPr>
          <w:rFonts w:asciiTheme="minorHAnsi" w:hAnsiTheme="minorHAnsi" w:cs="Arial"/>
          <w:bCs/>
          <w:snapToGrid w:val="0"/>
          <w:lang w:val="en-GB"/>
        </w:rPr>
        <w:t>of means</w:t>
      </w:r>
      <w:r w:rsidR="003146C0">
        <w:rPr>
          <w:rFonts w:asciiTheme="minorHAnsi" w:hAnsiTheme="minorHAnsi" w:cs="Arial"/>
          <w:bCs/>
          <w:snapToGrid w:val="0"/>
          <w:lang w:val="en-GB"/>
        </w:rPr>
        <w:t>.</w:t>
      </w:r>
      <w:r w:rsidR="00E865F8">
        <w:rPr>
          <w:rFonts w:asciiTheme="minorHAnsi" w:hAnsiTheme="minorHAnsi" w:cs="Arial"/>
          <w:bCs/>
          <w:snapToGrid w:val="0"/>
          <w:lang w:val="en-GB"/>
        </w:rPr>
        <w:t xml:space="preserve">  </w:t>
      </w:r>
    </w:p>
    <w:p w14:paraId="3C07F40E" w14:textId="77777777" w:rsidR="001E7AF5" w:rsidRDefault="001E7AF5" w:rsidP="0059736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 xml:space="preserve">The PBAC </w:t>
      </w:r>
      <w:r w:rsidR="00371FB6">
        <w:rPr>
          <w:rFonts w:asciiTheme="minorHAnsi" w:hAnsiTheme="minorHAnsi" w:cs="Arial"/>
          <w:bCs/>
          <w:snapToGrid w:val="0"/>
          <w:lang w:val="en-GB"/>
        </w:rPr>
        <w:t xml:space="preserve">had </w:t>
      </w:r>
      <w:r>
        <w:rPr>
          <w:rFonts w:asciiTheme="minorHAnsi" w:hAnsiTheme="minorHAnsi" w:cs="Arial"/>
          <w:bCs/>
          <w:snapToGrid w:val="0"/>
          <w:lang w:val="en-GB"/>
        </w:rPr>
        <w:t>several concerns with expand</w:t>
      </w:r>
      <w:r w:rsidR="004C6A0C">
        <w:rPr>
          <w:rFonts w:asciiTheme="minorHAnsi" w:hAnsiTheme="minorHAnsi" w:cs="Arial"/>
          <w:bCs/>
          <w:snapToGrid w:val="0"/>
          <w:lang w:val="en-GB"/>
        </w:rPr>
        <w:t>ing the</w:t>
      </w:r>
      <w:r>
        <w:rPr>
          <w:rFonts w:asciiTheme="minorHAnsi" w:hAnsiTheme="minorHAnsi" w:cs="Arial"/>
          <w:bCs/>
          <w:snapToGrid w:val="0"/>
          <w:lang w:val="en-GB"/>
        </w:rPr>
        <w:t xml:space="preserve"> </w:t>
      </w:r>
      <w:r w:rsidR="006973CA">
        <w:rPr>
          <w:rFonts w:asciiTheme="minorHAnsi" w:hAnsiTheme="minorHAnsi" w:cs="Arial"/>
          <w:bCs/>
          <w:snapToGrid w:val="0"/>
          <w:lang w:val="en-GB"/>
        </w:rPr>
        <w:t xml:space="preserve"> prescriber types</w:t>
      </w:r>
      <w:r w:rsidR="004C6A0C">
        <w:rPr>
          <w:rFonts w:asciiTheme="minorHAnsi" w:hAnsiTheme="minorHAnsi" w:cs="Arial"/>
          <w:bCs/>
          <w:snapToGrid w:val="0"/>
          <w:lang w:val="en-GB"/>
        </w:rPr>
        <w:t xml:space="preserve"> after evolocumab’s listing had just updated </w:t>
      </w:r>
      <w:r w:rsidR="00412EC0">
        <w:rPr>
          <w:rFonts w:asciiTheme="minorHAnsi" w:hAnsiTheme="minorHAnsi" w:cs="Arial"/>
          <w:bCs/>
          <w:snapToGrid w:val="0"/>
          <w:lang w:val="en-GB"/>
        </w:rPr>
        <w:t>5 months prior</w:t>
      </w:r>
      <w:r w:rsidR="00BD20F2">
        <w:rPr>
          <w:rFonts w:asciiTheme="minorHAnsi" w:hAnsiTheme="minorHAnsi" w:cs="Arial"/>
          <w:bCs/>
          <w:snapToGrid w:val="0"/>
          <w:lang w:val="en-GB"/>
        </w:rPr>
        <w:t>, these being</w:t>
      </w:r>
      <w:r>
        <w:rPr>
          <w:rFonts w:asciiTheme="minorHAnsi" w:hAnsiTheme="minorHAnsi" w:cs="Arial"/>
          <w:bCs/>
          <w:snapToGrid w:val="0"/>
          <w:lang w:val="en-GB"/>
        </w:rPr>
        <w:t xml:space="preserve">: </w:t>
      </w:r>
    </w:p>
    <w:p w14:paraId="182A9A86" w14:textId="77777777" w:rsidR="001E7AF5" w:rsidRPr="001E7AF5" w:rsidRDefault="001E7AF5" w:rsidP="00F9499F">
      <w:pPr>
        <w:pStyle w:val="ListParagraph"/>
        <w:widowControl w:val="0"/>
        <w:numPr>
          <w:ilvl w:val="0"/>
          <w:numId w:val="32"/>
        </w:numPr>
        <w:spacing w:before="120"/>
        <w:ind w:left="1077" w:hanging="357"/>
        <w:rPr>
          <w:bCs/>
          <w:lang w:val="en-GB"/>
        </w:rPr>
      </w:pPr>
      <w:r w:rsidRPr="001E7AF5">
        <w:rPr>
          <w:bCs/>
          <w:lang w:val="en-GB"/>
        </w:rPr>
        <w:t xml:space="preserve">Evolocumab is a relatively new drug with uncertain uptake and financial estimates; </w:t>
      </w:r>
    </w:p>
    <w:p w14:paraId="3576CD90" w14:textId="77777777" w:rsidR="001E7AF5" w:rsidRDefault="001E7AF5" w:rsidP="00F9499F">
      <w:pPr>
        <w:pStyle w:val="ListBullet"/>
        <w:numPr>
          <w:ilvl w:val="0"/>
          <w:numId w:val="32"/>
        </w:numPr>
        <w:spacing w:before="120" w:after="120"/>
        <w:ind w:left="1077" w:hanging="357"/>
        <w:contextualSpacing w:val="0"/>
        <w:rPr>
          <w:lang w:val="en-GB"/>
        </w:rPr>
      </w:pPr>
      <w:r>
        <w:rPr>
          <w:lang w:val="en-GB"/>
        </w:rPr>
        <w:t xml:space="preserve">Evolocumab is a (novel) third-line therapy, with only 20% of GPs regularly prescribing second-line therapies; </w:t>
      </w:r>
    </w:p>
    <w:p w14:paraId="29B8E0B6" w14:textId="77777777" w:rsidR="001E7AF5" w:rsidRDefault="001E7AF5" w:rsidP="00F9499F">
      <w:pPr>
        <w:pStyle w:val="ListBullet"/>
        <w:numPr>
          <w:ilvl w:val="0"/>
          <w:numId w:val="32"/>
        </w:numPr>
        <w:spacing w:before="120" w:after="120"/>
        <w:ind w:left="1077" w:hanging="357"/>
        <w:contextualSpacing w:val="0"/>
        <w:rPr>
          <w:lang w:val="en-GB"/>
        </w:rPr>
      </w:pPr>
      <w:r>
        <w:rPr>
          <w:lang w:val="en-GB"/>
        </w:rPr>
        <w:t>Whilst there is a</w:t>
      </w:r>
      <w:r w:rsidR="0092491E">
        <w:rPr>
          <w:lang w:val="en-GB"/>
        </w:rPr>
        <w:t>n</w:t>
      </w:r>
      <w:r>
        <w:rPr>
          <w:lang w:val="en-GB"/>
        </w:rPr>
        <w:t xml:space="preserve"> RSA in place, t</w:t>
      </w:r>
      <w:r w:rsidRPr="001E7AF5">
        <w:rPr>
          <w:lang w:val="en-GB"/>
        </w:rPr>
        <w:t xml:space="preserve">here is </w:t>
      </w:r>
      <w:r>
        <w:rPr>
          <w:lang w:val="en-GB"/>
        </w:rPr>
        <w:t xml:space="preserve">still </w:t>
      </w:r>
      <w:r w:rsidR="00274179">
        <w:rPr>
          <w:lang w:val="en-GB"/>
        </w:rPr>
        <w:t xml:space="preserve">the </w:t>
      </w:r>
      <w:r w:rsidR="003146C0">
        <w:rPr>
          <w:lang w:val="en-GB"/>
        </w:rPr>
        <w:t xml:space="preserve">risk of use outside </w:t>
      </w:r>
      <w:r>
        <w:rPr>
          <w:lang w:val="en-GB"/>
        </w:rPr>
        <w:t>the intended high-risk population</w:t>
      </w:r>
      <w:r w:rsidR="00424E4F">
        <w:rPr>
          <w:lang w:val="en-GB"/>
        </w:rPr>
        <w:t xml:space="preserve"> (particularly for non-familial hypercholesterolaemia (non-FH)</w:t>
      </w:r>
      <w:r>
        <w:rPr>
          <w:lang w:val="en-GB"/>
        </w:rPr>
        <w:t xml:space="preserve">; and </w:t>
      </w:r>
    </w:p>
    <w:p w14:paraId="34915FF6" w14:textId="77777777" w:rsidR="001E7AF5" w:rsidRPr="00F9499F" w:rsidRDefault="00F9499F" w:rsidP="00F9499F">
      <w:pPr>
        <w:pStyle w:val="ListBullet"/>
        <w:numPr>
          <w:ilvl w:val="0"/>
          <w:numId w:val="32"/>
        </w:numPr>
        <w:spacing w:before="120" w:after="120"/>
        <w:ind w:left="1077" w:hanging="357"/>
        <w:contextualSpacing w:val="0"/>
        <w:rPr>
          <w:lang w:val="en-GB"/>
        </w:rPr>
      </w:pPr>
      <w:r>
        <w:rPr>
          <w:lang w:val="en-GB"/>
        </w:rPr>
        <w:t>There is also the risk</w:t>
      </w:r>
      <w:r w:rsidR="001E7AF5">
        <w:rPr>
          <w:lang w:val="en-GB"/>
        </w:rPr>
        <w:t xml:space="preserve"> of patients undergoing inadequate trials of statin therapy before commencing treatment with evolocumab.  </w:t>
      </w:r>
    </w:p>
    <w:p w14:paraId="481B42E6" w14:textId="77777777" w:rsidR="001E7AF5" w:rsidRDefault="00E865F8" w:rsidP="0059736F">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The PBAC considered there had been no material change in circumstances</w:t>
      </w:r>
      <w:r w:rsidR="0043683A">
        <w:rPr>
          <w:rFonts w:asciiTheme="minorHAnsi" w:hAnsiTheme="minorHAnsi" w:cs="Arial"/>
          <w:bCs/>
          <w:snapToGrid w:val="0"/>
          <w:lang w:val="en-GB"/>
        </w:rPr>
        <w:t xml:space="preserve"> in terms of evolocumab’s known clinical risks/benefits and the management of hypercholesterolaemia</w:t>
      </w:r>
      <w:r>
        <w:rPr>
          <w:rFonts w:asciiTheme="minorHAnsi" w:hAnsiTheme="minorHAnsi" w:cs="Arial"/>
          <w:bCs/>
          <w:snapToGrid w:val="0"/>
          <w:lang w:val="en-GB"/>
        </w:rPr>
        <w:t xml:space="preserve"> since its November 2019 recommendation</w:t>
      </w:r>
      <w:r w:rsidR="00F9499F">
        <w:rPr>
          <w:rFonts w:asciiTheme="minorHAnsi" w:hAnsiTheme="minorHAnsi" w:cs="Arial"/>
          <w:bCs/>
          <w:snapToGrid w:val="0"/>
          <w:lang w:val="en-GB"/>
        </w:rPr>
        <w:t>. The PBAC</w:t>
      </w:r>
      <w:r w:rsidR="00424E4F">
        <w:rPr>
          <w:rFonts w:asciiTheme="minorHAnsi" w:hAnsiTheme="minorHAnsi" w:cs="Arial"/>
          <w:bCs/>
          <w:snapToGrid w:val="0"/>
          <w:lang w:val="en-GB"/>
        </w:rPr>
        <w:t xml:space="preserve"> noted that evolocumab was listed on the PBS for non-FH in May 2020 and </w:t>
      </w:r>
      <w:r w:rsidR="00F9499F">
        <w:rPr>
          <w:rFonts w:asciiTheme="minorHAnsi" w:hAnsiTheme="minorHAnsi" w:cs="Arial"/>
          <w:bCs/>
          <w:snapToGrid w:val="0"/>
          <w:lang w:val="en-GB"/>
        </w:rPr>
        <w:t xml:space="preserve">considered </w:t>
      </w:r>
      <w:r>
        <w:rPr>
          <w:rFonts w:asciiTheme="minorHAnsi" w:hAnsiTheme="minorHAnsi" w:cs="Arial"/>
          <w:bCs/>
          <w:snapToGrid w:val="0"/>
          <w:lang w:val="en-GB"/>
        </w:rPr>
        <w:t>it was too early to assess th</w:t>
      </w:r>
      <w:r w:rsidR="00424E4F">
        <w:rPr>
          <w:rFonts w:asciiTheme="minorHAnsi" w:hAnsiTheme="minorHAnsi" w:cs="Arial"/>
          <w:bCs/>
          <w:snapToGrid w:val="0"/>
          <w:lang w:val="en-GB"/>
        </w:rPr>
        <w:t>e</w:t>
      </w:r>
      <w:r w:rsidR="00341E06">
        <w:rPr>
          <w:rFonts w:asciiTheme="minorHAnsi" w:hAnsiTheme="minorHAnsi" w:cs="Arial"/>
          <w:bCs/>
          <w:snapToGrid w:val="0"/>
          <w:lang w:val="en-GB"/>
        </w:rPr>
        <w:t xml:space="preserve"> combined</w:t>
      </w:r>
      <w:r w:rsidR="00D13299">
        <w:rPr>
          <w:rFonts w:asciiTheme="minorHAnsi" w:hAnsiTheme="minorHAnsi" w:cs="Arial"/>
          <w:bCs/>
          <w:snapToGrid w:val="0"/>
          <w:lang w:val="en-GB"/>
        </w:rPr>
        <w:t xml:space="preserve"> </w:t>
      </w:r>
      <w:r w:rsidR="00274179">
        <w:rPr>
          <w:rFonts w:asciiTheme="minorHAnsi" w:hAnsiTheme="minorHAnsi" w:cs="Arial"/>
          <w:bCs/>
          <w:snapToGrid w:val="0"/>
          <w:lang w:val="en-GB"/>
        </w:rPr>
        <w:t>financial impact</w:t>
      </w:r>
      <w:r w:rsidR="00D13299">
        <w:rPr>
          <w:rFonts w:asciiTheme="minorHAnsi" w:hAnsiTheme="minorHAnsi" w:cs="Arial"/>
          <w:bCs/>
          <w:snapToGrid w:val="0"/>
          <w:lang w:val="en-GB"/>
        </w:rPr>
        <w:t xml:space="preserve"> </w:t>
      </w:r>
      <w:r w:rsidR="00E172A3">
        <w:rPr>
          <w:rFonts w:asciiTheme="minorHAnsi" w:hAnsiTheme="minorHAnsi" w:cs="Arial"/>
          <w:bCs/>
          <w:snapToGrid w:val="0"/>
          <w:lang w:val="en-GB"/>
        </w:rPr>
        <w:t xml:space="preserve">of all indications. </w:t>
      </w:r>
    </w:p>
    <w:p w14:paraId="58E245EC" w14:textId="77777777" w:rsidR="00E865F8" w:rsidRDefault="00371FB6" w:rsidP="00C37591">
      <w:pPr>
        <w:pStyle w:val="3Bodytext"/>
        <w:rPr>
          <w:snapToGrid w:val="0"/>
          <w:lang w:val="en-GB"/>
        </w:rPr>
      </w:pPr>
      <w:r>
        <w:rPr>
          <w:snapToGrid w:val="0"/>
          <w:lang w:val="en-GB"/>
        </w:rPr>
        <w:t xml:space="preserve">The PBAC </w:t>
      </w:r>
      <w:r w:rsidR="006973CA">
        <w:rPr>
          <w:snapToGrid w:val="0"/>
          <w:lang w:val="en-GB"/>
        </w:rPr>
        <w:t xml:space="preserve">advised </w:t>
      </w:r>
      <w:r w:rsidR="0043683A">
        <w:rPr>
          <w:snapToGrid w:val="0"/>
          <w:lang w:val="en-GB"/>
        </w:rPr>
        <w:t xml:space="preserve">that </w:t>
      </w:r>
      <w:r w:rsidR="00E865F8">
        <w:rPr>
          <w:snapToGrid w:val="0"/>
          <w:lang w:val="en-GB"/>
        </w:rPr>
        <w:t xml:space="preserve">it would be appropriate </w:t>
      </w:r>
      <w:r w:rsidR="003146C0">
        <w:rPr>
          <w:snapToGrid w:val="0"/>
          <w:lang w:val="en-GB"/>
        </w:rPr>
        <w:t xml:space="preserve">for DUSC to review </w:t>
      </w:r>
      <w:r w:rsidR="000A0EB4">
        <w:rPr>
          <w:snapToGrid w:val="0"/>
          <w:lang w:val="en-GB"/>
        </w:rPr>
        <w:t xml:space="preserve">the </w:t>
      </w:r>
      <w:r w:rsidR="00370B27">
        <w:rPr>
          <w:snapToGrid w:val="0"/>
          <w:lang w:val="en-GB"/>
        </w:rPr>
        <w:t xml:space="preserve">utilisation </w:t>
      </w:r>
      <w:r w:rsidR="000A0EB4">
        <w:rPr>
          <w:snapToGrid w:val="0"/>
          <w:lang w:val="en-GB"/>
        </w:rPr>
        <w:t>data</w:t>
      </w:r>
      <w:r w:rsidR="00E865F8">
        <w:rPr>
          <w:snapToGrid w:val="0"/>
          <w:lang w:val="en-GB"/>
        </w:rPr>
        <w:t xml:space="preserve"> </w:t>
      </w:r>
      <w:r w:rsidR="0043683A">
        <w:rPr>
          <w:snapToGrid w:val="0"/>
          <w:lang w:val="en-GB"/>
        </w:rPr>
        <w:t xml:space="preserve">after at least </w:t>
      </w:r>
      <w:r w:rsidR="00E865F8">
        <w:rPr>
          <w:snapToGrid w:val="0"/>
          <w:lang w:val="en-GB"/>
        </w:rPr>
        <w:t xml:space="preserve">18 </w:t>
      </w:r>
      <w:r w:rsidR="000A0EB4">
        <w:rPr>
          <w:snapToGrid w:val="0"/>
          <w:lang w:val="en-GB"/>
        </w:rPr>
        <w:t>months</w:t>
      </w:r>
      <w:r w:rsidR="00C37591">
        <w:rPr>
          <w:snapToGrid w:val="0"/>
          <w:lang w:val="en-GB"/>
        </w:rPr>
        <w:t xml:space="preserve"> </w:t>
      </w:r>
      <w:r w:rsidR="00C37591" w:rsidRPr="00C37591">
        <w:rPr>
          <w:snapToGrid w:val="0"/>
          <w:lang w:val="en-GB"/>
        </w:rPr>
        <w:t xml:space="preserve">from the </w:t>
      </w:r>
      <w:r w:rsidR="006973CA">
        <w:rPr>
          <w:snapToGrid w:val="0"/>
          <w:lang w:val="en-GB"/>
        </w:rPr>
        <w:t>date</w:t>
      </w:r>
      <w:r w:rsidR="00C37591" w:rsidRPr="00C37591">
        <w:rPr>
          <w:snapToGrid w:val="0"/>
          <w:lang w:val="en-GB"/>
        </w:rPr>
        <w:t xml:space="preserve"> evolocumab’s listing was extended to include non-</w:t>
      </w:r>
      <w:r w:rsidR="00C37591" w:rsidRPr="00C37591">
        <w:rPr>
          <w:bCs/>
          <w:snapToGrid w:val="0"/>
          <w:lang w:val="en-GB"/>
        </w:rPr>
        <w:t>familial hypercholesterolaemia</w:t>
      </w:r>
      <w:r w:rsidR="00C37591">
        <w:rPr>
          <w:bCs/>
          <w:snapToGrid w:val="0"/>
          <w:lang w:val="en-GB"/>
        </w:rPr>
        <w:t xml:space="preserve"> (1 May 2020)</w:t>
      </w:r>
      <w:r w:rsidR="000C1CCF">
        <w:rPr>
          <w:bCs/>
          <w:snapToGrid w:val="0"/>
          <w:lang w:val="en-GB"/>
        </w:rPr>
        <w:t xml:space="preserve"> and the issue of GP initiation could be reassessed at that time</w:t>
      </w:r>
      <w:r w:rsidR="00C37591">
        <w:rPr>
          <w:bCs/>
          <w:snapToGrid w:val="0"/>
          <w:lang w:val="en-GB"/>
        </w:rPr>
        <w:t xml:space="preserve">. </w:t>
      </w:r>
    </w:p>
    <w:p w14:paraId="7BA15CCD" w14:textId="77777777" w:rsidR="002E02A8" w:rsidRPr="00371FB6" w:rsidRDefault="002E02A8" w:rsidP="002E02A8">
      <w:pPr>
        <w:widowControl w:val="0"/>
        <w:numPr>
          <w:ilvl w:val="1"/>
          <w:numId w:val="1"/>
        </w:numPr>
        <w:spacing w:after="120"/>
        <w:rPr>
          <w:rFonts w:asciiTheme="minorHAnsi" w:hAnsiTheme="minorHAnsi" w:cs="Arial"/>
          <w:bCs/>
          <w:snapToGrid w:val="0"/>
          <w:lang w:val="en-GB"/>
        </w:rPr>
      </w:pPr>
      <w:r>
        <w:rPr>
          <w:rFonts w:asciiTheme="minorHAnsi" w:hAnsiTheme="minorHAnsi" w:cs="Arial"/>
          <w:bCs/>
          <w:snapToGrid w:val="0"/>
          <w:lang w:val="en-GB"/>
        </w:rPr>
        <w:t>T</w:t>
      </w:r>
      <w:r w:rsidR="00371FB6">
        <w:rPr>
          <w:rFonts w:asciiTheme="minorHAnsi" w:hAnsiTheme="minorHAnsi" w:cs="Arial"/>
          <w:bCs/>
          <w:snapToGrid w:val="0"/>
          <w:lang w:val="en-GB"/>
        </w:rPr>
        <w:t xml:space="preserve">he PBAC </w:t>
      </w:r>
      <w:r w:rsidR="006973CA">
        <w:rPr>
          <w:rFonts w:asciiTheme="minorHAnsi" w:hAnsiTheme="minorHAnsi" w:cs="Arial"/>
          <w:bCs/>
          <w:snapToGrid w:val="0"/>
          <w:lang w:val="en-GB"/>
        </w:rPr>
        <w:t xml:space="preserve">noted </w:t>
      </w:r>
      <w:r>
        <w:rPr>
          <w:rFonts w:asciiTheme="minorHAnsi" w:hAnsiTheme="minorHAnsi" w:cs="Arial"/>
          <w:bCs/>
          <w:snapToGrid w:val="0"/>
          <w:lang w:val="en-GB"/>
        </w:rPr>
        <w:t xml:space="preserve">that this submission </w:t>
      </w:r>
      <w:r w:rsidR="00371FB6">
        <w:rPr>
          <w:rFonts w:asciiTheme="minorHAnsi" w:hAnsiTheme="minorHAnsi" w:cs="Arial"/>
          <w:bCs/>
          <w:snapToGrid w:val="0"/>
          <w:lang w:val="en-GB"/>
        </w:rPr>
        <w:t>would not meet the criteria for an Independent Review</w:t>
      </w:r>
      <w:r w:rsidR="00865605">
        <w:rPr>
          <w:rFonts w:asciiTheme="minorHAnsi" w:hAnsiTheme="minorHAnsi" w:cs="Arial"/>
          <w:bCs/>
          <w:snapToGrid w:val="0"/>
          <w:lang w:val="en-GB"/>
        </w:rPr>
        <w:t xml:space="preserve"> because the treatment is not targeting a different population or stage of disease. </w:t>
      </w:r>
    </w:p>
    <w:p w14:paraId="78721E27" w14:textId="77777777" w:rsidR="00032D6B" w:rsidRPr="009A763A" w:rsidRDefault="00032D6B" w:rsidP="00032D6B">
      <w:pPr>
        <w:spacing w:before="240"/>
        <w:rPr>
          <w:rFonts w:asciiTheme="minorHAnsi" w:hAnsiTheme="minorHAnsi" w:cs="Arial"/>
          <w:b/>
          <w:bCs/>
          <w:snapToGrid w:val="0"/>
        </w:rPr>
      </w:pPr>
      <w:r w:rsidRPr="009A763A">
        <w:rPr>
          <w:rFonts w:asciiTheme="minorHAnsi" w:hAnsiTheme="minorHAnsi" w:cs="Arial"/>
          <w:b/>
          <w:bCs/>
          <w:snapToGrid w:val="0"/>
        </w:rPr>
        <w:lastRenderedPageBreak/>
        <w:t>Outcome:</w:t>
      </w:r>
    </w:p>
    <w:p w14:paraId="4CFBBDC5" w14:textId="77777777" w:rsidR="00331433" w:rsidRDefault="00032D6B" w:rsidP="00F74863">
      <w:pPr>
        <w:rPr>
          <w:rFonts w:asciiTheme="minorHAnsi" w:hAnsiTheme="minorHAnsi" w:cs="Arial"/>
          <w:bCs/>
          <w:snapToGrid w:val="0"/>
        </w:rPr>
      </w:pPr>
      <w:r>
        <w:rPr>
          <w:rFonts w:asciiTheme="minorHAnsi" w:hAnsiTheme="minorHAnsi" w:cs="Arial"/>
          <w:bCs/>
          <w:snapToGrid w:val="0"/>
        </w:rPr>
        <w:t xml:space="preserve">Rejected </w:t>
      </w:r>
    </w:p>
    <w:p w14:paraId="70AC154A" w14:textId="77777777" w:rsidR="00D37276" w:rsidRDefault="00D37276" w:rsidP="00F74863">
      <w:pPr>
        <w:rPr>
          <w:rFonts w:asciiTheme="minorHAnsi" w:hAnsiTheme="minorHAnsi" w:cs="Arial"/>
          <w:bCs/>
          <w:snapToGrid w:val="0"/>
        </w:rPr>
      </w:pPr>
    </w:p>
    <w:p w14:paraId="14B9B936" w14:textId="77777777" w:rsidR="00D37276" w:rsidRPr="00461B4F" w:rsidRDefault="00D37276" w:rsidP="00461B4F">
      <w:pPr>
        <w:pStyle w:val="2-SectionHeading"/>
      </w:pPr>
      <w:r w:rsidRPr="00C07617">
        <w:t>Context for Decision</w:t>
      </w:r>
    </w:p>
    <w:p w14:paraId="340313E0" w14:textId="77777777" w:rsidR="00D37276" w:rsidRPr="00461B4F" w:rsidRDefault="00D37276" w:rsidP="00461B4F">
      <w:pPr>
        <w:widowControl w:val="0"/>
        <w:spacing w:after="120"/>
        <w:ind w:left="720"/>
        <w:rPr>
          <w:rFonts w:asciiTheme="minorHAnsi" w:hAnsiTheme="minorHAnsi" w:cs="Arial"/>
          <w:bCs/>
          <w:snapToGrid w:val="0"/>
          <w:lang w:val="en-GB"/>
        </w:rPr>
      </w:pPr>
      <w:r w:rsidRPr="00461B4F">
        <w:rPr>
          <w:rFonts w:asciiTheme="minorHAnsi" w:hAnsiTheme="minorHAnsi" w:cs="Arial"/>
          <w:bCs/>
          <w:snapToGrid w:val="0"/>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1E483F" w14:textId="77777777" w:rsidR="00D37276" w:rsidRPr="00C07617" w:rsidRDefault="00D37276" w:rsidP="00461B4F">
      <w:pPr>
        <w:pStyle w:val="2-SectionHeading"/>
      </w:pPr>
      <w:r w:rsidRPr="00461B4F">
        <w:t xml:space="preserve"> </w:t>
      </w:r>
      <w:r>
        <w:t>Sponsor’s Comment</w:t>
      </w:r>
    </w:p>
    <w:p w14:paraId="25C68ADB" w14:textId="77777777" w:rsidR="00D37276" w:rsidRPr="00461B4F" w:rsidRDefault="001F1F29" w:rsidP="00461B4F">
      <w:pPr>
        <w:ind w:left="720"/>
        <w:rPr>
          <w:rFonts w:asciiTheme="minorHAnsi" w:hAnsiTheme="minorHAnsi" w:cs="Arial"/>
        </w:rPr>
      </w:pPr>
      <w:r>
        <w:t>Amgen will continue to work with the PBAC on this matter so Australians have equitable access to evolocumab.</w:t>
      </w:r>
    </w:p>
    <w:sectPr w:rsidR="00D37276" w:rsidRPr="00461B4F" w:rsidSect="00C27B58">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440" w:bottom="1440" w:left="1440" w:header="1440" w:footer="144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74C36" w16cex:dateUtc="2020-12-06T01:25:00Z"/>
  <w16cex:commentExtensible w16cex:durableId="23774C51" w16cex:dateUtc="2020-12-06T01: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38ECF8" w16cid:durableId="23774ADB"/>
  <w16cid:commentId w16cid:paraId="197EB2E7" w16cid:durableId="23774C36"/>
  <w16cid:commentId w16cid:paraId="5AA6EF68" w16cid:durableId="23774ADC"/>
  <w16cid:commentId w16cid:paraId="2AC2E0E7" w16cid:durableId="23774C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02AA0E" w14:textId="77777777" w:rsidR="0060734C" w:rsidRDefault="0060734C">
      <w:r>
        <w:separator/>
      </w:r>
    </w:p>
    <w:p w14:paraId="6C42C9FA" w14:textId="77777777" w:rsidR="0060734C" w:rsidRDefault="0060734C"/>
  </w:endnote>
  <w:endnote w:type="continuationSeparator" w:id="0">
    <w:p w14:paraId="3EE4CF4F" w14:textId="77777777" w:rsidR="0060734C" w:rsidRDefault="0060734C">
      <w:r>
        <w:continuationSeparator/>
      </w:r>
    </w:p>
    <w:p w14:paraId="6AF1D513" w14:textId="77777777" w:rsidR="0060734C" w:rsidRDefault="0060734C"/>
  </w:endnote>
  <w:endnote w:id="1">
    <w:p w14:paraId="16C4C7E2"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Ahpra Medical Board Registration Data Table-March 2020 </w:t>
      </w:r>
      <w:hyperlink r:id="rId1" w:history="1">
        <w:r w:rsidRPr="00921338">
          <w:rPr>
            <w:rFonts w:asciiTheme="minorHAnsi" w:hAnsiTheme="minorHAnsi" w:cstheme="minorHAnsi"/>
            <w:sz w:val="16"/>
            <w:szCs w:val="16"/>
          </w:rPr>
          <w:t>https://www.medicalboard.gov.au/News/Statistics.aspx</w:t>
        </w:r>
      </w:hyperlink>
      <w:r w:rsidRPr="00921338">
        <w:rPr>
          <w:rFonts w:asciiTheme="minorHAnsi" w:hAnsiTheme="minorHAnsi" w:cstheme="minorHAnsi"/>
          <w:sz w:val="16"/>
          <w:szCs w:val="16"/>
        </w:rPr>
        <w:t xml:space="preserve"> accessed 28th May 2020</w:t>
      </w:r>
    </w:p>
  </w:endnote>
  <w:endnote w:id="2">
    <w:p w14:paraId="1634D46A"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Nostradata (assumption based on specialist statin prescribing using 10% PBS data)</w:t>
      </w:r>
    </w:p>
  </w:endnote>
  <w:endnote w:id="3">
    <w:p w14:paraId="03C5998A" w14:textId="77777777" w:rsidR="00921338" w:rsidRPr="00921338" w:rsidRDefault="00921338" w:rsidP="00921338">
      <w:pPr>
        <w:pStyle w:val="EndnoteText"/>
        <w:jc w:val="left"/>
        <w:rPr>
          <w:rFonts w:asciiTheme="minorHAnsi" w:hAnsiTheme="minorHAnsi" w:cstheme="minorHAnsi"/>
          <w:sz w:val="16"/>
          <w:szCs w:val="16"/>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Cardiovascular disease in Rural Australia Fact Sheet Jan 2015 National Rural Health Alliance Inc. </w:t>
      </w:r>
      <w:hyperlink r:id="rId2" w:history="1">
        <w:r w:rsidRPr="00921338">
          <w:rPr>
            <w:rStyle w:val="Hyperlink"/>
            <w:rFonts w:asciiTheme="minorHAnsi" w:hAnsiTheme="minorHAnsi" w:cstheme="minorHAnsi"/>
            <w:sz w:val="16"/>
            <w:szCs w:val="16"/>
          </w:rPr>
          <w:t>https://www.ruralhealth.org.au/sites/default/files/publications/cardiovascular-disease-fact-sheet_0.pdf</w:t>
        </w:r>
      </w:hyperlink>
      <w:r w:rsidRPr="00921338">
        <w:rPr>
          <w:rFonts w:asciiTheme="minorHAnsi" w:hAnsiTheme="minorHAnsi" w:cstheme="minorHAnsi"/>
          <w:sz w:val="16"/>
          <w:szCs w:val="16"/>
        </w:rPr>
        <w:t xml:space="preserve"> accessed 29th May 2020</w:t>
      </w:r>
    </w:p>
  </w:endnote>
  <w:endnote w:id="4">
    <w:p w14:paraId="4E9FEAFE" w14:textId="77777777" w:rsidR="00921338" w:rsidRPr="00921338" w:rsidRDefault="00921338" w:rsidP="00921338">
      <w:pPr>
        <w:pStyle w:val="EndnoteText"/>
        <w:jc w:val="left"/>
        <w:rPr>
          <w:rFonts w:asciiTheme="minorHAnsi" w:hAnsiTheme="minorHAnsi" w:cstheme="minorHAnsi"/>
          <w:sz w:val="16"/>
          <w:szCs w:val="16"/>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AIHW Cardiovascular Disease July 2020 update</w:t>
      </w:r>
      <w:hyperlink r:id="rId3" w:history="1">
        <w:r w:rsidRPr="00921338">
          <w:rPr>
            <w:rStyle w:val="Hyperlink"/>
            <w:rFonts w:asciiTheme="minorHAnsi" w:hAnsiTheme="minorHAnsi" w:cstheme="minorHAnsi"/>
            <w:sz w:val="16"/>
            <w:szCs w:val="16"/>
          </w:rPr>
          <w:t>https://www.aihw.gov.au/reports/heart-stroke-vascular-diseases/cardiovascular-health-compendium/contents/what-is-cardiovascular-disease</w:t>
        </w:r>
      </w:hyperlink>
      <w:r w:rsidRPr="00921338">
        <w:rPr>
          <w:rFonts w:asciiTheme="minorHAnsi" w:hAnsiTheme="minorHAnsi" w:cstheme="minorHAnsi"/>
          <w:sz w:val="16"/>
          <w:szCs w:val="16"/>
        </w:rPr>
        <w:t xml:space="preserve"> accessed</w:t>
      </w:r>
      <w:r w:rsidRPr="00921338">
        <w:rPr>
          <w:rFonts w:asciiTheme="minorHAnsi" w:hAnsiTheme="minorHAnsi" w:cstheme="minorHAnsi"/>
        </w:rPr>
        <w:t xml:space="preserve"> </w:t>
      </w:r>
      <w:r w:rsidRPr="00921338">
        <w:rPr>
          <w:rFonts w:asciiTheme="minorHAnsi" w:hAnsiTheme="minorHAnsi" w:cstheme="minorHAnsi"/>
          <w:sz w:val="16"/>
          <w:szCs w:val="16"/>
        </w:rPr>
        <w:t>15</w:t>
      </w:r>
      <w:r w:rsidRPr="00921338">
        <w:rPr>
          <w:rFonts w:asciiTheme="minorHAnsi" w:hAnsiTheme="minorHAnsi" w:cstheme="minorHAnsi"/>
          <w:sz w:val="16"/>
          <w:szCs w:val="16"/>
          <w:vertAlign w:val="superscript"/>
        </w:rPr>
        <w:t>th</w:t>
      </w:r>
      <w:r w:rsidRPr="00921338">
        <w:rPr>
          <w:rFonts w:asciiTheme="minorHAnsi" w:hAnsiTheme="minorHAnsi" w:cstheme="minorHAnsi"/>
          <w:sz w:val="16"/>
          <w:szCs w:val="16"/>
        </w:rPr>
        <w:t xml:space="preserve"> July 2020</w:t>
      </w:r>
    </w:p>
  </w:endnote>
  <w:endnote w:id="5">
    <w:p w14:paraId="68070463"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Cardiology Fact Sheet 2016 </w:t>
      </w:r>
      <w:hyperlink r:id="rId4" w:history="1">
        <w:r w:rsidRPr="00921338">
          <w:rPr>
            <w:rStyle w:val="Hyperlink"/>
            <w:rFonts w:asciiTheme="minorHAnsi" w:hAnsiTheme="minorHAnsi" w:cstheme="minorHAnsi"/>
            <w:sz w:val="16"/>
            <w:szCs w:val="16"/>
          </w:rPr>
          <w:t>https://hwd.health.gov.au/webapi/customer/documents/factsheets/2016/Cardiology.pdf</w:t>
        </w:r>
      </w:hyperlink>
    </w:p>
  </w:endnote>
  <w:endnote w:id="6">
    <w:p w14:paraId="70403C4E" w14:textId="77777777" w:rsidR="00921338" w:rsidRPr="00921338" w:rsidRDefault="00921338" w:rsidP="00921338">
      <w:pPr>
        <w:pStyle w:val="Heading1"/>
        <w:shd w:val="clear" w:color="auto" w:fill="FFFFFF"/>
        <w:spacing w:after="0"/>
        <w:ind w:firstLine="0"/>
        <w:rPr>
          <w:rFonts w:cstheme="minorHAnsi"/>
          <w:b w:val="0"/>
          <w:color w:val="212121"/>
          <w:sz w:val="16"/>
          <w:szCs w:val="16"/>
        </w:rPr>
      </w:pPr>
      <w:r w:rsidRPr="00921338">
        <w:rPr>
          <w:rStyle w:val="EndnoteReference"/>
          <w:rFonts w:cstheme="minorHAnsi"/>
          <w:b w:val="0"/>
          <w:sz w:val="20"/>
          <w:szCs w:val="20"/>
        </w:rPr>
        <w:endnoteRef/>
      </w:r>
      <w:r w:rsidRPr="00921338">
        <w:rPr>
          <w:rFonts w:cstheme="minorHAnsi"/>
          <w:b w:val="0"/>
          <w:sz w:val="20"/>
          <w:szCs w:val="20"/>
        </w:rPr>
        <w:t xml:space="preserve"> </w:t>
      </w:r>
      <w:r w:rsidRPr="00921338">
        <w:rPr>
          <w:rFonts w:cstheme="minorHAnsi"/>
          <w:b w:val="0"/>
          <w:sz w:val="16"/>
          <w:szCs w:val="16"/>
        </w:rPr>
        <w:t xml:space="preserve">O’Sullivan et al 2017 </w:t>
      </w:r>
      <w:r w:rsidRPr="00921338">
        <w:rPr>
          <w:rFonts w:cstheme="minorHAnsi"/>
          <w:b w:val="0"/>
          <w:color w:val="212121"/>
          <w:sz w:val="16"/>
          <w:szCs w:val="16"/>
        </w:rPr>
        <w:t xml:space="preserve">Specialist Outreach Services in Regional and Remote Australia: Key Drivers and Policy Implications </w:t>
      </w:r>
      <w:hyperlink r:id="rId5" w:history="1">
        <w:r w:rsidRPr="00921338">
          <w:rPr>
            <w:rStyle w:val="Hyperlink"/>
            <w:rFonts w:cstheme="minorHAnsi"/>
            <w:b w:val="0"/>
            <w:sz w:val="16"/>
            <w:szCs w:val="16"/>
          </w:rPr>
          <w:t>https://pubmed.ncbi.nlm.nih.gov/28764622/?from_term=OSullivan+BG%5BAuthor%5D&amp;from_pos=2</w:t>
        </w:r>
      </w:hyperlink>
    </w:p>
  </w:endnote>
  <w:endnote w:id="7">
    <w:p w14:paraId="6B565D37"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AIHW Indicators of socioeconomic inequalities of cardiovascular disease, diabetes and chronic kidney disease </w:t>
      </w:r>
      <w:hyperlink r:id="rId6" w:history="1">
        <w:r w:rsidRPr="00921338">
          <w:rPr>
            <w:rStyle w:val="Hyperlink"/>
            <w:rFonts w:asciiTheme="minorHAnsi" w:hAnsiTheme="minorHAnsi" w:cstheme="minorHAnsi"/>
            <w:sz w:val="16"/>
            <w:szCs w:val="16"/>
          </w:rPr>
          <w:t>https://www.aihw.gov.au/getmedia/01c5bb07-592e-432e-9fba-d242e0f7e27e/aihw-cdk-12.pdf.aspx?inline=true</w:t>
        </w:r>
      </w:hyperlink>
    </w:p>
  </w:endnote>
  <w:endnote w:id="8">
    <w:p w14:paraId="6B4301EF"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Cardiology Fact Sheet 2016 </w:t>
      </w:r>
      <w:hyperlink r:id="rId7" w:history="1">
        <w:r w:rsidRPr="00921338">
          <w:rPr>
            <w:rStyle w:val="Hyperlink"/>
            <w:rFonts w:asciiTheme="minorHAnsi" w:hAnsiTheme="minorHAnsi" w:cstheme="minorHAnsi"/>
            <w:sz w:val="16"/>
            <w:szCs w:val="16"/>
          </w:rPr>
          <w:t>https://hwd.health.gov.au/webapi/customer/documents/factsheets/2016/Cardiology.pdf</w:t>
        </w:r>
      </w:hyperlink>
    </w:p>
  </w:endnote>
  <w:endnote w:id="9">
    <w:p w14:paraId="04AE30E1"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SA Health Specialist Outpatient Clinics Waiting Time Report Census date as at 31 December 2019 </w:t>
      </w:r>
      <w:hyperlink r:id="rId8" w:history="1">
        <w:r w:rsidRPr="00921338">
          <w:rPr>
            <w:rStyle w:val="Hyperlink"/>
            <w:rFonts w:asciiTheme="minorHAnsi" w:hAnsiTheme="minorHAnsi" w:cstheme="minorHAnsi"/>
            <w:sz w:val="16"/>
            <w:szCs w:val="16"/>
          </w:rPr>
          <w:t>https://www.sahealth.sa.gov.au/wps/wcm/connect/5865e046-a2ff-43ec-bc2f-406ee767f53f/Attachment+1+-++Specialist+Outpatient+Clinics+Waiting+Time+Report+-+Cens....pdf?MOD=AJPERES&amp;amp;CACHEID=ROOTWORKSPACE-5865e046-a2ff-43ec-bc2f-406ee767f53f-n5j0Z4C</w:t>
        </w:r>
      </w:hyperlink>
    </w:p>
  </w:endnote>
  <w:endnote w:id="10">
    <w:p w14:paraId="2995CF61"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Calabria B et al Absolute cardiovascular disease risk and lipid-lowering therapy among Aboriginal and Torres Strait Islander Australians MJA 2018 209 (1)</w:t>
      </w:r>
      <w:r w:rsidRPr="00921338">
        <w:rPr>
          <w:rFonts w:asciiTheme="minorHAnsi" w:hAnsiTheme="minorHAnsi" w:cstheme="minorHAnsi"/>
          <w:color w:val="000000"/>
          <w:sz w:val="16"/>
          <w:szCs w:val="16"/>
        </w:rPr>
        <w:t xml:space="preserve"> 35: 41 </w:t>
      </w:r>
      <w:hyperlink r:id="rId9" w:history="1">
        <w:r w:rsidRPr="00921338">
          <w:rPr>
            <w:rStyle w:val="Hyperlink"/>
            <w:rFonts w:asciiTheme="minorHAnsi" w:hAnsiTheme="minorHAnsi" w:cstheme="minorHAnsi"/>
            <w:sz w:val="16"/>
            <w:szCs w:val="16"/>
          </w:rPr>
          <w:t>https://www.mja.com.au/journal/2018/209/1/absolute-cardiovascular-disease-risk-and-lipid-lowering-therapy-among-aboriginal</w:t>
        </w:r>
      </w:hyperlink>
    </w:p>
  </w:endnote>
  <w:endnote w:id="11">
    <w:p w14:paraId="73417315"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Style w:val="element-citation"/>
          <w:rFonts w:asciiTheme="minorHAnsi" w:hAnsiTheme="minorHAnsi" w:cstheme="minorHAnsi"/>
          <w:color w:val="000000"/>
          <w:sz w:val="16"/>
          <w:szCs w:val="16"/>
          <w:shd w:val="clear" w:color="auto" w:fill="FFFFFF"/>
        </w:rPr>
        <w:t>Australian Health Minister’s Advisory Council. </w:t>
      </w:r>
      <w:r w:rsidRPr="00921338">
        <w:rPr>
          <w:rStyle w:val="ref-journal"/>
          <w:rFonts w:asciiTheme="minorHAnsi" w:hAnsiTheme="minorHAnsi" w:cstheme="minorHAnsi"/>
          <w:color w:val="000000"/>
          <w:sz w:val="16"/>
          <w:szCs w:val="16"/>
          <w:shd w:val="clear" w:color="auto" w:fill="FFFFFF"/>
        </w:rPr>
        <w:t>Aboriginal and Torres Strait islander health performance framework 2012 report.</w:t>
      </w:r>
      <w:r w:rsidRPr="00921338">
        <w:rPr>
          <w:rStyle w:val="element-citation"/>
          <w:rFonts w:asciiTheme="minorHAnsi" w:hAnsiTheme="minorHAnsi" w:cstheme="minorHAnsi"/>
          <w:color w:val="000000"/>
          <w:sz w:val="16"/>
          <w:szCs w:val="16"/>
          <w:shd w:val="clear" w:color="auto" w:fill="FFFFFF"/>
        </w:rPr>
        <w:t> Canberra: AHMAC; 2012.</w:t>
      </w:r>
    </w:p>
  </w:endnote>
  <w:endnote w:id="12">
    <w:p w14:paraId="30E8EB55"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Correll et al World Psychiatry </w:t>
      </w:r>
      <w:r w:rsidRPr="00921338">
        <w:rPr>
          <w:rFonts w:asciiTheme="minorHAnsi" w:hAnsiTheme="minorHAnsi" w:cstheme="minorHAnsi"/>
          <w:color w:val="231F20"/>
          <w:sz w:val="16"/>
          <w:szCs w:val="16"/>
          <w:shd w:val="clear" w:color="auto" w:fill="FFFFFF"/>
        </w:rPr>
        <w:t>2017;16:163–180</w:t>
      </w:r>
    </w:p>
  </w:endnote>
  <w:endnote w:id="13">
    <w:p w14:paraId="7298FBB6" w14:textId="77777777" w:rsidR="00921338" w:rsidRPr="00921338" w:rsidRDefault="00921338" w:rsidP="00921338">
      <w:pPr>
        <w:pStyle w:val="EndnoteText"/>
        <w:jc w:val="left"/>
        <w:rPr>
          <w:rFonts w:asciiTheme="minorHAnsi" w:hAnsiTheme="minorHAnsi" w:cstheme="minorHAnsi"/>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AIHW Cardiovascular Disease July 2020 update</w:t>
      </w:r>
      <w:hyperlink r:id="rId10" w:history="1">
        <w:r w:rsidRPr="00921338">
          <w:rPr>
            <w:rStyle w:val="Hyperlink"/>
            <w:rFonts w:asciiTheme="minorHAnsi" w:hAnsiTheme="minorHAnsi" w:cstheme="minorHAnsi"/>
            <w:sz w:val="16"/>
            <w:szCs w:val="16"/>
          </w:rPr>
          <w:t>https://www.aihw.gov.au/reports/heart-stroke-vascular-diseases/cardiovascular-health-compendium/contents/what-is-cardiovascular-disease</w:t>
        </w:r>
      </w:hyperlink>
      <w:r w:rsidRPr="00921338">
        <w:rPr>
          <w:rFonts w:asciiTheme="minorHAnsi" w:hAnsiTheme="minorHAnsi" w:cstheme="minorHAnsi"/>
          <w:sz w:val="16"/>
          <w:szCs w:val="16"/>
        </w:rPr>
        <w:t xml:space="preserve"> accessed</w:t>
      </w:r>
      <w:r w:rsidRPr="00921338">
        <w:rPr>
          <w:rFonts w:asciiTheme="minorHAnsi" w:hAnsiTheme="minorHAnsi" w:cstheme="minorHAnsi"/>
        </w:rPr>
        <w:t xml:space="preserve"> </w:t>
      </w:r>
      <w:r w:rsidRPr="00921338">
        <w:rPr>
          <w:rFonts w:asciiTheme="minorHAnsi" w:hAnsiTheme="minorHAnsi" w:cstheme="minorHAnsi"/>
          <w:sz w:val="16"/>
          <w:szCs w:val="16"/>
        </w:rPr>
        <w:t>15</w:t>
      </w:r>
      <w:r w:rsidRPr="00921338">
        <w:rPr>
          <w:rFonts w:asciiTheme="minorHAnsi" w:hAnsiTheme="minorHAnsi" w:cstheme="minorHAnsi"/>
          <w:sz w:val="16"/>
          <w:szCs w:val="16"/>
          <w:vertAlign w:val="superscript"/>
        </w:rPr>
        <w:t>th</w:t>
      </w:r>
      <w:r w:rsidRPr="00921338">
        <w:rPr>
          <w:rFonts w:asciiTheme="minorHAnsi" w:hAnsiTheme="minorHAnsi" w:cstheme="minorHAnsi"/>
          <w:sz w:val="16"/>
          <w:szCs w:val="16"/>
        </w:rPr>
        <w:t xml:space="preserve"> July 2020</w:t>
      </w:r>
    </w:p>
  </w:endnote>
  <w:endnote w:id="14">
    <w:p w14:paraId="71FD5B2B" w14:textId="77777777" w:rsidR="00B96FF8" w:rsidRPr="00F74863" w:rsidRDefault="00921338" w:rsidP="00921338">
      <w:pPr>
        <w:pStyle w:val="EndnoteText"/>
        <w:jc w:val="left"/>
        <w:rPr>
          <w:rFonts w:asciiTheme="minorHAnsi" w:hAnsiTheme="minorHAnsi" w:cstheme="minorHAnsi"/>
          <w:sz w:val="16"/>
          <w:szCs w:val="16"/>
        </w:rPr>
      </w:pPr>
      <w:r w:rsidRPr="00921338">
        <w:rPr>
          <w:rStyle w:val="EndnoteReference"/>
          <w:rFonts w:asciiTheme="minorHAnsi" w:hAnsiTheme="minorHAnsi" w:cstheme="minorHAnsi"/>
        </w:rPr>
        <w:endnoteRef/>
      </w:r>
      <w:r w:rsidRPr="00921338">
        <w:rPr>
          <w:rFonts w:asciiTheme="minorHAnsi" w:hAnsiTheme="minorHAnsi" w:cstheme="minorHAnsi"/>
        </w:rPr>
        <w:t xml:space="preserve"> </w:t>
      </w:r>
      <w:r w:rsidRPr="00921338">
        <w:rPr>
          <w:rFonts w:asciiTheme="minorHAnsi" w:hAnsiTheme="minorHAnsi" w:cstheme="minorHAnsi"/>
          <w:sz w:val="16"/>
          <w:szCs w:val="16"/>
        </w:rPr>
        <w:t xml:space="preserve">Cardiovascular disease and Covid-19: Australian/ NZ Consensus Statement MJA April 2020. </w:t>
      </w:r>
      <w:hyperlink r:id="rId11" w:history="1">
        <w:r w:rsidR="008539F5" w:rsidRPr="00154B47">
          <w:rPr>
            <w:rStyle w:val="Hyperlink"/>
            <w:rFonts w:asciiTheme="minorHAnsi" w:hAnsiTheme="minorHAnsi" w:cstheme="minorHAnsi"/>
            <w:sz w:val="16"/>
            <w:szCs w:val="16"/>
          </w:rPr>
          <w:t>https://www.mja.com.au/journal/2020/cardiovascular-disease-and-covid-19-australiannew-zealand-consensus-statement. Accessed 9</w:t>
        </w:r>
        <w:r w:rsidR="008539F5" w:rsidRPr="00154B47">
          <w:rPr>
            <w:rStyle w:val="Hyperlink"/>
            <w:rFonts w:asciiTheme="minorHAnsi" w:hAnsiTheme="minorHAnsi" w:cstheme="minorHAnsi"/>
            <w:sz w:val="16"/>
            <w:szCs w:val="16"/>
            <w:vertAlign w:val="superscript"/>
          </w:rPr>
          <w:t>th</w:t>
        </w:r>
        <w:r w:rsidR="008539F5" w:rsidRPr="00154B47">
          <w:rPr>
            <w:rStyle w:val="Hyperlink"/>
            <w:rFonts w:asciiTheme="minorHAnsi" w:hAnsiTheme="minorHAnsi" w:cstheme="minorHAnsi"/>
            <w:sz w:val="16"/>
            <w:szCs w:val="16"/>
          </w:rPr>
          <w:t xml:space="preserve"> April 2020</w:t>
        </w:r>
      </w:hyperlink>
      <w:r w:rsidRPr="00921338">
        <w:rPr>
          <w:rFonts w:asciiTheme="minorHAnsi" w:hAnsiTheme="minorHAnsi" w:cstheme="minorHAnsi"/>
          <w:sz w:val="16"/>
          <w:szCs w:val="16"/>
        </w:rPr>
        <w:t>.</w:t>
      </w:r>
    </w:p>
    <w:p w14:paraId="1F9F69BF" w14:textId="77777777" w:rsidR="00B96FF8" w:rsidRDefault="00B96FF8" w:rsidP="00921338">
      <w:pPr>
        <w:pStyle w:val="EndnoteText"/>
        <w:jc w:val="lef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111DC" w14:paraId="4EDEF20D" w14:textId="77777777" w:rsidTr="005A3173">
      <w:trPr>
        <w:trHeight w:val="151"/>
      </w:trPr>
      <w:tc>
        <w:tcPr>
          <w:tcW w:w="2250" w:type="pct"/>
          <w:tcBorders>
            <w:top w:val="nil"/>
            <w:left w:val="nil"/>
            <w:bottom w:val="single" w:sz="4" w:space="0" w:color="4F81BD"/>
            <w:right w:val="nil"/>
          </w:tcBorders>
        </w:tcPr>
        <w:p w14:paraId="5B2046F9" w14:textId="77777777" w:rsidR="004111DC" w:rsidRPr="005A3173" w:rsidRDefault="004111DC" w:rsidP="005A3173">
          <w:pPr>
            <w:pStyle w:val="Header"/>
            <w:spacing w:line="276" w:lineRule="auto"/>
            <w:rPr>
              <w:rFonts w:eastAsia="MS Gothic"/>
              <w:b/>
              <w:bCs/>
              <w:color w:val="4F81BD"/>
            </w:rPr>
          </w:pPr>
        </w:p>
      </w:tc>
      <w:tc>
        <w:tcPr>
          <w:tcW w:w="500" w:type="pct"/>
          <w:vMerge w:val="restart"/>
          <w:noWrap/>
          <w:vAlign w:val="center"/>
          <w:hideMark/>
        </w:tcPr>
        <w:p w14:paraId="004F9F7E" w14:textId="77777777" w:rsidR="004111DC" w:rsidRPr="005A3173" w:rsidRDefault="004111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9A660DF" w14:textId="77777777" w:rsidR="004111DC" w:rsidRPr="005A3173" w:rsidRDefault="004111DC" w:rsidP="005A3173">
          <w:pPr>
            <w:pStyle w:val="Header"/>
            <w:spacing w:line="276" w:lineRule="auto"/>
            <w:rPr>
              <w:rFonts w:eastAsia="MS Gothic"/>
              <w:b/>
              <w:bCs/>
              <w:color w:val="4F81BD"/>
            </w:rPr>
          </w:pPr>
        </w:p>
      </w:tc>
    </w:tr>
    <w:tr w:rsidR="004111DC" w14:paraId="3612EBB1" w14:textId="77777777" w:rsidTr="005A3173">
      <w:trPr>
        <w:trHeight w:val="150"/>
      </w:trPr>
      <w:tc>
        <w:tcPr>
          <w:tcW w:w="2250" w:type="pct"/>
          <w:tcBorders>
            <w:top w:val="single" w:sz="4" w:space="0" w:color="4F81BD"/>
            <w:left w:val="nil"/>
            <w:bottom w:val="nil"/>
            <w:right w:val="nil"/>
          </w:tcBorders>
        </w:tcPr>
        <w:p w14:paraId="59F8B6ED" w14:textId="77777777" w:rsidR="004111DC" w:rsidRPr="005A3173" w:rsidRDefault="004111DC" w:rsidP="005A3173">
          <w:pPr>
            <w:pStyle w:val="Header"/>
            <w:spacing w:line="276" w:lineRule="auto"/>
            <w:rPr>
              <w:rFonts w:eastAsia="MS Gothic"/>
              <w:b/>
              <w:bCs/>
              <w:color w:val="4F81BD"/>
            </w:rPr>
          </w:pPr>
        </w:p>
      </w:tc>
      <w:tc>
        <w:tcPr>
          <w:tcW w:w="0" w:type="auto"/>
          <w:vMerge/>
          <w:vAlign w:val="center"/>
          <w:hideMark/>
        </w:tcPr>
        <w:p w14:paraId="358E8754" w14:textId="77777777" w:rsidR="004111DC" w:rsidRPr="005A3173" w:rsidRDefault="004111DC" w:rsidP="005A3173">
          <w:pPr>
            <w:rPr>
              <w:color w:val="365F91"/>
              <w:sz w:val="22"/>
              <w:szCs w:val="22"/>
            </w:rPr>
          </w:pPr>
        </w:p>
      </w:tc>
      <w:tc>
        <w:tcPr>
          <w:tcW w:w="2250" w:type="pct"/>
          <w:tcBorders>
            <w:top w:val="single" w:sz="4" w:space="0" w:color="4F81BD"/>
            <w:left w:val="nil"/>
            <w:bottom w:val="nil"/>
            <w:right w:val="nil"/>
          </w:tcBorders>
        </w:tcPr>
        <w:p w14:paraId="37EA6434" w14:textId="77777777" w:rsidR="004111DC" w:rsidRPr="005A3173" w:rsidRDefault="004111DC" w:rsidP="005A3173">
          <w:pPr>
            <w:pStyle w:val="Header"/>
            <w:spacing w:line="276" w:lineRule="auto"/>
            <w:rPr>
              <w:rFonts w:eastAsia="MS Gothic"/>
              <w:b/>
              <w:bCs/>
              <w:color w:val="4F81BD"/>
            </w:rPr>
          </w:pPr>
        </w:p>
      </w:tc>
    </w:tr>
  </w:tbl>
  <w:p w14:paraId="0EE8C61D" w14:textId="77777777" w:rsidR="004111DC" w:rsidRDefault="004111D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04EDBA" w14:textId="77777777" w:rsidR="004111DC" w:rsidRDefault="004111DC">
    <w:pPr>
      <w:pStyle w:val="Footer"/>
    </w:pPr>
  </w:p>
  <w:p w14:paraId="3F20ABF9" w14:textId="77777777" w:rsidR="004111DC" w:rsidRDefault="004111D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E1468" w14:textId="77777777" w:rsidR="004111DC" w:rsidRDefault="004111DC" w:rsidP="00E27234">
    <w:pPr>
      <w:pStyle w:val="PBACFooter"/>
      <w:rPr>
        <w:rFonts w:asciiTheme="minorHAnsi" w:hAnsiTheme="minorHAnsi" w:cstheme="minorHAnsi"/>
        <w:sz w:val="24"/>
      </w:rPr>
    </w:pPr>
  </w:p>
  <w:p w14:paraId="72D1A7A1" w14:textId="66D1ECCC" w:rsidR="004111DC" w:rsidRPr="00536BE3" w:rsidRDefault="00536BE3" w:rsidP="00536BE3">
    <w:pPr>
      <w:pStyle w:val="Footer"/>
      <w:keepNext/>
      <w:ind w:left="360"/>
      <w:jc w:val="center"/>
      <w:rPr>
        <w:rFonts w:asciiTheme="minorHAnsi" w:hAnsiTheme="minorHAnsi" w:cs="Arial"/>
      </w:rPr>
    </w:pPr>
    <w:r w:rsidRPr="00836F75">
      <w:rPr>
        <w:rFonts w:cs="Arial"/>
        <w:b/>
      </w:rPr>
      <w:fldChar w:fldCharType="begin"/>
    </w:r>
    <w:r w:rsidRPr="00836F75">
      <w:rPr>
        <w:rFonts w:cs="Arial"/>
        <w:b/>
      </w:rPr>
      <w:instrText xml:space="preserve"> PAGE   \* MERGEFORMAT </w:instrText>
    </w:r>
    <w:r w:rsidRPr="00836F75">
      <w:rPr>
        <w:rFonts w:cs="Arial"/>
        <w:b/>
      </w:rPr>
      <w:fldChar w:fldCharType="separate"/>
    </w:r>
    <w:r w:rsidR="00C7602C">
      <w:rPr>
        <w:rFonts w:cs="Arial"/>
        <w:b/>
        <w:noProof/>
      </w:rPr>
      <w:t>8</w:t>
    </w:r>
    <w:r w:rsidRPr="00836F75">
      <w:rPr>
        <w:rFonts w:cs="Arial"/>
        <w:b/>
        <w:noProof/>
      </w:rPr>
      <w:fldChar w:fldCharType="end"/>
    </w:r>
    <w:r>
      <w:rPr>
        <w:rFonts w:cs="Arial"/>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4111DC" w14:paraId="57C88D34" w14:textId="77777777" w:rsidTr="005A3173">
      <w:trPr>
        <w:trHeight w:val="151"/>
      </w:trPr>
      <w:tc>
        <w:tcPr>
          <w:tcW w:w="2250" w:type="pct"/>
          <w:tcBorders>
            <w:top w:val="nil"/>
            <w:left w:val="nil"/>
            <w:bottom w:val="single" w:sz="4" w:space="0" w:color="4F81BD"/>
            <w:right w:val="nil"/>
          </w:tcBorders>
        </w:tcPr>
        <w:p w14:paraId="2036051F" w14:textId="77777777" w:rsidR="004111DC" w:rsidRPr="005A3173" w:rsidRDefault="004111DC" w:rsidP="005A3173">
          <w:pPr>
            <w:pStyle w:val="Header"/>
            <w:spacing w:line="276" w:lineRule="auto"/>
            <w:rPr>
              <w:rFonts w:eastAsia="MS Gothic"/>
              <w:b/>
              <w:bCs/>
              <w:color w:val="4F81BD"/>
            </w:rPr>
          </w:pPr>
        </w:p>
      </w:tc>
      <w:tc>
        <w:tcPr>
          <w:tcW w:w="500" w:type="pct"/>
          <w:vMerge w:val="restart"/>
          <w:noWrap/>
          <w:vAlign w:val="center"/>
          <w:hideMark/>
        </w:tcPr>
        <w:p w14:paraId="536F47EF" w14:textId="77777777" w:rsidR="004111DC" w:rsidRPr="005A3173" w:rsidRDefault="004111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F277536" w14:textId="77777777" w:rsidR="004111DC" w:rsidRPr="005A3173" w:rsidRDefault="004111DC" w:rsidP="005A3173">
          <w:pPr>
            <w:pStyle w:val="Header"/>
            <w:spacing w:line="276" w:lineRule="auto"/>
            <w:rPr>
              <w:rFonts w:eastAsia="MS Gothic"/>
              <w:b/>
              <w:bCs/>
              <w:color w:val="4F81BD"/>
            </w:rPr>
          </w:pPr>
        </w:p>
      </w:tc>
    </w:tr>
    <w:tr w:rsidR="004111DC" w14:paraId="307329F3" w14:textId="77777777" w:rsidTr="005A3173">
      <w:trPr>
        <w:trHeight w:val="150"/>
      </w:trPr>
      <w:tc>
        <w:tcPr>
          <w:tcW w:w="2250" w:type="pct"/>
          <w:tcBorders>
            <w:top w:val="single" w:sz="4" w:space="0" w:color="4F81BD"/>
            <w:left w:val="nil"/>
            <w:bottom w:val="nil"/>
            <w:right w:val="nil"/>
          </w:tcBorders>
        </w:tcPr>
        <w:p w14:paraId="43DDF602" w14:textId="77777777" w:rsidR="004111DC" w:rsidRPr="005A3173" w:rsidRDefault="004111DC" w:rsidP="005A3173">
          <w:pPr>
            <w:pStyle w:val="Header"/>
            <w:spacing w:line="276" w:lineRule="auto"/>
            <w:rPr>
              <w:rFonts w:eastAsia="MS Gothic"/>
              <w:b/>
              <w:bCs/>
              <w:color w:val="4F81BD"/>
            </w:rPr>
          </w:pPr>
        </w:p>
      </w:tc>
      <w:tc>
        <w:tcPr>
          <w:tcW w:w="0" w:type="auto"/>
          <w:vMerge/>
          <w:vAlign w:val="center"/>
          <w:hideMark/>
        </w:tcPr>
        <w:p w14:paraId="353376B4" w14:textId="77777777" w:rsidR="004111DC" w:rsidRPr="005A3173" w:rsidRDefault="004111DC" w:rsidP="005A3173">
          <w:pPr>
            <w:rPr>
              <w:color w:val="365F91"/>
              <w:sz w:val="22"/>
              <w:szCs w:val="22"/>
            </w:rPr>
          </w:pPr>
        </w:p>
      </w:tc>
      <w:tc>
        <w:tcPr>
          <w:tcW w:w="2250" w:type="pct"/>
          <w:tcBorders>
            <w:top w:val="single" w:sz="4" w:space="0" w:color="4F81BD"/>
            <w:left w:val="nil"/>
            <w:bottom w:val="nil"/>
            <w:right w:val="nil"/>
          </w:tcBorders>
        </w:tcPr>
        <w:p w14:paraId="125DB847" w14:textId="77777777" w:rsidR="004111DC" w:rsidRPr="005A3173" w:rsidRDefault="004111DC"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4111DC" w14:paraId="32E6EDE8" w14:textId="77777777" w:rsidTr="005A3173">
      <w:trPr>
        <w:trHeight w:val="151"/>
      </w:trPr>
      <w:tc>
        <w:tcPr>
          <w:tcW w:w="2250" w:type="pct"/>
          <w:tcBorders>
            <w:top w:val="nil"/>
            <w:left w:val="nil"/>
            <w:bottom w:val="single" w:sz="4" w:space="0" w:color="4F81BD"/>
            <w:right w:val="nil"/>
          </w:tcBorders>
        </w:tcPr>
        <w:p w14:paraId="4D1D24EB" w14:textId="77777777" w:rsidR="004111DC" w:rsidRPr="005A3173" w:rsidRDefault="004111DC" w:rsidP="005A3173">
          <w:pPr>
            <w:pStyle w:val="Header"/>
            <w:spacing w:line="276" w:lineRule="auto"/>
            <w:rPr>
              <w:rFonts w:eastAsia="MS Gothic"/>
              <w:b/>
              <w:bCs/>
              <w:color w:val="4F81BD"/>
            </w:rPr>
          </w:pPr>
        </w:p>
      </w:tc>
      <w:tc>
        <w:tcPr>
          <w:tcW w:w="500" w:type="pct"/>
          <w:vMerge w:val="restart"/>
          <w:noWrap/>
          <w:vAlign w:val="center"/>
          <w:hideMark/>
        </w:tcPr>
        <w:p w14:paraId="721E3CCF" w14:textId="77777777" w:rsidR="004111DC" w:rsidRPr="005A3173" w:rsidRDefault="004111D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0D0FD18E" w14:textId="77777777" w:rsidR="004111DC" w:rsidRPr="005A3173" w:rsidRDefault="004111DC" w:rsidP="005A3173">
          <w:pPr>
            <w:pStyle w:val="Header"/>
            <w:spacing w:line="276" w:lineRule="auto"/>
            <w:rPr>
              <w:rFonts w:eastAsia="MS Gothic"/>
              <w:b/>
              <w:bCs/>
              <w:color w:val="4F81BD"/>
            </w:rPr>
          </w:pPr>
        </w:p>
      </w:tc>
    </w:tr>
    <w:tr w:rsidR="004111DC" w14:paraId="2537D28B" w14:textId="77777777" w:rsidTr="005A3173">
      <w:trPr>
        <w:trHeight w:val="150"/>
      </w:trPr>
      <w:tc>
        <w:tcPr>
          <w:tcW w:w="2250" w:type="pct"/>
          <w:tcBorders>
            <w:top w:val="single" w:sz="4" w:space="0" w:color="4F81BD"/>
            <w:left w:val="nil"/>
            <w:bottom w:val="nil"/>
            <w:right w:val="nil"/>
          </w:tcBorders>
        </w:tcPr>
        <w:p w14:paraId="6041B565" w14:textId="77777777" w:rsidR="004111DC" w:rsidRPr="005A3173" w:rsidRDefault="004111DC" w:rsidP="005A3173">
          <w:pPr>
            <w:pStyle w:val="Header"/>
            <w:spacing w:line="276" w:lineRule="auto"/>
            <w:rPr>
              <w:rFonts w:eastAsia="MS Gothic"/>
              <w:b/>
              <w:bCs/>
              <w:color w:val="4F81BD"/>
            </w:rPr>
          </w:pPr>
        </w:p>
      </w:tc>
      <w:tc>
        <w:tcPr>
          <w:tcW w:w="0" w:type="auto"/>
          <w:vMerge/>
          <w:vAlign w:val="center"/>
          <w:hideMark/>
        </w:tcPr>
        <w:p w14:paraId="53D8D4E8" w14:textId="77777777" w:rsidR="004111DC" w:rsidRPr="005A3173" w:rsidRDefault="004111DC" w:rsidP="005A3173">
          <w:pPr>
            <w:rPr>
              <w:color w:val="365F91"/>
              <w:sz w:val="22"/>
              <w:szCs w:val="22"/>
            </w:rPr>
          </w:pPr>
        </w:p>
      </w:tc>
      <w:tc>
        <w:tcPr>
          <w:tcW w:w="2250" w:type="pct"/>
          <w:tcBorders>
            <w:top w:val="single" w:sz="4" w:space="0" w:color="4F81BD"/>
            <w:left w:val="nil"/>
            <w:bottom w:val="nil"/>
            <w:right w:val="nil"/>
          </w:tcBorders>
        </w:tcPr>
        <w:p w14:paraId="406CB3BB" w14:textId="77777777" w:rsidR="004111DC" w:rsidRPr="005A3173" w:rsidRDefault="004111DC" w:rsidP="005A3173">
          <w:pPr>
            <w:pStyle w:val="Header"/>
            <w:spacing w:line="276" w:lineRule="auto"/>
            <w:rPr>
              <w:rFonts w:eastAsia="MS Gothic"/>
              <w:b/>
              <w:bCs/>
              <w:color w:val="4F81BD"/>
            </w:rPr>
          </w:pPr>
        </w:p>
      </w:tc>
    </w:tr>
  </w:tbl>
  <w:p w14:paraId="6994EE84" w14:textId="77777777" w:rsidR="004111DC" w:rsidRPr="007C0F57" w:rsidRDefault="004111D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sidR="00A5247F">
      <w:rPr>
        <w:rStyle w:val="PageNumber"/>
        <w:noProof/>
      </w:rPr>
      <w:t>1</w:t>
    </w:r>
    <w:r>
      <w:rPr>
        <w:rStyle w:val="PageNumber"/>
      </w:rPr>
      <w:fldChar w:fldCharType="end"/>
    </w:r>
    <w:r w:rsidRPr="007C0F57">
      <w:rPr>
        <w:b/>
        <w:i/>
        <w:sz w:val="20"/>
        <w:szCs w:val="20"/>
      </w:rPr>
      <w:t>BAC Meeting</w:t>
    </w:r>
  </w:p>
  <w:p w14:paraId="118F3DDC" w14:textId="77777777" w:rsidR="004111DC" w:rsidRPr="007C0F57" w:rsidRDefault="004111DC" w:rsidP="007C0F57">
    <w:pPr>
      <w:pStyle w:val="Footer"/>
      <w:jc w:val="center"/>
      <w:rPr>
        <w:b/>
        <w:i/>
        <w:sz w:val="20"/>
        <w:szCs w:val="20"/>
      </w:rPr>
    </w:pPr>
    <w:r w:rsidRPr="007C0F57">
      <w:rPr>
        <w:b/>
        <w:i/>
        <w:sz w:val="20"/>
        <w:szCs w:val="20"/>
      </w:rPr>
      <w:t>Commercial-in-Confidence</w:t>
    </w:r>
  </w:p>
  <w:p w14:paraId="3F44D6B9" w14:textId="77777777" w:rsidR="004111DC" w:rsidRDefault="004111D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D902B" w14:textId="77777777" w:rsidR="0060734C" w:rsidRDefault="0060734C">
      <w:r>
        <w:separator/>
      </w:r>
    </w:p>
    <w:p w14:paraId="74D0820E" w14:textId="77777777" w:rsidR="0060734C" w:rsidRDefault="0060734C"/>
  </w:footnote>
  <w:footnote w:type="continuationSeparator" w:id="0">
    <w:p w14:paraId="543081A9" w14:textId="77777777" w:rsidR="0060734C" w:rsidRDefault="0060734C">
      <w:r>
        <w:continuationSeparator/>
      </w:r>
    </w:p>
    <w:p w14:paraId="63EB201C" w14:textId="77777777" w:rsidR="0060734C" w:rsidRDefault="0060734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4111DC" w:rsidRPr="008E0D90" w14:paraId="2264D319" w14:textId="77777777" w:rsidTr="00A06225">
      <w:trPr>
        <w:trHeight w:val="151"/>
      </w:trPr>
      <w:tc>
        <w:tcPr>
          <w:tcW w:w="2389" w:type="pct"/>
          <w:tcBorders>
            <w:top w:val="nil"/>
            <w:left w:val="nil"/>
            <w:bottom w:val="single" w:sz="4" w:space="0" w:color="4F81BD"/>
            <w:right w:val="nil"/>
          </w:tcBorders>
        </w:tcPr>
        <w:p w14:paraId="359D4167" w14:textId="77777777" w:rsidR="004111DC" w:rsidRPr="00A06225" w:rsidRDefault="004111DC">
          <w:pPr>
            <w:pStyle w:val="Header"/>
            <w:spacing w:line="276" w:lineRule="auto"/>
            <w:rPr>
              <w:rFonts w:ascii="Cambria" w:eastAsia="MS Gothic" w:hAnsi="Cambria"/>
              <w:b/>
              <w:bCs/>
              <w:color w:val="4F81BD"/>
            </w:rPr>
          </w:pPr>
        </w:p>
      </w:tc>
      <w:tc>
        <w:tcPr>
          <w:tcW w:w="333" w:type="pct"/>
          <w:vMerge w:val="restart"/>
          <w:noWrap/>
          <w:vAlign w:val="center"/>
          <w:hideMark/>
        </w:tcPr>
        <w:p w14:paraId="6CE2E608" w14:textId="77777777" w:rsidR="004111DC" w:rsidRPr="00A06225" w:rsidRDefault="004111D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579FA409" w14:textId="77777777" w:rsidR="004111DC" w:rsidRPr="00A06225" w:rsidRDefault="004111DC">
          <w:pPr>
            <w:pStyle w:val="Header"/>
            <w:spacing w:line="276" w:lineRule="auto"/>
            <w:rPr>
              <w:rFonts w:ascii="Cambria" w:eastAsia="MS Gothic" w:hAnsi="Cambria"/>
              <w:b/>
              <w:bCs/>
              <w:color w:val="4F81BD"/>
            </w:rPr>
          </w:pPr>
        </w:p>
      </w:tc>
    </w:tr>
    <w:tr w:rsidR="004111DC" w:rsidRPr="008E0D90" w14:paraId="76BDBB98" w14:textId="77777777" w:rsidTr="00A06225">
      <w:trPr>
        <w:trHeight w:val="150"/>
      </w:trPr>
      <w:tc>
        <w:tcPr>
          <w:tcW w:w="2389" w:type="pct"/>
          <w:tcBorders>
            <w:top w:val="single" w:sz="4" w:space="0" w:color="4F81BD"/>
            <w:left w:val="nil"/>
            <w:bottom w:val="nil"/>
            <w:right w:val="nil"/>
          </w:tcBorders>
        </w:tcPr>
        <w:p w14:paraId="11033A28" w14:textId="77777777" w:rsidR="004111DC" w:rsidRPr="00A06225" w:rsidRDefault="004111DC">
          <w:pPr>
            <w:pStyle w:val="Header"/>
            <w:spacing w:line="276" w:lineRule="auto"/>
            <w:rPr>
              <w:rFonts w:ascii="Cambria" w:eastAsia="MS Gothic" w:hAnsi="Cambria"/>
              <w:b/>
              <w:bCs/>
              <w:color w:val="4F81BD"/>
            </w:rPr>
          </w:pPr>
        </w:p>
      </w:tc>
      <w:tc>
        <w:tcPr>
          <w:tcW w:w="0" w:type="auto"/>
          <w:vMerge/>
          <w:vAlign w:val="center"/>
          <w:hideMark/>
        </w:tcPr>
        <w:p w14:paraId="43DABC5D" w14:textId="77777777" w:rsidR="004111DC" w:rsidRPr="00A06225" w:rsidRDefault="004111DC">
          <w:pPr>
            <w:rPr>
              <w:rFonts w:ascii="Cambria" w:hAnsi="Cambria"/>
              <w:color w:val="4F81BD"/>
              <w:sz w:val="22"/>
              <w:szCs w:val="22"/>
            </w:rPr>
          </w:pPr>
        </w:p>
      </w:tc>
      <w:tc>
        <w:tcPr>
          <w:tcW w:w="2278" w:type="pct"/>
          <w:tcBorders>
            <w:top w:val="single" w:sz="4" w:space="0" w:color="4F81BD"/>
            <w:left w:val="nil"/>
            <w:bottom w:val="nil"/>
            <w:right w:val="nil"/>
          </w:tcBorders>
        </w:tcPr>
        <w:p w14:paraId="39791F97" w14:textId="77777777" w:rsidR="004111DC" w:rsidRPr="00A06225" w:rsidRDefault="004111DC">
          <w:pPr>
            <w:pStyle w:val="Header"/>
            <w:spacing w:line="276" w:lineRule="auto"/>
            <w:rPr>
              <w:rFonts w:ascii="Cambria" w:eastAsia="MS Gothic" w:hAnsi="Cambria"/>
              <w:b/>
              <w:bCs/>
              <w:color w:val="4F81BD"/>
            </w:rPr>
          </w:pPr>
        </w:p>
      </w:tc>
    </w:tr>
  </w:tbl>
  <w:p w14:paraId="67D2AAF4" w14:textId="77777777" w:rsidR="004111DC" w:rsidRDefault="004111DC">
    <w:pPr>
      <w:pStyle w:val="Header"/>
    </w:pPr>
  </w:p>
  <w:p w14:paraId="17F552D8" w14:textId="77777777" w:rsidR="004111DC" w:rsidRDefault="004111D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41078" w14:textId="77777777" w:rsidR="00536BE3" w:rsidRPr="00056684" w:rsidRDefault="00CE1DC8" w:rsidP="00536BE3">
    <w:pPr>
      <w:pStyle w:val="Header"/>
      <w:ind w:left="360"/>
      <w:rPr>
        <w:rFonts w:asciiTheme="minorHAnsi" w:hAnsiTheme="minorHAnsi" w:cs="Arial"/>
        <w:i/>
        <w:color w:val="808080"/>
      </w:rPr>
    </w:pPr>
    <w:r>
      <w:rPr>
        <w:rFonts w:asciiTheme="minorHAnsi" w:hAnsiTheme="minorHAnsi" w:cs="Arial"/>
        <w:i/>
        <w:color w:val="808080"/>
      </w:rPr>
      <w:t>Public Summary Document</w:t>
    </w:r>
    <w:r w:rsidR="00536BE3" w:rsidRPr="00056684">
      <w:rPr>
        <w:rFonts w:asciiTheme="minorHAnsi" w:hAnsiTheme="minorHAnsi" w:cs="Arial"/>
        <w:i/>
        <w:color w:val="808080"/>
      </w:rPr>
      <w:t xml:space="preserve"> – </w:t>
    </w:r>
    <w:r w:rsidR="00536BE3">
      <w:rPr>
        <w:rFonts w:asciiTheme="minorHAnsi" w:hAnsiTheme="minorHAnsi" w:cs="Arial"/>
        <w:i/>
        <w:color w:val="808080"/>
      </w:rPr>
      <w:t>November 2020</w:t>
    </w:r>
    <w:r w:rsidR="00536BE3" w:rsidRPr="00056684">
      <w:rPr>
        <w:rFonts w:asciiTheme="minorHAnsi" w:hAnsiTheme="minorHAnsi" w:cs="Arial"/>
        <w:i/>
        <w:color w:val="808080"/>
      </w:rPr>
      <w:t xml:space="preserve"> PBAC Meeting</w:t>
    </w:r>
  </w:p>
  <w:p w14:paraId="5EB899D1" w14:textId="77777777" w:rsidR="004111DC" w:rsidRDefault="004111DC"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96066" w14:textId="77777777" w:rsidR="00B260BF" w:rsidRDefault="00B260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singleLevel"/>
    <w:tmpl w:val="0C090017"/>
    <w:lvl w:ilvl="0">
      <w:start w:val="1"/>
      <w:numFmt w:val="lowerLetter"/>
      <w:lvlText w:val="%1)"/>
      <w:lvlJc w:val="left"/>
      <w:pPr>
        <w:ind w:left="360" w:hanging="360"/>
      </w:pPr>
      <w:rPr>
        <w:rFont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16677B"/>
    <w:multiLevelType w:val="hybridMultilevel"/>
    <w:tmpl w:val="37CC1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219F8"/>
    <w:multiLevelType w:val="hybridMultilevel"/>
    <w:tmpl w:val="BC0EDF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A44A35"/>
    <w:multiLevelType w:val="hybridMultilevel"/>
    <w:tmpl w:val="5364728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033A4"/>
    <w:multiLevelType w:val="hybridMultilevel"/>
    <w:tmpl w:val="950A25FA"/>
    <w:lvl w:ilvl="0" w:tplc="0C090011">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0" w15:restartNumberingAfterBreak="0">
    <w:nsid w:val="26147FF9"/>
    <w:multiLevelType w:val="hybridMultilevel"/>
    <w:tmpl w:val="74963F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0170E3"/>
    <w:multiLevelType w:val="hybridMultilevel"/>
    <w:tmpl w:val="47CE226A"/>
    <w:lvl w:ilvl="0" w:tplc="F4FE3EE6">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14" w15:restartNumberingAfterBreak="0">
    <w:nsid w:val="414A76B1"/>
    <w:multiLevelType w:val="hybridMultilevel"/>
    <w:tmpl w:val="55EA56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811FD5"/>
    <w:multiLevelType w:val="hybridMultilevel"/>
    <w:tmpl w:val="CF545C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4232F06"/>
    <w:multiLevelType w:val="hybridMultilevel"/>
    <w:tmpl w:val="77E0351C"/>
    <w:lvl w:ilvl="0" w:tplc="5DC81E6C">
      <w:numFmt w:val="bullet"/>
      <w:lvlText w:val="-"/>
      <w:lvlJc w:val="left"/>
      <w:pPr>
        <w:ind w:left="360" w:hanging="360"/>
      </w:pPr>
      <w:rPr>
        <w:rFonts w:ascii="Calibri" w:eastAsiaTheme="minorHAnsi" w:hAnsi="Calibri" w:cs="Calibr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488471A"/>
    <w:multiLevelType w:val="hybridMultilevel"/>
    <w:tmpl w:val="8DB4D6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CE710A4"/>
    <w:multiLevelType w:val="hybridMultilevel"/>
    <w:tmpl w:val="DCAC5A94"/>
    <w:lvl w:ilvl="0" w:tplc="63AC4922">
      <w:start w:val="1"/>
      <w:numFmt w:val="lowerLetter"/>
      <w:lvlText w:val="%1."/>
      <w:lvlJc w:val="left"/>
      <w:pPr>
        <w:ind w:left="1080" w:hanging="72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4EB6FE5"/>
    <w:multiLevelType w:val="hybridMultilevel"/>
    <w:tmpl w:val="EC2CEE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1D1236"/>
    <w:multiLevelType w:val="hybridMultilevel"/>
    <w:tmpl w:val="A4A84D2C"/>
    <w:lvl w:ilvl="0" w:tplc="2988C08A">
      <w:start w:val="1"/>
      <w:numFmt w:val="bullet"/>
      <w:lvlText w:val=""/>
      <w:lvlJc w:val="left"/>
      <w:pPr>
        <w:tabs>
          <w:tab w:val="num" w:pos="720"/>
        </w:tabs>
        <w:ind w:left="720" w:hanging="360"/>
      </w:pPr>
      <w:rPr>
        <w:rFonts w:ascii="Wingdings" w:hAnsi="Wingdings" w:hint="default"/>
      </w:rPr>
    </w:lvl>
    <w:lvl w:ilvl="1" w:tplc="E2C8D7B6">
      <w:start w:val="302"/>
      <w:numFmt w:val="bullet"/>
      <w:lvlText w:val="•"/>
      <w:lvlJc w:val="left"/>
      <w:pPr>
        <w:tabs>
          <w:tab w:val="num" w:pos="1440"/>
        </w:tabs>
        <w:ind w:left="1440" w:hanging="360"/>
      </w:pPr>
      <w:rPr>
        <w:rFonts w:ascii="Arial" w:hAnsi="Arial" w:hint="default"/>
      </w:rPr>
    </w:lvl>
    <w:lvl w:ilvl="2" w:tplc="237EFA98" w:tentative="1">
      <w:start w:val="1"/>
      <w:numFmt w:val="bullet"/>
      <w:lvlText w:val=""/>
      <w:lvlJc w:val="left"/>
      <w:pPr>
        <w:tabs>
          <w:tab w:val="num" w:pos="2160"/>
        </w:tabs>
        <w:ind w:left="2160" w:hanging="360"/>
      </w:pPr>
      <w:rPr>
        <w:rFonts w:ascii="Wingdings" w:hAnsi="Wingdings" w:hint="default"/>
      </w:rPr>
    </w:lvl>
    <w:lvl w:ilvl="3" w:tplc="5FD4B338" w:tentative="1">
      <w:start w:val="1"/>
      <w:numFmt w:val="bullet"/>
      <w:lvlText w:val=""/>
      <w:lvlJc w:val="left"/>
      <w:pPr>
        <w:tabs>
          <w:tab w:val="num" w:pos="2880"/>
        </w:tabs>
        <w:ind w:left="2880" w:hanging="360"/>
      </w:pPr>
      <w:rPr>
        <w:rFonts w:ascii="Wingdings" w:hAnsi="Wingdings" w:hint="default"/>
      </w:rPr>
    </w:lvl>
    <w:lvl w:ilvl="4" w:tplc="05D4E068" w:tentative="1">
      <w:start w:val="1"/>
      <w:numFmt w:val="bullet"/>
      <w:lvlText w:val=""/>
      <w:lvlJc w:val="left"/>
      <w:pPr>
        <w:tabs>
          <w:tab w:val="num" w:pos="3600"/>
        </w:tabs>
        <w:ind w:left="3600" w:hanging="360"/>
      </w:pPr>
      <w:rPr>
        <w:rFonts w:ascii="Wingdings" w:hAnsi="Wingdings" w:hint="default"/>
      </w:rPr>
    </w:lvl>
    <w:lvl w:ilvl="5" w:tplc="761C825C" w:tentative="1">
      <w:start w:val="1"/>
      <w:numFmt w:val="bullet"/>
      <w:lvlText w:val=""/>
      <w:lvlJc w:val="left"/>
      <w:pPr>
        <w:tabs>
          <w:tab w:val="num" w:pos="4320"/>
        </w:tabs>
        <w:ind w:left="4320" w:hanging="360"/>
      </w:pPr>
      <w:rPr>
        <w:rFonts w:ascii="Wingdings" w:hAnsi="Wingdings" w:hint="default"/>
      </w:rPr>
    </w:lvl>
    <w:lvl w:ilvl="6" w:tplc="6352A084" w:tentative="1">
      <w:start w:val="1"/>
      <w:numFmt w:val="bullet"/>
      <w:lvlText w:val=""/>
      <w:lvlJc w:val="left"/>
      <w:pPr>
        <w:tabs>
          <w:tab w:val="num" w:pos="5040"/>
        </w:tabs>
        <w:ind w:left="5040" w:hanging="360"/>
      </w:pPr>
      <w:rPr>
        <w:rFonts w:ascii="Wingdings" w:hAnsi="Wingdings" w:hint="default"/>
      </w:rPr>
    </w:lvl>
    <w:lvl w:ilvl="7" w:tplc="55CA834C" w:tentative="1">
      <w:start w:val="1"/>
      <w:numFmt w:val="bullet"/>
      <w:lvlText w:val=""/>
      <w:lvlJc w:val="left"/>
      <w:pPr>
        <w:tabs>
          <w:tab w:val="num" w:pos="5760"/>
        </w:tabs>
        <w:ind w:left="5760" w:hanging="360"/>
      </w:pPr>
      <w:rPr>
        <w:rFonts w:ascii="Wingdings" w:hAnsi="Wingdings" w:hint="default"/>
      </w:rPr>
    </w:lvl>
    <w:lvl w:ilvl="8" w:tplc="995ABB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61B4012C"/>
    <w:multiLevelType w:val="hybridMultilevel"/>
    <w:tmpl w:val="4DA294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9F11F20"/>
    <w:multiLevelType w:val="hybridMultilevel"/>
    <w:tmpl w:val="919A5FEA"/>
    <w:lvl w:ilvl="0" w:tplc="2230DC1A">
      <w:start w:val="1"/>
      <w:numFmt w:val="bullet"/>
      <w:lvlText w:val=""/>
      <w:lvlJc w:val="left"/>
      <w:pPr>
        <w:tabs>
          <w:tab w:val="num" w:pos="720"/>
        </w:tabs>
        <w:ind w:left="720" w:hanging="360"/>
      </w:pPr>
      <w:rPr>
        <w:rFonts w:ascii="Wingdings" w:hAnsi="Wingdings" w:hint="default"/>
      </w:rPr>
    </w:lvl>
    <w:lvl w:ilvl="1" w:tplc="7C149650">
      <w:start w:val="302"/>
      <w:numFmt w:val="bullet"/>
      <w:lvlText w:val="•"/>
      <w:lvlJc w:val="left"/>
      <w:pPr>
        <w:tabs>
          <w:tab w:val="num" w:pos="1440"/>
        </w:tabs>
        <w:ind w:left="1440" w:hanging="360"/>
      </w:pPr>
      <w:rPr>
        <w:rFonts w:ascii="Arial" w:hAnsi="Arial" w:hint="default"/>
      </w:rPr>
    </w:lvl>
    <w:lvl w:ilvl="2" w:tplc="F4C6ED32">
      <w:start w:val="302"/>
      <w:numFmt w:val="bullet"/>
      <w:lvlText w:val=""/>
      <w:lvlJc w:val="left"/>
      <w:pPr>
        <w:tabs>
          <w:tab w:val="num" w:pos="2160"/>
        </w:tabs>
        <w:ind w:left="2160" w:hanging="360"/>
      </w:pPr>
      <w:rPr>
        <w:rFonts w:ascii="Wingdings" w:hAnsi="Wingdings" w:hint="default"/>
      </w:rPr>
    </w:lvl>
    <w:lvl w:ilvl="3" w:tplc="25C434A6" w:tentative="1">
      <w:start w:val="1"/>
      <w:numFmt w:val="bullet"/>
      <w:lvlText w:val=""/>
      <w:lvlJc w:val="left"/>
      <w:pPr>
        <w:tabs>
          <w:tab w:val="num" w:pos="2880"/>
        </w:tabs>
        <w:ind w:left="2880" w:hanging="360"/>
      </w:pPr>
      <w:rPr>
        <w:rFonts w:ascii="Wingdings" w:hAnsi="Wingdings" w:hint="default"/>
      </w:rPr>
    </w:lvl>
    <w:lvl w:ilvl="4" w:tplc="339C41F8" w:tentative="1">
      <w:start w:val="1"/>
      <w:numFmt w:val="bullet"/>
      <w:lvlText w:val=""/>
      <w:lvlJc w:val="left"/>
      <w:pPr>
        <w:tabs>
          <w:tab w:val="num" w:pos="3600"/>
        </w:tabs>
        <w:ind w:left="3600" w:hanging="360"/>
      </w:pPr>
      <w:rPr>
        <w:rFonts w:ascii="Wingdings" w:hAnsi="Wingdings" w:hint="default"/>
      </w:rPr>
    </w:lvl>
    <w:lvl w:ilvl="5" w:tplc="1EA2A230" w:tentative="1">
      <w:start w:val="1"/>
      <w:numFmt w:val="bullet"/>
      <w:lvlText w:val=""/>
      <w:lvlJc w:val="left"/>
      <w:pPr>
        <w:tabs>
          <w:tab w:val="num" w:pos="4320"/>
        </w:tabs>
        <w:ind w:left="4320" w:hanging="360"/>
      </w:pPr>
      <w:rPr>
        <w:rFonts w:ascii="Wingdings" w:hAnsi="Wingdings" w:hint="default"/>
      </w:rPr>
    </w:lvl>
    <w:lvl w:ilvl="6" w:tplc="9280AEB0" w:tentative="1">
      <w:start w:val="1"/>
      <w:numFmt w:val="bullet"/>
      <w:lvlText w:val=""/>
      <w:lvlJc w:val="left"/>
      <w:pPr>
        <w:tabs>
          <w:tab w:val="num" w:pos="5040"/>
        </w:tabs>
        <w:ind w:left="5040" w:hanging="360"/>
      </w:pPr>
      <w:rPr>
        <w:rFonts w:ascii="Wingdings" w:hAnsi="Wingdings" w:hint="default"/>
      </w:rPr>
    </w:lvl>
    <w:lvl w:ilvl="7" w:tplc="437668FC" w:tentative="1">
      <w:start w:val="1"/>
      <w:numFmt w:val="bullet"/>
      <w:lvlText w:val=""/>
      <w:lvlJc w:val="left"/>
      <w:pPr>
        <w:tabs>
          <w:tab w:val="num" w:pos="5760"/>
        </w:tabs>
        <w:ind w:left="5760" w:hanging="360"/>
      </w:pPr>
      <w:rPr>
        <w:rFonts w:ascii="Wingdings" w:hAnsi="Wingdings" w:hint="default"/>
      </w:rPr>
    </w:lvl>
    <w:lvl w:ilvl="8" w:tplc="F4560C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74A97"/>
    <w:multiLevelType w:val="hybridMultilevel"/>
    <w:tmpl w:val="A288C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4D033C"/>
    <w:multiLevelType w:val="multilevel"/>
    <w:tmpl w:val="C2D03036"/>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asciiTheme="minorHAnsi" w:hAnsiTheme="minorHAnsi" w:cstheme="minorHAnsi" w:hint="default"/>
        <w:b w:val="0"/>
        <w:i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B4300C"/>
    <w:multiLevelType w:val="hybridMultilevel"/>
    <w:tmpl w:val="07BCF1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8"/>
  </w:num>
  <w:num w:numId="2">
    <w:abstractNumId w:val="0"/>
  </w:num>
  <w:num w:numId="3">
    <w:abstractNumId w:val="23"/>
  </w:num>
  <w:num w:numId="4">
    <w:abstractNumId w:val="30"/>
  </w:num>
  <w:num w:numId="5">
    <w:abstractNumId w:val="25"/>
  </w:num>
  <w:num w:numId="6">
    <w:abstractNumId w:val="18"/>
  </w:num>
  <w:num w:numId="7">
    <w:abstractNumId w:val="13"/>
  </w:num>
  <w:num w:numId="8">
    <w:abstractNumId w:val="1"/>
  </w:num>
  <w:num w:numId="9">
    <w:abstractNumId w:val="5"/>
  </w:num>
  <w:num w:numId="10">
    <w:abstractNumId w:val="29"/>
  </w:num>
  <w:num w:numId="11">
    <w:abstractNumId w:val="10"/>
  </w:num>
  <w:num w:numId="12">
    <w:abstractNumId w:val="20"/>
  </w:num>
  <w:num w:numId="13">
    <w:abstractNumId w:val="17"/>
  </w:num>
  <w:num w:numId="14">
    <w:abstractNumId w:val="15"/>
  </w:num>
  <w:num w:numId="15">
    <w:abstractNumId w:val="16"/>
  </w:num>
  <w:num w:numId="16">
    <w:abstractNumId w:val="12"/>
  </w:num>
  <w:num w:numId="17">
    <w:abstractNumId w:val="14"/>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1"/>
  </w:num>
  <w:num w:numId="22">
    <w:abstractNumId w:val="4"/>
  </w:num>
  <w:num w:numId="23">
    <w:abstractNumId w:val="2"/>
  </w:num>
  <w:num w:numId="24">
    <w:abstractNumId w:val="8"/>
  </w:num>
  <w:num w:numId="25">
    <w:abstractNumId w:val="11"/>
  </w:num>
  <w:num w:numId="26">
    <w:abstractNumId w:val="7"/>
  </w:num>
  <w:num w:numId="27">
    <w:abstractNumId w:val="28"/>
  </w:num>
  <w:num w:numId="28">
    <w:abstractNumId w:val="28"/>
  </w:num>
  <w:num w:numId="29">
    <w:abstractNumId w:val="22"/>
  </w:num>
  <w:num w:numId="30">
    <w:abstractNumId w:val="9"/>
  </w:num>
  <w:num w:numId="31">
    <w:abstractNumId w:val="6"/>
  </w:num>
  <w:num w:numId="32">
    <w:abstractNumId w:val="24"/>
  </w:num>
  <w:num w:numId="33">
    <w:abstractNumId w:val="26"/>
  </w:num>
  <w:num w:numId="34">
    <w:abstractNumId w:val="28"/>
  </w:num>
  <w:num w:numId="3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0740"/>
    <w:rsid w:val="00001663"/>
    <w:rsid w:val="000025AD"/>
    <w:rsid w:val="0000335D"/>
    <w:rsid w:val="00003D46"/>
    <w:rsid w:val="000109C3"/>
    <w:rsid w:val="00011A59"/>
    <w:rsid w:val="00016A41"/>
    <w:rsid w:val="00017121"/>
    <w:rsid w:val="000214D1"/>
    <w:rsid w:val="0002464A"/>
    <w:rsid w:val="0002768A"/>
    <w:rsid w:val="0003106B"/>
    <w:rsid w:val="000324FC"/>
    <w:rsid w:val="00032D6B"/>
    <w:rsid w:val="00034905"/>
    <w:rsid w:val="000421A1"/>
    <w:rsid w:val="0004240E"/>
    <w:rsid w:val="00045E26"/>
    <w:rsid w:val="000514B5"/>
    <w:rsid w:val="00052A00"/>
    <w:rsid w:val="00060E64"/>
    <w:rsid w:val="00065FB6"/>
    <w:rsid w:val="00066755"/>
    <w:rsid w:val="0007128F"/>
    <w:rsid w:val="00072ABD"/>
    <w:rsid w:val="000763D5"/>
    <w:rsid w:val="00076640"/>
    <w:rsid w:val="00077143"/>
    <w:rsid w:val="00082169"/>
    <w:rsid w:val="000918CB"/>
    <w:rsid w:val="00091B06"/>
    <w:rsid w:val="00091D46"/>
    <w:rsid w:val="000951C4"/>
    <w:rsid w:val="0009570E"/>
    <w:rsid w:val="00095ADA"/>
    <w:rsid w:val="000969AD"/>
    <w:rsid w:val="000A0EB4"/>
    <w:rsid w:val="000A3557"/>
    <w:rsid w:val="000A3AA2"/>
    <w:rsid w:val="000A44B2"/>
    <w:rsid w:val="000A52F6"/>
    <w:rsid w:val="000B44C3"/>
    <w:rsid w:val="000B558D"/>
    <w:rsid w:val="000C1CCF"/>
    <w:rsid w:val="000C46E1"/>
    <w:rsid w:val="000C5F95"/>
    <w:rsid w:val="000C6996"/>
    <w:rsid w:val="000D09E9"/>
    <w:rsid w:val="000D0F27"/>
    <w:rsid w:val="000D113F"/>
    <w:rsid w:val="000D23BA"/>
    <w:rsid w:val="000D40E8"/>
    <w:rsid w:val="000D632C"/>
    <w:rsid w:val="000E0129"/>
    <w:rsid w:val="000E0506"/>
    <w:rsid w:val="000E08F3"/>
    <w:rsid w:val="000E2EFA"/>
    <w:rsid w:val="000E5EA1"/>
    <w:rsid w:val="000E6466"/>
    <w:rsid w:val="000E681E"/>
    <w:rsid w:val="000E7BD6"/>
    <w:rsid w:val="000F0003"/>
    <w:rsid w:val="000F2171"/>
    <w:rsid w:val="000F2361"/>
    <w:rsid w:val="000F3384"/>
    <w:rsid w:val="000F3D29"/>
    <w:rsid w:val="000F4E6A"/>
    <w:rsid w:val="000F7354"/>
    <w:rsid w:val="00101ABE"/>
    <w:rsid w:val="00102202"/>
    <w:rsid w:val="00102A8E"/>
    <w:rsid w:val="00103B7C"/>
    <w:rsid w:val="00104227"/>
    <w:rsid w:val="00105F90"/>
    <w:rsid w:val="001107BF"/>
    <w:rsid w:val="001119A9"/>
    <w:rsid w:val="00111E02"/>
    <w:rsid w:val="00113649"/>
    <w:rsid w:val="00114971"/>
    <w:rsid w:val="0012417C"/>
    <w:rsid w:val="001249D8"/>
    <w:rsid w:val="0012749D"/>
    <w:rsid w:val="0013752F"/>
    <w:rsid w:val="0014079A"/>
    <w:rsid w:val="00142395"/>
    <w:rsid w:val="00142714"/>
    <w:rsid w:val="001452ED"/>
    <w:rsid w:val="00147D84"/>
    <w:rsid w:val="001535A4"/>
    <w:rsid w:val="001549C1"/>
    <w:rsid w:val="001555B5"/>
    <w:rsid w:val="00162BDD"/>
    <w:rsid w:val="00162D4E"/>
    <w:rsid w:val="00163329"/>
    <w:rsid w:val="00164623"/>
    <w:rsid w:val="00165277"/>
    <w:rsid w:val="001652DE"/>
    <w:rsid w:val="001655A7"/>
    <w:rsid w:val="00165B64"/>
    <w:rsid w:val="00180713"/>
    <w:rsid w:val="00180720"/>
    <w:rsid w:val="001808AB"/>
    <w:rsid w:val="001830CE"/>
    <w:rsid w:val="00185B25"/>
    <w:rsid w:val="0018643B"/>
    <w:rsid w:val="00187602"/>
    <w:rsid w:val="0019011B"/>
    <w:rsid w:val="001946DB"/>
    <w:rsid w:val="00196307"/>
    <w:rsid w:val="00197897"/>
    <w:rsid w:val="001A1876"/>
    <w:rsid w:val="001A2510"/>
    <w:rsid w:val="001A33EA"/>
    <w:rsid w:val="001A4C4F"/>
    <w:rsid w:val="001A507E"/>
    <w:rsid w:val="001A76FB"/>
    <w:rsid w:val="001B017F"/>
    <w:rsid w:val="001B27D7"/>
    <w:rsid w:val="001B2BBC"/>
    <w:rsid w:val="001B3A40"/>
    <w:rsid w:val="001B3FFE"/>
    <w:rsid w:val="001B4496"/>
    <w:rsid w:val="001B5129"/>
    <w:rsid w:val="001B561A"/>
    <w:rsid w:val="001B6BD1"/>
    <w:rsid w:val="001C0B4C"/>
    <w:rsid w:val="001C1195"/>
    <w:rsid w:val="001C2629"/>
    <w:rsid w:val="001C2E42"/>
    <w:rsid w:val="001D0DA6"/>
    <w:rsid w:val="001D1F5F"/>
    <w:rsid w:val="001D7D19"/>
    <w:rsid w:val="001E06D2"/>
    <w:rsid w:val="001E277D"/>
    <w:rsid w:val="001E5577"/>
    <w:rsid w:val="001E6987"/>
    <w:rsid w:val="001E7AF5"/>
    <w:rsid w:val="001F005B"/>
    <w:rsid w:val="001F1850"/>
    <w:rsid w:val="001F1F29"/>
    <w:rsid w:val="001F3189"/>
    <w:rsid w:val="001F6636"/>
    <w:rsid w:val="002001A4"/>
    <w:rsid w:val="00203B16"/>
    <w:rsid w:val="00203EB1"/>
    <w:rsid w:val="00203FAC"/>
    <w:rsid w:val="00207C41"/>
    <w:rsid w:val="00212014"/>
    <w:rsid w:val="002122BD"/>
    <w:rsid w:val="002134FD"/>
    <w:rsid w:val="00213CFB"/>
    <w:rsid w:val="00213D9A"/>
    <w:rsid w:val="00214474"/>
    <w:rsid w:val="0021553C"/>
    <w:rsid w:val="0021557B"/>
    <w:rsid w:val="002174FD"/>
    <w:rsid w:val="00217BE1"/>
    <w:rsid w:val="00231EF6"/>
    <w:rsid w:val="00234252"/>
    <w:rsid w:val="00234F1D"/>
    <w:rsid w:val="00237AC6"/>
    <w:rsid w:val="00243E50"/>
    <w:rsid w:val="00244490"/>
    <w:rsid w:val="00245B9C"/>
    <w:rsid w:val="00245C75"/>
    <w:rsid w:val="0024640F"/>
    <w:rsid w:val="00253499"/>
    <w:rsid w:val="002551A4"/>
    <w:rsid w:val="00257664"/>
    <w:rsid w:val="002618F6"/>
    <w:rsid w:val="00265151"/>
    <w:rsid w:val="00266509"/>
    <w:rsid w:val="00266615"/>
    <w:rsid w:val="00271BA1"/>
    <w:rsid w:val="00271E1E"/>
    <w:rsid w:val="00274179"/>
    <w:rsid w:val="0027517B"/>
    <w:rsid w:val="0027552D"/>
    <w:rsid w:val="002762FA"/>
    <w:rsid w:val="00277505"/>
    <w:rsid w:val="0028097C"/>
    <w:rsid w:val="00281361"/>
    <w:rsid w:val="002823B6"/>
    <w:rsid w:val="0029279A"/>
    <w:rsid w:val="00294274"/>
    <w:rsid w:val="0029458F"/>
    <w:rsid w:val="00295DC7"/>
    <w:rsid w:val="002A0E04"/>
    <w:rsid w:val="002A104C"/>
    <w:rsid w:val="002A1EF7"/>
    <w:rsid w:val="002A32F5"/>
    <w:rsid w:val="002A34DF"/>
    <w:rsid w:val="002A494D"/>
    <w:rsid w:val="002A4960"/>
    <w:rsid w:val="002B0AE0"/>
    <w:rsid w:val="002B1AE6"/>
    <w:rsid w:val="002B1D51"/>
    <w:rsid w:val="002B2DE8"/>
    <w:rsid w:val="002B30F8"/>
    <w:rsid w:val="002B388A"/>
    <w:rsid w:val="002B5596"/>
    <w:rsid w:val="002B785F"/>
    <w:rsid w:val="002C212F"/>
    <w:rsid w:val="002C7485"/>
    <w:rsid w:val="002D283A"/>
    <w:rsid w:val="002D4543"/>
    <w:rsid w:val="002E02A8"/>
    <w:rsid w:val="002E151E"/>
    <w:rsid w:val="002E3153"/>
    <w:rsid w:val="002E5292"/>
    <w:rsid w:val="002E52F7"/>
    <w:rsid w:val="002E72CA"/>
    <w:rsid w:val="002F378C"/>
    <w:rsid w:val="002F600D"/>
    <w:rsid w:val="00300148"/>
    <w:rsid w:val="00300AD6"/>
    <w:rsid w:val="00300B1B"/>
    <w:rsid w:val="003019D0"/>
    <w:rsid w:val="003064AF"/>
    <w:rsid w:val="00310B68"/>
    <w:rsid w:val="00313BDF"/>
    <w:rsid w:val="003146C0"/>
    <w:rsid w:val="00315975"/>
    <w:rsid w:val="003168D8"/>
    <w:rsid w:val="00317C6C"/>
    <w:rsid w:val="00320CD3"/>
    <w:rsid w:val="00322356"/>
    <w:rsid w:val="0032548D"/>
    <w:rsid w:val="00326E79"/>
    <w:rsid w:val="003301B1"/>
    <w:rsid w:val="00331189"/>
    <w:rsid w:val="00331433"/>
    <w:rsid w:val="0033263D"/>
    <w:rsid w:val="00334857"/>
    <w:rsid w:val="00334F03"/>
    <w:rsid w:val="0033518A"/>
    <w:rsid w:val="003367EF"/>
    <w:rsid w:val="00341AE4"/>
    <w:rsid w:val="00341E06"/>
    <w:rsid w:val="00343460"/>
    <w:rsid w:val="00346B3C"/>
    <w:rsid w:val="00346FF8"/>
    <w:rsid w:val="003476EE"/>
    <w:rsid w:val="00347C86"/>
    <w:rsid w:val="003520D2"/>
    <w:rsid w:val="003541DD"/>
    <w:rsid w:val="00356E5B"/>
    <w:rsid w:val="00362980"/>
    <w:rsid w:val="00363201"/>
    <w:rsid w:val="00370B27"/>
    <w:rsid w:val="00371FB6"/>
    <w:rsid w:val="003724A1"/>
    <w:rsid w:val="003736C9"/>
    <w:rsid w:val="003846A5"/>
    <w:rsid w:val="00384988"/>
    <w:rsid w:val="003872CF"/>
    <w:rsid w:val="003922CF"/>
    <w:rsid w:val="00395614"/>
    <w:rsid w:val="00397272"/>
    <w:rsid w:val="0039782C"/>
    <w:rsid w:val="003A5B4A"/>
    <w:rsid w:val="003A5D95"/>
    <w:rsid w:val="003A64A5"/>
    <w:rsid w:val="003B23C5"/>
    <w:rsid w:val="003B2A75"/>
    <w:rsid w:val="003B4DC4"/>
    <w:rsid w:val="003B6124"/>
    <w:rsid w:val="003C093A"/>
    <w:rsid w:val="003C1ECF"/>
    <w:rsid w:val="003C2334"/>
    <w:rsid w:val="003C2FB5"/>
    <w:rsid w:val="003C520A"/>
    <w:rsid w:val="003C5E92"/>
    <w:rsid w:val="003C7841"/>
    <w:rsid w:val="003D184A"/>
    <w:rsid w:val="003D24C5"/>
    <w:rsid w:val="003D4AC4"/>
    <w:rsid w:val="003D63B7"/>
    <w:rsid w:val="003D74C5"/>
    <w:rsid w:val="003E468B"/>
    <w:rsid w:val="003E62BD"/>
    <w:rsid w:val="003F0C3A"/>
    <w:rsid w:val="003F3228"/>
    <w:rsid w:val="003F3FF0"/>
    <w:rsid w:val="003F5C8C"/>
    <w:rsid w:val="003F63CE"/>
    <w:rsid w:val="003F775A"/>
    <w:rsid w:val="00400E55"/>
    <w:rsid w:val="0040128E"/>
    <w:rsid w:val="0040216B"/>
    <w:rsid w:val="00403234"/>
    <w:rsid w:val="004111DC"/>
    <w:rsid w:val="00412EC0"/>
    <w:rsid w:val="00415A22"/>
    <w:rsid w:val="00422142"/>
    <w:rsid w:val="00424E4F"/>
    <w:rsid w:val="004252EC"/>
    <w:rsid w:val="00430D39"/>
    <w:rsid w:val="00435809"/>
    <w:rsid w:val="0043683A"/>
    <w:rsid w:val="00441653"/>
    <w:rsid w:val="00446350"/>
    <w:rsid w:val="004465BD"/>
    <w:rsid w:val="00446938"/>
    <w:rsid w:val="00452E65"/>
    <w:rsid w:val="0045740C"/>
    <w:rsid w:val="00457841"/>
    <w:rsid w:val="00457D22"/>
    <w:rsid w:val="00461A44"/>
    <w:rsid w:val="00461B4F"/>
    <w:rsid w:val="00462FBD"/>
    <w:rsid w:val="00465800"/>
    <w:rsid w:val="00466ADA"/>
    <w:rsid w:val="004702BB"/>
    <w:rsid w:val="0047494B"/>
    <w:rsid w:val="00476245"/>
    <w:rsid w:val="00477A9B"/>
    <w:rsid w:val="00477EC2"/>
    <w:rsid w:val="00483035"/>
    <w:rsid w:val="00485940"/>
    <w:rsid w:val="004862BE"/>
    <w:rsid w:val="004901F0"/>
    <w:rsid w:val="004904B9"/>
    <w:rsid w:val="004A2484"/>
    <w:rsid w:val="004A2605"/>
    <w:rsid w:val="004A2877"/>
    <w:rsid w:val="004A2C1F"/>
    <w:rsid w:val="004A5A85"/>
    <w:rsid w:val="004A71D1"/>
    <w:rsid w:val="004A7C5B"/>
    <w:rsid w:val="004B144D"/>
    <w:rsid w:val="004B1845"/>
    <w:rsid w:val="004B2E98"/>
    <w:rsid w:val="004B5640"/>
    <w:rsid w:val="004C03D0"/>
    <w:rsid w:val="004C1BD7"/>
    <w:rsid w:val="004C31FE"/>
    <w:rsid w:val="004C3813"/>
    <w:rsid w:val="004C524C"/>
    <w:rsid w:val="004C5FFA"/>
    <w:rsid w:val="004C691D"/>
    <w:rsid w:val="004C6A0C"/>
    <w:rsid w:val="004C6C07"/>
    <w:rsid w:val="004D0337"/>
    <w:rsid w:val="004D3630"/>
    <w:rsid w:val="004D4FF6"/>
    <w:rsid w:val="004D61FA"/>
    <w:rsid w:val="004E3575"/>
    <w:rsid w:val="004E692D"/>
    <w:rsid w:val="004E7D87"/>
    <w:rsid w:val="004F2553"/>
    <w:rsid w:val="004F3043"/>
    <w:rsid w:val="004F3D24"/>
    <w:rsid w:val="004F56B3"/>
    <w:rsid w:val="004F62E6"/>
    <w:rsid w:val="00501554"/>
    <w:rsid w:val="00502AFE"/>
    <w:rsid w:val="00503AD7"/>
    <w:rsid w:val="00504E0C"/>
    <w:rsid w:val="005109D4"/>
    <w:rsid w:val="005147B5"/>
    <w:rsid w:val="00514C78"/>
    <w:rsid w:val="00514CD7"/>
    <w:rsid w:val="00520D6A"/>
    <w:rsid w:val="00522DB6"/>
    <w:rsid w:val="005245B1"/>
    <w:rsid w:val="0052534E"/>
    <w:rsid w:val="00526153"/>
    <w:rsid w:val="0052792D"/>
    <w:rsid w:val="005319B2"/>
    <w:rsid w:val="00532402"/>
    <w:rsid w:val="00532C74"/>
    <w:rsid w:val="00534E2E"/>
    <w:rsid w:val="00536BE3"/>
    <w:rsid w:val="005422DA"/>
    <w:rsid w:val="00544552"/>
    <w:rsid w:val="00545130"/>
    <w:rsid w:val="0055286A"/>
    <w:rsid w:val="00555745"/>
    <w:rsid w:val="0055721F"/>
    <w:rsid w:val="00557D4F"/>
    <w:rsid w:val="00560A11"/>
    <w:rsid w:val="0056484E"/>
    <w:rsid w:val="00572867"/>
    <w:rsid w:val="005764CD"/>
    <w:rsid w:val="00577C4D"/>
    <w:rsid w:val="00580532"/>
    <w:rsid w:val="00581932"/>
    <w:rsid w:val="00584ED9"/>
    <w:rsid w:val="00591816"/>
    <w:rsid w:val="00594CF6"/>
    <w:rsid w:val="005963BB"/>
    <w:rsid w:val="0059736F"/>
    <w:rsid w:val="005A3173"/>
    <w:rsid w:val="005A3223"/>
    <w:rsid w:val="005A3DA3"/>
    <w:rsid w:val="005A52C4"/>
    <w:rsid w:val="005B31CB"/>
    <w:rsid w:val="005C4F73"/>
    <w:rsid w:val="005D03AB"/>
    <w:rsid w:val="005D5017"/>
    <w:rsid w:val="005D5AF7"/>
    <w:rsid w:val="005D63FA"/>
    <w:rsid w:val="005E0D82"/>
    <w:rsid w:val="005E1180"/>
    <w:rsid w:val="005E1333"/>
    <w:rsid w:val="005E3136"/>
    <w:rsid w:val="005E507D"/>
    <w:rsid w:val="005F4987"/>
    <w:rsid w:val="005F5D9C"/>
    <w:rsid w:val="00601A91"/>
    <w:rsid w:val="00602BA3"/>
    <w:rsid w:val="0060480F"/>
    <w:rsid w:val="00605B63"/>
    <w:rsid w:val="00605F9A"/>
    <w:rsid w:val="00606EED"/>
    <w:rsid w:val="0060734C"/>
    <w:rsid w:val="00612E34"/>
    <w:rsid w:val="00614159"/>
    <w:rsid w:val="0061688B"/>
    <w:rsid w:val="00616C5F"/>
    <w:rsid w:val="00616DAC"/>
    <w:rsid w:val="00617C00"/>
    <w:rsid w:val="00625FD8"/>
    <w:rsid w:val="006263BF"/>
    <w:rsid w:val="0062748A"/>
    <w:rsid w:val="00630075"/>
    <w:rsid w:val="00630A2C"/>
    <w:rsid w:val="00631DCA"/>
    <w:rsid w:val="0063682E"/>
    <w:rsid w:val="00642DA8"/>
    <w:rsid w:val="006436CD"/>
    <w:rsid w:val="0064500A"/>
    <w:rsid w:val="00651169"/>
    <w:rsid w:val="00653D69"/>
    <w:rsid w:val="006552E6"/>
    <w:rsid w:val="00655794"/>
    <w:rsid w:val="0065720C"/>
    <w:rsid w:val="00657C63"/>
    <w:rsid w:val="00660A7D"/>
    <w:rsid w:val="00662751"/>
    <w:rsid w:val="006670BE"/>
    <w:rsid w:val="00670A76"/>
    <w:rsid w:val="006711AA"/>
    <w:rsid w:val="00672B57"/>
    <w:rsid w:val="00673F1F"/>
    <w:rsid w:val="00675622"/>
    <w:rsid w:val="00675722"/>
    <w:rsid w:val="0067747D"/>
    <w:rsid w:val="0067771A"/>
    <w:rsid w:val="006818D5"/>
    <w:rsid w:val="00681CA4"/>
    <w:rsid w:val="0068573F"/>
    <w:rsid w:val="00686AB6"/>
    <w:rsid w:val="0069039D"/>
    <w:rsid w:val="006906DB"/>
    <w:rsid w:val="00691E6C"/>
    <w:rsid w:val="00693DFB"/>
    <w:rsid w:val="0069501D"/>
    <w:rsid w:val="006953FF"/>
    <w:rsid w:val="00696129"/>
    <w:rsid w:val="006973CA"/>
    <w:rsid w:val="00697CF2"/>
    <w:rsid w:val="006A12A5"/>
    <w:rsid w:val="006A5E20"/>
    <w:rsid w:val="006A6D6F"/>
    <w:rsid w:val="006A6E39"/>
    <w:rsid w:val="006B0D94"/>
    <w:rsid w:val="006B485D"/>
    <w:rsid w:val="006B6466"/>
    <w:rsid w:val="006C334C"/>
    <w:rsid w:val="006C3F9F"/>
    <w:rsid w:val="006C5158"/>
    <w:rsid w:val="006C708E"/>
    <w:rsid w:val="006D14E7"/>
    <w:rsid w:val="006D4444"/>
    <w:rsid w:val="006D6493"/>
    <w:rsid w:val="006D6EC7"/>
    <w:rsid w:val="006E02AA"/>
    <w:rsid w:val="006E05DC"/>
    <w:rsid w:val="006E092F"/>
    <w:rsid w:val="006E1BCD"/>
    <w:rsid w:val="006F0A71"/>
    <w:rsid w:val="006F40C2"/>
    <w:rsid w:val="006F5125"/>
    <w:rsid w:val="006F733D"/>
    <w:rsid w:val="00702B6F"/>
    <w:rsid w:val="00706A2F"/>
    <w:rsid w:val="0070718E"/>
    <w:rsid w:val="00710259"/>
    <w:rsid w:val="0071031F"/>
    <w:rsid w:val="00710A28"/>
    <w:rsid w:val="00711A26"/>
    <w:rsid w:val="0071340B"/>
    <w:rsid w:val="00715BBB"/>
    <w:rsid w:val="007174BB"/>
    <w:rsid w:val="007178E5"/>
    <w:rsid w:val="0072025D"/>
    <w:rsid w:val="00724B3D"/>
    <w:rsid w:val="0073137C"/>
    <w:rsid w:val="00732780"/>
    <w:rsid w:val="007353D3"/>
    <w:rsid w:val="0074156B"/>
    <w:rsid w:val="00747092"/>
    <w:rsid w:val="00750E56"/>
    <w:rsid w:val="0075155D"/>
    <w:rsid w:val="00752475"/>
    <w:rsid w:val="007555E8"/>
    <w:rsid w:val="00762A00"/>
    <w:rsid w:val="0076420C"/>
    <w:rsid w:val="00771D07"/>
    <w:rsid w:val="00773BE3"/>
    <w:rsid w:val="00774E2C"/>
    <w:rsid w:val="007753C2"/>
    <w:rsid w:val="007838B8"/>
    <w:rsid w:val="00786FDD"/>
    <w:rsid w:val="007915BA"/>
    <w:rsid w:val="007B09E8"/>
    <w:rsid w:val="007B350D"/>
    <w:rsid w:val="007B3DDC"/>
    <w:rsid w:val="007B72A6"/>
    <w:rsid w:val="007B7660"/>
    <w:rsid w:val="007C0D28"/>
    <w:rsid w:val="007C0F57"/>
    <w:rsid w:val="007C40B6"/>
    <w:rsid w:val="007C729F"/>
    <w:rsid w:val="007D0CAB"/>
    <w:rsid w:val="007D503D"/>
    <w:rsid w:val="007E11CE"/>
    <w:rsid w:val="007E1D28"/>
    <w:rsid w:val="007E6FF8"/>
    <w:rsid w:val="007E7093"/>
    <w:rsid w:val="007F0021"/>
    <w:rsid w:val="007F2641"/>
    <w:rsid w:val="007F7C36"/>
    <w:rsid w:val="00806796"/>
    <w:rsid w:val="00811CC0"/>
    <w:rsid w:val="008151D6"/>
    <w:rsid w:val="00821527"/>
    <w:rsid w:val="0082620C"/>
    <w:rsid w:val="008268BB"/>
    <w:rsid w:val="00826F6D"/>
    <w:rsid w:val="008306F3"/>
    <w:rsid w:val="00830E40"/>
    <w:rsid w:val="00835C62"/>
    <w:rsid w:val="00841F95"/>
    <w:rsid w:val="008469EC"/>
    <w:rsid w:val="00846DFC"/>
    <w:rsid w:val="00847EC0"/>
    <w:rsid w:val="008539F5"/>
    <w:rsid w:val="00855FD6"/>
    <w:rsid w:val="00856DDD"/>
    <w:rsid w:val="00863E68"/>
    <w:rsid w:val="008647B5"/>
    <w:rsid w:val="00864F6B"/>
    <w:rsid w:val="00865605"/>
    <w:rsid w:val="00865F55"/>
    <w:rsid w:val="00875DCB"/>
    <w:rsid w:val="00882085"/>
    <w:rsid w:val="00883188"/>
    <w:rsid w:val="00884DDE"/>
    <w:rsid w:val="008935EB"/>
    <w:rsid w:val="00897D58"/>
    <w:rsid w:val="00897F22"/>
    <w:rsid w:val="008A0B39"/>
    <w:rsid w:val="008A1956"/>
    <w:rsid w:val="008A4937"/>
    <w:rsid w:val="008A50F1"/>
    <w:rsid w:val="008A59D9"/>
    <w:rsid w:val="008A6819"/>
    <w:rsid w:val="008B2EC0"/>
    <w:rsid w:val="008C0DDD"/>
    <w:rsid w:val="008C18D7"/>
    <w:rsid w:val="008D1B5C"/>
    <w:rsid w:val="008D3C82"/>
    <w:rsid w:val="008D447E"/>
    <w:rsid w:val="008D5D0E"/>
    <w:rsid w:val="008D7A41"/>
    <w:rsid w:val="008E2C72"/>
    <w:rsid w:val="008E3680"/>
    <w:rsid w:val="008E565D"/>
    <w:rsid w:val="008E5870"/>
    <w:rsid w:val="008F0213"/>
    <w:rsid w:val="008F1434"/>
    <w:rsid w:val="008F54C3"/>
    <w:rsid w:val="008F7355"/>
    <w:rsid w:val="00900BAA"/>
    <w:rsid w:val="009023DC"/>
    <w:rsid w:val="009027C5"/>
    <w:rsid w:val="00903EA8"/>
    <w:rsid w:val="009067B7"/>
    <w:rsid w:val="00907AE3"/>
    <w:rsid w:val="009172E3"/>
    <w:rsid w:val="00917949"/>
    <w:rsid w:val="00917D69"/>
    <w:rsid w:val="00921338"/>
    <w:rsid w:val="0092491E"/>
    <w:rsid w:val="009256F5"/>
    <w:rsid w:val="00926560"/>
    <w:rsid w:val="00930937"/>
    <w:rsid w:val="009324A6"/>
    <w:rsid w:val="0093331E"/>
    <w:rsid w:val="00933E6C"/>
    <w:rsid w:val="0093629E"/>
    <w:rsid w:val="00937958"/>
    <w:rsid w:val="00941602"/>
    <w:rsid w:val="00942160"/>
    <w:rsid w:val="00950202"/>
    <w:rsid w:val="0095146F"/>
    <w:rsid w:val="00951AE7"/>
    <w:rsid w:val="0095594B"/>
    <w:rsid w:val="00957944"/>
    <w:rsid w:val="009602C5"/>
    <w:rsid w:val="00960648"/>
    <w:rsid w:val="00962223"/>
    <w:rsid w:val="00966D0D"/>
    <w:rsid w:val="0096783C"/>
    <w:rsid w:val="009722B3"/>
    <w:rsid w:val="00974C21"/>
    <w:rsid w:val="00975948"/>
    <w:rsid w:val="00977BF3"/>
    <w:rsid w:val="009803E4"/>
    <w:rsid w:val="00980B0E"/>
    <w:rsid w:val="00980F4A"/>
    <w:rsid w:val="009836A3"/>
    <w:rsid w:val="009855A8"/>
    <w:rsid w:val="009870BF"/>
    <w:rsid w:val="00987CA0"/>
    <w:rsid w:val="009913F4"/>
    <w:rsid w:val="0099465B"/>
    <w:rsid w:val="009A0CDD"/>
    <w:rsid w:val="009A3168"/>
    <w:rsid w:val="009A61CA"/>
    <w:rsid w:val="009A7AFE"/>
    <w:rsid w:val="009B0C64"/>
    <w:rsid w:val="009B0F67"/>
    <w:rsid w:val="009B24FA"/>
    <w:rsid w:val="009C703C"/>
    <w:rsid w:val="009D206E"/>
    <w:rsid w:val="009D3CAA"/>
    <w:rsid w:val="009D6532"/>
    <w:rsid w:val="009E0EB2"/>
    <w:rsid w:val="009E2E8E"/>
    <w:rsid w:val="009E40E1"/>
    <w:rsid w:val="009F00D4"/>
    <w:rsid w:val="009F0EFA"/>
    <w:rsid w:val="009F1247"/>
    <w:rsid w:val="009F4E46"/>
    <w:rsid w:val="009F5B65"/>
    <w:rsid w:val="009F5F2E"/>
    <w:rsid w:val="00A003C3"/>
    <w:rsid w:val="00A01432"/>
    <w:rsid w:val="00A056F2"/>
    <w:rsid w:val="00A06225"/>
    <w:rsid w:val="00A068A3"/>
    <w:rsid w:val="00A128E6"/>
    <w:rsid w:val="00A143B1"/>
    <w:rsid w:val="00A144D3"/>
    <w:rsid w:val="00A17BCC"/>
    <w:rsid w:val="00A22AC3"/>
    <w:rsid w:val="00A23F3F"/>
    <w:rsid w:val="00A24067"/>
    <w:rsid w:val="00A2744D"/>
    <w:rsid w:val="00A34E6C"/>
    <w:rsid w:val="00A36211"/>
    <w:rsid w:val="00A36398"/>
    <w:rsid w:val="00A365E3"/>
    <w:rsid w:val="00A37C8D"/>
    <w:rsid w:val="00A4020E"/>
    <w:rsid w:val="00A40FB5"/>
    <w:rsid w:val="00A420A0"/>
    <w:rsid w:val="00A42826"/>
    <w:rsid w:val="00A429B3"/>
    <w:rsid w:val="00A42BC3"/>
    <w:rsid w:val="00A44D11"/>
    <w:rsid w:val="00A44FBA"/>
    <w:rsid w:val="00A5247F"/>
    <w:rsid w:val="00A5273B"/>
    <w:rsid w:val="00A53A9D"/>
    <w:rsid w:val="00A55FEE"/>
    <w:rsid w:val="00A567AD"/>
    <w:rsid w:val="00A57422"/>
    <w:rsid w:val="00A624E5"/>
    <w:rsid w:val="00A62C1A"/>
    <w:rsid w:val="00A6426D"/>
    <w:rsid w:val="00A65F01"/>
    <w:rsid w:val="00A665C1"/>
    <w:rsid w:val="00A673A4"/>
    <w:rsid w:val="00A70622"/>
    <w:rsid w:val="00A70977"/>
    <w:rsid w:val="00A70D58"/>
    <w:rsid w:val="00A71188"/>
    <w:rsid w:val="00A734D0"/>
    <w:rsid w:val="00A744F9"/>
    <w:rsid w:val="00A77613"/>
    <w:rsid w:val="00A81851"/>
    <w:rsid w:val="00A8390C"/>
    <w:rsid w:val="00A84891"/>
    <w:rsid w:val="00A86AE0"/>
    <w:rsid w:val="00A916FF"/>
    <w:rsid w:val="00A928BD"/>
    <w:rsid w:val="00A97DE9"/>
    <w:rsid w:val="00AA12CD"/>
    <w:rsid w:val="00AA2467"/>
    <w:rsid w:val="00AA4D1C"/>
    <w:rsid w:val="00AA52FD"/>
    <w:rsid w:val="00AA59FE"/>
    <w:rsid w:val="00AA779D"/>
    <w:rsid w:val="00AB5856"/>
    <w:rsid w:val="00AC193C"/>
    <w:rsid w:val="00AC4DE5"/>
    <w:rsid w:val="00AC5206"/>
    <w:rsid w:val="00AC5F77"/>
    <w:rsid w:val="00AD4322"/>
    <w:rsid w:val="00AE11A5"/>
    <w:rsid w:val="00AE13E2"/>
    <w:rsid w:val="00AE22D3"/>
    <w:rsid w:val="00AE2E30"/>
    <w:rsid w:val="00AE5A49"/>
    <w:rsid w:val="00AF496C"/>
    <w:rsid w:val="00AF62DF"/>
    <w:rsid w:val="00AF68CC"/>
    <w:rsid w:val="00AF70D7"/>
    <w:rsid w:val="00B03697"/>
    <w:rsid w:val="00B06478"/>
    <w:rsid w:val="00B07CFB"/>
    <w:rsid w:val="00B1059E"/>
    <w:rsid w:val="00B121E3"/>
    <w:rsid w:val="00B16273"/>
    <w:rsid w:val="00B170A5"/>
    <w:rsid w:val="00B176C8"/>
    <w:rsid w:val="00B17EE5"/>
    <w:rsid w:val="00B205AA"/>
    <w:rsid w:val="00B20F31"/>
    <w:rsid w:val="00B22E84"/>
    <w:rsid w:val="00B233AD"/>
    <w:rsid w:val="00B23E25"/>
    <w:rsid w:val="00B25F75"/>
    <w:rsid w:val="00B260BF"/>
    <w:rsid w:val="00B26B3F"/>
    <w:rsid w:val="00B2778F"/>
    <w:rsid w:val="00B27EDD"/>
    <w:rsid w:val="00B31ED7"/>
    <w:rsid w:val="00B331B4"/>
    <w:rsid w:val="00B33635"/>
    <w:rsid w:val="00B42AF4"/>
    <w:rsid w:val="00B43E90"/>
    <w:rsid w:val="00B467DC"/>
    <w:rsid w:val="00B47931"/>
    <w:rsid w:val="00B47946"/>
    <w:rsid w:val="00B50493"/>
    <w:rsid w:val="00B56118"/>
    <w:rsid w:val="00B5722C"/>
    <w:rsid w:val="00B63CE1"/>
    <w:rsid w:val="00B6773F"/>
    <w:rsid w:val="00B70EB3"/>
    <w:rsid w:val="00B7525E"/>
    <w:rsid w:val="00B760FB"/>
    <w:rsid w:val="00B767AB"/>
    <w:rsid w:val="00B801BA"/>
    <w:rsid w:val="00B80232"/>
    <w:rsid w:val="00B803C3"/>
    <w:rsid w:val="00B84D5C"/>
    <w:rsid w:val="00B95707"/>
    <w:rsid w:val="00B96FF8"/>
    <w:rsid w:val="00BA0711"/>
    <w:rsid w:val="00BA2DA8"/>
    <w:rsid w:val="00BA347C"/>
    <w:rsid w:val="00BB4CE1"/>
    <w:rsid w:val="00BB5C49"/>
    <w:rsid w:val="00BB69F5"/>
    <w:rsid w:val="00BB7EC3"/>
    <w:rsid w:val="00BC1FFF"/>
    <w:rsid w:val="00BC47CA"/>
    <w:rsid w:val="00BC48CB"/>
    <w:rsid w:val="00BC4B9A"/>
    <w:rsid w:val="00BC7BCF"/>
    <w:rsid w:val="00BD02C3"/>
    <w:rsid w:val="00BD20BD"/>
    <w:rsid w:val="00BD20F2"/>
    <w:rsid w:val="00BD7483"/>
    <w:rsid w:val="00BD784C"/>
    <w:rsid w:val="00BE020A"/>
    <w:rsid w:val="00BE13DF"/>
    <w:rsid w:val="00BF092C"/>
    <w:rsid w:val="00BF27A0"/>
    <w:rsid w:val="00BF4CB6"/>
    <w:rsid w:val="00C00DA7"/>
    <w:rsid w:val="00C024D3"/>
    <w:rsid w:val="00C04CDE"/>
    <w:rsid w:val="00C11D06"/>
    <w:rsid w:val="00C12768"/>
    <w:rsid w:val="00C12D70"/>
    <w:rsid w:val="00C13598"/>
    <w:rsid w:val="00C20AF5"/>
    <w:rsid w:val="00C21B09"/>
    <w:rsid w:val="00C24030"/>
    <w:rsid w:val="00C2673A"/>
    <w:rsid w:val="00C27B58"/>
    <w:rsid w:val="00C35996"/>
    <w:rsid w:val="00C36979"/>
    <w:rsid w:val="00C37234"/>
    <w:rsid w:val="00C37591"/>
    <w:rsid w:val="00C40594"/>
    <w:rsid w:val="00C4192E"/>
    <w:rsid w:val="00C4291D"/>
    <w:rsid w:val="00C4747E"/>
    <w:rsid w:val="00C5151E"/>
    <w:rsid w:val="00C5342C"/>
    <w:rsid w:val="00C53B2B"/>
    <w:rsid w:val="00C60272"/>
    <w:rsid w:val="00C603D4"/>
    <w:rsid w:val="00C6256A"/>
    <w:rsid w:val="00C710E2"/>
    <w:rsid w:val="00C71C3F"/>
    <w:rsid w:val="00C73697"/>
    <w:rsid w:val="00C73994"/>
    <w:rsid w:val="00C7409E"/>
    <w:rsid w:val="00C7506E"/>
    <w:rsid w:val="00C75081"/>
    <w:rsid w:val="00C7602C"/>
    <w:rsid w:val="00C76E76"/>
    <w:rsid w:val="00C77891"/>
    <w:rsid w:val="00C800EE"/>
    <w:rsid w:val="00C91449"/>
    <w:rsid w:val="00C92D10"/>
    <w:rsid w:val="00C968B7"/>
    <w:rsid w:val="00CA3847"/>
    <w:rsid w:val="00CA48D9"/>
    <w:rsid w:val="00CA617E"/>
    <w:rsid w:val="00CB1193"/>
    <w:rsid w:val="00CB11CE"/>
    <w:rsid w:val="00CB46CF"/>
    <w:rsid w:val="00CB4767"/>
    <w:rsid w:val="00CB493D"/>
    <w:rsid w:val="00CC3B97"/>
    <w:rsid w:val="00CC7A32"/>
    <w:rsid w:val="00CE10C4"/>
    <w:rsid w:val="00CE1DC8"/>
    <w:rsid w:val="00CE2373"/>
    <w:rsid w:val="00CE27B5"/>
    <w:rsid w:val="00CE6DAF"/>
    <w:rsid w:val="00CF410A"/>
    <w:rsid w:val="00D0057E"/>
    <w:rsid w:val="00D01E68"/>
    <w:rsid w:val="00D0321E"/>
    <w:rsid w:val="00D05573"/>
    <w:rsid w:val="00D057D4"/>
    <w:rsid w:val="00D07A8A"/>
    <w:rsid w:val="00D10C0F"/>
    <w:rsid w:val="00D13299"/>
    <w:rsid w:val="00D1455A"/>
    <w:rsid w:val="00D22093"/>
    <w:rsid w:val="00D22BFF"/>
    <w:rsid w:val="00D2776B"/>
    <w:rsid w:val="00D31150"/>
    <w:rsid w:val="00D3138B"/>
    <w:rsid w:val="00D3239C"/>
    <w:rsid w:val="00D3280C"/>
    <w:rsid w:val="00D3406A"/>
    <w:rsid w:val="00D37276"/>
    <w:rsid w:val="00D40B11"/>
    <w:rsid w:val="00D42513"/>
    <w:rsid w:val="00D441F1"/>
    <w:rsid w:val="00D4572C"/>
    <w:rsid w:val="00D4574F"/>
    <w:rsid w:val="00D469B2"/>
    <w:rsid w:val="00D50B49"/>
    <w:rsid w:val="00D54B09"/>
    <w:rsid w:val="00D55998"/>
    <w:rsid w:val="00D65658"/>
    <w:rsid w:val="00D72B6F"/>
    <w:rsid w:val="00D731F0"/>
    <w:rsid w:val="00D73740"/>
    <w:rsid w:val="00D741EB"/>
    <w:rsid w:val="00D7679C"/>
    <w:rsid w:val="00D77F55"/>
    <w:rsid w:val="00D8137D"/>
    <w:rsid w:val="00D820F3"/>
    <w:rsid w:val="00D824A9"/>
    <w:rsid w:val="00D83605"/>
    <w:rsid w:val="00D84934"/>
    <w:rsid w:val="00D91271"/>
    <w:rsid w:val="00D919F5"/>
    <w:rsid w:val="00D94F03"/>
    <w:rsid w:val="00DA0D14"/>
    <w:rsid w:val="00DA1FC9"/>
    <w:rsid w:val="00DA2CB5"/>
    <w:rsid w:val="00DA4BAC"/>
    <w:rsid w:val="00DA643A"/>
    <w:rsid w:val="00DA6486"/>
    <w:rsid w:val="00DB0151"/>
    <w:rsid w:val="00DB0E99"/>
    <w:rsid w:val="00DB1533"/>
    <w:rsid w:val="00DB4511"/>
    <w:rsid w:val="00DB4DE9"/>
    <w:rsid w:val="00DC2C3E"/>
    <w:rsid w:val="00DC300E"/>
    <w:rsid w:val="00DC478C"/>
    <w:rsid w:val="00DC4880"/>
    <w:rsid w:val="00DE6D27"/>
    <w:rsid w:val="00DF01F8"/>
    <w:rsid w:val="00DF0D35"/>
    <w:rsid w:val="00DF217D"/>
    <w:rsid w:val="00DF26A7"/>
    <w:rsid w:val="00DF3277"/>
    <w:rsid w:val="00DF3ED8"/>
    <w:rsid w:val="00DF5F3E"/>
    <w:rsid w:val="00DF7919"/>
    <w:rsid w:val="00E0137C"/>
    <w:rsid w:val="00E0207E"/>
    <w:rsid w:val="00E03912"/>
    <w:rsid w:val="00E078D9"/>
    <w:rsid w:val="00E104BD"/>
    <w:rsid w:val="00E15627"/>
    <w:rsid w:val="00E164B3"/>
    <w:rsid w:val="00E16910"/>
    <w:rsid w:val="00E172A3"/>
    <w:rsid w:val="00E206DE"/>
    <w:rsid w:val="00E24E09"/>
    <w:rsid w:val="00E269D6"/>
    <w:rsid w:val="00E27234"/>
    <w:rsid w:val="00E3135B"/>
    <w:rsid w:val="00E320B2"/>
    <w:rsid w:val="00E36046"/>
    <w:rsid w:val="00E410C8"/>
    <w:rsid w:val="00E42BDB"/>
    <w:rsid w:val="00E523C1"/>
    <w:rsid w:val="00E57EEB"/>
    <w:rsid w:val="00E62D94"/>
    <w:rsid w:val="00E64D64"/>
    <w:rsid w:val="00E64F37"/>
    <w:rsid w:val="00E65E54"/>
    <w:rsid w:val="00E661C7"/>
    <w:rsid w:val="00E75F1E"/>
    <w:rsid w:val="00E80155"/>
    <w:rsid w:val="00E8134B"/>
    <w:rsid w:val="00E81E0D"/>
    <w:rsid w:val="00E81F28"/>
    <w:rsid w:val="00E848C0"/>
    <w:rsid w:val="00E865F8"/>
    <w:rsid w:val="00E869C7"/>
    <w:rsid w:val="00E914CD"/>
    <w:rsid w:val="00E91B96"/>
    <w:rsid w:val="00E93D1E"/>
    <w:rsid w:val="00E9403B"/>
    <w:rsid w:val="00E941A1"/>
    <w:rsid w:val="00E95CE3"/>
    <w:rsid w:val="00EA252F"/>
    <w:rsid w:val="00EA2825"/>
    <w:rsid w:val="00EA6518"/>
    <w:rsid w:val="00EA7466"/>
    <w:rsid w:val="00EA7EDE"/>
    <w:rsid w:val="00EB0B63"/>
    <w:rsid w:val="00EB1936"/>
    <w:rsid w:val="00EB278D"/>
    <w:rsid w:val="00EB37BE"/>
    <w:rsid w:val="00EB5088"/>
    <w:rsid w:val="00EC079C"/>
    <w:rsid w:val="00EC1D2A"/>
    <w:rsid w:val="00EC6ECD"/>
    <w:rsid w:val="00EC7359"/>
    <w:rsid w:val="00ED1644"/>
    <w:rsid w:val="00ED2593"/>
    <w:rsid w:val="00ED3FD2"/>
    <w:rsid w:val="00ED556E"/>
    <w:rsid w:val="00ED569A"/>
    <w:rsid w:val="00ED5C01"/>
    <w:rsid w:val="00ED7D55"/>
    <w:rsid w:val="00ED7D9C"/>
    <w:rsid w:val="00EE0782"/>
    <w:rsid w:val="00EE31A2"/>
    <w:rsid w:val="00EF0069"/>
    <w:rsid w:val="00EF0315"/>
    <w:rsid w:val="00EF0967"/>
    <w:rsid w:val="00EF2061"/>
    <w:rsid w:val="00EF44A0"/>
    <w:rsid w:val="00EF4FED"/>
    <w:rsid w:val="00EF6FB3"/>
    <w:rsid w:val="00F007C6"/>
    <w:rsid w:val="00F0172E"/>
    <w:rsid w:val="00F04B10"/>
    <w:rsid w:val="00F050BD"/>
    <w:rsid w:val="00F05657"/>
    <w:rsid w:val="00F114A7"/>
    <w:rsid w:val="00F175B7"/>
    <w:rsid w:val="00F17ED6"/>
    <w:rsid w:val="00F209E2"/>
    <w:rsid w:val="00F21E31"/>
    <w:rsid w:val="00F25578"/>
    <w:rsid w:val="00F258E5"/>
    <w:rsid w:val="00F25B9C"/>
    <w:rsid w:val="00F26CC6"/>
    <w:rsid w:val="00F300BC"/>
    <w:rsid w:val="00F3263C"/>
    <w:rsid w:val="00F3334E"/>
    <w:rsid w:val="00F3543F"/>
    <w:rsid w:val="00F36CCB"/>
    <w:rsid w:val="00F36E8E"/>
    <w:rsid w:val="00F374E5"/>
    <w:rsid w:val="00F37B93"/>
    <w:rsid w:val="00F37BAD"/>
    <w:rsid w:val="00F37ECA"/>
    <w:rsid w:val="00F4267E"/>
    <w:rsid w:val="00F43AF2"/>
    <w:rsid w:val="00F5007E"/>
    <w:rsid w:val="00F50EC4"/>
    <w:rsid w:val="00F512D6"/>
    <w:rsid w:val="00F52232"/>
    <w:rsid w:val="00F550CF"/>
    <w:rsid w:val="00F57A6D"/>
    <w:rsid w:val="00F638CC"/>
    <w:rsid w:val="00F64C9E"/>
    <w:rsid w:val="00F64CC1"/>
    <w:rsid w:val="00F65AD3"/>
    <w:rsid w:val="00F71B71"/>
    <w:rsid w:val="00F72317"/>
    <w:rsid w:val="00F74863"/>
    <w:rsid w:val="00F80475"/>
    <w:rsid w:val="00F8247A"/>
    <w:rsid w:val="00F82E5C"/>
    <w:rsid w:val="00F85434"/>
    <w:rsid w:val="00F87688"/>
    <w:rsid w:val="00F9086F"/>
    <w:rsid w:val="00F91142"/>
    <w:rsid w:val="00F9499F"/>
    <w:rsid w:val="00F9629A"/>
    <w:rsid w:val="00F97EFC"/>
    <w:rsid w:val="00FA1BDD"/>
    <w:rsid w:val="00FA305C"/>
    <w:rsid w:val="00FA4DD5"/>
    <w:rsid w:val="00FA5883"/>
    <w:rsid w:val="00FA6055"/>
    <w:rsid w:val="00FB0B39"/>
    <w:rsid w:val="00FB322F"/>
    <w:rsid w:val="00FB442F"/>
    <w:rsid w:val="00FC1929"/>
    <w:rsid w:val="00FC4ECD"/>
    <w:rsid w:val="00FC5B46"/>
    <w:rsid w:val="00FD0D24"/>
    <w:rsid w:val="00FD1351"/>
    <w:rsid w:val="00FD4760"/>
    <w:rsid w:val="00FD47D4"/>
    <w:rsid w:val="00FD6D8E"/>
    <w:rsid w:val="00FE01E7"/>
    <w:rsid w:val="00FE0663"/>
    <w:rsid w:val="00FE0E94"/>
    <w:rsid w:val="00FE3CD9"/>
    <w:rsid w:val="00FF00BD"/>
    <w:rsid w:val="00FF0AB4"/>
    <w:rsid w:val="00FF1ED4"/>
    <w:rsid w:val="00FF2801"/>
    <w:rsid w:val="00FF37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40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1" w:qFormat="1"/>
    <w:lsdException w:name="heading 3" w:semiHidden="1" w:unhideWhenUsed="1" w:qFormat="1"/>
    <w:lsdException w:name="heading 4" w:semiHidden="1" w:unhideWhenUsed="1"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FB6"/>
    <w:pPr>
      <w:jc w:val="both"/>
    </w:pPr>
    <w:rPr>
      <w:rFonts w:ascii="Calibri" w:hAnsi="Calibri"/>
      <w:sz w:val="24"/>
      <w:szCs w:val="24"/>
    </w:rPr>
  </w:style>
  <w:style w:type="paragraph" w:styleId="Heading1">
    <w:name w:val="heading 1"/>
    <w:basedOn w:val="ListParagraph"/>
    <w:next w:val="Normal"/>
    <w:link w:val="Heading1Char"/>
    <w:uiPriority w:val="9"/>
    <w:qFormat/>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03234"/>
    <w:pPr>
      <w:keepNext/>
      <w:keepLines/>
      <w:widowControl w:val="0"/>
      <w:spacing w:before="120" w:after="200" w:line="312" w:lineRule="auto"/>
      <w:ind w:left="864" w:hanging="864"/>
      <w:jc w:val="left"/>
      <w:outlineLvl w:val="3"/>
    </w:pPr>
    <w:rPr>
      <w:rFonts w:eastAsiaTheme="majorEastAsia" w:cstheme="majorBidi"/>
      <w:b/>
      <w:bCs/>
      <w:iCs/>
      <w:sz w:val="20"/>
      <w:szCs w:val="22"/>
      <w:lang w:eastAsia="en-US"/>
    </w:rPr>
  </w:style>
  <w:style w:type="paragraph" w:styleId="Heading5">
    <w:name w:val="heading 5"/>
    <w:basedOn w:val="Normal"/>
    <w:next w:val="Normal"/>
    <w:uiPriority w:val="9"/>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link w:val="Heading7Char"/>
    <w:unhideWhenUsed/>
    <w:qFormat/>
    <w:rsid w:val="00403234"/>
    <w:pPr>
      <w:keepNext/>
      <w:keepLines/>
      <w:widowControl w:val="0"/>
      <w:spacing w:before="200" w:after="200" w:line="312" w:lineRule="auto"/>
      <w:ind w:left="1296" w:hanging="1296"/>
      <w:jc w:val="left"/>
      <w:outlineLvl w:val="6"/>
    </w:pPr>
    <w:rPr>
      <w:rFonts w:asciiTheme="majorHAnsi" w:eastAsiaTheme="majorEastAsia" w:hAnsiTheme="majorHAnsi" w:cstheme="majorBidi"/>
      <w:i/>
      <w:iCs/>
      <w:color w:val="000000"/>
      <w:sz w:val="22"/>
      <w:szCs w:val="22"/>
      <w:lang w:eastAsia="en-US"/>
    </w:rPr>
  </w:style>
  <w:style w:type="paragraph" w:styleId="Heading8">
    <w:name w:val="heading 8"/>
    <w:basedOn w:val="Normal"/>
    <w:next w:val="Normal"/>
    <w:link w:val="Heading8Char"/>
    <w:unhideWhenUsed/>
    <w:qFormat/>
    <w:rsid w:val="00403234"/>
    <w:pPr>
      <w:keepNext/>
      <w:keepLines/>
      <w:widowControl w:val="0"/>
      <w:spacing w:before="200" w:after="200" w:line="312" w:lineRule="auto"/>
      <w:ind w:left="1440" w:hanging="1440"/>
      <w:jc w:val="left"/>
      <w:outlineLvl w:val="7"/>
    </w:pPr>
    <w:rPr>
      <w:rFonts w:asciiTheme="majorHAnsi" w:eastAsiaTheme="majorEastAsia" w:hAnsiTheme="majorHAnsi" w:cstheme="majorBidi"/>
      <w:color w:val="000000"/>
      <w:sz w:val="20"/>
      <w:szCs w:val="20"/>
      <w:lang w:eastAsia="en-US"/>
    </w:rPr>
  </w:style>
  <w:style w:type="paragraph" w:styleId="Heading9">
    <w:name w:val="heading 9"/>
    <w:basedOn w:val="Normal"/>
    <w:next w:val="Normal"/>
    <w:link w:val="Heading9Char"/>
    <w:unhideWhenUsed/>
    <w:qFormat/>
    <w:rsid w:val="00403234"/>
    <w:pPr>
      <w:keepNext/>
      <w:keepLines/>
      <w:widowControl w:val="0"/>
      <w:spacing w:before="200" w:after="200" w:line="312" w:lineRule="auto"/>
      <w:ind w:left="1584" w:hanging="1584"/>
      <w:jc w:val="left"/>
      <w:outlineLvl w:val="8"/>
    </w:pPr>
    <w:rPr>
      <w:rFonts w:asciiTheme="majorHAnsi" w:eastAsiaTheme="majorEastAsia" w:hAnsiTheme="majorHAnsi" w:cstheme="majorBidi"/>
      <w:i/>
      <w:iCs/>
      <w:color w:val="00000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Dossi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1,Bullet 1,Bulleted - 2,1. Bullet Blank,Table Legend,Styl moj,Akapit z listą11,L,Bullet Poin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1 Char,Bullet 1 Char,Bulleted - 2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7"/>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tabs>
        <w:tab w:val="clear" w:pos="360"/>
      </w:tabs>
      <w:spacing w:after="120"/>
      <w:ind w:left="720" w:hanging="7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customStyle="1" w:styleId="MainBodyText">
    <w:name w:val="Main Body Text"/>
    <w:basedOn w:val="Normal"/>
    <w:link w:val="MainBodyTextChar"/>
    <w:rsid w:val="00D77F55"/>
    <w:pPr>
      <w:spacing w:after="240" w:line="276" w:lineRule="auto"/>
    </w:pPr>
    <w:rPr>
      <w:rFonts w:ascii="Arial" w:hAnsi="Arial"/>
      <w:sz w:val="22"/>
      <w:szCs w:val="22"/>
    </w:rPr>
  </w:style>
  <w:style w:type="character" w:customStyle="1" w:styleId="MainBodyTextChar">
    <w:name w:val="Main Body Text Char"/>
    <w:link w:val="MainBodyText"/>
    <w:rsid w:val="00D77F55"/>
    <w:rPr>
      <w:rFonts w:ascii="Arial" w:hAnsi="Arial"/>
      <w:sz w:val="22"/>
      <w:szCs w:val="22"/>
    </w:rPr>
  </w:style>
  <w:style w:type="paragraph" w:customStyle="1" w:styleId="EndNoteBibliography">
    <w:name w:val="EndNote Bibliography"/>
    <w:basedOn w:val="Normal"/>
    <w:link w:val="EndNoteBibliographyChar"/>
    <w:qFormat/>
    <w:rsid w:val="00DB1533"/>
    <w:pPr>
      <w:spacing w:after="240"/>
      <w:jc w:val="left"/>
    </w:pPr>
    <w:rPr>
      <w:rFonts w:eastAsiaTheme="minorHAnsi" w:cstheme="minorBidi"/>
      <w:noProof/>
      <w:szCs w:val="22"/>
      <w:lang w:val="en-US" w:eastAsia="en-US"/>
    </w:rPr>
  </w:style>
  <w:style w:type="character" w:customStyle="1" w:styleId="EndNoteBibliographyChar">
    <w:name w:val="EndNote Bibliography Char"/>
    <w:basedOn w:val="DefaultParagraphFont"/>
    <w:link w:val="EndNoteBibliography"/>
    <w:rsid w:val="00DB1533"/>
    <w:rPr>
      <w:rFonts w:ascii="Calibri" w:eastAsiaTheme="minorHAnsi" w:hAnsi="Calibri" w:cstheme="minorBidi"/>
      <w:noProof/>
      <w:sz w:val="24"/>
      <w:szCs w:val="22"/>
      <w:lang w:val="en-US" w:eastAsia="en-US"/>
    </w:rPr>
  </w:style>
  <w:style w:type="paragraph" w:customStyle="1" w:styleId="PBACheading10">
    <w:name w:val="PBAC heading 1"/>
    <w:qFormat/>
    <w:rsid w:val="002001A4"/>
    <w:pPr>
      <w:spacing w:before="240" w:after="120"/>
      <w:ind w:left="720" w:hanging="720"/>
      <w:outlineLvl w:val="0"/>
    </w:pPr>
    <w:rPr>
      <w:rFonts w:asciiTheme="minorHAnsi" w:hAnsiTheme="minorHAnsi" w:cs="Arial"/>
      <w:b/>
      <w:snapToGrid w:val="0"/>
      <w:sz w:val="32"/>
      <w:szCs w:val="22"/>
      <w:lang w:eastAsia="en-US"/>
    </w:rPr>
  </w:style>
  <w:style w:type="paragraph" w:styleId="Revision">
    <w:name w:val="Revision"/>
    <w:hidden/>
    <w:uiPriority w:val="71"/>
    <w:semiHidden/>
    <w:rsid w:val="00465800"/>
    <w:rPr>
      <w:rFonts w:ascii="Calibri" w:hAnsi="Calibri"/>
      <w:sz w:val="24"/>
      <w:szCs w:val="24"/>
    </w:rPr>
  </w:style>
  <w:style w:type="character" w:customStyle="1" w:styleId="SmallBold">
    <w:name w:val="Small Bold"/>
    <w:basedOn w:val="DefaultParagraphFont"/>
    <w:uiPriority w:val="4"/>
    <w:qFormat/>
    <w:rsid w:val="00334857"/>
    <w:rPr>
      <w:rFonts w:ascii="Candara" w:hAnsi="Candara"/>
      <w:b/>
      <w:sz w:val="20"/>
      <w:lang w:val="en-AU"/>
    </w:rPr>
  </w:style>
  <w:style w:type="character" w:customStyle="1" w:styleId="text-widget3">
    <w:name w:val="text-widget3"/>
    <w:basedOn w:val="DefaultParagraphFont"/>
    <w:rsid w:val="00A143B1"/>
  </w:style>
  <w:style w:type="paragraph" w:customStyle="1" w:styleId="TableText1">
    <w:name w:val="TableText"/>
    <w:basedOn w:val="Normal"/>
    <w:link w:val="TableTextChar1"/>
    <w:qFormat/>
    <w:rsid w:val="00403234"/>
    <w:pPr>
      <w:keepNext/>
      <w:keepLines/>
      <w:widowControl w:val="0"/>
      <w:spacing w:after="60"/>
      <w:jc w:val="center"/>
    </w:pPr>
    <w:rPr>
      <w:color w:val="000000"/>
      <w:sz w:val="18"/>
      <w:szCs w:val="21"/>
    </w:rPr>
  </w:style>
  <w:style w:type="character" w:customStyle="1" w:styleId="TableTextChar1">
    <w:name w:val="TableText Char"/>
    <w:basedOn w:val="DefaultParagraphFont"/>
    <w:link w:val="TableText1"/>
    <w:rsid w:val="00403234"/>
    <w:rPr>
      <w:rFonts w:ascii="Calibri" w:hAnsi="Calibri"/>
      <w:color w:val="000000"/>
      <w:sz w:val="18"/>
      <w:szCs w:val="21"/>
    </w:rPr>
  </w:style>
  <w:style w:type="character" w:customStyle="1" w:styleId="Heading4Char">
    <w:name w:val="Heading 4 Char"/>
    <w:basedOn w:val="DefaultParagraphFont"/>
    <w:link w:val="Heading4"/>
    <w:rsid w:val="00403234"/>
    <w:rPr>
      <w:rFonts w:ascii="Calibri" w:eastAsiaTheme="majorEastAsia" w:hAnsi="Calibri" w:cstheme="majorBidi"/>
      <w:b/>
      <w:bCs/>
      <w:iCs/>
      <w:szCs w:val="22"/>
      <w:lang w:eastAsia="en-US"/>
    </w:rPr>
  </w:style>
  <w:style w:type="character" w:customStyle="1" w:styleId="Heading7Char">
    <w:name w:val="Heading 7 Char"/>
    <w:basedOn w:val="DefaultParagraphFont"/>
    <w:link w:val="Heading7"/>
    <w:rsid w:val="00403234"/>
    <w:rPr>
      <w:rFonts w:asciiTheme="majorHAnsi" w:eastAsiaTheme="majorEastAsia" w:hAnsiTheme="majorHAnsi" w:cstheme="majorBidi"/>
      <w:i/>
      <w:iCs/>
      <w:color w:val="000000"/>
      <w:sz w:val="22"/>
      <w:szCs w:val="22"/>
      <w:lang w:eastAsia="en-US"/>
    </w:rPr>
  </w:style>
  <w:style w:type="character" w:customStyle="1" w:styleId="Heading8Char">
    <w:name w:val="Heading 8 Char"/>
    <w:basedOn w:val="DefaultParagraphFont"/>
    <w:link w:val="Heading8"/>
    <w:rsid w:val="00403234"/>
    <w:rPr>
      <w:rFonts w:asciiTheme="majorHAnsi" w:eastAsiaTheme="majorEastAsia" w:hAnsiTheme="majorHAnsi" w:cstheme="majorBidi"/>
      <w:color w:val="000000"/>
      <w:lang w:eastAsia="en-US"/>
    </w:rPr>
  </w:style>
  <w:style w:type="character" w:customStyle="1" w:styleId="Heading9Char">
    <w:name w:val="Heading 9 Char"/>
    <w:basedOn w:val="DefaultParagraphFont"/>
    <w:link w:val="Heading9"/>
    <w:rsid w:val="00403234"/>
    <w:rPr>
      <w:rFonts w:asciiTheme="majorHAnsi" w:eastAsiaTheme="majorEastAsia" w:hAnsiTheme="majorHAnsi" w:cstheme="majorBidi"/>
      <w:i/>
      <w:iCs/>
      <w:color w:val="000000"/>
      <w:lang w:eastAsia="en-US"/>
    </w:rPr>
  </w:style>
  <w:style w:type="paragraph" w:styleId="TOCHeading">
    <w:name w:val="TOC Heading"/>
    <w:basedOn w:val="Heading1"/>
    <w:next w:val="Normal"/>
    <w:uiPriority w:val="39"/>
    <w:unhideWhenUsed/>
    <w:qFormat/>
    <w:rsid w:val="00403234"/>
    <w:pPr>
      <w:keepLines/>
      <w:widowControl w:val="0"/>
      <w:spacing w:before="240" w:after="200" w:line="264" w:lineRule="auto"/>
      <w:ind w:left="432" w:hanging="432"/>
      <w:outlineLvl w:val="9"/>
    </w:pPr>
    <w:rPr>
      <w:rFonts w:eastAsiaTheme="majorEastAsia" w:cstheme="majorBidi"/>
      <w:b w:val="0"/>
      <w:bCs/>
      <w:caps/>
      <w:snapToGrid/>
      <w:kern w:val="32"/>
      <w:szCs w:val="48"/>
      <w:lang w:eastAsia="en-US"/>
    </w:rPr>
  </w:style>
  <w:style w:type="paragraph" w:customStyle="1" w:styleId="Default">
    <w:name w:val="Default"/>
    <w:rsid w:val="00313BDF"/>
    <w:pPr>
      <w:autoSpaceDE w:val="0"/>
      <w:autoSpaceDN w:val="0"/>
      <w:adjustRightInd w:val="0"/>
    </w:pPr>
    <w:rPr>
      <w:rFonts w:ascii="Arial" w:eastAsiaTheme="minorHAnsi" w:hAnsi="Arial" w:cs="Arial"/>
      <w:color w:val="000000"/>
      <w:sz w:val="24"/>
      <w:szCs w:val="24"/>
      <w:lang w:eastAsia="en-US"/>
    </w:rPr>
  </w:style>
  <w:style w:type="paragraph" w:styleId="FootnoteText">
    <w:name w:val="footnote text"/>
    <w:basedOn w:val="Normal"/>
    <w:link w:val="FootnoteTextChar"/>
    <w:uiPriority w:val="99"/>
    <w:semiHidden/>
    <w:unhideWhenUsed/>
    <w:rsid w:val="00313BDF"/>
    <w:pPr>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13BDF"/>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313BDF"/>
    <w:rPr>
      <w:vertAlign w:val="superscript"/>
    </w:rPr>
  </w:style>
  <w:style w:type="paragraph" w:styleId="EndnoteText">
    <w:name w:val="endnote text"/>
    <w:basedOn w:val="Normal"/>
    <w:link w:val="EndnoteTextChar"/>
    <w:semiHidden/>
    <w:unhideWhenUsed/>
    <w:rsid w:val="00921338"/>
    <w:rPr>
      <w:sz w:val="20"/>
      <w:szCs w:val="20"/>
    </w:rPr>
  </w:style>
  <w:style w:type="character" w:customStyle="1" w:styleId="EndnoteTextChar">
    <w:name w:val="Endnote Text Char"/>
    <w:basedOn w:val="DefaultParagraphFont"/>
    <w:link w:val="EndnoteText"/>
    <w:semiHidden/>
    <w:rsid w:val="00921338"/>
    <w:rPr>
      <w:rFonts w:ascii="Calibri" w:hAnsi="Calibri"/>
    </w:rPr>
  </w:style>
  <w:style w:type="character" w:styleId="EndnoteReference">
    <w:name w:val="endnote reference"/>
    <w:basedOn w:val="DefaultParagraphFont"/>
    <w:semiHidden/>
    <w:unhideWhenUsed/>
    <w:rsid w:val="00921338"/>
    <w:rPr>
      <w:vertAlign w:val="superscript"/>
    </w:rPr>
  </w:style>
  <w:style w:type="character" w:customStyle="1" w:styleId="element-citation">
    <w:name w:val="element-citation"/>
    <w:basedOn w:val="DefaultParagraphFont"/>
    <w:rsid w:val="00921338"/>
  </w:style>
  <w:style w:type="character" w:customStyle="1" w:styleId="ref-journal">
    <w:name w:val="ref-journal"/>
    <w:basedOn w:val="DefaultParagraphFont"/>
    <w:rsid w:val="00921338"/>
  </w:style>
  <w:style w:type="paragraph" w:customStyle="1" w:styleId="BodyText1">
    <w:name w:val="Body Text1"/>
    <w:basedOn w:val="Normal"/>
    <w:link w:val="BodytextChar0"/>
    <w:qFormat/>
    <w:rsid w:val="008539F5"/>
    <w:pPr>
      <w:spacing w:before="40" w:after="120"/>
    </w:pPr>
    <w:rPr>
      <w:rFonts w:ascii="Garamond" w:hAnsi="Garamond"/>
      <w:sz w:val="22"/>
      <w:lang w:eastAsia="en-US"/>
    </w:rPr>
  </w:style>
  <w:style w:type="character" w:customStyle="1" w:styleId="BodytextChar0">
    <w:name w:val="Body text Char"/>
    <w:link w:val="BodyText1"/>
    <w:locked/>
    <w:rsid w:val="008539F5"/>
    <w:rPr>
      <w:rFonts w:ascii="Garamond" w:hAnsi="Garamond"/>
      <w:sz w:val="22"/>
      <w:szCs w:val="24"/>
      <w:lang w:eastAsia="en-US"/>
    </w:rPr>
  </w:style>
  <w:style w:type="paragraph" w:customStyle="1" w:styleId="ExecSumBodyText">
    <w:name w:val="Exec Sum Body Text"/>
    <w:basedOn w:val="Normal"/>
    <w:qFormat/>
    <w:rsid w:val="00B27EDD"/>
    <w:pPr>
      <w:spacing w:after="120"/>
      <w:ind w:left="720" w:hanging="720"/>
    </w:pPr>
    <w:rPr>
      <w:rFonts w:asciiTheme="minorHAnsi" w:hAnsiTheme="minorHAnsi" w:cs="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36032216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26827366">
      <w:bodyDiv w:val="1"/>
      <w:marLeft w:val="0"/>
      <w:marRight w:val="0"/>
      <w:marTop w:val="0"/>
      <w:marBottom w:val="0"/>
      <w:divBdr>
        <w:top w:val="none" w:sz="0" w:space="0" w:color="auto"/>
        <w:left w:val="none" w:sz="0" w:space="0" w:color="auto"/>
        <w:bottom w:val="none" w:sz="0" w:space="0" w:color="auto"/>
        <w:right w:val="none" w:sz="0" w:space="0" w:color="auto"/>
      </w:divBdr>
    </w:div>
    <w:div w:id="1370229591">
      <w:bodyDiv w:val="1"/>
      <w:marLeft w:val="0"/>
      <w:marRight w:val="0"/>
      <w:marTop w:val="0"/>
      <w:marBottom w:val="0"/>
      <w:divBdr>
        <w:top w:val="none" w:sz="0" w:space="0" w:color="auto"/>
        <w:left w:val="none" w:sz="0" w:space="0" w:color="auto"/>
        <w:bottom w:val="none" w:sz="0" w:space="0" w:color="auto"/>
        <w:right w:val="none" w:sz="0" w:space="0" w:color="auto"/>
      </w:divBdr>
      <w:divsChild>
        <w:div w:id="1430274004">
          <w:marLeft w:val="0"/>
          <w:marRight w:val="0"/>
          <w:marTop w:val="0"/>
          <w:marBottom w:val="0"/>
          <w:divBdr>
            <w:top w:val="none" w:sz="0" w:space="0" w:color="auto"/>
            <w:left w:val="none" w:sz="0" w:space="0" w:color="auto"/>
            <w:bottom w:val="none" w:sz="0" w:space="0" w:color="auto"/>
            <w:right w:val="none" w:sz="0" w:space="0" w:color="auto"/>
          </w:divBdr>
          <w:divsChild>
            <w:div w:id="691759033">
              <w:marLeft w:val="0"/>
              <w:marRight w:val="0"/>
              <w:marTop w:val="0"/>
              <w:marBottom w:val="0"/>
              <w:divBdr>
                <w:top w:val="none" w:sz="0" w:space="0" w:color="auto"/>
                <w:left w:val="none" w:sz="0" w:space="0" w:color="auto"/>
                <w:bottom w:val="none" w:sz="0" w:space="0" w:color="auto"/>
                <w:right w:val="none" w:sz="0" w:space="0" w:color="auto"/>
              </w:divBdr>
              <w:divsChild>
                <w:div w:id="796752902">
                  <w:marLeft w:val="0"/>
                  <w:marRight w:val="0"/>
                  <w:marTop w:val="0"/>
                  <w:marBottom w:val="0"/>
                  <w:divBdr>
                    <w:top w:val="none" w:sz="0" w:space="0" w:color="auto"/>
                    <w:left w:val="none" w:sz="0" w:space="0" w:color="auto"/>
                    <w:bottom w:val="none" w:sz="0" w:space="0" w:color="auto"/>
                    <w:right w:val="none" w:sz="0" w:space="0" w:color="auto"/>
                  </w:divBdr>
                  <w:divsChild>
                    <w:div w:id="1355838857">
                      <w:marLeft w:val="0"/>
                      <w:marRight w:val="0"/>
                      <w:marTop w:val="0"/>
                      <w:marBottom w:val="0"/>
                      <w:divBdr>
                        <w:top w:val="none" w:sz="0" w:space="0" w:color="auto"/>
                        <w:left w:val="none" w:sz="0" w:space="0" w:color="auto"/>
                        <w:bottom w:val="none" w:sz="0" w:space="0" w:color="auto"/>
                        <w:right w:val="none" w:sz="0" w:space="0" w:color="auto"/>
                      </w:divBdr>
                      <w:divsChild>
                        <w:div w:id="1397626757">
                          <w:marLeft w:val="0"/>
                          <w:marRight w:val="0"/>
                          <w:marTop w:val="0"/>
                          <w:marBottom w:val="0"/>
                          <w:divBdr>
                            <w:top w:val="none" w:sz="0" w:space="0" w:color="auto"/>
                            <w:left w:val="none" w:sz="0" w:space="0" w:color="auto"/>
                            <w:bottom w:val="none" w:sz="0" w:space="0" w:color="auto"/>
                            <w:right w:val="none" w:sz="0" w:space="0" w:color="auto"/>
                          </w:divBdr>
                          <w:divsChild>
                            <w:div w:id="14498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3190274">
      <w:bodyDiv w:val="1"/>
      <w:marLeft w:val="0"/>
      <w:marRight w:val="0"/>
      <w:marTop w:val="0"/>
      <w:marBottom w:val="0"/>
      <w:divBdr>
        <w:top w:val="none" w:sz="0" w:space="0" w:color="auto"/>
        <w:left w:val="none" w:sz="0" w:space="0" w:color="auto"/>
        <w:bottom w:val="none" w:sz="0" w:space="0" w:color="auto"/>
        <w:right w:val="none" w:sz="0" w:space="0" w:color="auto"/>
      </w:divBdr>
      <w:divsChild>
        <w:div w:id="1647931390">
          <w:marLeft w:val="360"/>
          <w:marRight w:val="0"/>
          <w:marTop w:val="200"/>
          <w:marBottom w:val="0"/>
          <w:divBdr>
            <w:top w:val="none" w:sz="0" w:space="0" w:color="auto"/>
            <w:left w:val="none" w:sz="0" w:space="0" w:color="auto"/>
            <w:bottom w:val="none" w:sz="0" w:space="0" w:color="auto"/>
            <w:right w:val="none" w:sz="0" w:space="0" w:color="auto"/>
          </w:divBdr>
        </w:div>
        <w:div w:id="1748725741">
          <w:marLeft w:val="1080"/>
          <w:marRight w:val="0"/>
          <w:marTop w:val="100"/>
          <w:marBottom w:val="0"/>
          <w:divBdr>
            <w:top w:val="none" w:sz="0" w:space="0" w:color="auto"/>
            <w:left w:val="none" w:sz="0" w:space="0" w:color="auto"/>
            <w:bottom w:val="none" w:sz="0" w:space="0" w:color="auto"/>
            <w:right w:val="none" w:sz="0" w:space="0" w:color="auto"/>
          </w:divBdr>
        </w:div>
        <w:div w:id="337659150">
          <w:marLeft w:val="1080"/>
          <w:marRight w:val="0"/>
          <w:marTop w:val="100"/>
          <w:marBottom w:val="0"/>
          <w:divBdr>
            <w:top w:val="none" w:sz="0" w:space="0" w:color="auto"/>
            <w:left w:val="none" w:sz="0" w:space="0" w:color="auto"/>
            <w:bottom w:val="none" w:sz="0" w:space="0" w:color="auto"/>
            <w:right w:val="none" w:sz="0" w:space="0" w:color="auto"/>
          </w:divBdr>
        </w:div>
        <w:div w:id="922759715">
          <w:marLeft w:val="1080"/>
          <w:marRight w:val="0"/>
          <w:marTop w:val="100"/>
          <w:marBottom w:val="0"/>
          <w:divBdr>
            <w:top w:val="none" w:sz="0" w:space="0" w:color="auto"/>
            <w:left w:val="none" w:sz="0" w:space="0" w:color="auto"/>
            <w:bottom w:val="none" w:sz="0" w:space="0" w:color="auto"/>
            <w:right w:val="none" w:sz="0" w:space="0" w:color="auto"/>
          </w:divBdr>
        </w:div>
        <w:div w:id="472676331">
          <w:marLeft w:val="360"/>
          <w:marRight w:val="0"/>
          <w:marTop w:val="200"/>
          <w:marBottom w:val="0"/>
          <w:divBdr>
            <w:top w:val="none" w:sz="0" w:space="0" w:color="auto"/>
            <w:left w:val="none" w:sz="0" w:space="0" w:color="auto"/>
            <w:bottom w:val="none" w:sz="0" w:space="0" w:color="auto"/>
            <w:right w:val="none" w:sz="0" w:space="0" w:color="auto"/>
          </w:divBdr>
        </w:div>
        <w:div w:id="348794256">
          <w:marLeft w:val="1080"/>
          <w:marRight w:val="0"/>
          <w:marTop w:val="100"/>
          <w:marBottom w:val="0"/>
          <w:divBdr>
            <w:top w:val="none" w:sz="0" w:space="0" w:color="auto"/>
            <w:left w:val="none" w:sz="0" w:space="0" w:color="auto"/>
            <w:bottom w:val="none" w:sz="0" w:space="0" w:color="auto"/>
            <w:right w:val="none" w:sz="0" w:space="0" w:color="auto"/>
          </w:divBdr>
        </w:div>
        <w:div w:id="875238841">
          <w:marLeft w:val="1800"/>
          <w:marRight w:val="0"/>
          <w:marTop w:val="100"/>
          <w:marBottom w:val="0"/>
          <w:divBdr>
            <w:top w:val="none" w:sz="0" w:space="0" w:color="auto"/>
            <w:left w:val="none" w:sz="0" w:space="0" w:color="auto"/>
            <w:bottom w:val="none" w:sz="0" w:space="0" w:color="auto"/>
            <w:right w:val="none" w:sz="0" w:space="0" w:color="auto"/>
          </w:divBdr>
        </w:div>
        <w:div w:id="90123617">
          <w:marLeft w:val="1800"/>
          <w:marRight w:val="0"/>
          <w:marTop w:val="100"/>
          <w:marBottom w:val="0"/>
          <w:divBdr>
            <w:top w:val="none" w:sz="0" w:space="0" w:color="auto"/>
            <w:left w:val="none" w:sz="0" w:space="0" w:color="auto"/>
            <w:bottom w:val="none" w:sz="0" w:space="0" w:color="auto"/>
            <w:right w:val="none" w:sz="0" w:space="0" w:color="auto"/>
          </w:divBdr>
        </w:div>
      </w:divsChild>
    </w:div>
    <w:div w:id="1695842231">
      <w:bodyDiv w:val="1"/>
      <w:marLeft w:val="0"/>
      <w:marRight w:val="0"/>
      <w:marTop w:val="0"/>
      <w:marBottom w:val="0"/>
      <w:divBdr>
        <w:top w:val="none" w:sz="0" w:space="0" w:color="auto"/>
        <w:left w:val="none" w:sz="0" w:space="0" w:color="auto"/>
        <w:bottom w:val="none" w:sz="0" w:space="0" w:color="auto"/>
        <w:right w:val="none" w:sz="0" w:space="0" w:color="auto"/>
      </w:divBdr>
      <w:divsChild>
        <w:div w:id="2015834685">
          <w:marLeft w:val="360"/>
          <w:marRight w:val="0"/>
          <w:marTop w:val="200"/>
          <w:marBottom w:val="0"/>
          <w:divBdr>
            <w:top w:val="none" w:sz="0" w:space="0" w:color="auto"/>
            <w:left w:val="none" w:sz="0" w:space="0" w:color="auto"/>
            <w:bottom w:val="none" w:sz="0" w:space="0" w:color="auto"/>
            <w:right w:val="none" w:sz="0" w:space="0" w:color="auto"/>
          </w:divBdr>
        </w:div>
        <w:div w:id="576398887">
          <w:marLeft w:val="360"/>
          <w:marRight w:val="0"/>
          <w:marTop w:val="200"/>
          <w:marBottom w:val="0"/>
          <w:divBdr>
            <w:top w:val="none" w:sz="0" w:space="0" w:color="auto"/>
            <w:left w:val="none" w:sz="0" w:space="0" w:color="auto"/>
            <w:bottom w:val="none" w:sz="0" w:space="0" w:color="auto"/>
            <w:right w:val="none" w:sz="0" w:space="0" w:color="auto"/>
          </w:divBdr>
        </w:div>
        <w:div w:id="1507524695">
          <w:marLeft w:val="1080"/>
          <w:marRight w:val="0"/>
          <w:marTop w:val="100"/>
          <w:marBottom w:val="0"/>
          <w:divBdr>
            <w:top w:val="none" w:sz="0" w:space="0" w:color="auto"/>
            <w:left w:val="none" w:sz="0" w:space="0" w:color="auto"/>
            <w:bottom w:val="none" w:sz="0" w:space="0" w:color="auto"/>
            <w:right w:val="none" w:sz="0" w:space="0" w:color="auto"/>
          </w:divBdr>
        </w:div>
        <w:div w:id="786891733">
          <w:marLeft w:val="1080"/>
          <w:marRight w:val="0"/>
          <w:marTop w:val="100"/>
          <w:marBottom w:val="0"/>
          <w:divBdr>
            <w:top w:val="none" w:sz="0" w:space="0" w:color="auto"/>
            <w:left w:val="none" w:sz="0" w:space="0" w:color="auto"/>
            <w:bottom w:val="none" w:sz="0" w:space="0" w:color="auto"/>
            <w:right w:val="none" w:sz="0" w:space="0" w:color="auto"/>
          </w:divBdr>
        </w:div>
        <w:div w:id="1200433411">
          <w:marLeft w:val="360"/>
          <w:marRight w:val="0"/>
          <w:marTop w:val="200"/>
          <w:marBottom w:val="0"/>
          <w:divBdr>
            <w:top w:val="none" w:sz="0" w:space="0" w:color="auto"/>
            <w:left w:val="none" w:sz="0" w:space="0" w:color="auto"/>
            <w:bottom w:val="none" w:sz="0" w:space="0" w:color="auto"/>
            <w:right w:val="none" w:sz="0" w:space="0" w:color="auto"/>
          </w:divBdr>
        </w:div>
        <w:div w:id="727075728">
          <w:marLeft w:val="1080"/>
          <w:marRight w:val="0"/>
          <w:marTop w:val="10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28285949">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sahealth.sa.gov.au/wps/wcm/connect/5865e046-a2ff-43ec-bc2f-406ee767f53f/Attachment+1+-++Specialist+Outpatient+Clinics+Waiting+Time+Report+-+Cens....pdf?MOD=AJPERES&amp;amp;CACHEID=ROOTWORKSPACE-5865e046-a2ff-43ec-bc2f-406ee767f53f-n5j0Z4C" TargetMode="External"/><Relationship Id="rId3" Type="http://schemas.openxmlformats.org/officeDocument/2006/relationships/hyperlink" Target="https://www.aihw.gov.au/reports/heart-stroke-vascular-diseases/cardiovascular-health-compendium/contents/what-is-cardiovascular-disease" TargetMode="External"/><Relationship Id="rId7" Type="http://schemas.openxmlformats.org/officeDocument/2006/relationships/hyperlink" Target="https://hwd.health.gov.au/webapi/customer/documents/factsheets/2016/Cardiology.pdf" TargetMode="External"/><Relationship Id="rId2" Type="http://schemas.openxmlformats.org/officeDocument/2006/relationships/hyperlink" Target="https://www.ruralhealth.org.au/sites/default/files/publications/cardiovascular-disease-fact-sheet_0.pdf" TargetMode="External"/><Relationship Id="rId1" Type="http://schemas.openxmlformats.org/officeDocument/2006/relationships/hyperlink" Target="https://www.medicalboard.gov.au/News/Statistics.aspx" TargetMode="External"/><Relationship Id="rId6" Type="http://schemas.openxmlformats.org/officeDocument/2006/relationships/hyperlink" Target="https://www.aihw.gov.au/getmedia/01c5bb07-592e-432e-9fba-d242e0f7e27e/aihw-cdk-12.pdf.aspx?inline=true" TargetMode="External"/><Relationship Id="rId11" Type="http://schemas.openxmlformats.org/officeDocument/2006/relationships/hyperlink" Target="https://www.mja.com.au/journal/2020/cardiovascular-disease-and-covid-19-australiannew-zealand-consensus-statement.%20Accessed%209th%20April%202020" TargetMode="External"/><Relationship Id="rId5" Type="http://schemas.openxmlformats.org/officeDocument/2006/relationships/hyperlink" Target="https://pubmed.ncbi.nlm.nih.gov/28764622/?from_term=OSullivan+BG%5BAuthor%5D&amp;from_pos=2" TargetMode="External"/><Relationship Id="rId10" Type="http://schemas.openxmlformats.org/officeDocument/2006/relationships/hyperlink" Target="https://www.aihw.gov.au/reports/heart-stroke-vascular-diseases/cardiovascular-health-compendium/contents/what-is-cardiovascular-disease" TargetMode="External"/><Relationship Id="rId4" Type="http://schemas.openxmlformats.org/officeDocument/2006/relationships/hyperlink" Target="https://hwd.health.gov.au/webapi/customer/documents/factsheets/2016/Cardiology.pdf" TargetMode="External"/><Relationship Id="rId9" Type="http://schemas.openxmlformats.org/officeDocument/2006/relationships/hyperlink" Target="https://www.mja.com.au/journal/2018/209/1/absolute-cardiovascular-disease-risk-and-lipid-lowering-therapy-among-aborigi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806F0-4F3A-43F4-8958-290A8694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2350</Words>
  <Characters>13657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2021-03-03T22:21:00Z</dcterms:created>
  <dcterms:modified xsi:type="dcterms:W3CDTF">2021-03-03T22:21:00Z</dcterms:modified>
</cp:coreProperties>
</file>