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238AF" w14:textId="77777777" w:rsidR="00B60939" w:rsidRPr="00244FB2" w:rsidRDefault="00815538" w:rsidP="004A6040">
      <w:pPr>
        <w:pStyle w:val="1-MainHeading"/>
      </w:pPr>
      <w:r w:rsidRPr="00244FB2">
        <w:t>6.04</w:t>
      </w:r>
      <w:r w:rsidR="005200F8" w:rsidRPr="00244FB2">
        <w:tab/>
        <w:t>E</w:t>
      </w:r>
      <w:r w:rsidR="001B72D4" w:rsidRPr="00244FB2">
        <w:t>CULIZUMAB</w:t>
      </w:r>
      <w:proofErr w:type="gramStart"/>
      <w:r w:rsidR="00163F66" w:rsidRPr="00244FB2">
        <w:t>,</w:t>
      </w:r>
      <w:proofErr w:type="gramEnd"/>
      <w:r w:rsidR="00163F66" w:rsidRPr="00244FB2">
        <w:br/>
      </w:r>
      <w:r w:rsidR="00A85F14" w:rsidRPr="00244FB2">
        <w:t>Solution concentrate for I.V. infusion 300 mg in 30 mL</w:t>
      </w:r>
      <w:r w:rsidR="00163F66" w:rsidRPr="00244FB2">
        <w:t>,</w:t>
      </w:r>
      <w:r w:rsidR="00163F66" w:rsidRPr="00244FB2">
        <w:br/>
      </w:r>
      <w:proofErr w:type="spellStart"/>
      <w:r w:rsidR="005200F8" w:rsidRPr="00244FB2">
        <w:t>Soliris</w:t>
      </w:r>
      <w:proofErr w:type="spellEnd"/>
      <w:r w:rsidR="00B60939" w:rsidRPr="00244FB2">
        <w:rPr>
          <w:vertAlign w:val="superscript"/>
        </w:rPr>
        <w:t>®</w:t>
      </w:r>
      <w:r w:rsidR="004A6040" w:rsidRPr="00244FB2">
        <w:t>,</w:t>
      </w:r>
      <w:r w:rsidR="004A6040" w:rsidRPr="00244FB2">
        <w:br/>
      </w:r>
      <w:r w:rsidR="005200F8" w:rsidRPr="00244FB2">
        <w:t>Alexion Pharmaceuticals</w:t>
      </w:r>
      <w:r w:rsidR="00FA5039" w:rsidRPr="00244FB2">
        <w:t xml:space="preserve"> Australasia Pty Ltd</w:t>
      </w:r>
    </w:p>
    <w:p w14:paraId="11B553AA" w14:textId="77777777" w:rsidR="00B50DB8" w:rsidRPr="00244FB2" w:rsidRDefault="00B50DB8" w:rsidP="004A6040">
      <w:pPr>
        <w:pStyle w:val="2-SectionHeading"/>
      </w:pPr>
      <w:bookmarkStart w:id="0" w:name="_Toc50974490"/>
      <w:r w:rsidRPr="00244FB2">
        <w:t xml:space="preserve">Purpose of </w:t>
      </w:r>
      <w:r w:rsidR="00CD7193" w:rsidRPr="00244FB2">
        <w:t>s</w:t>
      </w:r>
      <w:r w:rsidR="00BB3A45" w:rsidRPr="00244FB2">
        <w:t>ubmission</w:t>
      </w:r>
      <w:bookmarkEnd w:id="0"/>
    </w:p>
    <w:p w14:paraId="74575C2C" w14:textId="77777777" w:rsidR="008B7C23" w:rsidRPr="00244FB2" w:rsidRDefault="008B7C23" w:rsidP="008B7C23">
      <w:pPr>
        <w:pStyle w:val="ExecSumBodyText"/>
      </w:pPr>
      <w:r w:rsidRPr="00244FB2">
        <w:t xml:space="preserve">The submission requested a Section 100 (Highly Specialised Drug) PBS listing for </w:t>
      </w:r>
      <w:proofErr w:type="spellStart"/>
      <w:r w:rsidRPr="00244FB2">
        <w:t>eculizumab</w:t>
      </w:r>
      <w:proofErr w:type="spellEnd"/>
      <w:r w:rsidRPr="00244FB2">
        <w:t xml:space="preserve"> for the treatment of patients with </w:t>
      </w:r>
      <w:proofErr w:type="spellStart"/>
      <w:r w:rsidRPr="00244FB2">
        <w:t>neuromyelitis</w:t>
      </w:r>
      <w:proofErr w:type="spellEnd"/>
      <w:r w:rsidRPr="00244FB2">
        <w:t xml:space="preserve"> </w:t>
      </w:r>
      <w:proofErr w:type="spellStart"/>
      <w:r w:rsidRPr="00244FB2">
        <w:t>optica</w:t>
      </w:r>
      <w:proofErr w:type="spellEnd"/>
      <w:r w:rsidRPr="00244FB2">
        <w:t xml:space="preserve"> spectrum disorder (NMOSD) who are aquaporin-4 (AQP4) positive and who have either frequent relapses or a prior immunosuppressive event. </w:t>
      </w:r>
    </w:p>
    <w:p w14:paraId="567805C2" w14:textId="77777777" w:rsidR="008B7C23" w:rsidRPr="00244FB2" w:rsidRDefault="005750C5" w:rsidP="004E18E9">
      <w:pPr>
        <w:pStyle w:val="ExecSumBodyText"/>
      </w:pPr>
      <w:r w:rsidRPr="00244FB2">
        <w:t xml:space="preserve">Listing </w:t>
      </w:r>
      <w:r w:rsidR="008B7C23" w:rsidRPr="00244FB2">
        <w:t>was requested on the basis of</w:t>
      </w:r>
      <w:r w:rsidR="00F759F7" w:rsidRPr="00244FB2">
        <w:t xml:space="preserve"> a</w:t>
      </w:r>
      <w:r w:rsidR="008B7C23" w:rsidRPr="00244FB2">
        <w:t xml:space="preserve"> cost-effectiveness</w:t>
      </w:r>
      <w:r w:rsidRPr="00244FB2">
        <w:t xml:space="preserve"> analysis versus</w:t>
      </w:r>
      <w:r w:rsidR="008B7C23" w:rsidRPr="00244FB2">
        <w:t xml:space="preserve"> best supportive care</w:t>
      </w:r>
      <w:r w:rsidRPr="00244FB2">
        <w:t xml:space="preserve">. </w:t>
      </w:r>
    </w:p>
    <w:p w14:paraId="5581D464" w14:textId="77777777" w:rsidR="008B7C23" w:rsidRPr="00244FB2" w:rsidRDefault="008B7C23" w:rsidP="008B7C23">
      <w:pPr>
        <w:pStyle w:val="Tableheadingrow"/>
        <w:rPr>
          <w:lang w:val="en-AU"/>
        </w:rPr>
      </w:pPr>
      <w:r w:rsidRPr="00244FB2">
        <w:rPr>
          <w:lang w:val="en-AU"/>
        </w:rPr>
        <w:t>Table 1: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8B7C23" w:rsidRPr="00244FB2" w14:paraId="2B30B4B6" w14:textId="77777777" w:rsidTr="008B7C23">
        <w:tc>
          <w:tcPr>
            <w:tcW w:w="1668" w:type="dxa"/>
            <w:vAlign w:val="center"/>
          </w:tcPr>
          <w:p w14:paraId="70BDF643" w14:textId="77777777" w:rsidR="008B7C23" w:rsidRPr="00244FB2" w:rsidRDefault="008B7C23" w:rsidP="008B7C23">
            <w:pPr>
              <w:pStyle w:val="Tableheadingrow"/>
              <w:rPr>
                <w:lang w:val="en-AU"/>
              </w:rPr>
            </w:pPr>
            <w:r w:rsidRPr="00244FB2">
              <w:rPr>
                <w:lang w:val="en-AU"/>
              </w:rPr>
              <w:t>Component</w:t>
            </w:r>
          </w:p>
        </w:tc>
        <w:tc>
          <w:tcPr>
            <w:tcW w:w="7488" w:type="dxa"/>
            <w:vAlign w:val="center"/>
          </w:tcPr>
          <w:p w14:paraId="429D64CC" w14:textId="77777777" w:rsidR="008B7C23" w:rsidRPr="00244FB2" w:rsidRDefault="008B7C23" w:rsidP="008B7C23">
            <w:pPr>
              <w:pStyle w:val="Tableheadingrow"/>
              <w:rPr>
                <w:lang w:val="en-AU"/>
              </w:rPr>
            </w:pPr>
            <w:r w:rsidRPr="00244FB2">
              <w:rPr>
                <w:lang w:val="en-AU"/>
              </w:rPr>
              <w:t>Description</w:t>
            </w:r>
          </w:p>
        </w:tc>
      </w:tr>
      <w:tr w:rsidR="008B7C23" w:rsidRPr="00244FB2" w14:paraId="6EA8D4EE" w14:textId="77777777" w:rsidTr="008B7C23">
        <w:tc>
          <w:tcPr>
            <w:tcW w:w="1668" w:type="dxa"/>
            <w:vAlign w:val="center"/>
          </w:tcPr>
          <w:p w14:paraId="0691725A" w14:textId="77777777" w:rsidR="008B7C23" w:rsidRPr="00244FB2" w:rsidRDefault="008B7C23" w:rsidP="008B7C23">
            <w:pPr>
              <w:pStyle w:val="TableText"/>
            </w:pPr>
            <w:r w:rsidRPr="00244FB2">
              <w:t>Population</w:t>
            </w:r>
          </w:p>
        </w:tc>
        <w:tc>
          <w:tcPr>
            <w:tcW w:w="7488" w:type="dxa"/>
            <w:vAlign w:val="center"/>
          </w:tcPr>
          <w:p w14:paraId="14DC9E12" w14:textId="77777777" w:rsidR="008B7C23" w:rsidRPr="00244FB2" w:rsidRDefault="008B7C23" w:rsidP="008B7C23">
            <w:pPr>
              <w:pStyle w:val="TableText"/>
            </w:pPr>
            <w:r w:rsidRPr="00244FB2">
              <w:t xml:space="preserve">Patients with </w:t>
            </w:r>
            <w:proofErr w:type="spellStart"/>
            <w:r w:rsidRPr="00244FB2">
              <w:t>neuromyelitis</w:t>
            </w:r>
            <w:proofErr w:type="spellEnd"/>
            <w:r w:rsidRPr="00244FB2">
              <w:t xml:space="preserve"> </w:t>
            </w:r>
            <w:proofErr w:type="spellStart"/>
            <w:r w:rsidRPr="00244FB2">
              <w:t>optica</w:t>
            </w:r>
            <w:proofErr w:type="spellEnd"/>
            <w:r w:rsidRPr="00244FB2">
              <w:t xml:space="preserve"> spectrum disorder who are AQP4 positive and who have either frequent relapses or a prior immunosuppressive event</w:t>
            </w:r>
          </w:p>
        </w:tc>
      </w:tr>
      <w:tr w:rsidR="008B7C23" w:rsidRPr="00244FB2" w14:paraId="3EA47FAE" w14:textId="77777777" w:rsidTr="008B7C23">
        <w:tc>
          <w:tcPr>
            <w:tcW w:w="1668" w:type="dxa"/>
            <w:vAlign w:val="center"/>
          </w:tcPr>
          <w:p w14:paraId="5DFD97BC" w14:textId="77777777" w:rsidR="008B7C23" w:rsidRPr="00244FB2" w:rsidRDefault="008B7C23" w:rsidP="008B7C23">
            <w:pPr>
              <w:pStyle w:val="TableText"/>
            </w:pPr>
            <w:r w:rsidRPr="00244FB2">
              <w:t>Intervention</w:t>
            </w:r>
          </w:p>
        </w:tc>
        <w:tc>
          <w:tcPr>
            <w:tcW w:w="7488" w:type="dxa"/>
            <w:vAlign w:val="center"/>
          </w:tcPr>
          <w:p w14:paraId="64B2E914" w14:textId="77777777" w:rsidR="008B7C23" w:rsidRPr="00244FB2" w:rsidRDefault="008B7C23" w:rsidP="008B7C23">
            <w:pPr>
              <w:pStyle w:val="TableText"/>
            </w:pPr>
            <w:proofErr w:type="spellStart"/>
            <w:r w:rsidRPr="00244FB2">
              <w:t>Eculizumab</w:t>
            </w:r>
            <w:proofErr w:type="spellEnd"/>
            <w:r w:rsidRPr="00244FB2">
              <w:t xml:space="preserve"> (900 mg intravenous infusion weekly for first 4 weeks followed by fortnightly 1</w:t>
            </w:r>
            <w:r w:rsidR="00317F93" w:rsidRPr="00244FB2">
              <w:t>,</w:t>
            </w:r>
            <w:r w:rsidRPr="00244FB2">
              <w:t>200 mg intravenous infusions from Week 5) with best supportive care</w:t>
            </w:r>
          </w:p>
        </w:tc>
      </w:tr>
      <w:tr w:rsidR="008B7C23" w:rsidRPr="00244FB2" w14:paraId="0B6C5E64" w14:textId="77777777" w:rsidTr="008B7C23">
        <w:tc>
          <w:tcPr>
            <w:tcW w:w="1668" w:type="dxa"/>
            <w:vAlign w:val="center"/>
          </w:tcPr>
          <w:p w14:paraId="47C300C4" w14:textId="77777777" w:rsidR="008B7C23" w:rsidRPr="00244FB2" w:rsidRDefault="008B7C23" w:rsidP="008B7C23">
            <w:pPr>
              <w:pStyle w:val="TableText"/>
            </w:pPr>
            <w:r w:rsidRPr="00244FB2">
              <w:t>Comparator</w:t>
            </w:r>
          </w:p>
        </w:tc>
        <w:tc>
          <w:tcPr>
            <w:tcW w:w="7488" w:type="dxa"/>
            <w:vAlign w:val="center"/>
          </w:tcPr>
          <w:p w14:paraId="1F012EC8" w14:textId="77777777" w:rsidR="008B7C23" w:rsidRPr="00244FB2" w:rsidRDefault="008B7C23" w:rsidP="008B7C23">
            <w:pPr>
              <w:pStyle w:val="TableText"/>
            </w:pPr>
            <w:r w:rsidRPr="00244FB2">
              <w:t>Best supportive care alone</w:t>
            </w:r>
          </w:p>
        </w:tc>
      </w:tr>
      <w:tr w:rsidR="008B7C23" w:rsidRPr="00244FB2" w14:paraId="11140C21" w14:textId="77777777" w:rsidTr="008B7C23">
        <w:tc>
          <w:tcPr>
            <w:tcW w:w="1668" w:type="dxa"/>
            <w:vAlign w:val="center"/>
          </w:tcPr>
          <w:p w14:paraId="576DCA7D" w14:textId="77777777" w:rsidR="008B7C23" w:rsidRPr="00244FB2" w:rsidRDefault="008B7C23" w:rsidP="008B7C23">
            <w:pPr>
              <w:pStyle w:val="TableText"/>
            </w:pPr>
            <w:r w:rsidRPr="00244FB2">
              <w:t>Outcomes</w:t>
            </w:r>
          </w:p>
        </w:tc>
        <w:tc>
          <w:tcPr>
            <w:tcW w:w="7488" w:type="dxa"/>
            <w:vAlign w:val="center"/>
          </w:tcPr>
          <w:p w14:paraId="29FE050A" w14:textId="77777777" w:rsidR="008B7C23" w:rsidRPr="00244FB2" w:rsidRDefault="008B7C23" w:rsidP="008B7C23">
            <w:pPr>
              <w:pStyle w:val="TableText"/>
            </w:pPr>
            <w:r w:rsidRPr="00244FB2">
              <w:t>Reduction in relapse frequency leading to a reduction in disability progression and mortality</w:t>
            </w:r>
          </w:p>
        </w:tc>
      </w:tr>
      <w:tr w:rsidR="008B7C23" w:rsidRPr="00244FB2" w14:paraId="62C0B5D7" w14:textId="77777777" w:rsidTr="008B7C23">
        <w:tc>
          <w:tcPr>
            <w:tcW w:w="1668" w:type="dxa"/>
            <w:vAlign w:val="center"/>
          </w:tcPr>
          <w:p w14:paraId="49220A01" w14:textId="77777777" w:rsidR="008B7C23" w:rsidRPr="00244FB2" w:rsidRDefault="008B7C23" w:rsidP="008B7C23">
            <w:pPr>
              <w:pStyle w:val="TableText"/>
            </w:pPr>
            <w:r w:rsidRPr="00244FB2">
              <w:t>Clinical claim</w:t>
            </w:r>
          </w:p>
        </w:tc>
        <w:tc>
          <w:tcPr>
            <w:tcW w:w="7488" w:type="dxa"/>
            <w:vAlign w:val="center"/>
          </w:tcPr>
          <w:p w14:paraId="39E6B529" w14:textId="77777777" w:rsidR="008B7C23" w:rsidRPr="00244FB2" w:rsidRDefault="008B7C23" w:rsidP="008B7C23">
            <w:pPr>
              <w:pStyle w:val="TableText"/>
            </w:pPr>
            <w:proofErr w:type="spellStart"/>
            <w:r w:rsidRPr="00244FB2">
              <w:t>Eculizumab</w:t>
            </w:r>
            <w:proofErr w:type="spellEnd"/>
            <w:r w:rsidRPr="00244FB2">
              <w:t xml:space="preserve"> is superior in terms of efficacy and non-inferior in terms of safety compared to placebo </w:t>
            </w:r>
          </w:p>
        </w:tc>
      </w:tr>
    </w:tbl>
    <w:p w14:paraId="160CF20B" w14:textId="77777777" w:rsidR="008B7C23" w:rsidRPr="00244FB2" w:rsidRDefault="008B7C23" w:rsidP="00F759F7">
      <w:pPr>
        <w:pStyle w:val="TableFooter"/>
      </w:pPr>
      <w:r w:rsidRPr="00244FB2">
        <w:t>Source: Ta</w:t>
      </w:r>
      <w:r w:rsidR="00F759F7" w:rsidRPr="00244FB2">
        <w:t>ble 1-1 (p 3) of the submission</w:t>
      </w:r>
    </w:p>
    <w:p w14:paraId="09AE49EB" w14:textId="77777777" w:rsidR="00317F93" w:rsidRPr="00244FB2" w:rsidRDefault="00317F93" w:rsidP="00F759F7">
      <w:pPr>
        <w:pStyle w:val="TableFooter"/>
      </w:pPr>
      <w:r w:rsidRPr="00244FB2">
        <w:t>AQ</w:t>
      </w:r>
      <w:r w:rsidR="00BA2244" w:rsidRPr="00244FB2">
        <w:t>P</w:t>
      </w:r>
      <w:r w:rsidRPr="00244FB2">
        <w:t>4 = aquaporin-4</w:t>
      </w:r>
    </w:p>
    <w:p w14:paraId="7E567F81" w14:textId="77777777" w:rsidR="005C25FF" w:rsidRPr="00244FB2" w:rsidRDefault="005C25FF" w:rsidP="0007001A">
      <w:pPr>
        <w:pStyle w:val="2-SectionHeading"/>
      </w:pPr>
      <w:bookmarkStart w:id="1" w:name="_Toc50974491"/>
      <w:r w:rsidRPr="00244FB2">
        <w:t>Background</w:t>
      </w:r>
      <w:bookmarkEnd w:id="1"/>
    </w:p>
    <w:p w14:paraId="57666E79" w14:textId="77777777" w:rsidR="005C25FF" w:rsidRPr="00244FB2" w:rsidRDefault="005C25FF" w:rsidP="0007001A">
      <w:pPr>
        <w:pStyle w:val="COMBody"/>
        <w:keepNext/>
        <w:spacing w:after="120"/>
        <w:rPr>
          <w:rFonts w:cs="Calibri"/>
          <w:b/>
          <w:i/>
          <w:sz w:val="28"/>
          <w:szCs w:val="28"/>
        </w:rPr>
      </w:pPr>
      <w:bookmarkStart w:id="2" w:name="_Toc22897638"/>
      <w:r w:rsidRPr="00244FB2">
        <w:rPr>
          <w:rFonts w:cs="Calibri"/>
          <w:b/>
          <w:i/>
          <w:sz w:val="28"/>
          <w:szCs w:val="28"/>
        </w:rPr>
        <w:t>Registration status</w:t>
      </w:r>
      <w:bookmarkEnd w:id="2"/>
    </w:p>
    <w:p w14:paraId="0FA9067B" w14:textId="77777777" w:rsidR="00F759F7" w:rsidRPr="00244FB2" w:rsidRDefault="00F759F7" w:rsidP="0007001A">
      <w:pPr>
        <w:pStyle w:val="ExecSumBodyText"/>
        <w:keepNext/>
      </w:pPr>
      <w:proofErr w:type="spellStart"/>
      <w:r w:rsidRPr="00244FB2">
        <w:t>Eculizumab</w:t>
      </w:r>
      <w:proofErr w:type="spellEnd"/>
      <w:r w:rsidRPr="00244FB2">
        <w:t xml:space="preserve"> was approved by the TGA on 1 July 2020 for the following indication:</w:t>
      </w:r>
    </w:p>
    <w:p w14:paraId="626A4D16" w14:textId="77777777" w:rsidR="00F759F7" w:rsidRPr="00244FB2" w:rsidRDefault="00F759F7" w:rsidP="00617FDF">
      <w:pPr>
        <w:pStyle w:val="ExecSumBodyText"/>
        <w:keepNext/>
        <w:numPr>
          <w:ilvl w:val="0"/>
          <w:numId w:val="6"/>
        </w:numPr>
        <w:ind w:left="1077" w:hanging="357"/>
      </w:pPr>
      <w:r w:rsidRPr="00244FB2">
        <w:t xml:space="preserve">Adult patients with </w:t>
      </w:r>
      <w:proofErr w:type="spellStart"/>
      <w:r w:rsidRPr="00244FB2">
        <w:t>Neuromyelitis</w:t>
      </w:r>
      <w:proofErr w:type="spellEnd"/>
      <w:r w:rsidRPr="00244FB2">
        <w:t xml:space="preserve"> </w:t>
      </w:r>
      <w:proofErr w:type="spellStart"/>
      <w:r w:rsidRPr="00244FB2">
        <w:t>Optica</w:t>
      </w:r>
      <w:proofErr w:type="spellEnd"/>
      <w:r w:rsidRPr="00244FB2">
        <w:t xml:space="preserve"> Spectrum Disorder </w:t>
      </w:r>
      <w:r w:rsidR="00BD7934" w:rsidRPr="00244FB2">
        <w:t xml:space="preserve">(NMOSD) </w:t>
      </w:r>
      <w:r w:rsidRPr="00244FB2">
        <w:t xml:space="preserve">who are anti-aquaporin-4 antibody-positive. </w:t>
      </w:r>
      <w:proofErr w:type="spellStart"/>
      <w:r w:rsidRPr="00244FB2">
        <w:t>Eculizumab</w:t>
      </w:r>
      <w:proofErr w:type="spellEnd"/>
      <w:r w:rsidRPr="00244FB2">
        <w:t xml:space="preserve"> is not intended for acute treatment of an NMOSD relapse.</w:t>
      </w:r>
    </w:p>
    <w:p w14:paraId="231C2BDF" w14:textId="77777777" w:rsidR="00F759F7" w:rsidRPr="00244FB2" w:rsidRDefault="00F759F7" w:rsidP="00F759F7">
      <w:pPr>
        <w:pStyle w:val="ExecSumBodyText"/>
      </w:pPr>
      <w:proofErr w:type="spellStart"/>
      <w:r w:rsidRPr="00244FB2">
        <w:t>Eculizumab</w:t>
      </w:r>
      <w:proofErr w:type="spellEnd"/>
      <w:r w:rsidRPr="00244FB2">
        <w:t xml:space="preserve"> is also currently TGA approved for the treatment of paroxysmal nocturnal haemoglobinuria and atypical haemolytic uraemic syndrome.</w:t>
      </w:r>
    </w:p>
    <w:p w14:paraId="0ACBCC8D" w14:textId="77777777" w:rsidR="0058557A" w:rsidRPr="00244FB2" w:rsidRDefault="0058557A" w:rsidP="00F759F7">
      <w:pPr>
        <w:pStyle w:val="ExecSumBodyText"/>
      </w:pPr>
      <w:r w:rsidRPr="00244FB2">
        <w:t>The submission noted that antibody testing is currently reimbursed on the Medicare Benefits Schedule via item 71119 (detection of antibodies to tissue antigens not otherwise specified)</w:t>
      </w:r>
      <w:r w:rsidRPr="00244FB2">
        <w:rPr>
          <w:iCs/>
        </w:rPr>
        <w:t xml:space="preserve">. However, a separate item number for AQP4 and </w:t>
      </w:r>
      <w:r w:rsidR="00115570" w:rsidRPr="00244FB2">
        <w:rPr>
          <w:iCs/>
        </w:rPr>
        <w:t>myelin oligodendrocyte glycoprotein (</w:t>
      </w:r>
      <w:r w:rsidRPr="00244FB2">
        <w:rPr>
          <w:iCs/>
        </w:rPr>
        <w:t>MOG</w:t>
      </w:r>
      <w:r w:rsidR="00115570" w:rsidRPr="00244FB2">
        <w:rPr>
          <w:iCs/>
        </w:rPr>
        <w:t>)</w:t>
      </w:r>
      <w:r w:rsidRPr="00244FB2">
        <w:rPr>
          <w:iCs/>
        </w:rPr>
        <w:t xml:space="preserve"> testing is currently being considered by MSAC as </w:t>
      </w:r>
      <w:proofErr w:type="gramStart"/>
      <w:r w:rsidRPr="00244FB2">
        <w:rPr>
          <w:iCs/>
        </w:rPr>
        <w:lastRenderedPageBreak/>
        <w:t>the</w:t>
      </w:r>
      <w:proofErr w:type="gramEnd"/>
      <w:r w:rsidRPr="00244FB2">
        <w:rPr>
          <w:iCs/>
        </w:rPr>
        <w:t xml:space="preserve"> existing item subsidises AQP4/MOG testing at a lower level than charged by providers (MSAC Application 1582).</w:t>
      </w:r>
    </w:p>
    <w:p w14:paraId="4772FC16" w14:textId="77777777" w:rsidR="0058557A" w:rsidRPr="006D4AC2" w:rsidRDefault="0058557A" w:rsidP="00F759F7">
      <w:pPr>
        <w:pStyle w:val="ExecSumBodyText"/>
      </w:pPr>
      <w:proofErr w:type="spellStart"/>
      <w:r w:rsidRPr="006D4AC2">
        <w:t>Eculizumab</w:t>
      </w:r>
      <w:proofErr w:type="spellEnd"/>
      <w:r w:rsidRPr="006D4AC2">
        <w:t xml:space="preserve"> for NMOSD was recently considered by </w:t>
      </w:r>
      <w:r w:rsidR="00115570" w:rsidRPr="006D4AC2">
        <w:t>the Canadian Agency for Drugs and Technologies in Health (</w:t>
      </w:r>
      <w:r w:rsidRPr="006D4AC2">
        <w:t>CADTH</w:t>
      </w:r>
      <w:r w:rsidR="00115570" w:rsidRPr="006D4AC2">
        <w:t>)</w:t>
      </w:r>
      <w:r w:rsidRPr="006D4AC2">
        <w:t xml:space="preserve">. </w:t>
      </w:r>
      <w:r w:rsidR="00B264DD" w:rsidRPr="006D4AC2">
        <w:t>The ESC noted that</w:t>
      </w:r>
      <w:r w:rsidRPr="006D4AC2">
        <w:t xml:space="preserve"> </w:t>
      </w:r>
      <w:proofErr w:type="spellStart"/>
      <w:r w:rsidRPr="006D4AC2">
        <w:t>eculizumab</w:t>
      </w:r>
      <w:proofErr w:type="spellEnd"/>
      <w:r w:rsidRPr="006D4AC2">
        <w:t xml:space="preserve"> was recommended for the treatment of NMOSD if a number of conditions were met, including a 96% price reduction.</w:t>
      </w:r>
    </w:p>
    <w:p w14:paraId="213DC10B" w14:textId="77777777" w:rsidR="00717109" w:rsidRPr="00244FB2" w:rsidRDefault="00717109" w:rsidP="00717109">
      <w:pPr>
        <w:pStyle w:val="COMBody"/>
        <w:spacing w:after="120"/>
        <w:rPr>
          <w:rFonts w:cs="Calibri"/>
          <w:b/>
          <w:i/>
          <w:sz w:val="28"/>
          <w:szCs w:val="28"/>
        </w:rPr>
      </w:pPr>
      <w:r w:rsidRPr="00244FB2">
        <w:rPr>
          <w:rFonts w:cs="Calibri"/>
          <w:b/>
          <w:i/>
          <w:sz w:val="28"/>
          <w:szCs w:val="28"/>
        </w:rPr>
        <w:t>Previous PBAC considerations</w:t>
      </w:r>
    </w:p>
    <w:p w14:paraId="59238FCC" w14:textId="77777777" w:rsidR="001B72D4" w:rsidRPr="00244FB2" w:rsidRDefault="00717109" w:rsidP="001B72D4">
      <w:pPr>
        <w:pStyle w:val="ExecSumBodyText"/>
      </w:pPr>
      <w:proofErr w:type="spellStart"/>
      <w:r w:rsidRPr="00244FB2">
        <w:t>Eculizumab</w:t>
      </w:r>
      <w:proofErr w:type="spellEnd"/>
      <w:r w:rsidRPr="00244FB2">
        <w:t xml:space="preserve"> is currently subsidised </w:t>
      </w:r>
      <w:r w:rsidR="002C643A" w:rsidRPr="00244FB2">
        <w:t xml:space="preserve">through </w:t>
      </w:r>
      <w:r w:rsidRPr="00244FB2">
        <w:t>the PBS for the treatment of atypical haemolytic uraemic syndrome</w:t>
      </w:r>
      <w:r w:rsidR="00115570" w:rsidRPr="00244FB2">
        <w:t xml:space="preserve"> (</w:t>
      </w:r>
      <w:proofErr w:type="spellStart"/>
      <w:r w:rsidR="00115570" w:rsidRPr="00244FB2">
        <w:t>aHUS</w:t>
      </w:r>
      <w:proofErr w:type="spellEnd"/>
      <w:r w:rsidR="00115570" w:rsidRPr="00244FB2">
        <w:t>)</w:t>
      </w:r>
      <w:r w:rsidRPr="00244FB2">
        <w:t xml:space="preserve">. </w:t>
      </w:r>
      <w:proofErr w:type="spellStart"/>
      <w:r w:rsidRPr="00244FB2">
        <w:t>Eculizumab</w:t>
      </w:r>
      <w:proofErr w:type="spellEnd"/>
      <w:r w:rsidRPr="00244FB2">
        <w:t xml:space="preserve"> is currently subsidised under the</w:t>
      </w:r>
      <w:r w:rsidR="009413FE" w:rsidRPr="00244FB2">
        <w:t xml:space="preserve"> Life Saving Drugs Program</w:t>
      </w:r>
      <w:r w:rsidRPr="00244FB2">
        <w:t xml:space="preserve"> </w:t>
      </w:r>
      <w:r w:rsidR="009413FE" w:rsidRPr="00244FB2">
        <w:t>(</w:t>
      </w:r>
      <w:r w:rsidRPr="00244FB2">
        <w:t>LSDP</w:t>
      </w:r>
      <w:r w:rsidR="009413FE" w:rsidRPr="00244FB2">
        <w:t>)</w:t>
      </w:r>
      <w:r w:rsidRPr="00244FB2">
        <w:t xml:space="preserve"> for the treatment of paroxysmal nocturnal haemoglobinuria</w:t>
      </w:r>
      <w:r w:rsidR="00765DF8" w:rsidRPr="00244FB2">
        <w:t xml:space="preserve"> (PN</w:t>
      </w:r>
      <w:r w:rsidR="00831D1E">
        <w:t>H</w:t>
      </w:r>
      <w:r w:rsidR="00765DF8" w:rsidRPr="00244FB2">
        <w:t>)</w:t>
      </w:r>
      <w:r w:rsidRPr="00244FB2">
        <w:t>.</w:t>
      </w:r>
      <w:r w:rsidR="00831D1E">
        <w:t xml:space="preserve"> </w:t>
      </w:r>
      <w:r w:rsidR="00831D1E" w:rsidRPr="00244FB2">
        <w:t xml:space="preserve">The PBAC has not previously considered </w:t>
      </w:r>
      <w:proofErr w:type="spellStart"/>
      <w:r w:rsidR="00831D1E" w:rsidRPr="00244FB2">
        <w:t>eculizumab</w:t>
      </w:r>
      <w:proofErr w:type="spellEnd"/>
      <w:r w:rsidR="00831D1E" w:rsidRPr="00244FB2">
        <w:t xml:space="preserve"> for this indication.</w:t>
      </w:r>
    </w:p>
    <w:p w14:paraId="445065EB" w14:textId="77777777" w:rsidR="001B72D4" w:rsidRPr="00244FB2" w:rsidRDefault="001B72D4" w:rsidP="001B72D4">
      <w:pPr>
        <w:pStyle w:val="ExecSumBodyText"/>
        <w:numPr>
          <w:ilvl w:val="0"/>
          <w:numId w:val="0"/>
        </w:numPr>
        <w:ind w:left="720"/>
        <w:rPr>
          <w:i/>
        </w:rPr>
      </w:pPr>
      <w:r w:rsidRPr="00244FB2">
        <w:rPr>
          <w:i/>
        </w:rPr>
        <w:t>For more detail on PBAC’s view, see section 7 PBAC outcome.</w:t>
      </w:r>
    </w:p>
    <w:p w14:paraId="5B62B5EC" w14:textId="77777777" w:rsidR="00B60939" w:rsidRPr="00244FB2" w:rsidRDefault="00B50DB8" w:rsidP="00943A54">
      <w:pPr>
        <w:pStyle w:val="2-SectionHeading"/>
      </w:pPr>
      <w:bookmarkStart w:id="3" w:name="_Toc50974492"/>
      <w:r w:rsidRPr="00244FB2">
        <w:t>Requested listing</w:t>
      </w:r>
      <w:bookmarkEnd w:id="3"/>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583"/>
        <w:gridCol w:w="1073"/>
        <w:gridCol w:w="1004"/>
        <w:gridCol w:w="800"/>
        <w:gridCol w:w="1000"/>
        <w:gridCol w:w="1000"/>
        <w:gridCol w:w="1937"/>
      </w:tblGrid>
      <w:tr w:rsidR="004770F4" w:rsidRPr="00244FB2" w14:paraId="048ED5D2" w14:textId="77777777" w:rsidTr="004770F4">
        <w:tc>
          <w:tcPr>
            <w:tcW w:w="2312" w:type="dxa"/>
            <w:gridSpan w:val="2"/>
            <w:tcBorders>
              <w:top w:val="single" w:sz="4" w:space="0" w:color="auto"/>
              <w:left w:val="nil"/>
              <w:bottom w:val="single" w:sz="4" w:space="0" w:color="auto"/>
              <w:right w:val="nil"/>
            </w:tcBorders>
          </w:tcPr>
          <w:p w14:paraId="74E9F87F" w14:textId="77777777" w:rsidR="00863675" w:rsidRPr="00244FB2" w:rsidRDefault="004770F4" w:rsidP="00943A54">
            <w:pPr>
              <w:pStyle w:val="Tabletext0"/>
              <w:keepNext/>
              <w:rPr>
                <w:b/>
                <w:bCs/>
              </w:rPr>
            </w:pPr>
            <w:r w:rsidRPr="00244FB2">
              <w:rPr>
                <w:b/>
              </w:rPr>
              <w:t>Medicinal Product Pack</w:t>
            </w:r>
          </w:p>
        </w:tc>
        <w:tc>
          <w:tcPr>
            <w:tcW w:w="1078" w:type="dxa"/>
            <w:tcBorders>
              <w:top w:val="single" w:sz="4" w:space="0" w:color="auto"/>
              <w:left w:val="nil"/>
              <w:bottom w:val="single" w:sz="4" w:space="0" w:color="auto"/>
              <w:right w:val="nil"/>
            </w:tcBorders>
          </w:tcPr>
          <w:p w14:paraId="4EEF1134" w14:textId="77777777" w:rsidR="00863675" w:rsidRPr="00244FB2" w:rsidRDefault="00863675" w:rsidP="00943A54">
            <w:pPr>
              <w:pStyle w:val="Tabletext0"/>
              <w:keepNext/>
              <w:jc w:val="center"/>
              <w:rPr>
                <w:b/>
                <w:bCs/>
              </w:rPr>
            </w:pPr>
            <w:r w:rsidRPr="00244FB2">
              <w:rPr>
                <w:b/>
              </w:rPr>
              <w:t>Maximum quantity (packs)</w:t>
            </w:r>
          </w:p>
        </w:tc>
        <w:tc>
          <w:tcPr>
            <w:tcW w:w="1005" w:type="dxa"/>
            <w:tcBorders>
              <w:top w:val="single" w:sz="4" w:space="0" w:color="auto"/>
              <w:left w:val="nil"/>
              <w:bottom w:val="single" w:sz="4" w:space="0" w:color="auto"/>
              <w:right w:val="nil"/>
            </w:tcBorders>
          </w:tcPr>
          <w:p w14:paraId="4473D57A" w14:textId="77777777" w:rsidR="00863675" w:rsidRPr="00244FB2" w:rsidRDefault="00863675" w:rsidP="00943A54">
            <w:pPr>
              <w:pStyle w:val="Tabletext0"/>
              <w:keepNext/>
              <w:jc w:val="center"/>
              <w:rPr>
                <w:b/>
                <w:bCs/>
              </w:rPr>
            </w:pPr>
            <w:r w:rsidRPr="00244FB2">
              <w:rPr>
                <w:b/>
              </w:rPr>
              <w:t>Maximum quantity (units)</w:t>
            </w:r>
          </w:p>
        </w:tc>
        <w:tc>
          <w:tcPr>
            <w:tcW w:w="0" w:type="auto"/>
            <w:tcBorders>
              <w:top w:val="single" w:sz="4" w:space="0" w:color="auto"/>
              <w:left w:val="nil"/>
              <w:bottom w:val="single" w:sz="4" w:space="0" w:color="auto"/>
              <w:right w:val="nil"/>
            </w:tcBorders>
          </w:tcPr>
          <w:p w14:paraId="2AD17E24" w14:textId="77777777" w:rsidR="00863675" w:rsidRPr="00244FB2" w:rsidRDefault="00863675" w:rsidP="00943A54">
            <w:pPr>
              <w:pStyle w:val="Tabletext0"/>
              <w:keepNext/>
              <w:jc w:val="center"/>
              <w:rPr>
                <w:b/>
                <w:bCs/>
              </w:rPr>
            </w:pPr>
            <w:r w:rsidRPr="00244FB2">
              <w:rPr>
                <w:b/>
              </w:rPr>
              <w:t>No. of repeats</w:t>
            </w:r>
          </w:p>
        </w:tc>
        <w:tc>
          <w:tcPr>
            <w:tcW w:w="0" w:type="auto"/>
            <w:gridSpan w:val="2"/>
            <w:tcBorders>
              <w:top w:val="single" w:sz="4" w:space="0" w:color="auto"/>
              <w:left w:val="nil"/>
              <w:bottom w:val="single" w:sz="4" w:space="0" w:color="auto"/>
              <w:right w:val="nil"/>
            </w:tcBorders>
          </w:tcPr>
          <w:p w14:paraId="41E0F63B" w14:textId="77777777" w:rsidR="00863675" w:rsidRPr="00244FB2" w:rsidRDefault="00863675" w:rsidP="00943A54">
            <w:pPr>
              <w:pStyle w:val="Tabletext0"/>
              <w:keepNext/>
              <w:jc w:val="center"/>
              <w:rPr>
                <w:b/>
                <w:bCs/>
              </w:rPr>
            </w:pPr>
            <w:r w:rsidRPr="00244FB2">
              <w:rPr>
                <w:b/>
              </w:rPr>
              <w:t>Dispensed price for maximum quantity</w:t>
            </w:r>
          </w:p>
        </w:tc>
        <w:tc>
          <w:tcPr>
            <w:tcW w:w="1985" w:type="dxa"/>
            <w:tcBorders>
              <w:left w:val="nil"/>
              <w:bottom w:val="single" w:sz="4" w:space="0" w:color="auto"/>
              <w:right w:val="nil"/>
            </w:tcBorders>
          </w:tcPr>
          <w:p w14:paraId="6E531663" w14:textId="77777777" w:rsidR="00863675" w:rsidRPr="00244FB2" w:rsidRDefault="004770F4" w:rsidP="00943A54">
            <w:pPr>
              <w:pStyle w:val="Tabletext0"/>
              <w:keepNext/>
              <w:jc w:val="center"/>
              <w:rPr>
                <w:b/>
                <w:bCs/>
              </w:rPr>
            </w:pPr>
            <w:r w:rsidRPr="00244FB2">
              <w:rPr>
                <w:b/>
              </w:rPr>
              <w:t>Available brands</w:t>
            </w:r>
          </w:p>
        </w:tc>
      </w:tr>
      <w:tr w:rsidR="00863675" w:rsidRPr="00244FB2" w14:paraId="79C1DB19" w14:textId="77777777" w:rsidTr="00815538">
        <w:trPr>
          <w:trHeight w:val="111"/>
        </w:trPr>
        <w:tc>
          <w:tcPr>
            <w:tcW w:w="9072" w:type="dxa"/>
            <w:gridSpan w:val="8"/>
            <w:tcBorders>
              <w:top w:val="single" w:sz="4" w:space="0" w:color="auto"/>
              <w:left w:val="nil"/>
              <w:bottom w:val="nil"/>
              <w:right w:val="nil"/>
            </w:tcBorders>
          </w:tcPr>
          <w:p w14:paraId="76AD8485" w14:textId="77777777" w:rsidR="00863675" w:rsidRPr="00244FB2" w:rsidRDefault="00863675" w:rsidP="00943A54">
            <w:pPr>
              <w:pStyle w:val="Tabletext0"/>
              <w:keepNext/>
            </w:pPr>
            <w:r w:rsidRPr="00244FB2">
              <w:t>Initial treatment</w:t>
            </w:r>
          </w:p>
        </w:tc>
      </w:tr>
      <w:tr w:rsidR="004770F4" w:rsidRPr="00244FB2" w14:paraId="05153A89" w14:textId="77777777" w:rsidTr="004770F4">
        <w:trPr>
          <w:trHeight w:val="383"/>
        </w:trPr>
        <w:tc>
          <w:tcPr>
            <w:tcW w:w="2312" w:type="dxa"/>
            <w:gridSpan w:val="2"/>
            <w:tcBorders>
              <w:top w:val="single" w:sz="4" w:space="0" w:color="auto"/>
              <w:left w:val="nil"/>
              <w:bottom w:val="single" w:sz="4" w:space="0" w:color="auto"/>
              <w:right w:val="nil"/>
            </w:tcBorders>
          </w:tcPr>
          <w:p w14:paraId="1CFF46CB" w14:textId="77777777" w:rsidR="00863675" w:rsidRPr="00244FB2" w:rsidRDefault="00863675" w:rsidP="00943A54">
            <w:pPr>
              <w:pStyle w:val="Tabletext0"/>
              <w:keepNext/>
            </w:pPr>
            <w:proofErr w:type="spellStart"/>
            <w:r w:rsidRPr="00244FB2">
              <w:t>Eculizumab</w:t>
            </w:r>
            <w:proofErr w:type="spellEnd"/>
            <w:r w:rsidRPr="00244FB2">
              <w:t>, 300 mg/30 mL injection, 30 mL vial</w:t>
            </w:r>
          </w:p>
        </w:tc>
        <w:tc>
          <w:tcPr>
            <w:tcW w:w="1078" w:type="dxa"/>
            <w:tcBorders>
              <w:top w:val="single" w:sz="4" w:space="0" w:color="auto"/>
              <w:left w:val="nil"/>
              <w:bottom w:val="single" w:sz="4" w:space="0" w:color="auto"/>
              <w:right w:val="nil"/>
            </w:tcBorders>
            <w:vAlign w:val="center"/>
          </w:tcPr>
          <w:p w14:paraId="084BA534" w14:textId="77777777" w:rsidR="00863675" w:rsidRPr="00244FB2" w:rsidRDefault="00863675" w:rsidP="00943A54">
            <w:pPr>
              <w:pStyle w:val="Tabletext0"/>
              <w:keepNext/>
              <w:jc w:val="center"/>
              <w:rPr>
                <w:rFonts w:ascii="Times" w:hAnsi="Times"/>
              </w:rPr>
            </w:pPr>
            <w:r w:rsidRPr="00244FB2">
              <w:t>1</w:t>
            </w:r>
          </w:p>
        </w:tc>
        <w:tc>
          <w:tcPr>
            <w:tcW w:w="1005" w:type="dxa"/>
            <w:tcBorders>
              <w:top w:val="single" w:sz="4" w:space="0" w:color="auto"/>
              <w:left w:val="nil"/>
              <w:bottom w:val="single" w:sz="4" w:space="0" w:color="auto"/>
              <w:right w:val="nil"/>
            </w:tcBorders>
            <w:vAlign w:val="center"/>
          </w:tcPr>
          <w:p w14:paraId="590D6BFE" w14:textId="77777777" w:rsidR="00863675" w:rsidRPr="00244FB2" w:rsidRDefault="00863675" w:rsidP="00943A54">
            <w:pPr>
              <w:pStyle w:val="Tabletext0"/>
              <w:keepNext/>
              <w:jc w:val="center"/>
              <w:rPr>
                <w:rFonts w:ascii="Times" w:hAnsi="Times"/>
              </w:rPr>
            </w:pPr>
            <w:r w:rsidRPr="00244FB2">
              <w:t>1</w:t>
            </w:r>
          </w:p>
        </w:tc>
        <w:tc>
          <w:tcPr>
            <w:tcW w:w="0" w:type="auto"/>
            <w:tcBorders>
              <w:top w:val="single" w:sz="4" w:space="0" w:color="auto"/>
              <w:left w:val="nil"/>
              <w:bottom w:val="single" w:sz="4" w:space="0" w:color="auto"/>
              <w:right w:val="nil"/>
            </w:tcBorders>
            <w:vAlign w:val="center"/>
          </w:tcPr>
          <w:p w14:paraId="72F4E0A3" w14:textId="77777777" w:rsidR="00863675" w:rsidRPr="00244FB2" w:rsidRDefault="00863675" w:rsidP="00943A54">
            <w:pPr>
              <w:pStyle w:val="Tabletext0"/>
              <w:keepNext/>
              <w:jc w:val="center"/>
              <w:rPr>
                <w:rFonts w:ascii="Times" w:hAnsi="Times"/>
              </w:rPr>
            </w:pPr>
            <w:r w:rsidRPr="00244FB2">
              <w:t>0</w:t>
            </w:r>
          </w:p>
        </w:tc>
        <w:tc>
          <w:tcPr>
            <w:tcW w:w="0" w:type="auto"/>
            <w:tcBorders>
              <w:top w:val="single" w:sz="4" w:space="0" w:color="auto"/>
              <w:left w:val="nil"/>
              <w:bottom w:val="single" w:sz="4" w:space="0" w:color="auto"/>
              <w:right w:val="nil"/>
            </w:tcBorders>
            <w:vAlign w:val="center"/>
          </w:tcPr>
          <w:p w14:paraId="375AC699" w14:textId="77777777" w:rsidR="00863675" w:rsidRPr="00AA5861" w:rsidRDefault="00863675" w:rsidP="00943A54">
            <w:pPr>
              <w:pStyle w:val="Tabletext0"/>
              <w:keepNext/>
              <w:jc w:val="center"/>
            </w:pPr>
            <w:r w:rsidRPr="00AA5861">
              <w:t>Public:</w:t>
            </w:r>
          </w:p>
          <w:p w14:paraId="3081BF50" w14:textId="77777777" w:rsidR="00863675" w:rsidRPr="00AA5861" w:rsidRDefault="00863675" w:rsidP="00943A54">
            <w:pPr>
              <w:pStyle w:val="Tabletext0"/>
              <w:keepNext/>
              <w:jc w:val="center"/>
            </w:pPr>
            <w:r w:rsidRPr="00AA5861">
              <w:t>$</w:t>
            </w:r>
            <w:r w:rsidR="005266FC">
              <w:rPr>
                <w:noProof/>
                <w:color w:val="000000"/>
                <w:highlight w:val="black"/>
              </w:rPr>
              <w:t>''''''''''''''''''''''</w:t>
            </w:r>
          </w:p>
        </w:tc>
        <w:tc>
          <w:tcPr>
            <w:tcW w:w="0" w:type="auto"/>
            <w:tcBorders>
              <w:top w:val="single" w:sz="4" w:space="0" w:color="auto"/>
              <w:left w:val="nil"/>
              <w:bottom w:val="single" w:sz="4" w:space="0" w:color="auto"/>
              <w:right w:val="nil"/>
            </w:tcBorders>
            <w:vAlign w:val="center"/>
          </w:tcPr>
          <w:p w14:paraId="7C9530D5" w14:textId="77777777" w:rsidR="00863675" w:rsidRPr="00AA5861" w:rsidRDefault="00863675" w:rsidP="00943A54">
            <w:pPr>
              <w:pStyle w:val="Tabletext0"/>
              <w:keepNext/>
              <w:jc w:val="center"/>
            </w:pPr>
            <w:r w:rsidRPr="00AA5861">
              <w:t>Private:</w:t>
            </w:r>
          </w:p>
          <w:p w14:paraId="027F543E" w14:textId="77777777" w:rsidR="00863675" w:rsidRPr="00AA5861" w:rsidRDefault="00863675" w:rsidP="00943A54">
            <w:pPr>
              <w:pStyle w:val="Tabletext0"/>
              <w:keepNext/>
              <w:jc w:val="center"/>
            </w:pPr>
            <w:r w:rsidRPr="00AA5861">
              <w:t>$</w:t>
            </w:r>
            <w:r w:rsidR="005266FC">
              <w:rPr>
                <w:noProof/>
                <w:color w:val="000000"/>
                <w:highlight w:val="black"/>
              </w:rPr>
              <w:t>'''''''''''''''''''''</w:t>
            </w:r>
          </w:p>
        </w:tc>
        <w:tc>
          <w:tcPr>
            <w:tcW w:w="1985" w:type="dxa"/>
            <w:tcBorders>
              <w:left w:val="nil"/>
              <w:bottom w:val="single" w:sz="4" w:space="0" w:color="auto"/>
              <w:right w:val="nil"/>
            </w:tcBorders>
            <w:vAlign w:val="center"/>
          </w:tcPr>
          <w:p w14:paraId="69CF818C" w14:textId="77777777" w:rsidR="00863675" w:rsidRPr="00AA5861" w:rsidRDefault="00863675" w:rsidP="00943A54">
            <w:pPr>
              <w:pStyle w:val="Tabletext0"/>
              <w:keepNext/>
              <w:jc w:val="center"/>
            </w:pPr>
            <w:proofErr w:type="spellStart"/>
            <w:r w:rsidRPr="00AA5861">
              <w:t>Soliris</w:t>
            </w:r>
            <w:proofErr w:type="spellEnd"/>
          </w:p>
          <w:p w14:paraId="58A9CC73" w14:textId="77777777" w:rsidR="00863675" w:rsidRPr="00AA5861" w:rsidRDefault="00863675" w:rsidP="00943A54">
            <w:pPr>
              <w:pStyle w:val="Tabletext0"/>
              <w:keepNext/>
              <w:jc w:val="center"/>
              <w:rPr>
                <w:rFonts w:ascii="Times" w:hAnsi="Times"/>
              </w:rPr>
            </w:pPr>
          </w:p>
        </w:tc>
      </w:tr>
      <w:tr w:rsidR="00863675" w:rsidRPr="00244FB2" w14:paraId="56B760EB" w14:textId="77777777" w:rsidTr="00815538">
        <w:trPr>
          <w:trHeight w:val="107"/>
        </w:trPr>
        <w:tc>
          <w:tcPr>
            <w:tcW w:w="9072" w:type="dxa"/>
            <w:gridSpan w:val="8"/>
            <w:tcBorders>
              <w:top w:val="single" w:sz="4" w:space="0" w:color="auto"/>
              <w:left w:val="nil"/>
              <w:bottom w:val="single" w:sz="4" w:space="0" w:color="auto"/>
              <w:right w:val="nil"/>
            </w:tcBorders>
          </w:tcPr>
          <w:p w14:paraId="1A735CAF" w14:textId="77777777" w:rsidR="00863675" w:rsidRPr="00AA5861" w:rsidRDefault="00863675" w:rsidP="00943A54">
            <w:pPr>
              <w:pStyle w:val="Tabletext0"/>
              <w:keepNext/>
            </w:pPr>
            <w:r w:rsidRPr="00AA5861">
              <w:t>Continuing treatment</w:t>
            </w:r>
          </w:p>
        </w:tc>
      </w:tr>
      <w:tr w:rsidR="004770F4" w:rsidRPr="00244FB2" w14:paraId="6C8D734F" w14:textId="77777777" w:rsidTr="004770F4">
        <w:trPr>
          <w:trHeight w:val="383"/>
        </w:trPr>
        <w:tc>
          <w:tcPr>
            <w:tcW w:w="2312" w:type="dxa"/>
            <w:gridSpan w:val="2"/>
            <w:tcBorders>
              <w:top w:val="nil"/>
              <w:left w:val="nil"/>
              <w:bottom w:val="single" w:sz="4" w:space="0" w:color="auto"/>
              <w:right w:val="nil"/>
            </w:tcBorders>
          </w:tcPr>
          <w:p w14:paraId="540DEBD0" w14:textId="77777777" w:rsidR="00863675" w:rsidRPr="00244FB2" w:rsidRDefault="00863675" w:rsidP="00943A54">
            <w:pPr>
              <w:pStyle w:val="Tabletext0"/>
              <w:keepNext/>
            </w:pPr>
            <w:proofErr w:type="spellStart"/>
            <w:r w:rsidRPr="00244FB2">
              <w:t>Eculizumab</w:t>
            </w:r>
            <w:proofErr w:type="spellEnd"/>
            <w:r w:rsidRPr="00244FB2">
              <w:t>, 300 mg/30 mL injection, 30 mL vial</w:t>
            </w:r>
          </w:p>
          <w:p w14:paraId="351C7F9A" w14:textId="77777777" w:rsidR="00815538" w:rsidRPr="00244FB2" w:rsidRDefault="00815538" w:rsidP="00943A54">
            <w:pPr>
              <w:pStyle w:val="Tabletext0"/>
              <w:keepNext/>
            </w:pPr>
          </w:p>
        </w:tc>
        <w:tc>
          <w:tcPr>
            <w:tcW w:w="1078" w:type="dxa"/>
            <w:tcBorders>
              <w:top w:val="nil"/>
              <w:left w:val="nil"/>
              <w:bottom w:val="single" w:sz="4" w:space="0" w:color="auto"/>
              <w:right w:val="nil"/>
            </w:tcBorders>
            <w:vAlign w:val="center"/>
          </w:tcPr>
          <w:p w14:paraId="21580626" w14:textId="77777777" w:rsidR="00863675" w:rsidRPr="00244FB2" w:rsidRDefault="00863675" w:rsidP="00943A54">
            <w:pPr>
              <w:pStyle w:val="Tabletext0"/>
              <w:keepNext/>
              <w:jc w:val="center"/>
            </w:pPr>
            <w:r w:rsidRPr="00244FB2">
              <w:t>1</w:t>
            </w:r>
          </w:p>
        </w:tc>
        <w:tc>
          <w:tcPr>
            <w:tcW w:w="1005" w:type="dxa"/>
            <w:tcBorders>
              <w:top w:val="nil"/>
              <w:left w:val="nil"/>
              <w:bottom w:val="single" w:sz="4" w:space="0" w:color="auto"/>
              <w:right w:val="nil"/>
            </w:tcBorders>
            <w:vAlign w:val="center"/>
          </w:tcPr>
          <w:p w14:paraId="48F0930E" w14:textId="77777777" w:rsidR="00863675" w:rsidRPr="00244FB2" w:rsidRDefault="00863675" w:rsidP="00943A54">
            <w:pPr>
              <w:pStyle w:val="Tabletext0"/>
              <w:keepNext/>
              <w:jc w:val="center"/>
            </w:pPr>
            <w:r w:rsidRPr="00244FB2">
              <w:t>1</w:t>
            </w:r>
          </w:p>
        </w:tc>
        <w:tc>
          <w:tcPr>
            <w:tcW w:w="0" w:type="auto"/>
            <w:tcBorders>
              <w:top w:val="nil"/>
              <w:left w:val="nil"/>
              <w:bottom w:val="single" w:sz="4" w:space="0" w:color="auto"/>
              <w:right w:val="nil"/>
            </w:tcBorders>
            <w:vAlign w:val="center"/>
          </w:tcPr>
          <w:p w14:paraId="50466337" w14:textId="77777777" w:rsidR="00863675" w:rsidRPr="00244FB2" w:rsidRDefault="00863675" w:rsidP="00943A54">
            <w:pPr>
              <w:pStyle w:val="Tabletext0"/>
              <w:keepNext/>
              <w:jc w:val="center"/>
            </w:pPr>
            <w:r w:rsidRPr="00244FB2">
              <w:t>5</w:t>
            </w:r>
          </w:p>
        </w:tc>
        <w:tc>
          <w:tcPr>
            <w:tcW w:w="0" w:type="auto"/>
            <w:tcBorders>
              <w:top w:val="nil"/>
              <w:left w:val="nil"/>
              <w:bottom w:val="single" w:sz="4" w:space="0" w:color="auto"/>
              <w:right w:val="nil"/>
            </w:tcBorders>
          </w:tcPr>
          <w:p w14:paraId="37591ABC" w14:textId="77777777" w:rsidR="00863675" w:rsidRPr="00AA5861" w:rsidRDefault="00863675" w:rsidP="00943A54">
            <w:pPr>
              <w:pStyle w:val="Tabletext0"/>
              <w:keepNext/>
              <w:jc w:val="center"/>
            </w:pPr>
            <w:r w:rsidRPr="00AA5861">
              <w:t>Public:</w:t>
            </w:r>
          </w:p>
          <w:p w14:paraId="70636B65" w14:textId="77777777" w:rsidR="00863675" w:rsidRPr="00AA5861" w:rsidRDefault="00863675" w:rsidP="00943A54">
            <w:pPr>
              <w:pStyle w:val="Tabletext0"/>
              <w:keepNext/>
              <w:jc w:val="center"/>
            </w:pPr>
            <w:r w:rsidRPr="00AA5861">
              <w:t>$</w:t>
            </w:r>
            <w:r w:rsidR="005266FC">
              <w:rPr>
                <w:noProof/>
                <w:color w:val="000000"/>
                <w:highlight w:val="black"/>
              </w:rPr>
              <w:t>'''''''''''''''''''</w:t>
            </w:r>
          </w:p>
        </w:tc>
        <w:tc>
          <w:tcPr>
            <w:tcW w:w="0" w:type="auto"/>
            <w:tcBorders>
              <w:top w:val="nil"/>
              <w:left w:val="nil"/>
              <w:bottom w:val="single" w:sz="4" w:space="0" w:color="auto"/>
              <w:right w:val="nil"/>
            </w:tcBorders>
          </w:tcPr>
          <w:p w14:paraId="311BFE60" w14:textId="77777777" w:rsidR="00863675" w:rsidRPr="00AA5861" w:rsidRDefault="00863675" w:rsidP="00943A54">
            <w:pPr>
              <w:pStyle w:val="Tabletext0"/>
              <w:keepNext/>
              <w:jc w:val="center"/>
            </w:pPr>
            <w:r w:rsidRPr="00AA5861">
              <w:t>Private:</w:t>
            </w:r>
          </w:p>
          <w:p w14:paraId="19FA65F2" w14:textId="77777777" w:rsidR="00863675" w:rsidRPr="00AA5861" w:rsidRDefault="00863675" w:rsidP="00943A54">
            <w:pPr>
              <w:pStyle w:val="Tabletext0"/>
              <w:keepNext/>
              <w:jc w:val="center"/>
            </w:pPr>
            <w:r w:rsidRPr="00AA5861">
              <w:t>$</w:t>
            </w:r>
            <w:r w:rsidR="005266FC">
              <w:rPr>
                <w:noProof/>
                <w:color w:val="000000"/>
                <w:highlight w:val="black"/>
              </w:rPr>
              <w:t>''''''''''''''''''''''</w:t>
            </w:r>
          </w:p>
        </w:tc>
        <w:tc>
          <w:tcPr>
            <w:tcW w:w="1985" w:type="dxa"/>
            <w:tcBorders>
              <w:left w:val="nil"/>
              <w:right w:val="nil"/>
            </w:tcBorders>
          </w:tcPr>
          <w:p w14:paraId="3625A9D0" w14:textId="77777777" w:rsidR="00863675" w:rsidRPr="00AA5861" w:rsidRDefault="00863675" w:rsidP="00943A54">
            <w:pPr>
              <w:pStyle w:val="Tabletext0"/>
              <w:keepNext/>
              <w:jc w:val="center"/>
            </w:pPr>
            <w:proofErr w:type="spellStart"/>
            <w:r w:rsidRPr="00AA5861">
              <w:t>Soliris</w:t>
            </w:r>
            <w:proofErr w:type="spellEnd"/>
          </w:p>
          <w:p w14:paraId="5DF0738B" w14:textId="77777777" w:rsidR="00863675" w:rsidRPr="00AA5861" w:rsidRDefault="00863675" w:rsidP="00943A54">
            <w:pPr>
              <w:pStyle w:val="Tabletext0"/>
              <w:keepNext/>
              <w:jc w:val="center"/>
            </w:pPr>
          </w:p>
        </w:tc>
      </w:tr>
      <w:tr w:rsidR="00863675" w:rsidRPr="00244FB2" w14:paraId="5D7420AD" w14:textId="77777777" w:rsidTr="00477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35"/>
        </w:trPr>
        <w:tc>
          <w:tcPr>
            <w:tcW w:w="1701" w:type="dxa"/>
            <w:tcBorders>
              <w:top w:val="single" w:sz="4" w:space="0" w:color="auto"/>
              <w:left w:val="single" w:sz="4" w:space="0" w:color="auto"/>
              <w:bottom w:val="single" w:sz="4" w:space="0" w:color="auto"/>
              <w:right w:val="single" w:sz="4" w:space="0" w:color="auto"/>
            </w:tcBorders>
          </w:tcPr>
          <w:p w14:paraId="098D9969" w14:textId="77777777" w:rsidR="00863675" w:rsidRPr="00244FB2" w:rsidRDefault="00863675" w:rsidP="00D15288">
            <w:pPr>
              <w:pStyle w:val="PBACTableText"/>
              <w:keepLines/>
              <w:widowControl w:val="0"/>
              <w:spacing w:before="0" w:after="0"/>
              <w:rPr>
                <w:b/>
                <w:bCs/>
                <w:lang w:eastAsia="en-AU"/>
              </w:rPr>
            </w:pPr>
            <w:proofErr w:type="spellStart"/>
            <w:r w:rsidRPr="00244FB2">
              <w:rPr>
                <w:b/>
                <w:bCs/>
                <w:lang w:eastAsia="en-AU"/>
              </w:rPr>
              <w:t>Episodicity</w:t>
            </w:r>
            <w:proofErr w:type="spellEnd"/>
            <w:r w:rsidRPr="00244FB2">
              <w:rPr>
                <w:b/>
                <w:bCs/>
                <w:lang w:eastAsia="en-AU"/>
              </w:rPr>
              <w:t>:</w:t>
            </w:r>
          </w:p>
        </w:tc>
        <w:tc>
          <w:tcPr>
            <w:tcW w:w="7371" w:type="dxa"/>
            <w:gridSpan w:val="7"/>
            <w:tcBorders>
              <w:top w:val="single" w:sz="4" w:space="0" w:color="auto"/>
              <w:left w:val="single" w:sz="4" w:space="0" w:color="auto"/>
              <w:bottom w:val="single" w:sz="4" w:space="0" w:color="auto"/>
              <w:right w:val="single" w:sz="4" w:space="0" w:color="auto"/>
            </w:tcBorders>
          </w:tcPr>
          <w:p w14:paraId="1843006D" w14:textId="77777777" w:rsidR="00863675" w:rsidRPr="00244FB2" w:rsidRDefault="00863675" w:rsidP="00D15288">
            <w:pPr>
              <w:pStyle w:val="PBACTableText"/>
              <w:keepLines/>
              <w:widowControl w:val="0"/>
              <w:spacing w:before="0" w:after="0"/>
              <w:rPr>
                <w:lang w:eastAsia="en-AU"/>
              </w:rPr>
            </w:pPr>
            <w:r w:rsidRPr="00244FB2">
              <w:rPr>
                <w:lang w:eastAsia="en-AU"/>
              </w:rPr>
              <w:t>Relapsing</w:t>
            </w:r>
          </w:p>
        </w:tc>
      </w:tr>
      <w:tr w:rsidR="00863675" w:rsidRPr="00244FB2" w14:paraId="3E17F0D8" w14:textId="77777777" w:rsidTr="00477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64"/>
        </w:trPr>
        <w:tc>
          <w:tcPr>
            <w:tcW w:w="1701" w:type="dxa"/>
            <w:tcBorders>
              <w:top w:val="single" w:sz="4" w:space="0" w:color="auto"/>
              <w:left w:val="single" w:sz="4" w:space="0" w:color="auto"/>
              <w:bottom w:val="single" w:sz="4" w:space="0" w:color="auto"/>
              <w:right w:val="single" w:sz="4" w:space="0" w:color="auto"/>
            </w:tcBorders>
          </w:tcPr>
          <w:p w14:paraId="4B1666D6" w14:textId="77777777" w:rsidR="00863675" w:rsidRPr="00244FB2" w:rsidRDefault="00863675" w:rsidP="00D15288">
            <w:pPr>
              <w:pStyle w:val="PBACTableText"/>
              <w:keepLines/>
              <w:widowControl w:val="0"/>
              <w:spacing w:before="0" w:after="0"/>
              <w:rPr>
                <w:b/>
                <w:bCs/>
                <w:lang w:eastAsia="en-AU"/>
              </w:rPr>
            </w:pPr>
            <w:r w:rsidRPr="00244FB2">
              <w:rPr>
                <w:b/>
                <w:bCs/>
                <w:lang w:eastAsia="en-AU"/>
              </w:rPr>
              <w:t>Condition:</w:t>
            </w:r>
          </w:p>
        </w:tc>
        <w:tc>
          <w:tcPr>
            <w:tcW w:w="7371" w:type="dxa"/>
            <w:gridSpan w:val="7"/>
            <w:tcBorders>
              <w:top w:val="single" w:sz="4" w:space="0" w:color="auto"/>
              <w:left w:val="single" w:sz="4" w:space="0" w:color="auto"/>
              <w:bottom w:val="single" w:sz="4" w:space="0" w:color="auto"/>
              <w:right w:val="single" w:sz="4" w:space="0" w:color="auto"/>
            </w:tcBorders>
          </w:tcPr>
          <w:p w14:paraId="3573FF5A" w14:textId="77777777" w:rsidR="00863675" w:rsidRPr="00244FB2" w:rsidRDefault="00863675" w:rsidP="00D15288">
            <w:pPr>
              <w:pStyle w:val="PBACTableText"/>
              <w:keepLines/>
              <w:widowControl w:val="0"/>
              <w:spacing w:before="0" w:after="0"/>
              <w:rPr>
                <w:lang w:eastAsia="en-AU"/>
              </w:rPr>
            </w:pPr>
            <w:proofErr w:type="spellStart"/>
            <w:r w:rsidRPr="00244FB2">
              <w:rPr>
                <w:lang w:eastAsia="en-AU"/>
              </w:rPr>
              <w:t>Neuromyelitis</w:t>
            </w:r>
            <w:proofErr w:type="spellEnd"/>
            <w:r w:rsidRPr="00244FB2">
              <w:rPr>
                <w:lang w:eastAsia="en-AU"/>
              </w:rPr>
              <w:t xml:space="preserve"> </w:t>
            </w:r>
            <w:proofErr w:type="spellStart"/>
            <w:r w:rsidRPr="00244FB2">
              <w:rPr>
                <w:lang w:eastAsia="en-AU"/>
              </w:rPr>
              <w:t>optica</w:t>
            </w:r>
            <w:proofErr w:type="spellEnd"/>
            <w:r w:rsidRPr="00244FB2">
              <w:rPr>
                <w:lang w:eastAsia="en-AU"/>
              </w:rPr>
              <w:t xml:space="preserve"> spectrum disorder (NMOSD)</w:t>
            </w:r>
          </w:p>
        </w:tc>
      </w:tr>
      <w:tr w:rsidR="00863675" w:rsidRPr="00244FB2" w14:paraId="60EECBC1" w14:textId="77777777" w:rsidTr="00477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
        </w:trPr>
        <w:tc>
          <w:tcPr>
            <w:tcW w:w="1701" w:type="dxa"/>
            <w:tcBorders>
              <w:top w:val="single" w:sz="4" w:space="0" w:color="auto"/>
              <w:left w:val="single" w:sz="4" w:space="0" w:color="auto"/>
              <w:bottom w:val="single" w:sz="4" w:space="0" w:color="auto"/>
              <w:right w:val="single" w:sz="4" w:space="0" w:color="auto"/>
            </w:tcBorders>
          </w:tcPr>
          <w:p w14:paraId="377F5D72" w14:textId="77777777" w:rsidR="00863675" w:rsidRPr="00244FB2" w:rsidRDefault="00863675" w:rsidP="00D15288">
            <w:pPr>
              <w:pStyle w:val="PBACTableText"/>
              <w:keepLines/>
              <w:widowControl w:val="0"/>
              <w:spacing w:before="0" w:after="0"/>
              <w:rPr>
                <w:b/>
                <w:bCs/>
                <w:lang w:eastAsia="en-AU"/>
              </w:rPr>
            </w:pPr>
            <w:r w:rsidRPr="00244FB2">
              <w:rPr>
                <w:b/>
                <w:bCs/>
                <w:lang w:eastAsia="en-AU"/>
              </w:rPr>
              <w:t>PBS Indication:</w:t>
            </w:r>
          </w:p>
        </w:tc>
        <w:tc>
          <w:tcPr>
            <w:tcW w:w="7371" w:type="dxa"/>
            <w:gridSpan w:val="7"/>
            <w:tcBorders>
              <w:top w:val="single" w:sz="4" w:space="0" w:color="auto"/>
              <w:left w:val="single" w:sz="4" w:space="0" w:color="auto"/>
              <w:bottom w:val="single" w:sz="4" w:space="0" w:color="auto"/>
              <w:right w:val="single" w:sz="4" w:space="0" w:color="auto"/>
            </w:tcBorders>
          </w:tcPr>
          <w:p w14:paraId="2C30A320" w14:textId="77777777" w:rsidR="00863675" w:rsidRPr="00244FB2" w:rsidRDefault="00863675" w:rsidP="00D15288">
            <w:pPr>
              <w:pStyle w:val="PBACTableText"/>
              <w:keepLines/>
              <w:widowControl w:val="0"/>
              <w:spacing w:before="0" w:after="0"/>
              <w:rPr>
                <w:lang w:eastAsia="en-AU"/>
              </w:rPr>
            </w:pPr>
            <w:r w:rsidRPr="00244FB2">
              <w:rPr>
                <w:lang w:eastAsia="en-AU"/>
              </w:rPr>
              <w:t xml:space="preserve">Patients with NMOSD </w:t>
            </w:r>
          </w:p>
        </w:tc>
      </w:tr>
      <w:tr w:rsidR="00863675" w:rsidRPr="00244FB2" w14:paraId="41AFA4B5" w14:textId="77777777" w:rsidTr="00477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
        </w:trPr>
        <w:tc>
          <w:tcPr>
            <w:tcW w:w="1701" w:type="dxa"/>
            <w:tcBorders>
              <w:top w:val="single" w:sz="4" w:space="0" w:color="auto"/>
              <w:left w:val="single" w:sz="4" w:space="0" w:color="auto"/>
              <w:bottom w:val="single" w:sz="4" w:space="0" w:color="auto"/>
              <w:right w:val="single" w:sz="4" w:space="0" w:color="auto"/>
            </w:tcBorders>
          </w:tcPr>
          <w:p w14:paraId="440B8FBE" w14:textId="77777777" w:rsidR="00863675" w:rsidRPr="00244FB2" w:rsidRDefault="004770F4" w:rsidP="00D15288">
            <w:pPr>
              <w:pStyle w:val="PBACTableText"/>
              <w:keepLines/>
              <w:widowControl w:val="0"/>
              <w:spacing w:before="0" w:after="0"/>
              <w:rPr>
                <w:b/>
                <w:bCs/>
                <w:lang w:eastAsia="en-AU"/>
              </w:rPr>
            </w:pPr>
            <w:r w:rsidRPr="00244FB2">
              <w:rPr>
                <w:b/>
                <w:bCs/>
                <w:lang w:eastAsia="en-AU"/>
              </w:rPr>
              <w:t xml:space="preserve">Treatment </w:t>
            </w:r>
            <w:r w:rsidR="00863675" w:rsidRPr="00244FB2">
              <w:rPr>
                <w:b/>
                <w:bCs/>
                <w:lang w:eastAsia="en-AU"/>
              </w:rPr>
              <w:t>phase:</w:t>
            </w:r>
          </w:p>
        </w:tc>
        <w:tc>
          <w:tcPr>
            <w:tcW w:w="7371" w:type="dxa"/>
            <w:gridSpan w:val="7"/>
            <w:tcBorders>
              <w:top w:val="single" w:sz="4" w:space="0" w:color="auto"/>
              <w:left w:val="single" w:sz="4" w:space="0" w:color="auto"/>
              <w:bottom w:val="single" w:sz="4" w:space="0" w:color="auto"/>
              <w:right w:val="single" w:sz="4" w:space="0" w:color="auto"/>
            </w:tcBorders>
          </w:tcPr>
          <w:p w14:paraId="0A9643B1" w14:textId="77777777" w:rsidR="00863675" w:rsidRPr="00244FB2" w:rsidRDefault="00863675" w:rsidP="00D15288">
            <w:pPr>
              <w:pStyle w:val="PBACTableText"/>
              <w:keepLines/>
              <w:widowControl w:val="0"/>
              <w:spacing w:before="0" w:after="0"/>
              <w:rPr>
                <w:lang w:eastAsia="en-AU"/>
              </w:rPr>
            </w:pPr>
            <w:r w:rsidRPr="00244FB2">
              <w:rPr>
                <w:lang w:eastAsia="en-AU"/>
              </w:rPr>
              <w:t>Initial</w:t>
            </w:r>
          </w:p>
        </w:tc>
      </w:tr>
      <w:tr w:rsidR="00863675" w:rsidRPr="00244FB2" w14:paraId="5D06DD6C" w14:textId="77777777" w:rsidTr="00831D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194"/>
        </w:trPr>
        <w:tc>
          <w:tcPr>
            <w:tcW w:w="1701" w:type="dxa"/>
            <w:tcBorders>
              <w:top w:val="single" w:sz="4" w:space="0" w:color="auto"/>
              <w:left w:val="single" w:sz="4" w:space="0" w:color="auto"/>
              <w:bottom w:val="single" w:sz="4" w:space="0" w:color="auto"/>
              <w:right w:val="single" w:sz="4" w:space="0" w:color="auto"/>
            </w:tcBorders>
          </w:tcPr>
          <w:p w14:paraId="0A4E9191" w14:textId="77777777" w:rsidR="00863675" w:rsidRPr="00244FB2" w:rsidRDefault="00863675" w:rsidP="00815538">
            <w:pPr>
              <w:pStyle w:val="PBACTableText"/>
              <w:keepLines/>
              <w:widowControl w:val="0"/>
              <w:spacing w:before="0" w:after="0"/>
              <w:rPr>
                <w:b/>
                <w:bCs/>
                <w:lang w:eastAsia="en-AU"/>
              </w:rPr>
            </w:pPr>
            <w:r w:rsidRPr="00244FB2">
              <w:rPr>
                <w:b/>
                <w:bCs/>
                <w:lang w:eastAsia="en-AU"/>
              </w:rPr>
              <w:t>Restriction</w:t>
            </w:r>
            <w:r w:rsidR="003A1589" w:rsidRPr="00244FB2">
              <w:rPr>
                <w:b/>
                <w:bCs/>
                <w:lang w:eastAsia="en-AU"/>
              </w:rPr>
              <w:t xml:space="preserve"> type</w:t>
            </w:r>
            <w:r w:rsidRPr="00244FB2">
              <w:rPr>
                <w:b/>
                <w:bCs/>
                <w:lang w:eastAsia="en-AU"/>
              </w:rPr>
              <w:t>:</w:t>
            </w:r>
          </w:p>
        </w:tc>
        <w:tc>
          <w:tcPr>
            <w:tcW w:w="7371" w:type="dxa"/>
            <w:gridSpan w:val="7"/>
            <w:tcBorders>
              <w:top w:val="single" w:sz="4" w:space="0" w:color="auto"/>
              <w:left w:val="single" w:sz="4" w:space="0" w:color="auto"/>
              <w:bottom w:val="single" w:sz="4" w:space="0" w:color="auto"/>
              <w:right w:val="single" w:sz="4" w:space="0" w:color="auto"/>
            </w:tcBorders>
          </w:tcPr>
          <w:p w14:paraId="03332B0A" w14:textId="77777777" w:rsidR="00863675" w:rsidRPr="00244FB2" w:rsidRDefault="00863675" w:rsidP="00D15288">
            <w:pPr>
              <w:pStyle w:val="PBACTableText"/>
              <w:keepLines/>
              <w:widowControl w:val="0"/>
              <w:spacing w:before="0" w:after="0"/>
              <w:rPr>
                <w:lang w:eastAsia="en-AU"/>
              </w:rPr>
            </w:pPr>
            <w:r w:rsidRPr="00244FB2">
              <w:rPr>
                <w:lang w:eastAsia="en-AU"/>
              </w:rPr>
              <w:fldChar w:fldCharType="begin">
                <w:ffData>
                  <w:name w:val=""/>
                  <w:enabled/>
                  <w:calcOnExit w:val="0"/>
                  <w:checkBox>
                    <w:sizeAuto/>
                    <w:default w:val="1"/>
                  </w:checkBox>
                </w:ffData>
              </w:fldChar>
            </w:r>
            <w:r w:rsidRPr="00244FB2">
              <w:rPr>
                <w:lang w:eastAsia="en-AU"/>
              </w:rPr>
              <w:instrText xml:space="preserve"> FORMCHECKBOX </w:instrText>
            </w:r>
            <w:r w:rsidR="000F5242">
              <w:rPr>
                <w:lang w:eastAsia="en-AU"/>
              </w:rPr>
            </w:r>
            <w:r w:rsidR="000F5242">
              <w:rPr>
                <w:lang w:eastAsia="en-AU"/>
              </w:rPr>
              <w:fldChar w:fldCharType="separate"/>
            </w:r>
            <w:r w:rsidRPr="00244FB2">
              <w:rPr>
                <w:lang w:eastAsia="en-AU"/>
              </w:rPr>
              <w:fldChar w:fldCharType="end"/>
            </w:r>
            <w:r w:rsidRPr="00244FB2">
              <w:rPr>
                <w:lang w:eastAsia="en-AU"/>
              </w:rPr>
              <w:t>Authority Required - In Writing</w:t>
            </w:r>
          </w:p>
        </w:tc>
      </w:tr>
      <w:tr w:rsidR="00863675" w:rsidRPr="00244FB2" w14:paraId="6DFEFD22" w14:textId="77777777" w:rsidTr="00477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
        </w:trPr>
        <w:tc>
          <w:tcPr>
            <w:tcW w:w="1701" w:type="dxa"/>
            <w:tcBorders>
              <w:top w:val="single" w:sz="4" w:space="0" w:color="auto"/>
              <w:left w:val="single" w:sz="4" w:space="0" w:color="auto"/>
              <w:bottom w:val="single" w:sz="4" w:space="0" w:color="auto"/>
              <w:right w:val="single" w:sz="4" w:space="0" w:color="auto"/>
            </w:tcBorders>
          </w:tcPr>
          <w:p w14:paraId="6B695A51" w14:textId="77777777" w:rsidR="00863675" w:rsidRPr="00244FB2" w:rsidRDefault="00863675" w:rsidP="00D15288">
            <w:pPr>
              <w:pStyle w:val="PBACTableText"/>
              <w:keepLines/>
              <w:widowControl w:val="0"/>
              <w:spacing w:before="0" w:after="0"/>
              <w:rPr>
                <w:b/>
                <w:bCs/>
                <w:lang w:eastAsia="en-AU"/>
              </w:rPr>
            </w:pPr>
            <w:r w:rsidRPr="00244FB2">
              <w:rPr>
                <w:b/>
                <w:bCs/>
                <w:lang w:eastAsia="en-AU"/>
              </w:rPr>
              <w:t>Treatment criteria:</w:t>
            </w:r>
          </w:p>
        </w:tc>
        <w:tc>
          <w:tcPr>
            <w:tcW w:w="7371" w:type="dxa"/>
            <w:gridSpan w:val="7"/>
            <w:tcBorders>
              <w:top w:val="single" w:sz="4" w:space="0" w:color="auto"/>
              <w:left w:val="single" w:sz="4" w:space="0" w:color="auto"/>
              <w:bottom w:val="single" w:sz="4" w:space="0" w:color="auto"/>
              <w:right w:val="single" w:sz="4" w:space="0" w:color="auto"/>
            </w:tcBorders>
          </w:tcPr>
          <w:p w14:paraId="43BABD5A" w14:textId="77777777" w:rsidR="00863675" w:rsidRPr="00244FB2" w:rsidRDefault="00863675" w:rsidP="00D15288">
            <w:pPr>
              <w:pStyle w:val="PBACTableText"/>
              <w:keepLines/>
              <w:widowControl w:val="0"/>
              <w:spacing w:before="0" w:after="0"/>
              <w:rPr>
                <w:lang w:eastAsia="en-AU"/>
              </w:rPr>
            </w:pPr>
            <w:r w:rsidRPr="00244FB2">
              <w:rPr>
                <w:lang w:eastAsia="en-AU"/>
              </w:rPr>
              <w:t xml:space="preserve">Patient must be treated by a neurologist </w:t>
            </w:r>
          </w:p>
        </w:tc>
      </w:tr>
      <w:tr w:rsidR="00863675" w:rsidRPr="00244FB2" w14:paraId="1C64F486" w14:textId="77777777" w:rsidTr="00477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14:paraId="6A420094" w14:textId="77777777" w:rsidR="00863675" w:rsidRPr="00244FB2" w:rsidRDefault="00863675" w:rsidP="00D15288">
            <w:pPr>
              <w:pStyle w:val="PBACTableText"/>
              <w:keepLines/>
              <w:widowControl w:val="0"/>
              <w:spacing w:before="0" w:after="0"/>
              <w:rPr>
                <w:b/>
                <w:bCs/>
                <w:lang w:eastAsia="en-AU"/>
              </w:rPr>
            </w:pPr>
            <w:r w:rsidRPr="00244FB2">
              <w:rPr>
                <w:b/>
                <w:bCs/>
                <w:lang w:eastAsia="en-AU"/>
              </w:rPr>
              <w:t>Clinical criteria:</w:t>
            </w:r>
          </w:p>
        </w:tc>
        <w:tc>
          <w:tcPr>
            <w:tcW w:w="7371" w:type="dxa"/>
            <w:gridSpan w:val="7"/>
            <w:tcBorders>
              <w:top w:val="single" w:sz="4" w:space="0" w:color="auto"/>
              <w:left w:val="single" w:sz="4" w:space="0" w:color="auto"/>
              <w:bottom w:val="single" w:sz="4" w:space="0" w:color="auto"/>
              <w:right w:val="single" w:sz="4" w:space="0" w:color="auto"/>
            </w:tcBorders>
          </w:tcPr>
          <w:p w14:paraId="011D1818" w14:textId="77777777" w:rsidR="00863675" w:rsidRPr="00244FB2" w:rsidRDefault="00863675" w:rsidP="00D15288">
            <w:pPr>
              <w:pStyle w:val="PBACTableText"/>
              <w:keepLines/>
              <w:widowControl w:val="0"/>
              <w:spacing w:before="0" w:after="0"/>
              <w:rPr>
                <w:lang w:eastAsia="en-AU"/>
              </w:rPr>
            </w:pPr>
            <w:r w:rsidRPr="00244FB2">
              <w:rPr>
                <w:lang w:eastAsia="en-AU"/>
              </w:rPr>
              <w:t xml:space="preserve">Patient must have a confirmed diagnosis of NMOSD with AQP4-IgG </w:t>
            </w:r>
          </w:p>
          <w:p w14:paraId="5431FA87" w14:textId="77777777" w:rsidR="00863675" w:rsidRPr="00244FB2" w:rsidRDefault="00863675" w:rsidP="00D15288">
            <w:pPr>
              <w:pStyle w:val="PBACTableText"/>
              <w:keepLines/>
              <w:widowControl w:val="0"/>
              <w:spacing w:before="0" w:after="0"/>
              <w:rPr>
                <w:lang w:eastAsia="en-AU"/>
              </w:rPr>
            </w:pPr>
            <w:r w:rsidRPr="00244FB2">
              <w:rPr>
                <w:lang w:eastAsia="en-AU"/>
              </w:rPr>
              <w:t xml:space="preserve">Patient must have had at least one relapse in the last 12 months with at least two relapses in the last 24 months; or have experienced immunosuppression associated serious adverse event that requires treatment discontinuation and when switching to another immunosuppression therapy is clinically inappropriate </w:t>
            </w:r>
          </w:p>
        </w:tc>
      </w:tr>
      <w:tr w:rsidR="00863675" w:rsidRPr="00244FB2" w14:paraId="5D229C30" w14:textId="77777777" w:rsidTr="00477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0"/>
        </w:trPr>
        <w:tc>
          <w:tcPr>
            <w:tcW w:w="1701" w:type="dxa"/>
            <w:tcBorders>
              <w:top w:val="single" w:sz="4" w:space="0" w:color="auto"/>
              <w:left w:val="single" w:sz="4" w:space="0" w:color="auto"/>
              <w:bottom w:val="single" w:sz="4" w:space="0" w:color="auto"/>
              <w:right w:val="single" w:sz="4" w:space="0" w:color="auto"/>
            </w:tcBorders>
          </w:tcPr>
          <w:p w14:paraId="680571B3" w14:textId="77777777" w:rsidR="00863675" w:rsidRPr="00244FB2" w:rsidRDefault="00863675" w:rsidP="00D15288">
            <w:pPr>
              <w:pStyle w:val="PBACTableText"/>
              <w:keepLines/>
              <w:widowControl w:val="0"/>
              <w:spacing w:before="0" w:after="0"/>
              <w:rPr>
                <w:b/>
                <w:bCs/>
                <w:lang w:eastAsia="en-AU"/>
              </w:rPr>
            </w:pPr>
            <w:r w:rsidRPr="00244FB2">
              <w:rPr>
                <w:b/>
                <w:bCs/>
                <w:lang w:eastAsia="en-AU"/>
              </w:rPr>
              <w:t>Definitions</w:t>
            </w:r>
          </w:p>
        </w:tc>
        <w:tc>
          <w:tcPr>
            <w:tcW w:w="7371" w:type="dxa"/>
            <w:gridSpan w:val="7"/>
            <w:tcBorders>
              <w:top w:val="single" w:sz="4" w:space="0" w:color="auto"/>
              <w:left w:val="single" w:sz="4" w:space="0" w:color="auto"/>
              <w:bottom w:val="single" w:sz="4" w:space="0" w:color="auto"/>
              <w:right w:val="single" w:sz="4" w:space="0" w:color="auto"/>
            </w:tcBorders>
          </w:tcPr>
          <w:p w14:paraId="33E7C2A2" w14:textId="77777777" w:rsidR="00863675" w:rsidRPr="00244FB2" w:rsidRDefault="00863675" w:rsidP="00831D1E">
            <w:pPr>
              <w:pStyle w:val="PBACTableText"/>
              <w:keepLines/>
              <w:widowControl w:val="0"/>
              <w:spacing w:before="0" w:after="0"/>
              <w:rPr>
                <w:rFonts w:cs="Arial"/>
                <w:lang w:eastAsia="en-AU"/>
              </w:rPr>
            </w:pPr>
            <w:r w:rsidRPr="00244FB2">
              <w:rPr>
                <w:rFonts w:cs="Arial"/>
                <w:lang w:eastAsia="en-AU"/>
              </w:rPr>
              <w:t>NMOSD with AQP4-IgG defined as</w:t>
            </w:r>
            <w:r w:rsidR="00831D1E">
              <w:rPr>
                <w:rFonts w:cs="Arial"/>
                <w:lang w:eastAsia="en-AU"/>
              </w:rPr>
              <w:t xml:space="preserve"> </w:t>
            </w:r>
            <w:r w:rsidRPr="00244FB2">
              <w:rPr>
                <w:rFonts w:cs="Arial"/>
                <w:lang w:eastAsia="en-AU"/>
              </w:rPr>
              <w:t xml:space="preserve">positive test for AQP4-IgG using best available detection method </w:t>
            </w:r>
          </w:p>
        </w:tc>
      </w:tr>
    </w:tbl>
    <w:p w14:paraId="13CEC764" w14:textId="77777777" w:rsidR="00B60939" w:rsidRPr="00244FB2" w:rsidRDefault="00B60939" w:rsidP="004B1CB4"/>
    <w:p w14:paraId="7EC3F4A8" w14:textId="77777777" w:rsidR="00B15846" w:rsidRPr="00244FB2" w:rsidRDefault="00B15846" w:rsidP="00863675">
      <w:pPr>
        <w:pStyle w:val="ExecSumBodyText"/>
      </w:pPr>
      <w:proofErr w:type="spellStart"/>
      <w:r w:rsidRPr="00244FB2">
        <w:t>Eculizumab</w:t>
      </w:r>
      <w:proofErr w:type="spellEnd"/>
      <w:r w:rsidRPr="00244FB2">
        <w:t xml:space="preserve"> is only being considered for outpatient use. </w:t>
      </w:r>
      <w:r w:rsidR="00BD7934" w:rsidRPr="00244FB2">
        <w:t>The PBAC advised that t</w:t>
      </w:r>
      <w:r w:rsidRPr="00244FB2">
        <w:t>reatment of admitted patients (public and private) in public hospitals remains the responsibility of the states.</w:t>
      </w:r>
    </w:p>
    <w:p w14:paraId="3E8DCD1D" w14:textId="77777777" w:rsidR="007D16FD" w:rsidRPr="005D691E" w:rsidRDefault="007D16FD" w:rsidP="007D16FD">
      <w:pPr>
        <w:pStyle w:val="ExecSumBodyText"/>
      </w:pPr>
      <w:r w:rsidRPr="005D691E">
        <w:t xml:space="preserve">The proposed price </w:t>
      </w:r>
      <w:r w:rsidR="0058557A" w:rsidRPr="005D691E">
        <w:t xml:space="preserve">per vial </w:t>
      </w:r>
      <w:r w:rsidRPr="005D691E">
        <w:t xml:space="preserve">is consistent with its other </w:t>
      </w:r>
      <w:r w:rsidR="00AA5861" w:rsidRPr="005D691E">
        <w:t xml:space="preserve">PBS </w:t>
      </w:r>
      <w:r w:rsidRPr="005D691E">
        <w:t>subsidised indications.</w:t>
      </w:r>
    </w:p>
    <w:p w14:paraId="6102A394" w14:textId="77777777" w:rsidR="00863675" w:rsidRPr="00244FB2" w:rsidRDefault="00863675" w:rsidP="00863675">
      <w:pPr>
        <w:pStyle w:val="ExecSumBodyText"/>
      </w:pPr>
      <w:r w:rsidRPr="00244FB2">
        <w:lastRenderedPageBreak/>
        <w:t xml:space="preserve">Based on the recommended dosing regimen the initial treatment script should include 12 vials (3 x 300 mg vial per week for 4 weeks) and the continuing script should include 8 vials (4 x 300 mg vials per fortnight) with up to 5 repeats. </w:t>
      </w:r>
    </w:p>
    <w:p w14:paraId="3D4A60FF" w14:textId="77777777" w:rsidR="00863675" w:rsidRPr="00244FB2" w:rsidRDefault="00863675" w:rsidP="00472B94">
      <w:pPr>
        <w:pStyle w:val="ExecSumBodyText"/>
      </w:pPr>
      <w:r w:rsidRPr="00244FB2">
        <w:t xml:space="preserve">The submission </w:t>
      </w:r>
      <w:r w:rsidR="003A1589" w:rsidRPr="00244FB2">
        <w:t xml:space="preserve">did </w:t>
      </w:r>
      <w:r w:rsidRPr="00244FB2">
        <w:t xml:space="preserve">not </w:t>
      </w:r>
      <w:r w:rsidR="003A1589" w:rsidRPr="00244FB2">
        <w:t>propose a separate listing to facilitate</w:t>
      </w:r>
      <w:r w:rsidRPr="00244FB2">
        <w:t xml:space="preserve"> supplemental dosing of </w:t>
      </w:r>
      <w:proofErr w:type="spellStart"/>
      <w:r w:rsidRPr="00244FB2">
        <w:t>eculizumab</w:t>
      </w:r>
      <w:proofErr w:type="spellEnd"/>
      <w:r w:rsidRPr="00244FB2">
        <w:t xml:space="preserve"> in patients undergoing plasma exchange</w:t>
      </w:r>
      <w:r w:rsidR="007D16FD" w:rsidRPr="00244FB2">
        <w:t xml:space="preserve"> (which is used as an acute treatment for relapse in NMOSD).</w:t>
      </w:r>
      <w:r w:rsidR="00472B94" w:rsidRPr="00244FB2">
        <w:t xml:space="preserve"> </w:t>
      </w:r>
      <w:r w:rsidR="00BA2244" w:rsidRPr="00244FB2">
        <w:t xml:space="preserve">The </w:t>
      </w:r>
      <w:r w:rsidR="00831D1E">
        <w:t>ESC considered that the</w:t>
      </w:r>
      <w:r w:rsidR="00BA2244" w:rsidRPr="00244FB2">
        <w:t xml:space="preserve"> </w:t>
      </w:r>
      <w:r w:rsidR="003A1589" w:rsidRPr="00244FB2">
        <w:t xml:space="preserve">absence of a separate, supplemental dosing listing from the proposed PBS-listing </w:t>
      </w:r>
      <w:r w:rsidR="00BA2244" w:rsidRPr="00244FB2">
        <w:t>was reasonable</w:t>
      </w:r>
      <w:r w:rsidR="00A9167A" w:rsidRPr="00244FB2">
        <w:t>, noting</w:t>
      </w:r>
      <w:r w:rsidR="00CA2C26" w:rsidRPr="00244FB2">
        <w:t xml:space="preserve"> that </w:t>
      </w:r>
      <w:r w:rsidR="00A91A7B" w:rsidRPr="00244FB2">
        <w:t xml:space="preserve">such use would likely occur in admitted patients in public hospitals and </w:t>
      </w:r>
      <w:r w:rsidR="00CA2C26" w:rsidRPr="00244FB2">
        <w:t xml:space="preserve">thus </w:t>
      </w:r>
      <w:r w:rsidR="00A91A7B" w:rsidRPr="00244FB2">
        <w:t>not be subsidised by the PBS</w:t>
      </w:r>
      <w:r w:rsidR="00BA2244" w:rsidRPr="00244FB2">
        <w:t>.</w:t>
      </w:r>
    </w:p>
    <w:p w14:paraId="6977F69E" w14:textId="77777777" w:rsidR="00863675" w:rsidRPr="00244FB2" w:rsidRDefault="00863675" w:rsidP="007D16FD">
      <w:pPr>
        <w:pStyle w:val="ExecSumBodyText"/>
      </w:pPr>
      <w:r w:rsidRPr="00244FB2">
        <w:t xml:space="preserve">The requested restriction did not include any age limit while the TGA indication is limited to adult patients as there are no clinical data on the efficacy and safety of </w:t>
      </w:r>
      <w:proofErr w:type="spellStart"/>
      <w:r w:rsidRPr="00244FB2">
        <w:t>eculizumab</w:t>
      </w:r>
      <w:proofErr w:type="spellEnd"/>
      <w:r w:rsidRPr="00244FB2">
        <w:t xml:space="preserve"> in paediatric patients. There is currently an ongoing study of weight-based </w:t>
      </w:r>
      <w:proofErr w:type="spellStart"/>
      <w:r w:rsidRPr="00244FB2">
        <w:t>eculizumab</w:t>
      </w:r>
      <w:proofErr w:type="spellEnd"/>
      <w:r w:rsidRPr="00244FB2">
        <w:t xml:space="preserve"> dosing in paediatric patients with NMOSD due for completion in November 2021 (ECU-NMO-303). </w:t>
      </w:r>
    </w:p>
    <w:p w14:paraId="3A3CFF63" w14:textId="77777777" w:rsidR="00863675" w:rsidRPr="00244FB2" w:rsidRDefault="00863675" w:rsidP="00863675">
      <w:pPr>
        <w:pStyle w:val="ExecSumBodyText"/>
      </w:pPr>
      <w:r w:rsidRPr="00244FB2">
        <w:t xml:space="preserve">The current TGA indication covers a broad population of adult patients with AQP4 positive NMOSD while the requested restriction narrows eligibility to two subgroups: </w:t>
      </w:r>
    </w:p>
    <w:p w14:paraId="511E59B2" w14:textId="77777777" w:rsidR="00863675" w:rsidRPr="00244FB2" w:rsidRDefault="00863675" w:rsidP="00617FDF">
      <w:pPr>
        <w:pStyle w:val="ExecSumBodyText"/>
        <w:numPr>
          <w:ilvl w:val="0"/>
          <w:numId w:val="6"/>
        </w:numPr>
        <w:ind w:left="1077" w:hanging="357"/>
      </w:pPr>
      <w:r w:rsidRPr="00244FB2">
        <w:t xml:space="preserve">Patients with frequent relapses: defined as 2 relapses in the previous 2 years with at least one relapse in the last 12 months. This is a broader </w:t>
      </w:r>
      <w:r w:rsidR="0025489F" w:rsidRPr="00244FB2">
        <w:t xml:space="preserve">inclusion </w:t>
      </w:r>
      <w:r w:rsidRPr="00244FB2">
        <w:t xml:space="preserve">criterion than used in the key clinical trial, which included patients with 2 relapses in the previous year or 3 relapses in the previous 2 years with at least one relapse in the last 12 months. However, the submission </w:t>
      </w:r>
      <w:r w:rsidR="0025489F" w:rsidRPr="00244FB2">
        <w:t xml:space="preserve">reasoned </w:t>
      </w:r>
      <w:r w:rsidRPr="00244FB2">
        <w:t xml:space="preserve">that the trial population was comparable to the proposed PBS population based on the reported historical annualised relapse rate of 1.99 in the previous 24 months. This </w:t>
      </w:r>
      <w:r w:rsidR="0025489F" w:rsidRPr="00244FB2">
        <w:t xml:space="preserve">reasoning </w:t>
      </w:r>
      <w:r w:rsidRPr="00244FB2">
        <w:t>appeared to be based on a misinterpretation of annualised relapse rates with trial participants averaging approximately 2 relapses per year</w:t>
      </w:r>
      <w:r w:rsidR="00E57B70" w:rsidRPr="00244FB2">
        <w:t>,</w:t>
      </w:r>
      <w:r w:rsidR="007D16FD" w:rsidRPr="00244FB2">
        <w:t xml:space="preserve"> not 2 relapses over 2 years</w:t>
      </w:r>
      <w:r w:rsidRPr="00244FB2">
        <w:t>. As a consequence, the PBS population is likely to include lower risk patients who may not achieve the same magnitude of benefit as the trial population</w:t>
      </w:r>
      <w:r w:rsidR="001713EA" w:rsidRPr="00244FB2">
        <w:t>; or</w:t>
      </w:r>
      <w:r w:rsidRPr="00244FB2">
        <w:t xml:space="preserve"> </w:t>
      </w:r>
    </w:p>
    <w:p w14:paraId="1463EE9D" w14:textId="77777777" w:rsidR="00863675" w:rsidRPr="00244FB2" w:rsidRDefault="00863675" w:rsidP="00617FDF">
      <w:pPr>
        <w:pStyle w:val="ExecSumBodyText"/>
        <w:numPr>
          <w:ilvl w:val="0"/>
          <w:numId w:val="6"/>
        </w:numPr>
        <w:ind w:left="1077" w:hanging="357"/>
      </w:pPr>
      <w:r w:rsidRPr="00244FB2">
        <w:t xml:space="preserve">Patients with a prior immunosuppressive event: defined as a serious adverse event that requires cessation of immunosuppressive treatment. Patients in this subgroup did not need to meet any relapse criteria. This was inconsistent with the clinical trial </w:t>
      </w:r>
      <w:r w:rsidR="0025489F" w:rsidRPr="00244FB2">
        <w:t xml:space="preserve">inclusion criteria </w:t>
      </w:r>
      <w:r w:rsidRPr="00244FB2">
        <w:t xml:space="preserve">which required all patients to have frequent relapses regardless of prior treatment history. Additionally, the submission </w:t>
      </w:r>
      <w:r w:rsidR="002C643A" w:rsidRPr="00244FB2">
        <w:t xml:space="preserve">did </w:t>
      </w:r>
      <w:r w:rsidRPr="00244FB2">
        <w:t xml:space="preserve">not present an economic analysis of the cost-effectiveness of </w:t>
      </w:r>
      <w:proofErr w:type="spellStart"/>
      <w:r w:rsidRPr="00244FB2">
        <w:t>eculizumab</w:t>
      </w:r>
      <w:proofErr w:type="spellEnd"/>
      <w:r w:rsidRPr="00244FB2">
        <w:t xml:space="preserve"> in this population</w:t>
      </w:r>
      <w:r w:rsidR="007D16FD" w:rsidRPr="00244FB2">
        <w:t xml:space="preserve"> (estimated</w:t>
      </w:r>
      <w:r w:rsidR="001B3603" w:rsidRPr="00244FB2">
        <w:t xml:space="preserve"> in the submission</w:t>
      </w:r>
      <w:r w:rsidR="007D16FD" w:rsidRPr="00244FB2">
        <w:t xml:space="preserve"> as </w:t>
      </w:r>
      <w:r w:rsidR="007D16FD" w:rsidRPr="00157776">
        <w:t>approximately 10%</w:t>
      </w:r>
      <w:r w:rsidR="007D16FD" w:rsidRPr="00244FB2">
        <w:t xml:space="preserve"> of the Australian NMOSD population)</w:t>
      </w:r>
      <w:r w:rsidRPr="00244FB2">
        <w:t>.</w:t>
      </w:r>
    </w:p>
    <w:p w14:paraId="58C5B48E" w14:textId="77777777" w:rsidR="00863675" w:rsidRPr="008059C3" w:rsidRDefault="00863675" w:rsidP="00863675">
      <w:pPr>
        <w:pStyle w:val="ExecSumBodyText"/>
      </w:pPr>
      <w:r w:rsidRPr="008059C3">
        <w:t xml:space="preserve">The requested restriction did not </w:t>
      </w:r>
      <w:r w:rsidR="0025489F" w:rsidRPr="008059C3">
        <w:t xml:space="preserve">stipulate failure with at least one prior therapy </w:t>
      </w:r>
      <w:r w:rsidRPr="008059C3">
        <w:t xml:space="preserve">which is inconsistent with the proposed place in therapy as a second-line treatment. </w:t>
      </w:r>
      <w:r w:rsidR="00BD7934" w:rsidRPr="008059C3">
        <w:t>The PBAC considered that i</w:t>
      </w:r>
      <w:r w:rsidRPr="008059C3">
        <w:t xml:space="preserve">t may be appropriate to include a criterion limiting treatment to patients who have failed first-line agents, particularly given the substantial price differential between first-line therapies and </w:t>
      </w:r>
      <w:proofErr w:type="spellStart"/>
      <w:r w:rsidRPr="008059C3">
        <w:t>eculizumab</w:t>
      </w:r>
      <w:proofErr w:type="spellEnd"/>
      <w:r w:rsidR="00244FB2" w:rsidRPr="008059C3">
        <w:t xml:space="preserve">. </w:t>
      </w:r>
    </w:p>
    <w:p w14:paraId="33AC9C47" w14:textId="77777777" w:rsidR="00863675" w:rsidRPr="00244FB2" w:rsidRDefault="00863675" w:rsidP="00863675">
      <w:pPr>
        <w:pStyle w:val="ExecSumBodyText"/>
      </w:pPr>
      <w:r w:rsidRPr="00244FB2">
        <w:lastRenderedPageBreak/>
        <w:t>The requested restriction did not include any criteria regarding disability</w:t>
      </w:r>
      <w:r w:rsidR="00244FB2">
        <w:t xml:space="preserve"> </w:t>
      </w:r>
      <w:r w:rsidR="00A74724" w:rsidRPr="00244FB2">
        <w:t>impairment</w:t>
      </w:r>
      <w:r w:rsidRPr="00244FB2">
        <w:t xml:space="preserve">. This was inconsistent with the available clinical evidence which was limited to patients with an </w:t>
      </w:r>
      <w:r w:rsidR="00C67CF3" w:rsidRPr="00244FB2">
        <w:t>Expanded Disability Status Scale (</w:t>
      </w:r>
      <w:r w:rsidRPr="00244FB2">
        <w:t>EDSS</w:t>
      </w:r>
      <w:r w:rsidR="00C67CF3" w:rsidRPr="00244FB2">
        <w:t>) score</w:t>
      </w:r>
      <w:r w:rsidRPr="00244FB2">
        <w:t xml:space="preserve"> &lt; 7 (covering patients from fully ambulatory to wheelchair bound). The risk benefit profile of treating patients with more advanced disease is currently unknown.</w:t>
      </w:r>
    </w:p>
    <w:p w14:paraId="7FF430D2" w14:textId="77777777" w:rsidR="00831D1E" w:rsidRDefault="00FB2FB0" w:rsidP="001B72D4">
      <w:pPr>
        <w:pStyle w:val="ExecSumBodyText"/>
        <w:numPr>
          <w:ilvl w:val="0"/>
          <w:numId w:val="0"/>
        </w:numPr>
        <w:ind w:left="720"/>
      </w:pPr>
      <w:r w:rsidRPr="00244FB2">
        <w:t xml:space="preserve">The </w:t>
      </w:r>
      <w:r w:rsidR="00A74724" w:rsidRPr="00244FB2">
        <w:t xml:space="preserve">sponsor in its </w:t>
      </w:r>
      <w:r w:rsidR="007D3E50" w:rsidRPr="00244FB2">
        <w:t>Pre-Sub-Committee R</w:t>
      </w:r>
      <w:r w:rsidR="007F622B" w:rsidRPr="00244FB2">
        <w:t>esponse (</w:t>
      </w:r>
      <w:r w:rsidRPr="00244FB2">
        <w:t>PSCR</w:t>
      </w:r>
      <w:r w:rsidR="007F622B" w:rsidRPr="00244FB2">
        <w:t>)</w:t>
      </w:r>
      <w:r w:rsidRPr="00244FB2">
        <w:t xml:space="preserve"> agree</w:t>
      </w:r>
      <w:r w:rsidR="00705354" w:rsidRPr="00244FB2">
        <w:t>d</w:t>
      </w:r>
      <w:r w:rsidR="006533A0" w:rsidRPr="00244FB2">
        <w:t xml:space="preserve"> that the clinical criteria </w:t>
      </w:r>
      <w:r w:rsidR="00A74724" w:rsidRPr="00244FB2">
        <w:t xml:space="preserve">in the proposed PBS listing </w:t>
      </w:r>
      <w:r w:rsidR="006533A0" w:rsidRPr="00244FB2">
        <w:t>we</w:t>
      </w:r>
      <w:r w:rsidRPr="00244FB2">
        <w:t xml:space="preserve">re broader than the </w:t>
      </w:r>
      <w:r w:rsidR="00A74724" w:rsidRPr="00244FB2">
        <w:t xml:space="preserve">inclusion </w:t>
      </w:r>
      <w:r w:rsidRPr="00244FB2">
        <w:t>criteria of the PREVENT trial, but consider</w:t>
      </w:r>
      <w:r w:rsidR="00705354" w:rsidRPr="00244FB2">
        <w:t>ed</w:t>
      </w:r>
      <w:r w:rsidRPr="00244FB2">
        <w:t xml:space="preserve"> that there is a high unmet need for an effective and safe </w:t>
      </w:r>
      <w:r w:rsidR="00BA2244" w:rsidRPr="00244FB2">
        <w:t xml:space="preserve">relapse prevention </w:t>
      </w:r>
      <w:r w:rsidRPr="00244FB2">
        <w:t>treatment option as</w:t>
      </w:r>
      <w:r w:rsidR="00BA2244" w:rsidRPr="00244FB2">
        <w:t>,</w:t>
      </w:r>
      <w:r w:rsidRPr="00244FB2">
        <w:t xml:space="preserve"> unlike MS</w:t>
      </w:r>
      <w:r w:rsidR="00BA2244" w:rsidRPr="00244FB2">
        <w:t>,</w:t>
      </w:r>
      <w:r w:rsidRPr="00244FB2">
        <w:t xml:space="preserve"> progression does not occur without relapse.</w:t>
      </w:r>
      <w:r w:rsidR="00BA2244" w:rsidRPr="00244FB2">
        <w:t xml:space="preserve"> </w:t>
      </w:r>
      <w:r w:rsidR="00A74724" w:rsidRPr="00244FB2">
        <w:t>G</w:t>
      </w:r>
      <w:r w:rsidR="00AD5AD5" w:rsidRPr="00244FB2">
        <w:t xml:space="preserve">iven the high requested price of </w:t>
      </w:r>
      <w:proofErr w:type="spellStart"/>
      <w:r w:rsidR="00AD5AD5" w:rsidRPr="00244FB2">
        <w:t>eculizumab</w:t>
      </w:r>
      <w:proofErr w:type="spellEnd"/>
      <w:r w:rsidR="00AD5AD5" w:rsidRPr="00244FB2">
        <w:t xml:space="preserve"> and </w:t>
      </w:r>
      <w:r w:rsidR="00DC14F4" w:rsidRPr="00244FB2">
        <w:t xml:space="preserve">the </w:t>
      </w:r>
      <w:r w:rsidR="00AD5AD5" w:rsidRPr="00244FB2">
        <w:t xml:space="preserve">uncertain </w:t>
      </w:r>
      <w:r w:rsidR="001D42C7" w:rsidRPr="00244FB2">
        <w:t>magnitude of benefit in terms of disability progression</w:t>
      </w:r>
      <w:r w:rsidR="00AD5AD5" w:rsidRPr="00244FB2">
        <w:t>,</w:t>
      </w:r>
      <w:r w:rsidR="00705354" w:rsidRPr="00244FB2">
        <w:t xml:space="preserve"> the </w:t>
      </w:r>
      <w:r w:rsidR="00A74724" w:rsidRPr="00244FB2">
        <w:t xml:space="preserve">PBAC considered that the </w:t>
      </w:r>
      <w:r w:rsidR="00705354" w:rsidRPr="00244FB2">
        <w:t xml:space="preserve">proposed restriction should </w:t>
      </w:r>
      <w:r w:rsidR="005038B4" w:rsidRPr="00244FB2">
        <w:t>align with</w:t>
      </w:r>
      <w:r w:rsidR="00705354" w:rsidRPr="00244FB2">
        <w:t xml:space="preserve"> the </w:t>
      </w:r>
      <w:r w:rsidR="00A74724" w:rsidRPr="00244FB2">
        <w:t xml:space="preserve">inclusion </w:t>
      </w:r>
      <w:r w:rsidR="00705354" w:rsidRPr="00244FB2">
        <w:t>criteria of the PREVENT trial in terms of number of prior relapses and EDSS score.</w:t>
      </w:r>
      <w:r w:rsidR="00AD5AD5" w:rsidRPr="00244FB2">
        <w:t xml:space="preserve"> </w:t>
      </w:r>
      <w:r w:rsidR="00C13CF5" w:rsidRPr="00244FB2">
        <w:t xml:space="preserve">The </w:t>
      </w:r>
      <w:r w:rsidR="00A74724" w:rsidRPr="00244FB2">
        <w:t xml:space="preserve">sponsor in its </w:t>
      </w:r>
      <w:r w:rsidR="00C13CF5" w:rsidRPr="00244FB2">
        <w:t xml:space="preserve">pre-PBAC response stated that the eligibility criteria of the key PREVENT trial were narrower than the current treatment guidelines and that preventative treatment should be administered, even in the setting of prolonged clinical remission. </w:t>
      </w:r>
      <w:r w:rsidR="00A74724" w:rsidRPr="00244FB2">
        <w:t xml:space="preserve">Further, the sponsor contended </w:t>
      </w:r>
      <w:r w:rsidR="00C13CF5" w:rsidRPr="00244FB2">
        <w:t xml:space="preserve">that </w:t>
      </w:r>
      <w:r w:rsidR="00A74724" w:rsidRPr="00244FB2">
        <w:t xml:space="preserve">strictly </w:t>
      </w:r>
      <w:r w:rsidR="00C13CF5" w:rsidRPr="00244FB2">
        <w:t xml:space="preserve">aligning the PBS restriction with the </w:t>
      </w:r>
      <w:r w:rsidR="00A74724" w:rsidRPr="00244FB2">
        <w:t xml:space="preserve">inclusion </w:t>
      </w:r>
      <w:r w:rsidR="00C13CF5" w:rsidRPr="00244FB2">
        <w:t xml:space="preserve">criteria of the PREVENT trial would result in very few patients gaining access to </w:t>
      </w:r>
      <w:proofErr w:type="spellStart"/>
      <w:r w:rsidR="00C13CF5" w:rsidRPr="00244FB2">
        <w:t>eculizumab</w:t>
      </w:r>
      <w:proofErr w:type="spellEnd"/>
      <w:r w:rsidR="00C13CF5" w:rsidRPr="00244FB2">
        <w:t>. In order to reduce</w:t>
      </w:r>
      <w:r w:rsidR="00244FB2">
        <w:t xml:space="preserve"> </w:t>
      </w:r>
      <w:r w:rsidR="004770F4" w:rsidRPr="00244FB2">
        <w:t xml:space="preserve">negative financial impacts of using </w:t>
      </w:r>
      <w:proofErr w:type="spellStart"/>
      <w:r w:rsidR="00A74724" w:rsidRPr="00244FB2">
        <w:t>eculizumab</w:t>
      </w:r>
      <w:proofErr w:type="spellEnd"/>
      <w:r w:rsidR="00A74724" w:rsidRPr="00244FB2">
        <w:t xml:space="preserve"> outside of circumstances considered cost-effective</w:t>
      </w:r>
      <w:r w:rsidR="00C13CF5" w:rsidRPr="00244FB2">
        <w:t xml:space="preserve">, the </w:t>
      </w:r>
      <w:r w:rsidR="00A74724" w:rsidRPr="00244FB2">
        <w:t xml:space="preserve">sponsor </w:t>
      </w:r>
      <w:r w:rsidR="00C13CF5" w:rsidRPr="00244FB2">
        <w:t>proposed a risk-sharing arrangement</w:t>
      </w:r>
      <w:r w:rsidR="00BD7934" w:rsidRPr="00244FB2">
        <w:t xml:space="preserve"> (RSA)</w:t>
      </w:r>
      <w:r w:rsidR="00A74724" w:rsidRPr="00244FB2">
        <w:t xml:space="preserve"> in its pre-PBAC response</w:t>
      </w:r>
      <w:r w:rsidR="00C13CF5" w:rsidRPr="00244FB2">
        <w:t xml:space="preserve"> (see </w:t>
      </w:r>
      <w:r w:rsidR="00BD7934" w:rsidRPr="00A8618D">
        <w:t>par</w:t>
      </w:r>
      <w:r w:rsidR="00190417" w:rsidRPr="00A8618D">
        <w:t>agraph 6.59</w:t>
      </w:r>
      <w:r w:rsidR="00C13CF5" w:rsidRPr="00244FB2">
        <w:t>).</w:t>
      </w:r>
    </w:p>
    <w:p w14:paraId="5601F11B" w14:textId="77777777" w:rsidR="001B72D4" w:rsidRPr="00244FB2" w:rsidRDefault="001B72D4" w:rsidP="001B72D4">
      <w:pPr>
        <w:pStyle w:val="ExecSumBodyText"/>
        <w:numPr>
          <w:ilvl w:val="0"/>
          <w:numId w:val="0"/>
        </w:numPr>
        <w:ind w:left="720"/>
      </w:pPr>
      <w:r w:rsidRPr="00244FB2">
        <w:rPr>
          <w:i/>
        </w:rPr>
        <w:t>For more detail on PBAC’s view, see section 7 PBAC outcome.</w:t>
      </w:r>
    </w:p>
    <w:p w14:paraId="238B8CBA" w14:textId="77777777" w:rsidR="00B50DB8" w:rsidRPr="00244FB2" w:rsidRDefault="00203181" w:rsidP="004E18E9">
      <w:pPr>
        <w:pStyle w:val="2-SectionHeading"/>
      </w:pPr>
      <w:bookmarkStart w:id="4" w:name="_Toc50974493"/>
      <w:r w:rsidRPr="00244FB2">
        <w:t xml:space="preserve">Population and </w:t>
      </w:r>
      <w:r w:rsidR="008E0D3C" w:rsidRPr="00244FB2">
        <w:t>d</w:t>
      </w:r>
      <w:r w:rsidRPr="00244FB2">
        <w:t>isease</w:t>
      </w:r>
      <w:bookmarkEnd w:id="4"/>
    </w:p>
    <w:p w14:paraId="3BA26EF9" w14:textId="77777777" w:rsidR="003C2917" w:rsidRPr="00244FB2" w:rsidRDefault="00985966" w:rsidP="00032D9C">
      <w:pPr>
        <w:pStyle w:val="ExecSumBodyText"/>
      </w:pPr>
      <w:r w:rsidRPr="00244FB2">
        <w:t>NMOSDs</w:t>
      </w:r>
      <w:r w:rsidR="00D44BF9" w:rsidRPr="00244FB2">
        <w:t xml:space="preserve"> are a collection of inflammatory disorders of the central nervous system that predominantly target the optic nerves and spinal cord and are associated with severe, immune-mediated demyelination and axonal damage. </w:t>
      </w:r>
      <w:r w:rsidR="003C2917" w:rsidRPr="00244FB2">
        <w:t>The worldwide prevalence of NMOSD ranges from approximately 0.5 to 4 patients per 100,000 population. However, these estimates are highly variable given observed racial associations (higher in African and Asian populations) and evolving diagnostic criteria.</w:t>
      </w:r>
    </w:p>
    <w:p w14:paraId="61881129" w14:textId="77777777" w:rsidR="00032D9C" w:rsidRPr="00244FB2" w:rsidRDefault="00032D9C" w:rsidP="00032D9C">
      <w:pPr>
        <w:pStyle w:val="ExecSumBodyText"/>
      </w:pPr>
      <w:r w:rsidRPr="00244FB2">
        <w:t>NMOSD was previously considered a variant of relapsing-remitting multiple sclerosis (RRMS) due to its similar clinical presentations but is now generally recognised as a separate clinical entity.</w:t>
      </w:r>
      <w:r w:rsidR="003C2917" w:rsidRPr="00244FB2">
        <w:t xml:space="preserve"> Key differences between NMOSD and RRMS include the presence of AQP4 antibodies (observed in most NMOSD patients but not RRMS patients), the risk of converting to a secondary progressive disease course (rare in NMOSD but common in RRMS patients) and the efficacy of immunomodulatory treatments (many treatments used for RRMS appear to be non-effective or harmful in NMOSD).</w:t>
      </w:r>
    </w:p>
    <w:p w14:paraId="3C072F68" w14:textId="77777777" w:rsidR="00D8219C" w:rsidRPr="00244FB2" w:rsidRDefault="00D8219C" w:rsidP="00D8219C">
      <w:pPr>
        <w:pStyle w:val="ExecSumBodyText"/>
      </w:pPr>
      <w:r w:rsidRPr="00244FB2">
        <w:lastRenderedPageBreak/>
        <w:t>Patients with NMOSD who are AQP4 positive represent the largest subgroup of patients with NMOSD (70-90% of cases). This subgroup is characterised</w:t>
      </w:r>
      <w:r w:rsidR="00806AE2" w:rsidRPr="00244FB2">
        <w:t xml:space="preserve"> by a</w:t>
      </w:r>
      <w:r w:rsidRPr="00244FB2">
        <w:t xml:space="preserve"> high female to male ratio (up to 9:1) and a mean age at onset of approximately 40 years.</w:t>
      </w:r>
    </w:p>
    <w:p w14:paraId="7AB276A1" w14:textId="77777777" w:rsidR="00D44BF9" w:rsidRPr="00244FB2" w:rsidRDefault="00D44BF9" w:rsidP="00D8219C">
      <w:pPr>
        <w:pStyle w:val="ExecSumBodyText"/>
        <w:rPr>
          <w:color w:val="0066FF"/>
        </w:rPr>
      </w:pPr>
      <w:r w:rsidRPr="00244FB2">
        <w:t>Patients with NMOSD typically have a disease course characterised by acute clinical attacks (relapses) followed by partial/full recovery and periods of clinical stability (remissions). Relapses are unpredictable with respect to timing, frequency and severity and incomplete recovery can result in the accumulation of disability. Monophasic disease (single event) and progressive disease courses have been also been observed in some patients but these forms of the disease appear to be less common. The symptoms associated with relapse vary based on the location of the attack and can include visual loss/blindness, loss of colour vision, pain with eye movement, central scotoma, bilateral motor weakness, loss of sensation, paraesthesia, tonic spasms, neuropathic pain, bladder/bowel dysfunction, nausea, vomiting, vertigo, respiratory failure and prolonged hiccoughs.</w:t>
      </w:r>
    </w:p>
    <w:p w14:paraId="2B7DF421" w14:textId="77777777" w:rsidR="003C2917" w:rsidRPr="00244FB2" w:rsidRDefault="003C2917" w:rsidP="00D44BF9">
      <w:pPr>
        <w:pStyle w:val="ExecSumBodyText"/>
      </w:pPr>
      <w:r w:rsidRPr="00244FB2">
        <w:t>Relapses may be managed in the community setting or require hospitalisation depending o</w:t>
      </w:r>
      <w:r w:rsidR="00107BF8">
        <w:t>n</w:t>
      </w:r>
      <w:r w:rsidRPr="00244FB2">
        <w:t xml:space="preserve"> the severity of relapse (approximately </w:t>
      </w:r>
      <w:r w:rsidR="00D8219C" w:rsidRPr="00244FB2">
        <w:t>50% of relapses required hospitalisation in the key clinical trial)</w:t>
      </w:r>
      <w:r w:rsidRPr="00244FB2">
        <w:t>. Acute management typically involves the use of high dose corticosteroids (oral or intravenous) with more severe or treatment-resistant relapses treated with plasma exchange. Intravenous immunoglobulin (</w:t>
      </w:r>
      <w:proofErr w:type="spellStart"/>
      <w:r w:rsidRPr="00244FB2">
        <w:t>IVIg</w:t>
      </w:r>
      <w:proofErr w:type="spellEnd"/>
      <w:r w:rsidRPr="00244FB2">
        <w:t>) may also be used in patients failing other therapies.</w:t>
      </w:r>
    </w:p>
    <w:p w14:paraId="1A0B505C" w14:textId="77777777" w:rsidR="00380AE9" w:rsidRPr="00244FB2" w:rsidRDefault="00D8219C" w:rsidP="00D8219C">
      <w:pPr>
        <w:pStyle w:val="ExecSumBodyText"/>
        <w:rPr>
          <w:iCs/>
          <w:color w:val="0066FF"/>
        </w:rPr>
      </w:pPr>
      <w:r w:rsidRPr="00244FB2">
        <w:t xml:space="preserve">The mortality associated with NMOSD has substantially decreased over time with the inclusion of less severe patients under the diagnostic umbrella of NMOSD and the use of immunosuppressive therapy and plasma exchange. </w:t>
      </w:r>
      <w:r w:rsidRPr="00244FB2">
        <w:rPr>
          <w:iCs/>
        </w:rPr>
        <w:t>The current mortality associated with NMOSD is unclear but appears to be low.</w:t>
      </w:r>
    </w:p>
    <w:p w14:paraId="3F16A001" w14:textId="77777777" w:rsidR="00D44BF9" w:rsidRPr="00244FB2" w:rsidRDefault="00D44BF9" w:rsidP="00D44BF9">
      <w:pPr>
        <w:pStyle w:val="ExecSumBodyText"/>
      </w:pPr>
      <w:proofErr w:type="spellStart"/>
      <w:r w:rsidRPr="00244FB2">
        <w:t>Eculizumab</w:t>
      </w:r>
      <w:proofErr w:type="spellEnd"/>
      <w:r w:rsidRPr="00244FB2">
        <w:t xml:space="preserve"> is a monoclonal antibody that binds to the C5 terminal complement protein and inhibits it cleavage into pro-inflammatory components (C5a and C5b). It is presumed that the therapeutic effects of </w:t>
      </w:r>
      <w:proofErr w:type="spellStart"/>
      <w:r w:rsidRPr="00244FB2">
        <w:t>eculizumab</w:t>
      </w:r>
      <w:proofErr w:type="spellEnd"/>
      <w:r w:rsidRPr="00244FB2">
        <w:t xml:space="preserve"> are due to a reduction in inflammation although the exact mechanism of action in NMOSD is currently unknown.</w:t>
      </w:r>
    </w:p>
    <w:p w14:paraId="6205243F" w14:textId="77777777" w:rsidR="00D44BF9" w:rsidRPr="00244FB2" w:rsidRDefault="00D44BF9" w:rsidP="00D44BF9">
      <w:pPr>
        <w:pStyle w:val="ExecSumBodyText"/>
      </w:pPr>
      <w:r w:rsidRPr="00244FB2">
        <w:t xml:space="preserve">The submission positioned </w:t>
      </w:r>
      <w:proofErr w:type="spellStart"/>
      <w:r w:rsidRPr="00244FB2">
        <w:t>eculizumab</w:t>
      </w:r>
      <w:proofErr w:type="spellEnd"/>
      <w:r w:rsidRPr="00244FB2">
        <w:t xml:space="preserve"> as a second-line preventative therapy in AQP4-positive NMOSD patients who experience frequent relapses despite best supportive care or who cannot use best supportive care due to a prior immunosuppressive event (e.g. malignancies, recurrent infections or hypogammaglobinaemia associated with immunosuppression). Best supportive care generally consists of low dose oral corticosteroids and/or other immunosuppressive agents (rituximab, azathioprine, </w:t>
      </w:r>
      <w:proofErr w:type="spellStart"/>
      <w:r w:rsidRPr="00244FB2">
        <w:t>mycophenolate</w:t>
      </w:r>
      <w:proofErr w:type="spellEnd"/>
      <w:r w:rsidRPr="00244FB2">
        <w:t xml:space="preserve"> </w:t>
      </w:r>
      <w:proofErr w:type="spellStart"/>
      <w:r w:rsidRPr="00244FB2">
        <w:t>mofetil</w:t>
      </w:r>
      <w:proofErr w:type="spellEnd"/>
      <w:r w:rsidRPr="00244FB2">
        <w:t xml:space="preserve">, methotrexate or </w:t>
      </w:r>
      <w:proofErr w:type="spellStart"/>
      <w:r w:rsidRPr="00244FB2">
        <w:t>mitoxantrone</w:t>
      </w:r>
      <w:proofErr w:type="spellEnd"/>
      <w:r w:rsidRPr="00244FB2">
        <w:t xml:space="preserve">). Local advice also indicated that some patients may also be managed with recurrent </w:t>
      </w:r>
      <w:proofErr w:type="spellStart"/>
      <w:r w:rsidRPr="00244FB2">
        <w:t>IVIg</w:t>
      </w:r>
      <w:proofErr w:type="spellEnd"/>
      <w:r w:rsidRPr="00244FB2">
        <w:t xml:space="preserve"> infusions.</w:t>
      </w:r>
    </w:p>
    <w:p w14:paraId="7A4C7593" w14:textId="77777777" w:rsidR="001B72D4" w:rsidRPr="00244FB2" w:rsidRDefault="001B72D4" w:rsidP="001B72D4">
      <w:pPr>
        <w:pStyle w:val="ExecSumBodyText"/>
        <w:numPr>
          <w:ilvl w:val="0"/>
          <w:numId w:val="0"/>
        </w:numPr>
        <w:ind w:left="720"/>
      </w:pPr>
      <w:r w:rsidRPr="00244FB2">
        <w:rPr>
          <w:i/>
        </w:rPr>
        <w:t>For more detail on PBAC’s view, see section 7 PBAC outcome.</w:t>
      </w:r>
    </w:p>
    <w:p w14:paraId="62478FCC" w14:textId="77777777" w:rsidR="00B50DB8" w:rsidRPr="00244FB2" w:rsidRDefault="00B50DB8" w:rsidP="004E18E9">
      <w:pPr>
        <w:pStyle w:val="2-SectionHeading"/>
      </w:pPr>
      <w:bookmarkStart w:id="5" w:name="_Toc50974494"/>
      <w:r w:rsidRPr="00244FB2">
        <w:lastRenderedPageBreak/>
        <w:t>Comparator</w:t>
      </w:r>
      <w:bookmarkEnd w:id="5"/>
    </w:p>
    <w:p w14:paraId="6E6467A3" w14:textId="77777777" w:rsidR="001E1C1E" w:rsidRPr="00244FB2" w:rsidRDefault="001E1C1E" w:rsidP="001E1C1E">
      <w:pPr>
        <w:pStyle w:val="ExecSumBodyText"/>
        <w:rPr>
          <w:snapToGrid/>
        </w:rPr>
      </w:pPr>
      <w:r w:rsidRPr="00244FB2">
        <w:rPr>
          <w:snapToGrid/>
        </w:rPr>
        <w:t xml:space="preserve">The submission nominated best supportive care as the main comparator. The main arguments provided in support of this nomination were that there are no other treatments with specific indications for NMOSD and access to off-label therapy is not universal in Australia. </w:t>
      </w:r>
    </w:p>
    <w:p w14:paraId="1CE8D2F3" w14:textId="77777777" w:rsidR="001E1C1E" w:rsidRPr="00244FB2" w:rsidRDefault="001E1C1E" w:rsidP="001E1C1E">
      <w:pPr>
        <w:pStyle w:val="ExecSumBodyText"/>
        <w:rPr>
          <w:snapToGrid/>
        </w:rPr>
      </w:pPr>
      <w:r w:rsidRPr="00244FB2">
        <w:rPr>
          <w:snapToGrid/>
        </w:rPr>
        <w:t xml:space="preserve">The majority of NMOSD therapies are available and subsidised under unrestricted listings on the PBS (corticosteroids, azathioprine, </w:t>
      </w:r>
      <w:proofErr w:type="spellStart"/>
      <w:r w:rsidRPr="00244FB2">
        <w:rPr>
          <w:snapToGrid/>
        </w:rPr>
        <w:t>mycophenolate</w:t>
      </w:r>
      <w:proofErr w:type="spellEnd"/>
      <w:r w:rsidRPr="00244FB2">
        <w:rPr>
          <w:snapToGrid/>
        </w:rPr>
        <w:t xml:space="preserve"> </w:t>
      </w:r>
      <w:proofErr w:type="spellStart"/>
      <w:r w:rsidRPr="00244FB2">
        <w:rPr>
          <w:snapToGrid/>
        </w:rPr>
        <w:t>mofetil</w:t>
      </w:r>
      <w:proofErr w:type="spellEnd"/>
      <w:r w:rsidRPr="00244FB2">
        <w:rPr>
          <w:snapToGrid/>
        </w:rPr>
        <w:t xml:space="preserve">, </w:t>
      </w:r>
      <w:proofErr w:type="gramStart"/>
      <w:r w:rsidRPr="00244FB2">
        <w:rPr>
          <w:snapToGrid/>
        </w:rPr>
        <w:t>methotrexate</w:t>
      </w:r>
      <w:proofErr w:type="gramEnd"/>
      <w:r w:rsidRPr="00244FB2">
        <w:rPr>
          <w:snapToGrid/>
        </w:rPr>
        <w:t xml:space="preserve">). Therefore, there should be no major limitations to the use of these drugs by specialists familiar with NMOSD. Rituximab does not have an unrestricted PBS listing but the submission noted that it is funded through some hospitals. Additionally, ongoing treatment with </w:t>
      </w:r>
      <w:proofErr w:type="spellStart"/>
      <w:r w:rsidRPr="00244FB2">
        <w:rPr>
          <w:snapToGrid/>
        </w:rPr>
        <w:t>IVIg</w:t>
      </w:r>
      <w:proofErr w:type="spellEnd"/>
      <w:r w:rsidRPr="00244FB2">
        <w:rPr>
          <w:snapToGrid/>
        </w:rPr>
        <w:t xml:space="preserve"> is also subsidised in Australia for the treatment of NMOSD under the National Blood Authority but the level of utilisation is currently unclear.</w:t>
      </w:r>
    </w:p>
    <w:p w14:paraId="2AF17C23" w14:textId="77777777" w:rsidR="001E1C1E" w:rsidRPr="00244FB2" w:rsidRDefault="001E1C1E" w:rsidP="001E1C1E">
      <w:pPr>
        <w:pStyle w:val="ExecSumBodyText"/>
        <w:rPr>
          <w:snapToGrid/>
        </w:rPr>
      </w:pPr>
      <w:r w:rsidRPr="00244FB2">
        <w:rPr>
          <w:snapToGrid/>
        </w:rPr>
        <w:t>Overall, the arguments presented in the submission were not well supported. Nevertheless, best support</w:t>
      </w:r>
      <w:r w:rsidR="00D642D7" w:rsidRPr="00244FB2">
        <w:rPr>
          <w:snapToGrid/>
        </w:rPr>
        <w:t>ive care may</w:t>
      </w:r>
      <w:r w:rsidRPr="00244FB2">
        <w:rPr>
          <w:snapToGrid/>
        </w:rPr>
        <w:t xml:space="preserve"> be a reasonable main comparator as </w:t>
      </w:r>
      <w:proofErr w:type="spellStart"/>
      <w:r w:rsidRPr="00244FB2">
        <w:rPr>
          <w:snapToGrid/>
        </w:rPr>
        <w:t>eculizumab</w:t>
      </w:r>
      <w:proofErr w:type="spellEnd"/>
      <w:r w:rsidRPr="00244FB2">
        <w:rPr>
          <w:snapToGrid/>
        </w:rPr>
        <w:t xml:space="preserve"> is primarily intended to be used in addition to existing immunosuppressive therapy, which potentially represents a new place in therapy.</w:t>
      </w:r>
    </w:p>
    <w:p w14:paraId="0D34059D" w14:textId="77777777" w:rsidR="001E1C1E" w:rsidRPr="00244FB2" w:rsidRDefault="001E1C1E" w:rsidP="001E1C1E">
      <w:pPr>
        <w:pStyle w:val="ExecSumBodyText"/>
        <w:rPr>
          <w:snapToGrid/>
        </w:rPr>
      </w:pPr>
      <w:r w:rsidRPr="00244FB2">
        <w:rPr>
          <w:snapToGrid/>
        </w:rPr>
        <w:t xml:space="preserve">However, specific immunosuppressive agents (such as azathioprine, </w:t>
      </w:r>
      <w:proofErr w:type="spellStart"/>
      <w:r w:rsidRPr="00244FB2">
        <w:rPr>
          <w:snapToGrid/>
        </w:rPr>
        <w:t>mycophenolate</w:t>
      </w:r>
      <w:proofErr w:type="spellEnd"/>
      <w:r w:rsidRPr="00244FB2">
        <w:rPr>
          <w:snapToGrid/>
        </w:rPr>
        <w:t xml:space="preserve"> </w:t>
      </w:r>
      <w:proofErr w:type="spellStart"/>
      <w:r w:rsidRPr="00244FB2">
        <w:rPr>
          <w:snapToGrid/>
        </w:rPr>
        <w:t>mofetil</w:t>
      </w:r>
      <w:proofErr w:type="spellEnd"/>
      <w:r w:rsidRPr="00244FB2">
        <w:rPr>
          <w:snapToGrid/>
        </w:rPr>
        <w:t xml:space="preserve"> and rituximab) may also be considered relevant comparators given the potential for </w:t>
      </w:r>
      <w:proofErr w:type="spellStart"/>
      <w:r w:rsidRPr="00244FB2">
        <w:rPr>
          <w:snapToGrid/>
        </w:rPr>
        <w:t>eculizumab</w:t>
      </w:r>
      <w:proofErr w:type="spellEnd"/>
      <w:r w:rsidRPr="00244FB2">
        <w:rPr>
          <w:snapToGrid/>
        </w:rPr>
        <w:t xml:space="preserve"> to displace these therapies over time due to concerns with long-term immunosuppression. Additionally, the submission argued that </w:t>
      </w:r>
      <w:proofErr w:type="spellStart"/>
      <w:r w:rsidRPr="00244FB2">
        <w:rPr>
          <w:snapToGrid/>
        </w:rPr>
        <w:t>eculizumab</w:t>
      </w:r>
      <w:proofErr w:type="spellEnd"/>
      <w:r w:rsidRPr="00244FB2">
        <w:rPr>
          <w:snapToGrid/>
        </w:rPr>
        <w:t xml:space="preserve"> would not be used in combination with rituximab due to reduced efficacy as a result of conflicting mechanisms of action. Therefore, </w:t>
      </w:r>
      <w:proofErr w:type="spellStart"/>
      <w:r w:rsidRPr="00244FB2">
        <w:rPr>
          <w:snapToGrid/>
        </w:rPr>
        <w:t>eculizumab</w:t>
      </w:r>
      <w:proofErr w:type="spellEnd"/>
      <w:r w:rsidRPr="00244FB2">
        <w:rPr>
          <w:snapToGrid/>
        </w:rPr>
        <w:t xml:space="preserve"> is likely to replace use of rituximab in clinical practice.</w:t>
      </w:r>
    </w:p>
    <w:p w14:paraId="1FC802AC" w14:textId="77777777" w:rsidR="00705354" w:rsidRPr="00244FB2" w:rsidRDefault="00705354" w:rsidP="001E1C1E">
      <w:pPr>
        <w:pStyle w:val="ExecSumBodyText"/>
        <w:rPr>
          <w:snapToGrid/>
        </w:rPr>
      </w:pPr>
      <w:r w:rsidRPr="00244FB2">
        <w:rPr>
          <w:snapToGrid/>
        </w:rPr>
        <w:t xml:space="preserve">The PSCR reiterated that rituximab was prohibited in the PREVENT trial due to the incompatibility between the mechanisms of action </w:t>
      </w:r>
      <w:r w:rsidR="005D5E9B" w:rsidRPr="00244FB2">
        <w:rPr>
          <w:snapToGrid/>
        </w:rPr>
        <w:t xml:space="preserve">of </w:t>
      </w:r>
      <w:proofErr w:type="spellStart"/>
      <w:r w:rsidR="005D5E9B" w:rsidRPr="00244FB2">
        <w:rPr>
          <w:snapToGrid/>
        </w:rPr>
        <w:t>eculizumab</w:t>
      </w:r>
      <w:proofErr w:type="spellEnd"/>
      <w:r w:rsidR="005D5E9B" w:rsidRPr="00244FB2">
        <w:rPr>
          <w:snapToGrid/>
        </w:rPr>
        <w:t xml:space="preserve"> and rituximab. In addition, the PSCR </w:t>
      </w:r>
      <w:r w:rsidRPr="00244FB2">
        <w:rPr>
          <w:snapToGrid/>
        </w:rPr>
        <w:t>stated that as rituximab is not TGA registered or PBS listed for the treatment of NMOSD, equity of access to rituximab is a key consideration</w:t>
      </w:r>
      <w:r w:rsidR="005D5E9B" w:rsidRPr="00244FB2">
        <w:rPr>
          <w:snapToGrid/>
        </w:rPr>
        <w:t>. The ESC noted that the majority of NMOSD patients would be treated at specialist centres</w:t>
      </w:r>
      <w:r w:rsidR="002C12EA" w:rsidRPr="00244FB2">
        <w:rPr>
          <w:snapToGrid/>
        </w:rPr>
        <w:t>,</w:t>
      </w:r>
      <w:r w:rsidR="005D5E9B" w:rsidRPr="00244FB2">
        <w:rPr>
          <w:snapToGrid/>
        </w:rPr>
        <w:t xml:space="preserve"> reducing the risk </w:t>
      </w:r>
      <w:r w:rsidR="00BA2244" w:rsidRPr="00244FB2">
        <w:rPr>
          <w:snapToGrid/>
        </w:rPr>
        <w:t xml:space="preserve">of </w:t>
      </w:r>
      <w:r w:rsidR="005D5E9B" w:rsidRPr="00244FB2">
        <w:rPr>
          <w:snapToGrid/>
        </w:rPr>
        <w:t>access</w:t>
      </w:r>
      <w:r w:rsidR="00BA2244" w:rsidRPr="00244FB2">
        <w:rPr>
          <w:snapToGrid/>
        </w:rPr>
        <w:t xml:space="preserve"> inequity</w:t>
      </w:r>
      <w:r w:rsidR="005D5E9B" w:rsidRPr="00244FB2">
        <w:rPr>
          <w:snapToGrid/>
        </w:rPr>
        <w:t>.</w:t>
      </w:r>
      <w:r w:rsidR="00747C59" w:rsidRPr="00244FB2">
        <w:rPr>
          <w:snapToGrid/>
        </w:rPr>
        <w:t xml:space="preserve"> The pre-PBAC response </w:t>
      </w:r>
      <w:r w:rsidR="00BD7934" w:rsidRPr="00244FB2">
        <w:rPr>
          <w:snapToGrid/>
        </w:rPr>
        <w:t xml:space="preserve">disagreed, </w:t>
      </w:r>
      <w:r w:rsidR="00747C59" w:rsidRPr="00244FB2">
        <w:rPr>
          <w:snapToGrid/>
        </w:rPr>
        <w:t>stat</w:t>
      </w:r>
      <w:r w:rsidR="00BD7934" w:rsidRPr="00244FB2">
        <w:rPr>
          <w:snapToGrid/>
        </w:rPr>
        <w:t>ing</w:t>
      </w:r>
      <w:r w:rsidR="00747C59" w:rsidRPr="00244FB2">
        <w:rPr>
          <w:snapToGrid/>
        </w:rPr>
        <w:t xml:space="preserve"> that patients are treated both in specialist centres and general and private neurology practices and</w:t>
      </w:r>
      <w:r w:rsidR="00BD7934" w:rsidRPr="00244FB2">
        <w:rPr>
          <w:snapToGrid/>
        </w:rPr>
        <w:t xml:space="preserve"> therefore, the</w:t>
      </w:r>
      <w:r w:rsidR="00747C59" w:rsidRPr="00244FB2">
        <w:rPr>
          <w:snapToGrid/>
        </w:rPr>
        <w:t xml:space="preserve"> risks of inequitable access to rituximab remain</w:t>
      </w:r>
      <w:r w:rsidR="00BD7934" w:rsidRPr="00244FB2">
        <w:rPr>
          <w:snapToGrid/>
        </w:rPr>
        <w:t>.</w:t>
      </w:r>
    </w:p>
    <w:p w14:paraId="571B4185" w14:textId="77777777" w:rsidR="001E1C1E" w:rsidRPr="00244FB2" w:rsidRDefault="001E1C1E" w:rsidP="00010E70">
      <w:pPr>
        <w:pStyle w:val="ExecSumBodyText"/>
        <w:rPr>
          <w:snapToGrid/>
        </w:rPr>
      </w:pPr>
      <w:r w:rsidRPr="00244FB2">
        <w:rPr>
          <w:snapToGrid/>
        </w:rPr>
        <w:t>During the evaluation, it was noted that two other therapies (</w:t>
      </w:r>
      <w:proofErr w:type="spellStart"/>
      <w:r w:rsidRPr="00244FB2">
        <w:rPr>
          <w:snapToGrid/>
        </w:rPr>
        <w:t>satralizumab</w:t>
      </w:r>
      <w:proofErr w:type="spellEnd"/>
      <w:r w:rsidRPr="00244FB2">
        <w:rPr>
          <w:snapToGrid/>
        </w:rPr>
        <w:t xml:space="preserve">, </w:t>
      </w:r>
      <w:proofErr w:type="spellStart"/>
      <w:r w:rsidRPr="00244FB2">
        <w:rPr>
          <w:snapToGrid/>
        </w:rPr>
        <w:t>inebilizumab</w:t>
      </w:r>
      <w:proofErr w:type="spellEnd"/>
      <w:r w:rsidRPr="00244FB2">
        <w:rPr>
          <w:snapToGrid/>
        </w:rPr>
        <w:t>) had recently received international approv</w:t>
      </w:r>
      <w:r w:rsidR="00A9167A" w:rsidRPr="00244FB2">
        <w:rPr>
          <w:snapToGrid/>
        </w:rPr>
        <w:t>als for the treatment of NMOSD.</w:t>
      </w:r>
    </w:p>
    <w:p w14:paraId="4BAD7EA1" w14:textId="77777777" w:rsidR="001B72D4" w:rsidRPr="00244FB2" w:rsidRDefault="001B72D4" w:rsidP="001B72D4">
      <w:pPr>
        <w:pStyle w:val="ExecSumBodyText"/>
        <w:numPr>
          <w:ilvl w:val="0"/>
          <w:numId w:val="0"/>
        </w:numPr>
        <w:ind w:left="720"/>
      </w:pPr>
      <w:r w:rsidRPr="00244FB2">
        <w:rPr>
          <w:i/>
        </w:rPr>
        <w:t>For more detail on PBAC’s view, see section 7 PBAC outcome.</w:t>
      </w:r>
    </w:p>
    <w:p w14:paraId="59DFD53B" w14:textId="77777777" w:rsidR="00223D5A" w:rsidRPr="00244FB2" w:rsidRDefault="00223D5A" w:rsidP="00223D5A">
      <w:pPr>
        <w:pStyle w:val="2-SectionHeading"/>
        <w:numPr>
          <w:ilvl w:val="0"/>
          <w:numId w:val="1"/>
        </w:numPr>
      </w:pPr>
      <w:bookmarkStart w:id="6" w:name="_Toc50974495"/>
      <w:bookmarkStart w:id="7" w:name="_Toc22897640"/>
      <w:r w:rsidRPr="00244FB2">
        <w:lastRenderedPageBreak/>
        <w:t>Consideration of the evidence</w:t>
      </w:r>
      <w:bookmarkEnd w:id="6"/>
    </w:p>
    <w:p w14:paraId="7B04241A" w14:textId="77777777" w:rsidR="001B72D4" w:rsidRPr="00244FB2" w:rsidRDefault="001B72D4" w:rsidP="00D771C2">
      <w:pPr>
        <w:pStyle w:val="3-SubsectionHeading"/>
        <w:rPr>
          <w:snapToGrid w:val="0"/>
        </w:rPr>
      </w:pPr>
      <w:bookmarkStart w:id="8" w:name="_Toc50974496"/>
      <w:r w:rsidRPr="00244FB2">
        <w:rPr>
          <w:snapToGrid w:val="0"/>
        </w:rPr>
        <w:t>Sponsor hearing</w:t>
      </w:r>
    </w:p>
    <w:p w14:paraId="68E9FA52" w14:textId="77777777" w:rsidR="001B72D4" w:rsidRPr="00244FB2" w:rsidRDefault="001B72D4" w:rsidP="001B72D4">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The sponsor requested a hearing for this item</w:t>
      </w:r>
      <w:r w:rsidR="00244FB2">
        <w:rPr>
          <w:rFonts w:asciiTheme="minorHAnsi" w:hAnsiTheme="minorHAnsi"/>
          <w:bCs/>
          <w:snapToGrid w:val="0"/>
        </w:rPr>
        <w:t xml:space="preserve">. </w:t>
      </w:r>
      <w:r w:rsidRPr="00244FB2">
        <w:rPr>
          <w:rFonts w:asciiTheme="minorHAnsi" w:hAnsiTheme="minorHAnsi"/>
          <w:bCs/>
          <w:snapToGrid w:val="0"/>
        </w:rPr>
        <w:t xml:space="preserve">The clinician discussed the </w:t>
      </w:r>
      <w:r w:rsidR="00BD7934" w:rsidRPr="00244FB2">
        <w:rPr>
          <w:rFonts w:asciiTheme="minorHAnsi" w:hAnsiTheme="minorHAnsi"/>
          <w:bCs/>
          <w:snapToGrid w:val="0"/>
        </w:rPr>
        <w:t>progressi</w:t>
      </w:r>
      <w:r w:rsidR="006B36B0" w:rsidRPr="00244FB2">
        <w:rPr>
          <w:rFonts w:asciiTheme="minorHAnsi" w:hAnsiTheme="minorHAnsi"/>
          <w:bCs/>
          <w:snapToGrid w:val="0"/>
        </w:rPr>
        <w:t>ve nature</w:t>
      </w:r>
      <w:r w:rsidR="00BD7934" w:rsidRPr="00244FB2">
        <w:rPr>
          <w:rFonts w:asciiTheme="minorHAnsi" w:hAnsiTheme="minorHAnsi"/>
          <w:bCs/>
          <w:snapToGrid w:val="0"/>
        </w:rPr>
        <w:t xml:space="preserve"> </w:t>
      </w:r>
      <w:r w:rsidRPr="00244FB2">
        <w:rPr>
          <w:rFonts w:asciiTheme="minorHAnsi" w:hAnsiTheme="minorHAnsi"/>
          <w:bCs/>
          <w:snapToGrid w:val="0"/>
        </w:rPr>
        <w:t xml:space="preserve">of </w:t>
      </w:r>
      <w:r w:rsidR="00BD7934" w:rsidRPr="00244FB2">
        <w:rPr>
          <w:rFonts w:asciiTheme="minorHAnsi" w:hAnsiTheme="minorHAnsi"/>
          <w:bCs/>
          <w:snapToGrid w:val="0"/>
        </w:rPr>
        <w:t>NMOSD</w:t>
      </w:r>
      <w:r w:rsidR="006B36B0" w:rsidRPr="00244FB2">
        <w:rPr>
          <w:rFonts w:asciiTheme="minorHAnsi" w:hAnsiTheme="minorHAnsi"/>
          <w:bCs/>
          <w:snapToGrid w:val="0"/>
        </w:rPr>
        <w:t xml:space="preserve"> (including that many patients do not recover from their first relapse) and the unpredictability of further attacks which means that patients remain on preventative therapies long-term and are at risk of long-term immunosuppression with existing therapies. He also outlined</w:t>
      </w:r>
      <w:r w:rsidRPr="00244FB2">
        <w:rPr>
          <w:rFonts w:asciiTheme="minorHAnsi" w:hAnsiTheme="minorHAnsi"/>
          <w:bCs/>
          <w:snapToGrid w:val="0"/>
        </w:rPr>
        <w:t xml:space="preserve"> </w:t>
      </w:r>
      <w:r w:rsidR="006B36B0" w:rsidRPr="00244FB2">
        <w:rPr>
          <w:rFonts w:asciiTheme="minorHAnsi" w:hAnsiTheme="minorHAnsi"/>
          <w:bCs/>
          <w:snapToGrid w:val="0"/>
        </w:rPr>
        <w:t>the high unmet need for effective subsidised therapies</w:t>
      </w:r>
      <w:r w:rsidRPr="00244FB2">
        <w:rPr>
          <w:rFonts w:asciiTheme="minorHAnsi" w:hAnsiTheme="minorHAnsi"/>
          <w:bCs/>
          <w:snapToGrid w:val="0"/>
        </w:rPr>
        <w:t xml:space="preserve">, and </w:t>
      </w:r>
      <w:r w:rsidR="003669A2" w:rsidRPr="00244FB2">
        <w:rPr>
          <w:rFonts w:asciiTheme="minorHAnsi" w:hAnsiTheme="minorHAnsi"/>
          <w:bCs/>
          <w:snapToGrid w:val="0"/>
        </w:rPr>
        <w:t xml:space="preserve">emphasised that relapse prevention is the main goal of therapy. </w:t>
      </w:r>
    </w:p>
    <w:p w14:paraId="733505CF" w14:textId="77777777" w:rsidR="001B72D4" w:rsidRPr="00244FB2" w:rsidRDefault="001B72D4" w:rsidP="00D771C2">
      <w:pPr>
        <w:pStyle w:val="3-SubsectionHeading"/>
        <w:rPr>
          <w:snapToGrid w:val="0"/>
        </w:rPr>
      </w:pPr>
      <w:r w:rsidRPr="00244FB2">
        <w:rPr>
          <w:snapToGrid w:val="0"/>
        </w:rPr>
        <w:t>Consumer comments</w:t>
      </w:r>
    </w:p>
    <w:p w14:paraId="542CD73A" w14:textId="77777777" w:rsidR="001B72D4" w:rsidRPr="00244FB2" w:rsidRDefault="001B72D4" w:rsidP="00F2032F">
      <w:pPr>
        <w:pStyle w:val="ExecSumBodyText"/>
      </w:pPr>
      <w:r w:rsidRPr="00244FB2">
        <w:t>The PBAC noted and welcomed the input from organisations (</w:t>
      </w:r>
      <w:r w:rsidR="00D771C2" w:rsidRPr="00244FB2">
        <w:t>3</w:t>
      </w:r>
      <w:r w:rsidRPr="00244FB2">
        <w:t xml:space="preserve">) via the Consumer Comments facility on the PBS website. The PBAC noted the advice received from </w:t>
      </w:r>
      <w:r w:rsidR="00D771C2" w:rsidRPr="00244FB2">
        <w:t xml:space="preserve">MS Neurology, Australian and New Zealand Association of Neurologists, and a joint submission from MS Australia and MS Research Australia, the Centre for Community-Driven Research </w:t>
      </w:r>
      <w:r w:rsidRPr="00244FB2">
        <w:t xml:space="preserve">clarifying the likely use of </w:t>
      </w:r>
      <w:proofErr w:type="spellStart"/>
      <w:r w:rsidR="00D771C2" w:rsidRPr="00244FB2">
        <w:t>eculizumab</w:t>
      </w:r>
      <w:proofErr w:type="spellEnd"/>
      <w:r w:rsidRPr="00244FB2">
        <w:t xml:space="preserve"> in clinical practice</w:t>
      </w:r>
      <w:r w:rsidR="00244FB2">
        <w:t xml:space="preserve">. </w:t>
      </w:r>
      <w:r w:rsidRPr="00244FB2">
        <w:t xml:space="preserve">The PBAC specifically noted the advice that the use of </w:t>
      </w:r>
      <w:proofErr w:type="spellStart"/>
      <w:r w:rsidR="00D771C2" w:rsidRPr="00244FB2">
        <w:t>eculizumab</w:t>
      </w:r>
      <w:proofErr w:type="spellEnd"/>
      <w:r w:rsidRPr="00244FB2">
        <w:t xml:space="preserve"> may </w:t>
      </w:r>
      <w:r w:rsidR="00D771C2" w:rsidRPr="00244FB2">
        <w:t xml:space="preserve">reduce the risk of relapse and that it has minimal side effects. </w:t>
      </w:r>
      <w:r w:rsidR="00D31F5A" w:rsidRPr="00244FB2">
        <w:t>The comments outlined the experience and expectations of individuals in the NMOSD community, including the hope that an effective treatment might prevent relapses and improve patients’ a</w:t>
      </w:r>
      <w:r w:rsidR="00D31F5A" w:rsidRPr="00244FB2">
        <w:rPr>
          <w:bCs/>
        </w:rPr>
        <w:t xml:space="preserve">bility to walk, </w:t>
      </w:r>
      <w:r w:rsidR="00BD1132" w:rsidRPr="00244FB2">
        <w:rPr>
          <w:bCs/>
        </w:rPr>
        <w:t xml:space="preserve">stamina, </w:t>
      </w:r>
      <w:r w:rsidR="00D31F5A" w:rsidRPr="00244FB2">
        <w:rPr>
          <w:bCs/>
        </w:rPr>
        <w:t>bladder function, ability to move without pain and help with the fatigue and sight.</w:t>
      </w:r>
      <w:r w:rsidR="00BD1132" w:rsidRPr="00244FB2">
        <w:rPr>
          <w:bCs/>
        </w:rPr>
        <w:t xml:space="preserve"> </w:t>
      </w:r>
    </w:p>
    <w:p w14:paraId="57499DD1" w14:textId="77777777" w:rsidR="00B60939" w:rsidRPr="00244FB2" w:rsidRDefault="00B60939" w:rsidP="002E4F02">
      <w:pPr>
        <w:pStyle w:val="3-SubsectionHeading"/>
      </w:pPr>
      <w:r w:rsidRPr="00244FB2">
        <w:t xml:space="preserve">Clinical </w:t>
      </w:r>
      <w:bookmarkEnd w:id="7"/>
      <w:r w:rsidR="00147CF0" w:rsidRPr="00244FB2">
        <w:t>studies</w:t>
      </w:r>
      <w:bookmarkEnd w:id="8"/>
    </w:p>
    <w:p w14:paraId="3E383B49" w14:textId="77777777" w:rsidR="00147CF0" w:rsidRPr="00244FB2" w:rsidRDefault="00147CF0" w:rsidP="00147CF0">
      <w:pPr>
        <w:pStyle w:val="ExecSumBodyText"/>
      </w:pPr>
      <w:r w:rsidRPr="00244FB2">
        <w:t xml:space="preserve">The submission was based on one head-to-head randomised trial comparing </w:t>
      </w:r>
      <w:proofErr w:type="spellStart"/>
      <w:r w:rsidRPr="00244FB2">
        <w:t>eculizumab</w:t>
      </w:r>
      <w:proofErr w:type="spellEnd"/>
      <w:r w:rsidRPr="00244FB2">
        <w:t xml:space="preserve"> to placebo in patients with AQP4-positive NMOSD (PREVENT). The submission also presented an interim analysis from an open-label extension study of patients previously enrolled in the PREVENT trial as supportive data (ECU-NMO-302).</w:t>
      </w:r>
    </w:p>
    <w:p w14:paraId="0E4729A1" w14:textId="77777777" w:rsidR="00147CF0" w:rsidRPr="00244FB2" w:rsidRDefault="00A73134" w:rsidP="002E4F02">
      <w:pPr>
        <w:pStyle w:val="ExecSumBodyText"/>
      </w:pPr>
      <w:r w:rsidRPr="00244FB2">
        <w:rPr>
          <w:snapToGrid/>
        </w:rPr>
        <w:t xml:space="preserve">Details of the </w:t>
      </w:r>
      <w:r w:rsidR="00147CF0" w:rsidRPr="00244FB2">
        <w:rPr>
          <w:snapToGrid/>
        </w:rPr>
        <w:t>included studies</w:t>
      </w:r>
      <w:r w:rsidRPr="00244FB2">
        <w:rPr>
          <w:snapToGrid/>
        </w:rPr>
        <w:t xml:space="preserve"> are provided in the table below.</w:t>
      </w:r>
    </w:p>
    <w:p w14:paraId="5B14AB40" w14:textId="77777777" w:rsidR="00147CF0" w:rsidRPr="00244FB2" w:rsidRDefault="00147CF0" w:rsidP="00B264DD">
      <w:pPr>
        <w:pStyle w:val="Tableheadingrow"/>
        <w:rPr>
          <w:b w:val="0"/>
          <w:lang w:val="en-AU"/>
        </w:rPr>
      </w:pPr>
      <w:r w:rsidRPr="00244FB2">
        <w:rPr>
          <w:rStyle w:val="CommentReference"/>
          <w:b/>
          <w:lang w:val="en-AU"/>
        </w:rPr>
        <w:lastRenderedPageBreak/>
        <w:t>Table 2: Trials and associated reports presented in the submission</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5"/>
        <w:gridCol w:w="4487"/>
        <w:gridCol w:w="2953"/>
      </w:tblGrid>
      <w:tr w:rsidR="00147CF0" w:rsidRPr="00244FB2" w14:paraId="5810BCD3" w14:textId="77777777" w:rsidTr="003A7ABC">
        <w:trPr>
          <w:tblHeader/>
        </w:trPr>
        <w:tc>
          <w:tcPr>
            <w:tcW w:w="941" w:type="pct"/>
            <w:tcBorders>
              <w:bottom w:val="single" w:sz="4" w:space="0" w:color="auto"/>
            </w:tcBorders>
            <w:vAlign w:val="center"/>
          </w:tcPr>
          <w:p w14:paraId="42FAA512" w14:textId="77777777" w:rsidR="00147CF0" w:rsidRPr="00244FB2" w:rsidRDefault="00147CF0" w:rsidP="00B264DD">
            <w:pPr>
              <w:pStyle w:val="Tabletext0"/>
              <w:keepNext/>
              <w:rPr>
                <w:b/>
              </w:rPr>
            </w:pPr>
            <w:r w:rsidRPr="00244FB2">
              <w:rPr>
                <w:b/>
              </w:rPr>
              <w:t>Trial ID</w:t>
            </w:r>
          </w:p>
        </w:tc>
        <w:tc>
          <w:tcPr>
            <w:tcW w:w="2448" w:type="pct"/>
            <w:tcBorders>
              <w:bottom w:val="single" w:sz="4" w:space="0" w:color="auto"/>
            </w:tcBorders>
            <w:vAlign w:val="center"/>
          </w:tcPr>
          <w:p w14:paraId="249B6FD1" w14:textId="77777777" w:rsidR="00147CF0" w:rsidRPr="00244FB2" w:rsidRDefault="00147CF0" w:rsidP="00B264DD">
            <w:pPr>
              <w:pStyle w:val="Tabletext0"/>
              <w:keepNext/>
              <w:jc w:val="center"/>
              <w:rPr>
                <w:b/>
              </w:rPr>
            </w:pPr>
            <w:r w:rsidRPr="00244FB2">
              <w:rPr>
                <w:b/>
              </w:rPr>
              <w:t>Protocol title/ Publication title</w:t>
            </w:r>
          </w:p>
        </w:tc>
        <w:tc>
          <w:tcPr>
            <w:tcW w:w="1611" w:type="pct"/>
            <w:tcBorders>
              <w:bottom w:val="single" w:sz="4" w:space="0" w:color="auto"/>
            </w:tcBorders>
            <w:vAlign w:val="center"/>
          </w:tcPr>
          <w:p w14:paraId="7A1D7B51" w14:textId="77777777" w:rsidR="00147CF0" w:rsidRPr="00244FB2" w:rsidRDefault="00147CF0" w:rsidP="00B264DD">
            <w:pPr>
              <w:pStyle w:val="Tabletext0"/>
              <w:keepNext/>
              <w:jc w:val="center"/>
              <w:rPr>
                <w:b/>
              </w:rPr>
            </w:pPr>
            <w:r w:rsidRPr="00244FB2">
              <w:rPr>
                <w:b/>
              </w:rPr>
              <w:t>Publication citation</w:t>
            </w:r>
          </w:p>
        </w:tc>
      </w:tr>
      <w:tr w:rsidR="00147CF0" w:rsidRPr="00244FB2" w14:paraId="7DCD2247" w14:textId="77777777" w:rsidTr="003A7ABC">
        <w:tc>
          <w:tcPr>
            <w:tcW w:w="941" w:type="pct"/>
            <w:vMerge w:val="restart"/>
            <w:tcBorders>
              <w:top w:val="single" w:sz="4" w:space="0" w:color="auto"/>
              <w:left w:val="single" w:sz="4" w:space="0" w:color="auto"/>
              <w:right w:val="single" w:sz="4" w:space="0" w:color="auto"/>
            </w:tcBorders>
            <w:vAlign w:val="center"/>
          </w:tcPr>
          <w:p w14:paraId="1528C1CC" w14:textId="77777777" w:rsidR="00147CF0" w:rsidRPr="00244FB2" w:rsidRDefault="00147CF0" w:rsidP="00B264DD">
            <w:pPr>
              <w:pStyle w:val="Tabletext0"/>
              <w:keepNext/>
            </w:pPr>
            <w:r w:rsidRPr="00244FB2">
              <w:t>PREVENT</w:t>
            </w:r>
          </w:p>
          <w:p w14:paraId="579F6C1A" w14:textId="77777777" w:rsidR="00147CF0" w:rsidRPr="00244FB2" w:rsidRDefault="00147CF0" w:rsidP="00B264DD">
            <w:pPr>
              <w:pStyle w:val="Tabletext0"/>
              <w:keepNext/>
            </w:pPr>
            <w:r w:rsidRPr="00244FB2">
              <w:t>(ECU-NMO-301)</w:t>
            </w:r>
          </w:p>
        </w:tc>
        <w:tc>
          <w:tcPr>
            <w:tcW w:w="2448" w:type="pct"/>
            <w:tcBorders>
              <w:top w:val="single" w:sz="4" w:space="0" w:color="auto"/>
              <w:left w:val="single" w:sz="4" w:space="0" w:color="auto"/>
              <w:bottom w:val="nil"/>
              <w:right w:val="single" w:sz="4" w:space="0" w:color="auto"/>
            </w:tcBorders>
            <w:vAlign w:val="center"/>
          </w:tcPr>
          <w:p w14:paraId="1A02F5BE" w14:textId="1678DC38" w:rsidR="00147CF0" w:rsidRPr="00244FB2" w:rsidRDefault="00147CF0" w:rsidP="00B264DD">
            <w:pPr>
              <w:pStyle w:val="Tabletext0"/>
              <w:keepNext/>
              <w:rPr>
                <w:szCs w:val="18"/>
              </w:rPr>
            </w:pPr>
            <w:r w:rsidRPr="00244FB2">
              <w:rPr>
                <w:iCs/>
              </w:rPr>
              <w:t>Alexion (2018). ECU-NMO-301 clinical study report. A randomized, double-blind, placebo controlled, multi-</w:t>
            </w:r>
            <w:r w:rsidR="00842C7F" w:rsidRPr="00244FB2">
              <w:rPr>
                <w:iCs/>
              </w:rPr>
              <w:t>centre</w:t>
            </w:r>
            <w:r w:rsidRPr="00244FB2">
              <w:rPr>
                <w:iCs/>
              </w:rPr>
              <w:t xml:space="preserve"> trial to evaluate the safety and efficacy of </w:t>
            </w:r>
            <w:proofErr w:type="spellStart"/>
            <w:r w:rsidRPr="00244FB2">
              <w:rPr>
                <w:iCs/>
              </w:rPr>
              <w:t>eculizumab</w:t>
            </w:r>
            <w:proofErr w:type="spellEnd"/>
            <w:r w:rsidRPr="00244FB2">
              <w:rPr>
                <w:iCs/>
              </w:rPr>
              <w:t xml:space="preserve"> in patients with relapsing </w:t>
            </w:r>
            <w:proofErr w:type="spellStart"/>
            <w:r w:rsidRPr="00244FB2">
              <w:rPr>
                <w:iCs/>
              </w:rPr>
              <w:t>neuromyelitis</w:t>
            </w:r>
            <w:proofErr w:type="spellEnd"/>
            <w:r w:rsidRPr="00244FB2">
              <w:rPr>
                <w:iCs/>
              </w:rPr>
              <w:t xml:space="preserve"> </w:t>
            </w:r>
            <w:proofErr w:type="spellStart"/>
            <w:r w:rsidRPr="00244FB2">
              <w:rPr>
                <w:iCs/>
              </w:rPr>
              <w:t>optica</w:t>
            </w:r>
            <w:proofErr w:type="spellEnd"/>
          </w:p>
        </w:tc>
        <w:tc>
          <w:tcPr>
            <w:tcW w:w="1611" w:type="pct"/>
            <w:tcBorders>
              <w:top w:val="single" w:sz="4" w:space="0" w:color="auto"/>
              <w:left w:val="single" w:sz="4" w:space="0" w:color="auto"/>
              <w:bottom w:val="nil"/>
              <w:right w:val="single" w:sz="4" w:space="0" w:color="auto"/>
            </w:tcBorders>
            <w:vAlign w:val="center"/>
          </w:tcPr>
          <w:p w14:paraId="7E9A3AC2" w14:textId="77777777" w:rsidR="00147CF0" w:rsidRPr="00244FB2" w:rsidRDefault="00147CF0" w:rsidP="00B264DD">
            <w:pPr>
              <w:pStyle w:val="Tabletext0"/>
              <w:keepNext/>
            </w:pPr>
            <w:r w:rsidRPr="00244FB2">
              <w:t>Internal study report</w:t>
            </w:r>
          </w:p>
        </w:tc>
      </w:tr>
      <w:tr w:rsidR="00147CF0" w:rsidRPr="00244FB2" w14:paraId="38C9110A" w14:textId="77777777" w:rsidTr="003A7ABC">
        <w:tc>
          <w:tcPr>
            <w:tcW w:w="941" w:type="pct"/>
            <w:vMerge/>
            <w:tcBorders>
              <w:left w:val="single" w:sz="4" w:space="0" w:color="auto"/>
              <w:right w:val="single" w:sz="4" w:space="0" w:color="auto"/>
            </w:tcBorders>
            <w:vAlign w:val="center"/>
          </w:tcPr>
          <w:p w14:paraId="41A8FD19" w14:textId="77777777" w:rsidR="00147CF0" w:rsidRPr="00244FB2" w:rsidRDefault="00147CF0" w:rsidP="00B264DD">
            <w:pPr>
              <w:pStyle w:val="Tabletext0"/>
              <w:keepNext/>
            </w:pPr>
          </w:p>
        </w:tc>
        <w:tc>
          <w:tcPr>
            <w:tcW w:w="2448" w:type="pct"/>
            <w:tcBorders>
              <w:top w:val="nil"/>
              <w:left w:val="single" w:sz="4" w:space="0" w:color="auto"/>
              <w:bottom w:val="nil"/>
              <w:right w:val="single" w:sz="4" w:space="0" w:color="auto"/>
            </w:tcBorders>
            <w:vAlign w:val="center"/>
          </w:tcPr>
          <w:p w14:paraId="0B0272F0" w14:textId="77777777" w:rsidR="00147CF0" w:rsidRPr="00244FB2" w:rsidRDefault="00147CF0" w:rsidP="00B264DD">
            <w:pPr>
              <w:pStyle w:val="Tabletext0"/>
              <w:keepNext/>
              <w:rPr>
                <w:szCs w:val="18"/>
              </w:rPr>
            </w:pPr>
            <w:proofErr w:type="spellStart"/>
            <w:r w:rsidRPr="00244FB2">
              <w:rPr>
                <w:szCs w:val="18"/>
              </w:rPr>
              <w:t>Pittock</w:t>
            </w:r>
            <w:proofErr w:type="spellEnd"/>
            <w:r w:rsidRPr="00244FB2">
              <w:rPr>
                <w:szCs w:val="18"/>
              </w:rPr>
              <w:t xml:space="preserve">, SJ et al (2019). </w:t>
            </w:r>
            <w:proofErr w:type="spellStart"/>
            <w:r w:rsidRPr="00244FB2">
              <w:rPr>
                <w:szCs w:val="18"/>
              </w:rPr>
              <w:t>Eculizumab</w:t>
            </w:r>
            <w:proofErr w:type="spellEnd"/>
            <w:r w:rsidRPr="00244FB2">
              <w:rPr>
                <w:szCs w:val="18"/>
              </w:rPr>
              <w:t xml:space="preserve"> in aquaporin-4-positive </w:t>
            </w:r>
            <w:proofErr w:type="spellStart"/>
            <w:r w:rsidRPr="00244FB2">
              <w:rPr>
                <w:szCs w:val="18"/>
              </w:rPr>
              <w:t>neuromyelitis</w:t>
            </w:r>
            <w:proofErr w:type="spellEnd"/>
            <w:r w:rsidRPr="00244FB2">
              <w:rPr>
                <w:szCs w:val="18"/>
              </w:rPr>
              <w:t xml:space="preserve"> </w:t>
            </w:r>
            <w:proofErr w:type="spellStart"/>
            <w:r w:rsidRPr="00244FB2">
              <w:rPr>
                <w:szCs w:val="18"/>
              </w:rPr>
              <w:t>optica</w:t>
            </w:r>
            <w:proofErr w:type="spellEnd"/>
            <w:r w:rsidRPr="00244FB2">
              <w:rPr>
                <w:szCs w:val="18"/>
              </w:rPr>
              <w:t xml:space="preserve"> spectrum disorder. </w:t>
            </w:r>
          </w:p>
        </w:tc>
        <w:tc>
          <w:tcPr>
            <w:tcW w:w="1611" w:type="pct"/>
            <w:tcBorders>
              <w:top w:val="nil"/>
              <w:left w:val="single" w:sz="4" w:space="0" w:color="auto"/>
              <w:bottom w:val="nil"/>
              <w:right w:val="single" w:sz="4" w:space="0" w:color="auto"/>
            </w:tcBorders>
            <w:vAlign w:val="center"/>
          </w:tcPr>
          <w:p w14:paraId="78002645" w14:textId="77777777" w:rsidR="00147CF0" w:rsidRPr="00244FB2" w:rsidRDefault="00147CF0" w:rsidP="00B264DD">
            <w:pPr>
              <w:pStyle w:val="Tabletext0"/>
              <w:keepNext/>
            </w:pPr>
            <w:r w:rsidRPr="00244FB2">
              <w:rPr>
                <w:szCs w:val="18"/>
              </w:rPr>
              <w:t>New England Journal of Medicine, 381: 614-625</w:t>
            </w:r>
          </w:p>
        </w:tc>
      </w:tr>
      <w:tr w:rsidR="00147CF0" w:rsidRPr="00244FB2" w14:paraId="3353A99B" w14:textId="77777777" w:rsidTr="003A7ABC">
        <w:tc>
          <w:tcPr>
            <w:tcW w:w="941" w:type="pct"/>
            <w:vMerge/>
            <w:tcBorders>
              <w:left w:val="single" w:sz="4" w:space="0" w:color="auto"/>
              <w:right w:val="single" w:sz="4" w:space="0" w:color="auto"/>
            </w:tcBorders>
            <w:vAlign w:val="center"/>
          </w:tcPr>
          <w:p w14:paraId="149F7CBC" w14:textId="77777777" w:rsidR="00147CF0" w:rsidRPr="00244FB2" w:rsidRDefault="00147CF0" w:rsidP="00B264DD">
            <w:pPr>
              <w:pStyle w:val="Tabletext0"/>
              <w:keepNext/>
            </w:pPr>
          </w:p>
        </w:tc>
        <w:tc>
          <w:tcPr>
            <w:tcW w:w="2448" w:type="pct"/>
            <w:tcBorders>
              <w:top w:val="nil"/>
              <w:left w:val="single" w:sz="4" w:space="0" w:color="auto"/>
              <w:bottom w:val="single" w:sz="4" w:space="0" w:color="auto"/>
              <w:right w:val="single" w:sz="4" w:space="0" w:color="auto"/>
            </w:tcBorders>
            <w:vAlign w:val="center"/>
          </w:tcPr>
          <w:p w14:paraId="4580F271" w14:textId="35A51B59" w:rsidR="00147CF0" w:rsidRPr="00244FB2" w:rsidRDefault="00147CF0" w:rsidP="00B264DD">
            <w:pPr>
              <w:pStyle w:val="Tabletext0"/>
              <w:keepNext/>
              <w:rPr>
                <w:szCs w:val="18"/>
              </w:rPr>
            </w:pPr>
            <w:r w:rsidRPr="00244FB2">
              <w:rPr>
                <w:szCs w:val="18"/>
              </w:rPr>
              <w:t>A randomised, double-blind, placebo-controlled, multi-</w:t>
            </w:r>
            <w:r w:rsidR="00842C7F" w:rsidRPr="00244FB2">
              <w:rPr>
                <w:szCs w:val="18"/>
              </w:rPr>
              <w:t>centre</w:t>
            </w:r>
            <w:r w:rsidRPr="00244FB2">
              <w:rPr>
                <w:szCs w:val="18"/>
              </w:rPr>
              <w:t xml:space="preserve"> trial to evaluate the safety and efficacy of </w:t>
            </w:r>
            <w:proofErr w:type="spellStart"/>
            <w:r w:rsidRPr="00244FB2">
              <w:rPr>
                <w:szCs w:val="18"/>
              </w:rPr>
              <w:t>eculizumab</w:t>
            </w:r>
            <w:proofErr w:type="spellEnd"/>
            <w:r w:rsidRPr="00244FB2">
              <w:rPr>
                <w:szCs w:val="18"/>
              </w:rPr>
              <w:t xml:space="preserve"> in patients with relapsing </w:t>
            </w:r>
            <w:proofErr w:type="spellStart"/>
            <w:r w:rsidRPr="00244FB2">
              <w:rPr>
                <w:szCs w:val="18"/>
              </w:rPr>
              <w:t>neuromyelitis</w:t>
            </w:r>
            <w:proofErr w:type="spellEnd"/>
            <w:r w:rsidRPr="00244FB2">
              <w:rPr>
                <w:szCs w:val="18"/>
              </w:rPr>
              <w:t xml:space="preserve"> </w:t>
            </w:r>
            <w:proofErr w:type="spellStart"/>
            <w:r w:rsidRPr="00244FB2">
              <w:rPr>
                <w:szCs w:val="18"/>
              </w:rPr>
              <w:t>optica</w:t>
            </w:r>
            <w:proofErr w:type="spellEnd"/>
          </w:p>
        </w:tc>
        <w:tc>
          <w:tcPr>
            <w:tcW w:w="1611" w:type="pct"/>
            <w:tcBorders>
              <w:top w:val="nil"/>
              <w:left w:val="single" w:sz="4" w:space="0" w:color="auto"/>
              <w:bottom w:val="single" w:sz="4" w:space="0" w:color="auto"/>
              <w:right w:val="single" w:sz="4" w:space="0" w:color="auto"/>
            </w:tcBorders>
            <w:vAlign w:val="center"/>
          </w:tcPr>
          <w:p w14:paraId="7EE1B117" w14:textId="77777777" w:rsidR="00147CF0" w:rsidRPr="00244FB2" w:rsidRDefault="00147CF0" w:rsidP="00B264DD">
            <w:pPr>
              <w:pStyle w:val="Tabletext0"/>
              <w:keepNext/>
              <w:rPr>
                <w:szCs w:val="18"/>
              </w:rPr>
            </w:pPr>
            <w:r w:rsidRPr="00244FB2">
              <w:rPr>
                <w:szCs w:val="18"/>
              </w:rPr>
              <w:t>Clinical trial registry; NCT01892345, EUCTR 2013-001150-10</w:t>
            </w:r>
          </w:p>
        </w:tc>
      </w:tr>
      <w:tr w:rsidR="00147CF0" w:rsidRPr="00244FB2" w14:paraId="4BA85CCF" w14:textId="77777777" w:rsidTr="003A7ABC">
        <w:tc>
          <w:tcPr>
            <w:tcW w:w="941" w:type="pct"/>
            <w:vMerge w:val="restart"/>
            <w:tcBorders>
              <w:left w:val="single" w:sz="4" w:space="0" w:color="auto"/>
              <w:right w:val="single" w:sz="4" w:space="0" w:color="auto"/>
            </w:tcBorders>
            <w:vAlign w:val="center"/>
          </w:tcPr>
          <w:p w14:paraId="2B9E68AA" w14:textId="77777777" w:rsidR="00147CF0" w:rsidRPr="00244FB2" w:rsidRDefault="00147CF0" w:rsidP="00B264DD">
            <w:pPr>
              <w:pStyle w:val="Tabletext0"/>
              <w:keepNext/>
            </w:pPr>
            <w:r w:rsidRPr="00244FB2">
              <w:t>ECU-NMO-302</w:t>
            </w:r>
          </w:p>
        </w:tc>
        <w:tc>
          <w:tcPr>
            <w:tcW w:w="2448" w:type="pct"/>
            <w:tcBorders>
              <w:top w:val="single" w:sz="4" w:space="0" w:color="auto"/>
              <w:left w:val="single" w:sz="4" w:space="0" w:color="auto"/>
              <w:bottom w:val="nil"/>
              <w:right w:val="single" w:sz="4" w:space="0" w:color="auto"/>
            </w:tcBorders>
            <w:vAlign w:val="center"/>
          </w:tcPr>
          <w:p w14:paraId="772214ED" w14:textId="77777777" w:rsidR="00147CF0" w:rsidRPr="00244FB2" w:rsidRDefault="00147CF0" w:rsidP="00B264DD">
            <w:pPr>
              <w:pStyle w:val="Tabletext0"/>
              <w:keepNext/>
              <w:rPr>
                <w:szCs w:val="18"/>
              </w:rPr>
            </w:pPr>
            <w:r w:rsidRPr="00244FB2">
              <w:rPr>
                <w:szCs w:val="18"/>
              </w:rPr>
              <w:t xml:space="preserve">Alexion (2018). ECU-NMO-302 clinical study report. A phase III, open-label, extension trial of ECU-NMO-301 to evaluate the safety and efficacy of </w:t>
            </w:r>
            <w:proofErr w:type="spellStart"/>
            <w:r w:rsidRPr="00244FB2">
              <w:rPr>
                <w:szCs w:val="18"/>
              </w:rPr>
              <w:t>eculizumab</w:t>
            </w:r>
            <w:proofErr w:type="spellEnd"/>
            <w:r w:rsidRPr="00244FB2">
              <w:rPr>
                <w:szCs w:val="18"/>
              </w:rPr>
              <w:t xml:space="preserve"> in patients with relapsing </w:t>
            </w:r>
            <w:proofErr w:type="spellStart"/>
            <w:r w:rsidRPr="00244FB2">
              <w:rPr>
                <w:szCs w:val="18"/>
              </w:rPr>
              <w:t>neuromyelitis</w:t>
            </w:r>
            <w:proofErr w:type="spellEnd"/>
            <w:r w:rsidRPr="00244FB2">
              <w:rPr>
                <w:szCs w:val="18"/>
              </w:rPr>
              <w:t xml:space="preserve"> </w:t>
            </w:r>
            <w:proofErr w:type="spellStart"/>
            <w:r w:rsidRPr="00244FB2">
              <w:rPr>
                <w:szCs w:val="18"/>
              </w:rPr>
              <w:t>optica</w:t>
            </w:r>
            <w:proofErr w:type="spellEnd"/>
            <w:r w:rsidRPr="00244FB2">
              <w:rPr>
                <w:szCs w:val="18"/>
              </w:rPr>
              <w:t xml:space="preserve"> (NMO). Nov 2018.</w:t>
            </w:r>
          </w:p>
        </w:tc>
        <w:tc>
          <w:tcPr>
            <w:tcW w:w="1611" w:type="pct"/>
            <w:tcBorders>
              <w:top w:val="single" w:sz="4" w:space="0" w:color="auto"/>
              <w:left w:val="single" w:sz="4" w:space="0" w:color="auto"/>
              <w:bottom w:val="nil"/>
              <w:right w:val="single" w:sz="4" w:space="0" w:color="auto"/>
            </w:tcBorders>
            <w:vAlign w:val="center"/>
          </w:tcPr>
          <w:p w14:paraId="7189B9C3" w14:textId="77777777" w:rsidR="00147CF0" w:rsidRPr="00244FB2" w:rsidRDefault="00147CF0" w:rsidP="00B264DD">
            <w:pPr>
              <w:pStyle w:val="Tabletext0"/>
              <w:keepNext/>
              <w:rPr>
                <w:szCs w:val="18"/>
              </w:rPr>
            </w:pPr>
            <w:r w:rsidRPr="00244FB2">
              <w:t>Interim internal study report</w:t>
            </w:r>
          </w:p>
        </w:tc>
      </w:tr>
      <w:tr w:rsidR="00147CF0" w:rsidRPr="00244FB2" w14:paraId="06C76404" w14:textId="77777777" w:rsidTr="003A7ABC">
        <w:tc>
          <w:tcPr>
            <w:tcW w:w="941" w:type="pct"/>
            <w:vMerge/>
            <w:tcBorders>
              <w:left w:val="single" w:sz="4" w:space="0" w:color="auto"/>
              <w:right w:val="single" w:sz="4" w:space="0" w:color="auto"/>
            </w:tcBorders>
            <w:vAlign w:val="center"/>
          </w:tcPr>
          <w:p w14:paraId="14FD4B7E" w14:textId="77777777" w:rsidR="00147CF0" w:rsidRPr="00244FB2" w:rsidRDefault="00147CF0" w:rsidP="00B264DD">
            <w:pPr>
              <w:pStyle w:val="Tabletext0"/>
              <w:keepNext/>
            </w:pPr>
          </w:p>
        </w:tc>
        <w:tc>
          <w:tcPr>
            <w:tcW w:w="2448" w:type="pct"/>
            <w:tcBorders>
              <w:top w:val="nil"/>
              <w:left w:val="single" w:sz="4" w:space="0" w:color="auto"/>
              <w:bottom w:val="nil"/>
              <w:right w:val="single" w:sz="4" w:space="0" w:color="auto"/>
            </w:tcBorders>
          </w:tcPr>
          <w:p w14:paraId="5445CF87" w14:textId="77777777" w:rsidR="00147CF0" w:rsidRPr="00244FB2" w:rsidRDefault="00147CF0" w:rsidP="00B264DD">
            <w:pPr>
              <w:pStyle w:val="Tabletext0"/>
              <w:keepNext/>
              <w:rPr>
                <w:szCs w:val="18"/>
              </w:rPr>
            </w:pPr>
            <w:proofErr w:type="spellStart"/>
            <w:r w:rsidRPr="00244FB2">
              <w:rPr>
                <w:iCs/>
              </w:rPr>
              <w:t>Wingerchuk</w:t>
            </w:r>
            <w:proofErr w:type="spellEnd"/>
            <w:r w:rsidRPr="00244FB2">
              <w:rPr>
                <w:iCs/>
              </w:rPr>
              <w:t xml:space="preserve"> et al (2019). Long-term safety and effectiveness of </w:t>
            </w:r>
            <w:proofErr w:type="spellStart"/>
            <w:r w:rsidRPr="00244FB2">
              <w:rPr>
                <w:iCs/>
              </w:rPr>
              <w:t>eculizumab</w:t>
            </w:r>
            <w:proofErr w:type="spellEnd"/>
            <w:r w:rsidRPr="00244FB2">
              <w:rPr>
                <w:iCs/>
              </w:rPr>
              <w:t xml:space="preserve"> in </w:t>
            </w:r>
            <w:proofErr w:type="spellStart"/>
            <w:r w:rsidRPr="00244FB2">
              <w:rPr>
                <w:iCs/>
              </w:rPr>
              <w:t>neuromyelitis</w:t>
            </w:r>
            <w:proofErr w:type="spellEnd"/>
            <w:r w:rsidRPr="00244FB2">
              <w:rPr>
                <w:iCs/>
              </w:rPr>
              <w:t xml:space="preserve"> </w:t>
            </w:r>
            <w:proofErr w:type="spellStart"/>
            <w:r w:rsidRPr="00244FB2">
              <w:rPr>
                <w:iCs/>
              </w:rPr>
              <w:t>optica</w:t>
            </w:r>
            <w:proofErr w:type="spellEnd"/>
            <w:r w:rsidRPr="00244FB2">
              <w:rPr>
                <w:iCs/>
              </w:rPr>
              <w:t xml:space="preserve"> spectrum disorder. </w:t>
            </w:r>
          </w:p>
        </w:tc>
        <w:tc>
          <w:tcPr>
            <w:tcW w:w="1611" w:type="pct"/>
            <w:tcBorders>
              <w:top w:val="nil"/>
              <w:left w:val="single" w:sz="4" w:space="0" w:color="auto"/>
              <w:bottom w:val="nil"/>
              <w:right w:val="single" w:sz="4" w:space="0" w:color="auto"/>
            </w:tcBorders>
            <w:vAlign w:val="center"/>
          </w:tcPr>
          <w:p w14:paraId="15375513" w14:textId="77777777" w:rsidR="00147CF0" w:rsidRPr="00244FB2" w:rsidRDefault="00147CF0" w:rsidP="00B264DD">
            <w:pPr>
              <w:pStyle w:val="Tabletext0"/>
              <w:keepNext/>
              <w:rPr>
                <w:szCs w:val="18"/>
              </w:rPr>
            </w:pPr>
            <w:r w:rsidRPr="00244FB2">
              <w:rPr>
                <w:iCs/>
              </w:rPr>
              <w:t>ECTRIMS 2019 conference abstract (abstract no. 142)</w:t>
            </w:r>
          </w:p>
        </w:tc>
      </w:tr>
      <w:tr w:rsidR="00147CF0" w:rsidRPr="00244FB2" w14:paraId="1E3D78C4" w14:textId="77777777" w:rsidTr="003A7ABC">
        <w:tc>
          <w:tcPr>
            <w:tcW w:w="941" w:type="pct"/>
            <w:vMerge/>
            <w:tcBorders>
              <w:left w:val="single" w:sz="4" w:space="0" w:color="auto"/>
              <w:right w:val="single" w:sz="4" w:space="0" w:color="auto"/>
            </w:tcBorders>
            <w:vAlign w:val="center"/>
          </w:tcPr>
          <w:p w14:paraId="2A54A414" w14:textId="77777777" w:rsidR="00147CF0" w:rsidRPr="00244FB2" w:rsidRDefault="00147CF0" w:rsidP="00B264DD">
            <w:pPr>
              <w:pStyle w:val="Tabletext0"/>
              <w:keepNext/>
            </w:pPr>
          </w:p>
        </w:tc>
        <w:tc>
          <w:tcPr>
            <w:tcW w:w="2448" w:type="pct"/>
            <w:tcBorders>
              <w:top w:val="nil"/>
              <w:left w:val="single" w:sz="4" w:space="0" w:color="auto"/>
              <w:bottom w:val="single" w:sz="4" w:space="0" w:color="auto"/>
              <w:right w:val="single" w:sz="4" w:space="0" w:color="auto"/>
            </w:tcBorders>
            <w:vAlign w:val="center"/>
          </w:tcPr>
          <w:p w14:paraId="0C2756B4" w14:textId="77777777" w:rsidR="00147CF0" w:rsidRPr="00244FB2" w:rsidRDefault="00147CF0" w:rsidP="00B264DD">
            <w:pPr>
              <w:pStyle w:val="Tabletext0"/>
              <w:keepNext/>
              <w:rPr>
                <w:szCs w:val="18"/>
              </w:rPr>
            </w:pPr>
            <w:r w:rsidRPr="00244FB2">
              <w:rPr>
                <w:szCs w:val="18"/>
              </w:rPr>
              <w:t xml:space="preserve">An Open-Label Extension Trial of </w:t>
            </w:r>
            <w:proofErr w:type="spellStart"/>
            <w:r w:rsidRPr="00244FB2">
              <w:rPr>
                <w:szCs w:val="18"/>
              </w:rPr>
              <w:t>Eculizumab</w:t>
            </w:r>
            <w:proofErr w:type="spellEnd"/>
            <w:r w:rsidRPr="00244FB2">
              <w:rPr>
                <w:szCs w:val="18"/>
              </w:rPr>
              <w:t xml:space="preserve"> in Relapsing NMO Patients.</w:t>
            </w:r>
          </w:p>
        </w:tc>
        <w:tc>
          <w:tcPr>
            <w:tcW w:w="1611" w:type="pct"/>
            <w:tcBorders>
              <w:top w:val="nil"/>
              <w:left w:val="single" w:sz="4" w:space="0" w:color="auto"/>
              <w:bottom w:val="single" w:sz="4" w:space="0" w:color="auto"/>
              <w:right w:val="single" w:sz="4" w:space="0" w:color="auto"/>
            </w:tcBorders>
            <w:vAlign w:val="center"/>
          </w:tcPr>
          <w:p w14:paraId="5C35FD26" w14:textId="77777777" w:rsidR="00147CF0" w:rsidRPr="00244FB2" w:rsidRDefault="00147CF0" w:rsidP="00B264DD">
            <w:pPr>
              <w:pStyle w:val="Tabletext0"/>
              <w:keepNext/>
              <w:rPr>
                <w:szCs w:val="18"/>
              </w:rPr>
            </w:pPr>
            <w:r w:rsidRPr="00244FB2">
              <w:rPr>
                <w:szCs w:val="18"/>
              </w:rPr>
              <w:t>Clinical trial registry; NCT02003144</w:t>
            </w:r>
          </w:p>
        </w:tc>
      </w:tr>
    </w:tbl>
    <w:p w14:paraId="374EC880" w14:textId="77777777" w:rsidR="00147CF0" w:rsidRPr="00244FB2" w:rsidRDefault="00147CF0" w:rsidP="00147CF0">
      <w:pPr>
        <w:pStyle w:val="TableFooter"/>
      </w:pPr>
      <w:r w:rsidRPr="00244FB2">
        <w:t>Source: Table 2-3 (p 30-31), Table 2-4 (p 32) of the submission; p 30 text of the submission</w:t>
      </w:r>
    </w:p>
    <w:p w14:paraId="646EB369" w14:textId="77777777" w:rsidR="00147CF0" w:rsidRPr="00244FB2" w:rsidRDefault="00147CF0" w:rsidP="00147CF0">
      <w:pPr>
        <w:pStyle w:val="TableFooter"/>
        <w:spacing w:after="120"/>
        <w:rPr>
          <w:sz w:val="20"/>
        </w:rPr>
      </w:pPr>
      <w:r w:rsidRPr="00244FB2">
        <w:t>Note: Abstracts of studies with full publications are not presented</w:t>
      </w:r>
    </w:p>
    <w:p w14:paraId="05E5A5FB" w14:textId="77777777" w:rsidR="007F1017" w:rsidRPr="00244FB2" w:rsidRDefault="008F120A" w:rsidP="00EC5836">
      <w:pPr>
        <w:pStyle w:val="ExecSumBodyText"/>
        <w:rPr>
          <w:color w:val="0066FF"/>
        </w:rPr>
      </w:pPr>
      <w:r w:rsidRPr="00244FB2">
        <w:t>The key fea</w:t>
      </w:r>
      <w:r w:rsidR="00147CF0" w:rsidRPr="00244FB2">
        <w:t>tures of the PREVENT trial</w:t>
      </w:r>
      <w:r w:rsidRPr="00244FB2">
        <w:t xml:space="preserve"> are summarised in the table below.</w:t>
      </w:r>
    </w:p>
    <w:p w14:paraId="561D31B3" w14:textId="77777777" w:rsidR="007F1017" w:rsidRPr="00244FB2" w:rsidRDefault="00DB17DB" w:rsidP="00230DB1">
      <w:pPr>
        <w:pStyle w:val="TableFigureCaption"/>
      </w:pPr>
      <w:r w:rsidRPr="00244FB2">
        <w:t>Table 3</w:t>
      </w:r>
      <w:r w:rsidR="007F1017" w:rsidRPr="00244FB2">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1"/>
        <w:gridCol w:w="617"/>
        <w:gridCol w:w="1524"/>
        <w:gridCol w:w="994"/>
        <w:gridCol w:w="1421"/>
        <w:gridCol w:w="1527"/>
        <w:gridCol w:w="2043"/>
      </w:tblGrid>
      <w:tr w:rsidR="00B41614" w:rsidRPr="00244FB2" w14:paraId="4B4D74C6" w14:textId="77777777" w:rsidTr="00FD7FFE">
        <w:trPr>
          <w:cantSplit/>
          <w:tblHeader/>
        </w:trPr>
        <w:tc>
          <w:tcPr>
            <w:tcW w:w="494" w:type="pct"/>
            <w:shd w:val="clear" w:color="auto" w:fill="auto"/>
            <w:vAlign w:val="center"/>
          </w:tcPr>
          <w:p w14:paraId="39087D9D" w14:textId="77777777" w:rsidR="007F1017" w:rsidRPr="00244FB2" w:rsidRDefault="007F1017" w:rsidP="001E34DF">
            <w:pPr>
              <w:pStyle w:val="Tableheadingrow"/>
              <w:rPr>
                <w:lang w:val="en-AU"/>
              </w:rPr>
            </w:pPr>
            <w:r w:rsidRPr="00244FB2">
              <w:rPr>
                <w:lang w:val="en-AU"/>
              </w:rPr>
              <w:t>Trial</w:t>
            </w:r>
          </w:p>
        </w:tc>
        <w:tc>
          <w:tcPr>
            <w:tcW w:w="342" w:type="pct"/>
            <w:shd w:val="clear" w:color="auto" w:fill="auto"/>
            <w:vAlign w:val="center"/>
          </w:tcPr>
          <w:p w14:paraId="15C7C4DB" w14:textId="77777777" w:rsidR="007F1017" w:rsidRPr="00244FB2" w:rsidRDefault="007F1017" w:rsidP="00EC5836">
            <w:pPr>
              <w:pStyle w:val="Tableheadingrow"/>
              <w:jc w:val="center"/>
              <w:rPr>
                <w:lang w:val="en-AU"/>
              </w:rPr>
            </w:pPr>
            <w:r w:rsidRPr="00244FB2">
              <w:rPr>
                <w:lang w:val="en-AU"/>
              </w:rPr>
              <w:t>N</w:t>
            </w:r>
          </w:p>
        </w:tc>
        <w:tc>
          <w:tcPr>
            <w:tcW w:w="845" w:type="pct"/>
            <w:shd w:val="clear" w:color="auto" w:fill="auto"/>
            <w:vAlign w:val="center"/>
          </w:tcPr>
          <w:p w14:paraId="2BD7D0B7" w14:textId="77777777" w:rsidR="007F1017" w:rsidRPr="00244FB2" w:rsidRDefault="007F1017" w:rsidP="00EC5836">
            <w:pPr>
              <w:pStyle w:val="Tableheadingrow"/>
              <w:jc w:val="center"/>
              <w:rPr>
                <w:lang w:val="en-AU"/>
              </w:rPr>
            </w:pPr>
            <w:r w:rsidRPr="00244FB2">
              <w:rPr>
                <w:lang w:val="en-AU"/>
              </w:rPr>
              <w:t>Design/ duration</w:t>
            </w:r>
          </w:p>
        </w:tc>
        <w:tc>
          <w:tcPr>
            <w:tcW w:w="551" w:type="pct"/>
            <w:shd w:val="clear" w:color="auto" w:fill="auto"/>
            <w:vAlign w:val="center"/>
          </w:tcPr>
          <w:p w14:paraId="116EB714" w14:textId="77777777" w:rsidR="007F1017" w:rsidRPr="00244FB2" w:rsidRDefault="007F1017" w:rsidP="00EC5836">
            <w:pPr>
              <w:pStyle w:val="Tableheadingrow"/>
              <w:jc w:val="center"/>
              <w:rPr>
                <w:lang w:val="en-AU"/>
              </w:rPr>
            </w:pPr>
            <w:r w:rsidRPr="00244FB2">
              <w:rPr>
                <w:lang w:val="en-AU"/>
              </w:rPr>
              <w:t>Risk of bias</w:t>
            </w:r>
          </w:p>
        </w:tc>
        <w:tc>
          <w:tcPr>
            <w:tcW w:w="788" w:type="pct"/>
            <w:shd w:val="clear" w:color="auto" w:fill="auto"/>
            <w:vAlign w:val="center"/>
          </w:tcPr>
          <w:p w14:paraId="5F722F63" w14:textId="77777777" w:rsidR="007F1017" w:rsidRPr="00244FB2" w:rsidRDefault="007F1017" w:rsidP="00EC5836">
            <w:pPr>
              <w:pStyle w:val="Tableheadingrow"/>
              <w:jc w:val="center"/>
              <w:rPr>
                <w:lang w:val="en-AU"/>
              </w:rPr>
            </w:pPr>
            <w:r w:rsidRPr="00244FB2">
              <w:rPr>
                <w:lang w:val="en-AU"/>
              </w:rPr>
              <w:t>Patient population</w:t>
            </w:r>
          </w:p>
        </w:tc>
        <w:tc>
          <w:tcPr>
            <w:tcW w:w="847" w:type="pct"/>
            <w:shd w:val="clear" w:color="auto" w:fill="auto"/>
            <w:vAlign w:val="center"/>
          </w:tcPr>
          <w:p w14:paraId="3A90E0DA" w14:textId="77777777" w:rsidR="007F1017" w:rsidRPr="00244FB2" w:rsidRDefault="00DB17DB" w:rsidP="00EC5836">
            <w:pPr>
              <w:pStyle w:val="Tableheadingrow"/>
              <w:jc w:val="center"/>
              <w:rPr>
                <w:lang w:val="en-AU"/>
              </w:rPr>
            </w:pPr>
            <w:r w:rsidRPr="00244FB2">
              <w:rPr>
                <w:lang w:val="en-AU"/>
              </w:rPr>
              <w:t>Outcomes</w:t>
            </w:r>
          </w:p>
        </w:tc>
        <w:tc>
          <w:tcPr>
            <w:tcW w:w="1133" w:type="pct"/>
            <w:shd w:val="clear" w:color="auto" w:fill="auto"/>
            <w:vAlign w:val="center"/>
          </w:tcPr>
          <w:p w14:paraId="630ED6A5" w14:textId="77777777" w:rsidR="007F1017" w:rsidRPr="00244FB2" w:rsidRDefault="007F1017" w:rsidP="00EC5836">
            <w:pPr>
              <w:pStyle w:val="Tableheadingrow"/>
              <w:jc w:val="center"/>
              <w:rPr>
                <w:lang w:val="en-AU"/>
              </w:rPr>
            </w:pPr>
            <w:r w:rsidRPr="00244FB2">
              <w:rPr>
                <w:lang w:val="en-AU"/>
              </w:rPr>
              <w:t>Use in modelled evaluation</w:t>
            </w:r>
          </w:p>
        </w:tc>
      </w:tr>
      <w:tr w:rsidR="007F1017" w:rsidRPr="00244FB2" w14:paraId="219595D9" w14:textId="77777777" w:rsidTr="00682BA6">
        <w:trPr>
          <w:cantSplit/>
        </w:trPr>
        <w:tc>
          <w:tcPr>
            <w:tcW w:w="5000" w:type="pct"/>
            <w:gridSpan w:val="7"/>
            <w:shd w:val="clear" w:color="auto" w:fill="auto"/>
            <w:vAlign w:val="center"/>
          </w:tcPr>
          <w:p w14:paraId="75859AEE" w14:textId="77777777" w:rsidR="007F1017" w:rsidRPr="00244FB2" w:rsidRDefault="00147CF0" w:rsidP="00EC5836">
            <w:pPr>
              <w:pStyle w:val="Tableheadingrow"/>
              <w:rPr>
                <w:lang w:val="en-AU"/>
              </w:rPr>
            </w:pPr>
            <w:proofErr w:type="spellStart"/>
            <w:r w:rsidRPr="00244FB2">
              <w:rPr>
                <w:lang w:val="en-AU"/>
              </w:rPr>
              <w:t>Eculizumab</w:t>
            </w:r>
            <w:proofErr w:type="spellEnd"/>
            <w:r w:rsidRPr="00244FB2">
              <w:rPr>
                <w:lang w:val="en-AU"/>
              </w:rPr>
              <w:t xml:space="preserve"> vs. placebo</w:t>
            </w:r>
          </w:p>
        </w:tc>
      </w:tr>
      <w:tr w:rsidR="00B41614" w:rsidRPr="00244FB2" w14:paraId="117F50B4" w14:textId="77777777" w:rsidTr="00FD7FFE">
        <w:trPr>
          <w:cantSplit/>
        </w:trPr>
        <w:tc>
          <w:tcPr>
            <w:tcW w:w="494" w:type="pct"/>
            <w:shd w:val="clear" w:color="auto" w:fill="auto"/>
            <w:vAlign w:val="center"/>
          </w:tcPr>
          <w:p w14:paraId="02A26334" w14:textId="77777777" w:rsidR="007F1017" w:rsidRPr="00244FB2" w:rsidRDefault="00147CF0" w:rsidP="00EC5836">
            <w:pPr>
              <w:pStyle w:val="TableText"/>
            </w:pPr>
            <w:r w:rsidRPr="00244FB2">
              <w:t>PREVENT</w:t>
            </w:r>
          </w:p>
        </w:tc>
        <w:tc>
          <w:tcPr>
            <w:tcW w:w="342" w:type="pct"/>
            <w:shd w:val="clear" w:color="auto" w:fill="auto"/>
            <w:vAlign w:val="center"/>
          </w:tcPr>
          <w:p w14:paraId="2AC46C4D" w14:textId="77777777" w:rsidR="007F1017" w:rsidRPr="00244FB2" w:rsidRDefault="00147CF0" w:rsidP="00EC5836">
            <w:pPr>
              <w:pStyle w:val="TableText"/>
              <w:jc w:val="center"/>
            </w:pPr>
            <w:r w:rsidRPr="00244FB2">
              <w:t>143</w:t>
            </w:r>
          </w:p>
        </w:tc>
        <w:tc>
          <w:tcPr>
            <w:tcW w:w="845" w:type="pct"/>
            <w:shd w:val="clear" w:color="auto" w:fill="auto"/>
            <w:vAlign w:val="center"/>
          </w:tcPr>
          <w:p w14:paraId="4C7B9878" w14:textId="77777777" w:rsidR="007F1017" w:rsidRPr="00244FB2" w:rsidRDefault="00147CF0" w:rsidP="00EC5836">
            <w:pPr>
              <w:pStyle w:val="TableText"/>
              <w:jc w:val="center"/>
            </w:pPr>
            <w:r w:rsidRPr="00244FB2">
              <w:t>M</w:t>
            </w:r>
            <w:r w:rsidR="003A7ABC" w:rsidRPr="00244FB2">
              <w:t>ulticentre, randomised, double-blind.</w:t>
            </w:r>
          </w:p>
          <w:p w14:paraId="3C9523E9" w14:textId="77777777" w:rsidR="007F1017" w:rsidRPr="00244FB2" w:rsidRDefault="0039480F" w:rsidP="00EC5836">
            <w:pPr>
              <w:pStyle w:val="TableText"/>
              <w:jc w:val="center"/>
            </w:pPr>
            <w:proofErr w:type="spellStart"/>
            <w:r w:rsidRPr="00244FB2">
              <w:t>Ecu</w:t>
            </w:r>
            <w:proofErr w:type="spellEnd"/>
            <w:r w:rsidRPr="00244FB2">
              <w:t xml:space="preserve">: 1.8 years; </w:t>
            </w:r>
            <w:proofErr w:type="spellStart"/>
            <w:r w:rsidRPr="00244FB2">
              <w:t>Pbo</w:t>
            </w:r>
            <w:proofErr w:type="spellEnd"/>
            <w:r w:rsidRPr="00244FB2">
              <w:t xml:space="preserve">: 1.1 years </w:t>
            </w:r>
          </w:p>
        </w:tc>
        <w:tc>
          <w:tcPr>
            <w:tcW w:w="551" w:type="pct"/>
            <w:shd w:val="clear" w:color="auto" w:fill="auto"/>
            <w:vAlign w:val="center"/>
          </w:tcPr>
          <w:p w14:paraId="408F8633" w14:textId="77777777" w:rsidR="007F1017" w:rsidRPr="00244FB2" w:rsidRDefault="00147CF0" w:rsidP="00EC5836">
            <w:pPr>
              <w:pStyle w:val="TableText"/>
              <w:jc w:val="center"/>
            </w:pPr>
            <w:r w:rsidRPr="00244FB2">
              <w:t>Unclear</w:t>
            </w:r>
          </w:p>
        </w:tc>
        <w:tc>
          <w:tcPr>
            <w:tcW w:w="788" w:type="pct"/>
            <w:shd w:val="clear" w:color="auto" w:fill="auto"/>
            <w:vAlign w:val="center"/>
          </w:tcPr>
          <w:p w14:paraId="5D1C2339" w14:textId="77777777" w:rsidR="007F1017" w:rsidRPr="00244FB2" w:rsidRDefault="00147CF0" w:rsidP="00A25C01">
            <w:pPr>
              <w:pStyle w:val="TableText"/>
              <w:jc w:val="center"/>
            </w:pPr>
            <w:r w:rsidRPr="00244FB2">
              <w:t>NMOSD patients who are AQP4+</w:t>
            </w:r>
          </w:p>
        </w:tc>
        <w:tc>
          <w:tcPr>
            <w:tcW w:w="847" w:type="pct"/>
            <w:shd w:val="clear" w:color="auto" w:fill="auto"/>
            <w:vAlign w:val="center"/>
          </w:tcPr>
          <w:p w14:paraId="1B80339A" w14:textId="77777777" w:rsidR="007F1017" w:rsidRPr="00244FB2" w:rsidRDefault="00147CF0" w:rsidP="00EC5836">
            <w:pPr>
              <w:pStyle w:val="TableText"/>
              <w:jc w:val="center"/>
            </w:pPr>
            <w:r w:rsidRPr="00244FB2">
              <w:t>Time to first relapse</w:t>
            </w:r>
            <w:r w:rsidR="00DB17DB" w:rsidRPr="00244FB2">
              <w:t>, relapse rate</w:t>
            </w:r>
            <w:r w:rsidRPr="00244FB2">
              <w:t>, disability</w:t>
            </w:r>
            <w:r w:rsidR="00DB17DB" w:rsidRPr="00244FB2">
              <w:t xml:space="preserve"> progression</w:t>
            </w:r>
            <w:r w:rsidRPr="00244FB2">
              <w:t>, quality of life</w:t>
            </w:r>
          </w:p>
        </w:tc>
        <w:tc>
          <w:tcPr>
            <w:tcW w:w="1133" w:type="pct"/>
            <w:shd w:val="clear" w:color="auto" w:fill="auto"/>
            <w:vAlign w:val="center"/>
          </w:tcPr>
          <w:p w14:paraId="20485205" w14:textId="77777777" w:rsidR="007F1017" w:rsidRPr="00244FB2" w:rsidRDefault="00DB17DB" w:rsidP="00DB17DB">
            <w:pPr>
              <w:pStyle w:val="TableText"/>
              <w:jc w:val="center"/>
            </w:pPr>
            <w:r w:rsidRPr="00244FB2">
              <w:t>R</w:t>
            </w:r>
            <w:r w:rsidR="00655EBD" w:rsidRPr="00244FB2">
              <w:t>isk of relapse, treatment efficacy</w:t>
            </w:r>
            <w:r w:rsidRPr="00244FB2">
              <w:t>, treatment discontinuation, risk of disability progression, health state utility values</w:t>
            </w:r>
          </w:p>
        </w:tc>
      </w:tr>
    </w:tbl>
    <w:p w14:paraId="5C47B66C" w14:textId="77777777" w:rsidR="00EA763D" w:rsidRPr="00244FB2" w:rsidRDefault="00045017" w:rsidP="00EC5836">
      <w:pPr>
        <w:pStyle w:val="TableFigureFooter"/>
      </w:pPr>
      <w:r w:rsidRPr="00244FB2">
        <w:t>So</w:t>
      </w:r>
      <w:r w:rsidR="00DB17DB" w:rsidRPr="00244FB2">
        <w:t>urce: Table 2-5 (p 34-35), Table 2-18 (p 65-66), Section 2.4 (p 39-53) of the submission</w:t>
      </w:r>
    </w:p>
    <w:p w14:paraId="462E2D71" w14:textId="77777777" w:rsidR="00317F93" w:rsidRPr="00244FB2" w:rsidRDefault="00317F93" w:rsidP="00EC5836">
      <w:pPr>
        <w:pStyle w:val="TableFigureFooter"/>
      </w:pPr>
      <w:r w:rsidRPr="00244FB2">
        <w:t xml:space="preserve">AQP4+ = aquaporin-4 positive; </w:t>
      </w:r>
      <w:proofErr w:type="spellStart"/>
      <w:r w:rsidRPr="00244FB2">
        <w:t>Ecu</w:t>
      </w:r>
      <w:proofErr w:type="spellEnd"/>
      <w:r w:rsidRPr="00244FB2">
        <w:t xml:space="preserve"> = </w:t>
      </w:r>
      <w:proofErr w:type="spellStart"/>
      <w:r w:rsidRPr="00244FB2">
        <w:t>eculizumab</w:t>
      </w:r>
      <w:proofErr w:type="spellEnd"/>
      <w:r w:rsidRPr="00244FB2">
        <w:t xml:space="preserve">; NMOSD = </w:t>
      </w:r>
      <w:proofErr w:type="spellStart"/>
      <w:r w:rsidRPr="00244FB2">
        <w:t>neuromyelitis</w:t>
      </w:r>
      <w:proofErr w:type="spellEnd"/>
      <w:r w:rsidRPr="00244FB2">
        <w:t xml:space="preserve"> </w:t>
      </w:r>
      <w:proofErr w:type="spellStart"/>
      <w:r w:rsidRPr="00244FB2">
        <w:t>optica</w:t>
      </w:r>
      <w:proofErr w:type="spellEnd"/>
      <w:r w:rsidRPr="00244FB2">
        <w:t xml:space="preserve"> spectrum disorder’ </w:t>
      </w:r>
      <w:proofErr w:type="spellStart"/>
      <w:r w:rsidRPr="00244FB2">
        <w:t>Pbo</w:t>
      </w:r>
      <w:proofErr w:type="spellEnd"/>
      <w:r w:rsidRPr="00244FB2">
        <w:t xml:space="preserve"> = placebo</w:t>
      </w:r>
    </w:p>
    <w:p w14:paraId="74922A94" w14:textId="77777777" w:rsidR="00DB17DB" w:rsidRPr="00244FB2" w:rsidRDefault="00DB17DB" w:rsidP="00132B93">
      <w:pPr>
        <w:pStyle w:val="ExecSumBodyText"/>
      </w:pPr>
      <w:r w:rsidRPr="00244FB2">
        <w:t xml:space="preserve">The </w:t>
      </w:r>
      <w:r w:rsidR="005F0D55" w:rsidRPr="00244FB2">
        <w:t xml:space="preserve">ESC </w:t>
      </w:r>
      <w:r w:rsidR="00FE394B" w:rsidRPr="00244FB2">
        <w:t>consider</w:t>
      </w:r>
      <w:r w:rsidR="005F0D55" w:rsidRPr="00244FB2">
        <w:t xml:space="preserve">ed that the </w:t>
      </w:r>
      <w:r w:rsidRPr="00244FB2">
        <w:t xml:space="preserve">risk of bias in the PREVENT trial was unclear due to a number of </w:t>
      </w:r>
      <w:r w:rsidR="00987BF2" w:rsidRPr="00244FB2">
        <w:t>significant protocol changes</w:t>
      </w:r>
      <w:r w:rsidRPr="00244FB2">
        <w:t xml:space="preserve">, differential discontinuations between treatments arms </w:t>
      </w:r>
      <w:r w:rsidR="00F856A4" w:rsidRPr="00244FB2">
        <w:t xml:space="preserve">(16.7% in the </w:t>
      </w:r>
      <w:proofErr w:type="spellStart"/>
      <w:r w:rsidR="00F856A4" w:rsidRPr="00244FB2">
        <w:t>eculizumab</w:t>
      </w:r>
      <w:proofErr w:type="spellEnd"/>
      <w:r w:rsidR="00F856A4" w:rsidRPr="00244FB2">
        <w:t xml:space="preserve"> arm versus 6.4% in the placebo arm) </w:t>
      </w:r>
      <w:r w:rsidRPr="00244FB2">
        <w:t>and a substantial number of major protocol violations</w:t>
      </w:r>
      <w:r w:rsidR="00F856A4" w:rsidRPr="00244FB2">
        <w:t xml:space="preserve"> (</w:t>
      </w:r>
      <w:r w:rsidR="00132B93" w:rsidRPr="00244FB2">
        <w:t>approximately 40% of patients had a major violation</w:t>
      </w:r>
      <w:r w:rsidR="00F856A4" w:rsidRPr="00244FB2">
        <w:t>)</w:t>
      </w:r>
      <w:r w:rsidR="0019492F" w:rsidRPr="00244FB2">
        <w:t>.</w:t>
      </w:r>
    </w:p>
    <w:p w14:paraId="26786A80" w14:textId="77777777" w:rsidR="0039480F" w:rsidRPr="00244FB2" w:rsidRDefault="0039480F" w:rsidP="00DB17DB">
      <w:pPr>
        <w:pStyle w:val="ExecSumBodyText"/>
      </w:pPr>
      <w:r w:rsidRPr="00244FB2">
        <w:t xml:space="preserve">A key consideration in the interpretation of outcomes from the PREVENT trial was the limited follow-up of patients experiencing an on-trial relapse (patients completed the </w:t>
      </w:r>
      <w:r w:rsidR="00985966" w:rsidRPr="00244FB2">
        <w:t xml:space="preserve">PREVENT </w:t>
      </w:r>
      <w:r w:rsidRPr="00244FB2">
        <w:t xml:space="preserve">study 6 weeks after relapse). This timeframe appeared insufficient to adequately capture post-relapse recovery or adequately assess the treatment effect of </w:t>
      </w:r>
      <w:proofErr w:type="spellStart"/>
      <w:r w:rsidRPr="00244FB2">
        <w:t>eculizumab</w:t>
      </w:r>
      <w:proofErr w:type="spellEnd"/>
      <w:r w:rsidRPr="00244FB2">
        <w:t xml:space="preserve"> in patients experiencing multiple relapse events.</w:t>
      </w:r>
    </w:p>
    <w:p w14:paraId="749A785A" w14:textId="1A16F85B" w:rsidR="00DB17DB" w:rsidRPr="00244FB2" w:rsidRDefault="00DB17DB" w:rsidP="00DB17DB">
      <w:pPr>
        <w:pStyle w:val="ExecSumBodyText"/>
      </w:pPr>
      <w:r w:rsidRPr="00244FB2">
        <w:t>The interim analysis from the ongoing extension study (ECU-NMO-302) was considered to be at high risk of bias given the observational study design and incomplete follow-up</w:t>
      </w:r>
      <w:r w:rsidR="00FD7FFE" w:rsidRPr="00244FB2">
        <w:t xml:space="preserve">. The submission provided the results of an interim April 2018 report which included 39 patients experiencing an on-trial relapse during the PREVENT </w:t>
      </w:r>
      <w:r w:rsidR="00FD7FFE" w:rsidRPr="00244FB2">
        <w:lastRenderedPageBreak/>
        <w:t>trial</w:t>
      </w:r>
      <w:r w:rsidR="006D3399" w:rsidRPr="00244FB2">
        <w:t xml:space="preserve"> (average additional follow-up of approximately 1.6 years)</w:t>
      </w:r>
      <w:r w:rsidR="00FD7FFE" w:rsidRPr="00244FB2">
        <w:t xml:space="preserve">. The sponsor also provided some additional results from </w:t>
      </w:r>
      <w:r w:rsidR="00FA5039" w:rsidRPr="00244FB2">
        <w:t>a</w:t>
      </w:r>
      <w:r w:rsidR="00FD7FFE" w:rsidRPr="00244FB2">
        <w:t xml:space="preserve"> later October 2018 </w:t>
      </w:r>
      <w:r w:rsidR="00842C7F" w:rsidRPr="00244FB2">
        <w:t>cut-off</w:t>
      </w:r>
      <w:r w:rsidR="00FD7FFE" w:rsidRPr="00244FB2">
        <w:t xml:space="preserve"> which included 1</w:t>
      </w:r>
      <w:r w:rsidR="006D3399" w:rsidRPr="00244FB2">
        <w:t>19</w:t>
      </w:r>
      <w:r w:rsidR="00FD7FFE" w:rsidRPr="00244FB2">
        <w:t xml:space="preserve"> </w:t>
      </w:r>
      <w:r w:rsidR="00EC18B7" w:rsidRPr="00244FB2">
        <w:t xml:space="preserve">relapsing and non-relapsing </w:t>
      </w:r>
      <w:r w:rsidR="00FD7FFE" w:rsidRPr="00244FB2">
        <w:t>patients</w:t>
      </w:r>
      <w:r w:rsidR="006D3399" w:rsidRPr="00244FB2">
        <w:t xml:space="preserve"> (median additional follow-up of approximately 0.4 years)</w:t>
      </w:r>
      <w:r w:rsidRPr="00244FB2">
        <w:t>.</w:t>
      </w:r>
    </w:p>
    <w:p w14:paraId="65081C50" w14:textId="77777777" w:rsidR="001A753A" w:rsidRPr="00244FB2" w:rsidRDefault="00C22BD5" w:rsidP="00DB17DB">
      <w:pPr>
        <w:pStyle w:val="ExecSumBodyText"/>
        <w:rPr>
          <w:i/>
        </w:rPr>
      </w:pPr>
      <w:r w:rsidRPr="00244FB2">
        <w:t>The PBAC noted the k</w:t>
      </w:r>
      <w:r w:rsidR="00091CE5" w:rsidRPr="00244FB2">
        <w:t xml:space="preserve">ey applicability issues with the PREVENT trial </w:t>
      </w:r>
      <w:r w:rsidRPr="00244FB2">
        <w:t xml:space="preserve">which </w:t>
      </w:r>
      <w:r w:rsidR="00091CE5" w:rsidRPr="00244FB2">
        <w:t>are summarised below</w:t>
      </w:r>
      <w:r w:rsidR="00022269" w:rsidRPr="00244FB2">
        <w:t>.</w:t>
      </w:r>
    </w:p>
    <w:p w14:paraId="03332094" w14:textId="77777777" w:rsidR="00091CE5" w:rsidRPr="00244FB2" w:rsidRDefault="00091CE5" w:rsidP="00985966">
      <w:pPr>
        <w:pStyle w:val="Tableheadingrow"/>
        <w:rPr>
          <w:lang w:val="en-AU"/>
        </w:rPr>
      </w:pPr>
      <w:r w:rsidRPr="00244FB2">
        <w:rPr>
          <w:lang w:val="en-AU"/>
        </w:rPr>
        <w:t>Table 4: Key applicability issues with the PREVENT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35"/>
        <w:gridCol w:w="7482"/>
      </w:tblGrid>
      <w:tr w:rsidR="007433D3" w:rsidRPr="00244FB2" w14:paraId="12E1E96A" w14:textId="77777777" w:rsidTr="00294486">
        <w:trPr>
          <w:tblHeader/>
        </w:trPr>
        <w:tc>
          <w:tcPr>
            <w:tcW w:w="851" w:type="pct"/>
            <w:shd w:val="clear" w:color="auto" w:fill="auto"/>
            <w:vAlign w:val="center"/>
          </w:tcPr>
          <w:p w14:paraId="5B757660" w14:textId="77777777" w:rsidR="007433D3" w:rsidRPr="00244FB2" w:rsidRDefault="007433D3" w:rsidP="00985966">
            <w:pPr>
              <w:pStyle w:val="Tableheadingrow"/>
              <w:jc w:val="center"/>
              <w:rPr>
                <w:lang w:val="en-AU"/>
              </w:rPr>
            </w:pPr>
            <w:r w:rsidRPr="00244FB2">
              <w:rPr>
                <w:lang w:val="en-AU"/>
              </w:rPr>
              <w:t>Issue</w:t>
            </w:r>
          </w:p>
        </w:tc>
        <w:tc>
          <w:tcPr>
            <w:tcW w:w="4149" w:type="pct"/>
            <w:shd w:val="clear" w:color="auto" w:fill="auto"/>
            <w:vAlign w:val="center"/>
          </w:tcPr>
          <w:p w14:paraId="444B2BF3" w14:textId="77777777" w:rsidR="007433D3" w:rsidRPr="00244FB2" w:rsidRDefault="007433D3" w:rsidP="00985966">
            <w:pPr>
              <w:pStyle w:val="Tableheadingrow"/>
              <w:jc w:val="center"/>
              <w:rPr>
                <w:lang w:val="en-AU"/>
              </w:rPr>
            </w:pPr>
            <w:r w:rsidRPr="00244FB2">
              <w:rPr>
                <w:lang w:val="en-AU"/>
              </w:rPr>
              <w:t>Discussion</w:t>
            </w:r>
          </w:p>
        </w:tc>
      </w:tr>
      <w:tr w:rsidR="007433D3" w:rsidRPr="00244FB2" w14:paraId="1D37B25A" w14:textId="77777777" w:rsidTr="00294486">
        <w:tc>
          <w:tcPr>
            <w:tcW w:w="851" w:type="pct"/>
            <w:shd w:val="clear" w:color="auto" w:fill="auto"/>
            <w:vAlign w:val="center"/>
          </w:tcPr>
          <w:p w14:paraId="7FC43CB4" w14:textId="77777777" w:rsidR="007433D3" w:rsidRPr="00244FB2" w:rsidRDefault="007433D3" w:rsidP="0098559B">
            <w:pPr>
              <w:pStyle w:val="TableText"/>
              <w:keepNext w:val="0"/>
              <w:jc w:val="center"/>
            </w:pPr>
            <w:r w:rsidRPr="00244FB2">
              <w:t>Relapse frequency</w:t>
            </w:r>
          </w:p>
        </w:tc>
        <w:tc>
          <w:tcPr>
            <w:tcW w:w="4149" w:type="pct"/>
            <w:shd w:val="clear" w:color="auto" w:fill="auto"/>
            <w:vAlign w:val="center"/>
          </w:tcPr>
          <w:p w14:paraId="2659C43F" w14:textId="77777777" w:rsidR="007433D3" w:rsidRPr="00244FB2" w:rsidRDefault="007433D3" w:rsidP="00DC14F4">
            <w:pPr>
              <w:pStyle w:val="CommentText"/>
              <w:rPr>
                <w:rFonts w:ascii="Arial Narrow" w:hAnsi="Arial Narrow"/>
              </w:rPr>
            </w:pPr>
            <w:r w:rsidRPr="00244FB2">
              <w:rPr>
                <w:rFonts w:ascii="Arial Narrow" w:hAnsi="Arial Narrow"/>
              </w:rPr>
              <w:t>The relapse eligibility criteria in the PREVENT trial</w:t>
            </w:r>
            <w:r w:rsidR="00022269" w:rsidRPr="00244FB2">
              <w:rPr>
                <w:rFonts w:ascii="Arial Narrow" w:hAnsi="Arial Narrow"/>
              </w:rPr>
              <w:t xml:space="preserve"> (3 relapses in previous 2 years or 2 relapses in previous year)</w:t>
            </w:r>
            <w:r w:rsidRPr="00244FB2">
              <w:rPr>
                <w:rFonts w:ascii="Arial Narrow" w:hAnsi="Arial Narrow"/>
              </w:rPr>
              <w:t xml:space="preserve"> were stricter than those proposed for the requested PBS population</w:t>
            </w:r>
            <w:r w:rsidR="00E57B70" w:rsidRPr="00244FB2">
              <w:rPr>
                <w:rFonts w:ascii="Arial Narrow" w:hAnsi="Arial Narrow"/>
              </w:rPr>
              <w:t>, which required patients with frequent relapses to have had at least one relapse in the last 12 months, with at least two relapses in the last 24 months</w:t>
            </w:r>
            <w:r w:rsidRPr="00244FB2">
              <w:rPr>
                <w:rFonts w:ascii="Arial Narrow" w:hAnsi="Arial Narrow"/>
              </w:rPr>
              <w:t>. However, the submission argued that the trial population was comparable to the proposed PBS population based on the reported historical annualised relapse rate of 1.99 in the previous 24 months.</w:t>
            </w:r>
            <w:r w:rsidR="00022269" w:rsidRPr="00244FB2">
              <w:rPr>
                <w:rFonts w:ascii="Arial Narrow" w:hAnsi="Arial Narrow"/>
              </w:rPr>
              <w:t xml:space="preserve"> This argument appeared to be based on a misinterpretation of annualised relapse rates, with trial participants averaging approximately </w:t>
            </w:r>
            <w:r w:rsidR="00022269" w:rsidRPr="00244FB2">
              <w:rPr>
                <w:rFonts w:ascii="Arial Narrow" w:hAnsi="Arial Narrow"/>
                <w:u w:val="single"/>
              </w:rPr>
              <w:t>2 relapses per year</w:t>
            </w:r>
            <w:r w:rsidR="00794B28" w:rsidRPr="00244FB2">
              <w:rPr>
                <w:rFonts w:ascii="Arial Narrow" w:hAnsi="Arial Narrow"/>
                <w:u w:val="single"/>
              </w:rPr>
              <w:t>,</w:t>
            </w:r>
            <w:r w:rsidR="00EC18B7" w:rsidRPr="00244FB2">
              <w:rPr>
                <w:rFonts w:ascii="Arial Narrow" w:hAnsi="Arial Narrow"/>
                <w:u w:val="single"/>
              </w:rPr>
              <w:t xml:space="preserve"> not 2 relapses over 2 years</w:t>
            </w:r>
            <w:r w:rsidR="00022269" w:rsidRPr="00244FB2">
              <w:rPr>
                <w:rFonts w:ascii="Arial Narrow" w:hAnsi="Arial Narrow"/>
              </w:rPr>
              <w:t xml:space="preserve">. It is likely that the PBS population will include patients with lower risk of relapse. In general, a smaller absolute risk of relapse will reduce the magnitude of benefit associated with </w:t>
            </w:r>
            <w:proofErr w:type="spellStart"/>
            <w:r w:rsidR="00022269" w:rsidRPr="00244FB2">
              <w:rPr>
                <w:rFonts w:ascii="Arial Narrow" w:hAnsi="Arial Narrow"/>
              </w:rPr>
              <w:t>eculizumab</w:t>
            </w:r>
            <w:proofErr w:type="spellEnd"/>
            <w:r w:rsidR="00022269" w:rsidRPr="00244FB2">
              <w:rPr>
                <w:rFonts w:ascii="Arial Narrow" w:hAnsi="Arial Narrow"/>
              </w:rPr>
              <w:t xml:space="preserve"> treatment.</w:t>
            </w:r>
            <w:r w:rsidR="00F719D9" w:rsidRPr="00244FB2">
              <w:rPr>
                <w:rFonts w:ascii="Arial Narrow" w:hAnsi="Arial Narrow"/>
              </w:rPr>
              <w:t xml:space="preserve"> </w:t>
            </w:r>
            <w:r w:rsidR="002C12EA" w:rsidRPr="00244FB2">
              <w:rPr>
                <w:rFonts w:ascii="Arial Narrow" w:hAnsi="Arial Narrow"/>
              </w:rPr>
              <w:t>The PSCR agreed that the clinical criter</w:t>
            </w:r>
            <w:r w:rsidR="00BA2244" w:rsidRPr="00244FB2">
              <w:rPr>
                <w:rFonts w:ascii="Arial Narrow" w:hAnsi="Arial Narrow"/>
              </w:rPr>
              <w:t>ia in the proposed restriction we</w:t>
            </w:r>
            <w:r w:rsidR="002C12EA" w:rsidRPr="00244FB2">
              <w:rPr>
                <w:rFonts w:ascii="Arial Narrow" w:hAnsi="Arial Narrow"/>
              </w:rPr>
              <w:t xml:space="preserve">re broader than the eligibility criteria of the PREVENT trial in terms of relapse frequency. </w:t>
            </w:r>
            <w:r w:rsidR="00F719D9" w:rsidRPr="00244FB2">
              <w:rPr>
                <w:rFonts w:ascii="Arial Narrow" w:hAnsi="Arial Narrow"/>
              </w:rPr>
              <w:t xml:space="preserve">The PSCR </w:t>
            </w:r>
            <w:r w:rsidR="00FE394B" w:rsidRPr="00244FB2">
              <w:rPr>
                <w:rFonts w:ascii="Arial Narrow" w:hAnsi="Arial Narrow"/>
              </w:rPr>
              <w:t>referenced</w:t>
            </w:r>
            <w:r w:rsidR="005D5E9B" w:rsidRPr="00244FB2">
              <w:rPr>
                <w:rFonts w:ascii="Arial Narrow" w:hAnsi="Arial Narrow"/>
              </w:rPr>
              <w:t xml:space="preserve"> data from the Palace 2019</w:t>
            </w:r>
            <w:r w:rsidR="005D5E9B" w:rsidRPr="00244FB2">
              <w:rPr>
                <w:rStyle w:val="FootnoteReference"/>
                <w:rFonts w:ascii="Arial Narrow" w:hAnsi="Arial Narrow"/>
              </w:rPr>
              <w:footnoteReference w:id="1"/>
            </w:r>
            <w:r w:rsidR="005D5E9B" w:rsidRPr="00244FB2">
              <w:rPr>
                <w:rFonts w:ascii="Arial Narrow" w:hAnsi="Arial Narrow"/>
              </w:rPr>
              <w:t xml:space="preserve"> study </w:t>
            </w:r>
            <w:r w:rsidR="00D04A5E" w:rsidRPr="00244FB2">
              <w:rPr>
                <w:rFonts w:ascii="Arial Narrow" w:hAnsi="Arial Narrow"/>
              </w:rPr>
              <w:t xml:space="preserve">(see table below) </w:t>
            </w:r>
            <w:r w:rsidR="005D5E9B" w:rsidRPr="00244FB2">
              <w:rPr>
                <w:rFonts w:ascii="Arial Narrow" w:hAnsi="Arial Narrow"/>
              </w:rPr>
              <w:t>which</w:t>
            </w:r>
            <w:r w:rsidR="00DC14F4" w:rsidRPr="00244FB2">
              <w:rPr>
                <w:rFonts w:ascii="Arial Narrow" w:hAnsi="Arial Narrow"/>
              </w:rPr>
              <w:t xml:space="preserve"> the PSCR claimed showed that relapse activity in the prior 2 years has only a modest effect on the proportion of patients relapsing in the next 2 years. The PSCR </w:t>
            </w:r>
            <w:r w:rsidR="005D5E9B" w:rsidRPr="00244FB2">
              <w:rPr>
                <w:rFonts w:ascii="Arial Narrow" w:hAnsi="Arial Narrow"/>
              </w:rPr>
              <w:t>suggested</w:t>
            </w:r>
            <w:r w:rsidR="00F254C6" w:rsidRPr="00244FB2">
              <w:rPr>
                <w:rFonts w:ascii="Arial Narrow" w:hAnsi="Arial Narrow"/>
              </w:rPr>
              <w:t xml:space="preserve"> that the number of prior relapses is not necessarily synonymous with future risk of relapse or severity of disease</w:t>
            </w:r>
            <w:r w:rsidR="002C12EA" w:rsidRPr="00244FB2">
              <w:rPr>
                <w:rFonts w:ascii="Arial Narrow" w:hAnsi="Arial Narrow"/>
              </w:rPr>
              <w:t xml:space="preserve"> and </w:t>
            </w:r>
            <w:r w:rsidR="00F719D9" w:rsidRPr="00244FB2">
              <w:rPr>
                <w:rFonts w:ascii="Arial Narrow" w:hAnsi="Arial Narrow"/>
              </w:rPr>
              <w:t xml:space="preserve">stated that as NMOSD progression </w:t>
            </w:r>
            <w:r w:rsidR="00536A8E" w:rsidRPr="00244FB2">
              <w:rPr>
                <w:rFonts w:ascii="Arial Narrow" w:hAnsi="Arial Narrow"/>
              </w:rPr>
              <w:t xml:space="preserve">and disability </w:t>
            </w:r>
            <w:r w:rsidR="00F719D9" w:rsidRPr="00244FB2">
              <w:rPr>
                <w:rFonts w:ascii="Arial Narrow" w:hAnsi="Arial Narrow"/>
              </w:rPr>
              <w:t>does not occur without a relapse, a reduction in relapses results in a reduction of disability.</w:t>
            </w:r>
            <w:r w:rsidR="00536A8E" w:rsidRPr="00244FB2">
              <w:rPr>
                <w:rFonts w:ascii="Arial Narrow" w:hAnsi="Arial Narrow"/>
              </w:rPr>
              <w:t xml:space="preserve"> Th</w:t>
            </w:r>
            <w:r w:rsidR="006533A0" w:rsidRPr="00244FB2">
              <w:rPr>
                <w:rFonts w:ascii="Arial Narrow" w:hAnsi="Arial Narrow"/>
              </w:rPr>
              <w:t>us, the aim of the restriction wa</w:t>
            </w:r>
            <w:r w:rsidR="00536A8E" w:rsidRPr="00244FB2">
              <w:rPr>
                <w:rFonts w:ascii="Arial Narrow" w:hAnsi="Arial Narrow"/>
              </w:rPr>
              <w:t xml:space="preserve">s to target patients who will benefit the most from </w:t>
            </w:r>
            <w:proofErr w:type="spellStart"/>
            <w:r w:rsidR="00536A8E" w:rsidRPr="00244FB2">
              <w:rPr>
                <w:rFonts w:ascii="Arial Narrow" w:hAnsi="Arial Narrow"/>
              </w:rPr>
              <w:t>eculizumab</w:t>
            </w:r>
            <w:proofErr w:type="spellEnd"/>
            <w:r w:rsidR="00536A8E" w:rsidRPr="00244FB2">
              <w:rPr>
                <w:rFonts w:ascii="Arial Narrow" w:hAnsi="Arial Narrow"/>
              </w:rPr>
              <w:t>.</w:t>
            </w:r>
            <w:r w:rsidR="005D5E9B" w:rsidRPr="00244FB2">
              <w:rPr>
                <w:rFonts w:ascii="Arial Narrow" w:hAnsi="Arial Narrow"/>
              </w:rPr>
              <w:t xml:space="preserve"> The ESC noted that the Palace 2019 study did not apply the same definitions of prior relapse as were used in the clinical trial</w:t>
            </w:r>
            <w:r w:rsidR="00D04A5E" w:rsidRPr="00244FB2">
              <w:rPr>
                <w:rFonts w:ascii="Arial Narrow" w:hAnsi="Arial Narrow"/>
              </w:rPr>
              <w:t xml:space="preserve"> or adjust for the clustering nature of relapses</w:t>
            </w:r>
            <w:r w:rsidR="00D163F1" w:rsidRPr="00244FB2">
              <w:rPr>
                <w:rFonts w:ascii="Arial Narrow" w:hAnsi="Arial Narrow"/>
              </w:rPr>
              <w:t xml:space="preserve"> which has been reported in a number of longitudinal studies and discussed in regulatory documents (EMA workshop on NMOSD 2015; TGAs delegate’s recommendation for </w:t>
            </w:r>
            <w:proofErr w:type="spellStart"/>
            <w:r w:rsidR="00D163F1" w:rsidRPr="00244FB2">
              <w:rPr>
                <w:rFonts w:ascii="Arial Narrow" w:hAnsi="Arial Narrow"/>
              </w:rPr>
              <w:t>eculizumab</w:t>
            </w:r>
            <w:proofErr w:type="spellEnd"/>
            <w:r w:rsidR="00D163F1" w:rsidRPr="00244FB2">
              <w:rPr>
                <w:rFonts w:ascii="Arial Narrow" w:hAnsi="Arial Narrow"/>
              </w:rPr>
              <w:t>)</w:t>
            </w:r>
            <w:r w:rsidR="005D5E9B" w:rsidRPr="00244FB2">
              <w:rPr>
                <w:rFonts w:ascii="Arial Narrow" w:hAnsi="Arial Narrow"/>
              </w:rPr>
              <w:t>.</w:t>
            </w:r>
            <w:r w:rsidR="00DC14F4" w:rsidRPr="00244FB2">
              <w:rPr>
                <w:rFonts w:ascii="Arial Narrow" w:hAnsi="Arial Narrow"/>
              </w:rPr>
              <w:t xml:space="preserve"> Further, the relapse categories used in the Palace 2019 study were not mutually exclusive and therefore higher risk patients were also included in lower risk categories</w:t>
            </w:r>
            <w:r w:rsidR="00043294" w:rsidRPr="00244FB2">
              <w:rPr>
                <w:rFonts w:ascii="Arial Narrow" w:hAnsi="Arial Narrow"/>
              </w:rPr>
              <w:t xml:space="preserve">. The ESC noted that the Palace 2019 data indicated that relaxing </w:t>
            </w:r>
            <w:r w:rsidR="00D40BCB" w:rsidRPr="00244FB2">
              <w:rPr>
                <w:rFonts w:ascii="Arial Narrow" w:hAnsi="Arial Narrow"/>
              </w:rPr>
              <w:t xml:space="preserve">the </w:t>
            </w:r>
            <w:r w:rsidR="0059019D" w:rsidRPr="00244FB2">
              <w:rPr>
                <w:rFonts w:ascii="Arial Narrow" w:hAnsi="Arial Narrow"/>
              </w:rPr>
              <w:t>restriction</w:t>
            </w:r>
            <w:r w:rsidR="00C17FFD" w:rsidRPr="00244FB2">
              <w:rPr>
                <w:rFonts w:ascii="Arial Narrow" w:hAnsi="Arial Narrow"/>
              </w:rPr>
              <w:t xml:space="preserve"> criteria around </w:t>
            </w:r>
            <w:r w:rsidR="00043294" w:rsidRPr="00244FB2">
              <w:rPr>
                <w:rFonts w:ascii="Arial Narrow" w:hAnsi="Arial Narrow"/>
              </w:rPr>
              <w:t>the number of prior relapses would re</w:t>
            </w:r>
            <w:r w:rsidR="00C17FFD" w:rsidRPr="00244FB2">
              <w:rPr>
                <w:rFonts w:ascii="Arial Narrow" w:hAnsi="Arial Narrow"/>
              </w:rPr>
              <w:t>sult in a population who have a lower absolute risk of further relapses (e.g. with no relapse criterion, 54% of patients would be likely to relapse within 2 years, versus 68% in a group of patients with ≥ 3 relapses in the previous 2 years</w:t>
            </w:r>
            <w:r w:rsidR="00BD0AA7" w:rsidRPr="00244FB2">
              <w:rPr>
                <w:rFonts w:ascii="Arial Narrow" w:hAnsi="Arial Narrow"/>
              </w:rPr>
              <w:t>, based on the data presented</w:t>
            </w:r>
            <w:r w:rsidR="00C17FFD" w:rsidRPr="00244FB2">
              <w:rPr>
                <w:rFonts w:ascii="Arial Narrow" w:hAnsi="Arial Narrow"/>
              </w:rPr>
              <w:t>).</w:t>
            </w:r>
            <w:r w:rsidR="00C13CF5" w:rsidRPr="00244FB2">
              <w:rPr>
                <w:rFonts w:ascii="Arial Narrow" w:hAnsi="Arial Narrow"/>
              </w:rPr>
              <w:t xml:space="preserve"> The pre-PBAC response acknowledged that the Palace 2019 analysis did not apply the same definitions of prior relapse as per the PREVENT trial, but stated that the results did not demonstrate a clear trend for an increasing proportion of patients with relapses in those who had experienced more relapses in the past 2 years. </w:t>
            </w:r>
            <w:r w:rsidR="00C73823" w:rsidRPr="00244FB2">
              <w:rPr>
                <w:rFonts w:ascii="Arial Narrow" w:hAnsi="Arial Narrow"/>
              </w:rPr>
              <w:t>However, the PBAC considered there were a number of issues with the Palace 2019 analysis (as identified by ESC above) and agreed with evaluation and the ESC that the proposed PBS population would include patients with a lower risk of relapse than those enrolled in the trial.</w:t>
            </w:r>
          </w:p>
          <w:p w14:paraId="5CCA6C4B" w14:textId="77777777" w:rsidR="00D04A5E" w:rsidRPr="00244FB2" w:rsidRDefault="00D04A5E" w:rsidP="0098559B">
            <w:pPr>
              <w:pStyle w:val="TableText"/>
              <w:keepNext w:val="0"/>
            </w:pPr>
          </w:p>
          <w:p w14:paraId="5CA9570E" w14:textId="77777777" w:rsidR="00D163F1" w:rsidRPr="00244FB2" w:rsidRDefault="00D163F1" w:rsidP="0098559B">
            <w:pPr>
              <w:pStyle w:val="TableText"/>
              <w:keepNext w:val="0"/>
              <w:rPr>
                <w:b/>
              </w:rPr>
            </w:pPr>
            <w:r w:rsidRPr="00244FB2">
              <w:rPr>
                <w:b/>
              </w:rPr>
              <w:t>Risk of relapse based on prior relapse criteria</w:t>
            </w:r>
          </w:p>
          <w:tbl>
            <w:tblPr>
              <w:tblStyle w:val="TableGrid"/>
              <w:tblW w:w="0" w:type="auto"/>
              <w:tblLayout w:type="fixed"/>
              <w:tblLook w:val="04A0" w:firstRow="1" w:lastRow="0" w:firstColumn="1" w:lastColumn="0" w:noHBand="0" w:noVBand="1"/>
            </w:tblPr>
            <w:tblGrid>
              <w:gridCol w:w="1835"/>
              <w:gridCol w:w="1276"/>
              <w:gridCol w:w="1418"/>
              <w:gridCol w:w="1403"/>
              <w:gridCol w:w="1484"/>
            </w:tblGrid>
            <w:tr w:rsidR="00D04A5E" w:rsidRPr="00244FB2" w14:paraId="7997CD94" w14:textId="77777777" w:rsidTr="00D54195">
              <w:trPr>
                <w:tblHeader/>
              </w:trPr>
              <w:tc>
                <w:tcPr>
                  <w:tcW w:w="1835" w:type="dxa"/>
                  <w:tcMar>
                    <w:left w:w="28" w:type="dxa"/>
                    <w:right w:w="28" w:type="dxa"/>
                  </w:tcMar>
                </w:tcPr>
                <w:p w14:paraId="677D9DCF" w14:textId="77777777" w:rsidR="00D04A5E" w:rsidRPr="00244FB2" w:rsidRDefault="00D163F1" w:rsidP="0098559B">
                  <w:pPr>
                    <w:pStyle w:val="TableText"/>
                    <w:keepNext w:val="0"/>
                    <w:rPr>
                      <w:b/>
                    </w:rPr>
                  </w:pPr>
                  <w:r w:rsidRPr="00244FB2">
                    <w:rPr>
                      <w:b/>
                    </w:rPr>
                    <w:lastRenderedPageBreak/>
                    <w:t>Number of relapses in previous 2 years</w:t>
                  </w:r>
                </w:p>
              </w:tc>
              <w:tc>
                <w:tcPr>
                  <w:tcW w:w="1276" w:type="dxa"/>
                  <w:tcMar>
                    <w:left w:w="28" w:type="dxa"/>
                    <w:right w:w="28" w:type="dxa"/>
                  </w:tcMar>
                </w:tcPr>
                <w:p w14:paraId="591BF35A" w14:textId="77777777" w:rsidR="00D04A5E" w:rsidRPr="00244FB2" w:rsidRDefault="00D163F1" w:rsidP="00D163F1">
                  <w:pPr>
                    <w:pStyle w:val="TableText"/>
                    <w:keepNext w:val="0"/>
                    <w:jc w:val="center"/>
                    <w:rPr>
                      <w:b/>
                    </w:rPr>
                  </w:pPr>
                  <w:r w:rsidRPr="00244FB2">
                    <w:rPr>
                      <w:b/>
                    </w:rPr>
                    <w:t>Disease duration</w:t>
                  </w:r>
                </w:p>
              </w:tc>
              <w:tc>
                <w:tcPr>
                  <w:tcW w:w="1418" w:type="dxa"/>
                  <w:tcMar>
                    <w:left w:w="28" w:type="dxa"/>
                    <w:right w:w="28" w:type="dxa"/>
                  </w:tcMar>
                </w:tcPr>
                <w:p w14:paraId="2053A5C7" w14:textId="77777777" w:rsidR="00D04A5E" w:rsidRPr="00244FB2" w:rsidRDefault="00D163F1" w:rsidP="00D163F1">
                  <w:pPr>
                    <w:pStyle w:val="TableText"/>
                    <w:keepNext w:val="0"/>
                    <w:jc w:val="center"/>
                    <w:rPr>
                      <w:b/>
                    </w:rPr>
                  </w:pPr>
                  <w:r w:rsidRPr="00244FB2">
                    <w:rPr>
                      <w:b/>
                    </w:rPr>
                    <w:t>Relapsing in 1 year</w:t>
                  </w:r>
                </w:p>
              </w:tc>
              <w:tc>
                <w:tcPr>
                  <w:tcW w:w="1403" w:type="dxa"/>
                  <w:tcMar>
                    <w:left w:w="28" w:type="dxa"/>
                    <w:right w:w="28" w:type="dxa"/>
                  </w:tcMar>
                </w:tcPr>
                <w:p w14:paraId="440B9437" w14:textId="77777777" w:rsidR="00D04A5E" w:rsidRPr="00244FB2" w:rsidRDefault="00D163F1" w:rsidP="00D163F1">
                  <w:pPr>
                    <w:pStyle w:val="TableText"/>
                    <w:keepNext w:val="0"/>
                    <w:jc w:val="center"/>
                    <w:rPr>
                      <w:b/>
                    </w:rPr>
                  </w:pPr>
                  <w:r w:rsidRPr="00244FB2">
                    <w:rPr>
                      <w:b/>
                    </w:rPr>
                    <w:t>Relapsing in 2 years</w:t>
                  </w:r>
                </w:p>
              </w:tc>
              <w:tc>
                <w:tcPr>
                  <w:tcW w:w="1484" w:type="dxa"/>
                  <w:tcMar>
                    <w:left w:w="28" w:type="dxa"/>
                    <w:right w:w="28" w:type="dxa"/>
                  </w:tcMar>
                </w:tcPr>
                <w:p w14:paraId="0B41E26B" w14:textId="77777777" w:rsidR="00D04A5E" w:rsidRPr="00244FB2" w:rsidRDefault="00D163F1" w:rsidP="00D163F1">
                  <w:pPr>
                    <w:pStyle w:val="TableText"/>
                    <w:keepNext w:val="0"/>
                    <w:jc w:val="center"/>
                    <w:rPr>
                      <w:b/>
                    </w:rPr>
                  </w:pPr>
                  <w:r w:rsidRPr="00244FB2">
                    <w:rPr>
                      <w:b/>
                    </w:rPr>
                    <w:t>Average % of patients fulfilling criteria over time</w:t>
                  </w:r>
                </w:p>
              </w:tc>
            </w:tr>
            <w:tr w:rsidR="00D04A5E" w:rsidRPr="00244FB2" w14:paraId="78314C3B" w14:textId="77777777" w:rsidTr="00D163F1">
              <w:tc>
                <w:tcPr>
                  <w:tcW w:w="1835" w:type="dxa"/>
                  <w:tcMar>
                    <w:left w:w="28" w:type="dxa"/>
                    <w:right w:w="28" w:type="dxa"/>
                  </w:tcMar>
                </w:tcPr>
                <w:p w14:paraId="4FB69522" w14:textId="77777777" w:rsidR="00D04A5E" w:rsidRPr="00244FB2" w:rsidRDefault="00D163F1" w:rsidP="00D163F1">
                  <w:pPr>
                    <w:pStyle w:val="TableText"/>
                    <w:keepNext w:val="0"/>
                  </w:pPr>
                  <w:r w:rsidRPr="00244FB2">
                    <w:t xml:space="preserve">≥ 3 relapses </w:t>
                  </w:r>
                </w:p>
              </w:tc>
              <w:tc>
                <w:tcPr>
                  <w:tcW w:w="1276" w:type="dxa"/>
                  <w:tcMar>
                    <w:left w:w="28" w:type="dxa"/>
                    <w:right w:w="28" w:type="dxa"/>
                  </w:tcMar>
                </w:tcPr>
                <w:p w14:paraId="2A84289F" w14:textId="77777777" w:rsidR="00D04A5E" w:rsidRPr="00244FB2" w:rsidRDefault="00D163F1" w:rsidP="00D163F1">
                  <w:pPr>
                    <w:pStyle w:val="TableText"/>
                    <w:keepNext w:val="0"/>
                    <w:jc w:val="center"/>
                  </w:pPr>
                  <w:r w:rsidRPr="00244FB2">
                    <w:t>Any</w:t>
                  </w:r>
                </w:p>
              </w:tc>
              <w:tc>
                <w:tcPr>
                  <w:tcW w:w="1418" w:type="dxa"/>
                  <w:tcMar>
                    <w:left w:w="28" w:type="dxa"/>
                    <w:right w:w="28" w:type="dxa"/>
                  </w:tcMar>
                </w:tcPr>
                <w:p w14:paraId="2B172B7D" w14:textId="77777777" w:rsidR="00D04A5E" w:rsidRPr="00244FB2" w:rsidRDefault="00D163F1" w:rsidP="00D163F1">
                  <w:pPr>
                    <w:pStyle w:val="TableText"/>
                    <w:keepNext w:val="0"/>
                    <w:jc w:val="center"/>
                  </w:pPr>
                  <w:r w:rsidRPr="00244FB2">
                    <w:t>46.6%</w:t>
                  </w:r>
                </w:p>
              </w:tc>
              <w:tc>
                <w:tcPr>
                  <w:tcW w:w="1403" w:type="dxa"/>
                  <w:tcMar>
                    <w:left w:w="28" w:type="dxa"/>
                    <w:right w:w="28" w:type="dxa"/>
                  </w:tcMar>
                </w:tcPr>
                <w:p w14:paraId="32EC1814" w14:textId="77777777" w:rsidR="00D04A5E" w:rsidRPr="00244FB2" w:rsidRDefault="00D163F1" w:rsidP="00D163F1">
                  <w:pPr>
                    <w:pStyle w:val="TableText"/>
                    <w:keepNext w:val="0"/>
                    <w:jc w:val="center"/>
                  </w:pPr>
                  <w:r w:rsidRPr="00244FB2">
                    <w:t>67.9%</w:t>
                  </w:r>
                </w:p>
              </w:tc>
              <w:tc>
                <w:tcPr>
                  <w:tcW w:w="1484" w:type="dxa"/>
                  <w:tcMar>
                    <w:left w:w="28" w:type="dxa"/>
                    <w:right w:w="28" w:type="dxa"/>
                  </w:tcMar>
                </w:tcPr>
                <w:p w14:paraId="26647D8D" w14:textId="77777777" w:rsidR="00D04A5E" w:rsidRPr="00244FB2" w:rsidRDefault="00D163F1" w:rsidP="00D163F1">
                  <w:pPr>
                    <w:pStyle w:val="TableText"/>
                    <w:keepNext w:val="0"/>
                    <w:jc w:val="center"/>
                  </w:pPr>
                  <w:r w:rsidRPr="00244FB2">
                    <w:t>6.6%</w:t>
                  </w:r>
                </w:p>
              </w:tc>
            </w:tr>
            <w:tr w:rsidR="00D04A5E" w:rsidRPr="00244FB2" w14:paraId="627C1CB0" w14:textId="77777777" w:rsidTr="00D163F1">
              <w:tc>
                <w:tcPr>
                  <w:tcW w:w="1835" w:type="dxa"/>
                  <w:tcMar>
                    <w:left w:w="28" w:type="dxa"/>
                    <w:right w:w="28" w:type="dxa"/>
                  </w:tcMar>
                </w:tcPr>
                <w:p w14:paraId="1646749D" w14:textId="77777777" w:rsidR="00D04A5E" w:rsidRPr="00244FB2" w:rsidRDefault="00D163F1" w:rsidP="00D163F1">
                  <w:pPr>
                    <w:pStyle w:val="TableText"/>
                    <w:keepNext w:val="0"/>
                  </w:pPr>
                  <w:r w:rsidRPr="00244FB2">
                    <w:t xml:space="preserve">≥ 2 relapses </w:t>
                  </w:r>
                </w:p>
              </w:tc>
              <w:tc>
                <w:tcPr>
                  <w:tcW w:w="1276" w:type="dxa"/>
                  <w:tcMar>
                    <w:left w:w="28" w:type="dxa"/>
                    <w:right w:w="28" w:type="dxa"/>
                  </w:tcMar>
                </w:tcPr>
                <w:p w14:paraId="27F46435" w14:textId="77777777" w:rsidR="00D04A5E" w:rsidRPr="00244FB2" w:rsidRDefault="00D163F1" w:rsidP="00D163F1">
                  <w:pPr>
                    <w:pStyle w:val="TableText"/>
                    <w:keepNext w:val="0"/>
                    <w:jc w:val="center"/>
                  </w:pPr>
                  <w:r w:rsidRPr="00244FB2">
                    <w:t>Any</w:t>
                  </w:r>
                </w:p>
              </w:tc>
              <w:tc>
                <w:tcPr>
                  <w:tcW w:w="1418" w:type="dxa"/>
                  <w:tcMar>
                    <w:left w:w="28" w:type="dxa"/>
                    <w:right w:w="28" w:type="dxa"/>
                  </w:tcMar>
                </w:tcPr>
                <w:p w14:paraId="65B50F6E" w14:textId="77777777" w:rsidR="00D04A5E" w:rsidRPr="00244FB2" w:rsidRDefault="00D163F1" w:rsidP="00D163F1">
                  <w:pPr>
                    <w:pStyle w:val="TableText"/>
                    <w:keepNext w:val="0"/>
                    <w:jc w:val="center"/>
                  </w:pPr>
                  <w:r w:rsidRPr="00244FB2">
                    <w:t>42.6%</w:t>
                  </w:r>
                </w:p>
              </w:tc>
              <w:tc>
                <w:tcPr>
                  <w:tcW w:w="1403" w:type="dxa"/>
                  <w:tcMar>
                    <w:left w:w="28" w:type="dxa"/>
                    <w:right w:w="28" w:type="dxa"/>
                  </w:tcMar>
                </w:tcPr>
                <w:p w14:paraId="6E1DE86B" w14:textId="77777777" w:rsidR="00D04A5E" w:rsidRPr="00244FB2" w:rsidRDefault="00D163F1" w:rsidP="00D163F1">
                  <w:pPr>
                    <w:pStyle w:val="TableText"/>
                    <w:keepNext w:val="0"/>
                    <w:jc w:val="center"/>
                  </w:pPr>
                  <w:r w:rsidRPr="00244FB2">
                    <w:t>63.7%</w:t>
                  </w:r>
                </w:p>
              </w:tc>
              <w:tc>
                <w:tcPr>
                  <w:tcW w:w="1484" w:type="dxa"/>
                  <w:tcMar>
                    <w:left w:w="28" w:type="dxa"/>
                    <w:right w:w="28" w:type="dxa"/>
                  </w:tcMar>
                </w:tcPr>
                <w:p w14:paraId="0C6A3B93" w14:textId="77777777" w:rsidR="00D04A5E" w:rsidRPr="00244FB2" w:rsidRDefault="00D163F1" w:rsidP="00D163F1">
                  <w:pPr>
                    <w:pStyle w:val="TableText"/>
                    <w:keepNext w:val="0"/>
                    <w:jc w:val="center"/>
                  </w:pPr>
                  <w:r w:rsidRPr="00244FB2">
                    <w:t>17.6%</w:t>
                  </w:r>
                </w:p>
              </w:tc>
            </w:tr>
            <w:tr w:rsidR="00D04A5E" w:rsidRPr="00244FB2" w14:paraId="1B9AD409" w14:textId="77777777" w:rsidTr="00D163F1">
              <w:tc>
                <w:tcPr>
                  <w:tcW w:w="1835" w:type="dxa"/>
                  <w:tcMar>
                    <w:left w:w="28" w:type="dxa"/>
                    <w:right w:w="28" w:type="dxa"/>
                  </w:tcMar>
                </w:tcPr>
                <w:p w14:paraId="4E65852C" w14:textId="77777777" w:rsidR="00D04A5E" w:rsidRPr="00244FB2" w:rsidRDefault="00D163F1" w:rsidP="0098559B">
                  <w:pPr>
                    <w:pStyle w:val="TableText"/>
                    <w:keepNext w:val="0"/>
                  </w:pPr>
                  <w:r w:rsidRPr="00244FB2">
                    <w:t>≥ 1 relapses</w:t>
                  </w:r>
                </w:p>
              </w:tc>
              <w:tc>
                <w:tcPr>
                  <w:tcW w:w="1276" w:type="dxa"/>
                  <w:tcMar>
                    <w:left w:w="28" w:type="dxa"/>
                    <w:right w:w="28" w:type="dxa"/>
                  </w:tcMar>
                </w:tcPr>
                <w:p w14:paraId="27B2BEC7" w14:textId="77777777" w:rsidR="00D04A5E" w:rsidRPr="00244FB2" w:rsidRDefault="00D163F1" w:rsidP="00D163F1">
                  <w:pPr>
                    <w:pStyle w:val="TableText"/>
                    <w:keepNext w:val="0"/>
                    <w:jc w:val="center"/>
                  </w:pPr>
                  <w:r w:rsidRPr="00244FB2">
                    <w:t>Any</w:t>
                  </w:r>
                </w:p>
              </w:tc>
              <w:tc>
                <w:tcPr>
                  <w:tcW w:w="1418" w:type="dxa"/>
                  <w:tcMar>
                    <w:left w:w="28" w:type="dxa"/>
                    <w:right w:w="28" w:type="dxa"/>
                  </w:tcMar>
                </w:tcPr>
                <w:p w14:paraId="0F4DB150" w14:textId="77777777" w:rsidR="00D04A5E" w:rsidRPr="00244FB2" w:rsidRDefault="00D163F1" w:rsidP="00D163F1">
                  <w:pPr>
                    <w:pStyle w:val="TableText"/>
                    <w:keepNext w:val="0"/>
                    <w:jc w:val="center"/>
                  </w:pPr>
                  <w:r w:rsidRPr="00244FB2">
                    <w:t>38.7%</w:t>
                  </w:r>
                </w:p>
              </w:tc>
              <w:tc>
                <w:tcPr>
                  <w:tcW w:w="1403" w:type="dxa"/>
                  <w:tcMar>
                    <w:left w:w="28" w:type="dxa"/>
                    <w:right w:w="28" w:type="dxa"/>
                  </w:tcMar>
                </w:tcPr>
                <w:p w14:paraId="3297F572" w14:textId="77777777" w:rsidR="00D04A5E" w:rsidRPr="00244FB2" w:rsidRDefault="00D163F1" w:rsidP="00D163F1">
                  <w:pPr>
                    <w:pStyle w:val="TableText"/>
                    <w:keepNext w:val="0"/>
                    <w:jc w:val="center"/>
                  </w:pPr>
                  <w:r w:rsidRPr="00244FB2">
                    <w:t>59.2%</w:t>
                  </w:r>
                </w:p>
              </w:tc>
              <w:tc>
                <w:tcPr>
                  <w:tcW w:w="1484" w:type="dxa"/>
                  <w:tcMar>
                    <w:left w:w="28" w:type="dxa"/>
                    <w:right w:w="28" w:type="dxa"/>
                  </w:tcMar>
                </w:tcPr>
                <w:p w14:paraId="0AAFF6C7" w14:textId="77777777" w:rsidR="00D04A5E" w:rsidRPr="00244FB2" w:rsidRDefault="00D163F1" w:rsidP="00D163F1">
                  <w:pPr>
                    <w:pStyle w:val="TableText"/>
                    <w:keepNext w:val="0"/>
                    <w:jc w:val="center"/>
                  </w:pPr>
                  <w:r w:rsidRPr="00244FB2">
                    <w:t>40.7%</w:t>
                  </w:r>
                </w:p>
              </w:tc>
            </w:tr>
            <w:tr w:rsidR="00D04A5E" w:rsidRPr="00244FB2" w14:paraId="1156B60D" w14:textId="77777777" w:rsidTr="00D163F1">
              <w:tc>
                <w:tcPr>
                  <w:tcW w:w="1835" w:type="dxa"/>
                  <w:tcMar>
                    <w:left w:w="28" w:type="dxa"/>
                    <w:right w:w="28" w:type="dxa"/>
                  </w:tcMar>
                </w:tcPr>
                <w:p w14:paraId="1DC52966" w14:textId="77777777" w:rsidR="00D04A5E" w:rsidRPr="00244FB2" w:rsidRDefault="00D163F1" w:rsidP="0098559B">
                  <w:pPr>
                    <w:pStyle w:val="TableText"/>
                    <w:keepNext w:val="0"/>
                  </w:pPr>
                  <w:r w:rsidRPr="00244FB2">
                    <w:t>No relapse criterion</w:t>
                  </w:r>
                </w:p>
              </w:tc>
              <w:tc>
                <w:tcPr>
                  <w:tcW w:w="1276" w:type="dxa"/>
                  <w:tcMar>
                    <w:left w:w="28" w:type="dxa"/>
                    <w:right w:w="28" w:type="dxa"/>
                  </w:tcMar>
                </w:tcPr>
                <w:p w14:paraId="2FD1F683" w14:textId="77777777" w:rsidR="00D04A5E" w:rsidRPr="00244FB2" w:rsidRDefault="00D163F1" w:rsidP="00D163F1">
                  <w:pPr>
                    <w:pStyle w:val="TableText"/>
                    <w:keepNext w:val="0"/>
                    <w:jc w:val="center"/>
                  </w:pPr>
                  <w:r w:rsidRPr="00244FB2">
                    <w:t>Any</w:t>
                  </w:r>
                </w:p>
              </w:tc>
              <w:tc>
                <w:tcPr>
                  <w:tcW w:w="1418" w:type="dxa"/>
                  <w:tcMar>
                    <w:left w:w="28" w:type="dxa"/>
                    <w:right w:w="28" w:type="dxa"/>
                  </w:tcMar>
                </w:tcPr>
                <w:p w14:paraId="24EACBDE" w14:textId="77777777" w:rsidR="00D04A5E" w:rsidRPr="00244FB2" w:rsidRDefault="00D163F1" w:rsidP="00D163F1">
                  <w:pPr>
                    <w:pStyle w:val="TableText"/>
                    <w:keepNext w:val="0"/>
                    <w:jc w:val="center"/>
                  </w:pPr>
                  <w:r w:rsidRPr="00244FB2">
                    <w:t>34.5%</w:t>
                  </w:r>
                </w:p>
              </w:tc>
              <w:tc>
                <w:tcPr>
                  <w:tcW w:w="1403" w:type="dxa"/>
                  <w:tcMar>
                    <w:left w:w="28" w:type="dxa"/>
                    <w:right w:w="28" w:type="dxa"/>
                  </w:tcMar>
                </w:tcPr>
                <w:p w14:paraId="5E9BDA0A" w14:textId="77777777" w:rsidR="00D04A5E" w:rsidRPr="00244FB2" w:rsidRDefault="00D163F1" w:rsidP="00D163F1">
                  <w:pPr>
                    <w:pStyle w:val="TableText"/>
                    <w:keepNext w:val="0"/>
                    <w:jc w:val="center"/>
                  </w:pPr>
                  <w:r w:rsidRPr="00244FB2">
                    <w:t>54.2%</w:t>
                  </w:r>
                </w:p>
              </w:tc>
              <w:tc>
                <w:tcPr>
                  <w:tcW w:w="1484" w:type="dxa"/>
                  <w:tcMar>
                    <w:left w:w="28" w:type="dxa"/>
                    <w:right w:w="28" w:type="dxa"/>
                  </w:tcMar>
                </w:tcPr>
                <w:p w14:paraId="1C089C09" w14:textId="77777777" w:rsidR="00D04A5E" w:rsidRPr="00244FB2" w:rsidRDefault="00D163F1" w:rsidP="00D163F1">
                  <w:pPr>
                    <w:pStyle w:val="TableText"/>
                    <w:keepNext w:val="0"/>
                    <w:jc w:val="center"/>
                  </w:pPr>
                  <w:r w:rsidRPr="00244FB2">
                    <w:t>100%</w:t>
                  </w:r>
                </w:p>
              </w:tc>
            </w:tr>
          </w:tbl>
          <w:p w14:paraId="4692CDB7" w14:textId="77777777" w:rsidR="00D04A5E" w:rsidRPr="00244FB2" w:rsidRDefault="00D163F1" w:rsidP="0098559B">
            <w:pPr>
              <w:pStyle w:val="TableText"/>
              <w:keepNext w:val="0"/>
              <w:rPr>
                <w:sz w:val="18"/>
                <w:szCs w:val="18"/>
              </w:rPr>
            </w:pPr>
            <w:r w:rsidRPr="00244FB2">
              <w:rPr>
                <w:sz w:val="18"/>
                <w:szCs w:val="18"/>
              </w:rPr>
              <w:t>Source: Adapted from Table 7, p1320 of Palace 2019.</w:t>
            </w:r>
          </w:p>
          <w:p w14:paraId="08EAB9C7" w14:textId="77777777" w:rsidR="007433D3" w:rsidRPr="00244FB2" w:rsidRDefault="007433D3" w:rsidP="0098559B">
            <w:pPr>
              <w:pStyle w:val="TableText"/>
              <w:keepNext w:val="0"/>
            </w:pPr>
          </w:p>
          <w:p w14:paraId="2FE5C808" w14:textId="77777777" w:rsidR="007433D3" w:rsidRPr="00244FB2" w:rsidRDefault="007433D3" w:rsidP="0098559B">
            <w:pPr>
              <w:pStyle w:val="TableText"/>
              <w:keepNext w:val="0"/>
            </w:pPr>
            <w:r w:rsidRPr="00244FB2">
              <w:t>The main outcomes of the PREVENT trial were based on adjudicated relapses as determined by a central independent committee rather than being assessed by the treating physician</w:t>
            </w:r>
            <w:r w:rsidR="00022269" w:rsidRPr="00244FB2">
              <w:t>. However</w:t>
            </w:r>
            <w:r w:rsidR="00E57B70" w:rsidRPr="00244FB2">
              <w:t>,</w:t>
            </w:r>
            <w:r w:rsidR="00022269" w:rsidRPr="00244FB2">
              <w:t xml:space="preserve"> the submission argued that results were broadly consistent between relapse assessment methods and adjudicated relapses represent a more robust outcome. The sensitivity analyses suggested that there may be differences in both the absolute risk of relapses and the estimated treatment effect of </w:t>
            </w:r>
            <w:proofErr w:type="spellStart"/>
            <w:r w:rsidR="00022269" w:rsidRPr="00244FB2">
              <w:t>eculizumab</w:t>
            </w:r>
            <w:proofErr w:type="spellEnd"/>
            <w:r w:rsidR="00022269" w:rsidRPr="00244FB2">
              <w:t xml:space="preserve"> depending on relapse definition. Both definitions appear relevant to the consideration of efficacy outcomes but on-trial relapses may be more applicable to the proposed PBS population</w:t>
            </w:r>
          </w:p>
        </w:tc>
      </w:tr>
      <w:tr w:rsidR="007433D3" w:rsidRPr="00244FB2" w14:paraId="715BF4EA" w14:textId="77777777" w:rsidTr="00294486">
        <w:tc>
          <w:tcPr>
            <w:tcW w:w="851" w:type="pct"/>
            <w:shd w:val="clear" w:color="auto" w:fill="auto"/>
            <w:vAlign w:val="center"/>
          </w:tcPr>
          <w:p w14:paraId="7CC1D932" w14:textId="77777777" w:rsidR="007433D3" w:rsidRPr="00244FB2" w:rsidRDefault="00294486" w:rsidP="0098559B">
            <w:pPr>
              <w:pStyle w:val="TableText"/>
              <w:keepNext w:val="0"/>
              <w:jc w:val="center"/>
            </w:pPr>
            <w:r w:rsidRPr="00244FB2">
              <w:lastRenderedPageBreak/>
              <w:t>History of immunosuppressive events</w:t>
            </w:r>
          </w:p>
        </w:tc>
        <w:tc>
          <w:tcPr>
            <w:tcW w:w="4149" w:type="pct"/>
            <w:shd w:val="clear" w:color="auto" w:fill="auto"/>
            <w:vAlign w:val="center"/>
          </w:tcPr>
          <w:p w14:paraId="33B63D57" w14:textId="77777777" w:rsidR="007433D3" w:rsidRPr="00244FB2" w:rsidRDefault="00294486" w:rsidP="00765DF8">
            <w:pPr>
              <w:pStyle w:val="TableText"/>
              <w:keepNext w:val="0"/>
            </w:pPr>
            <w:r w:rsidRPr="00244FB2">
              <w:t xml:space="preserve">The submission noted that all patients included in the PREVENT trial were required to have frequent relapses regardless of any prior history of immunosuppressive events. This was inconsistent with the proposed PBS population, which did not specify any relapse criteria for the subgroup of patients with </w:t>
            </w:r>
            <w:r w:rsidR="0010576F" w:rsidRPr="00244FB2">
              <w:t xml:space="preserve">prior immunosuppressive events. </w:t>
            </w:r>
            <w:r w:rsidRPr="00244FB2">
              <w:t xml:space="preserve">However, the submission argued that the relative treatment effect of </w:t>
            </w:r>
            <w:proofErr w:type="spellStart"/>
            <w:r w:rsidRPr="00244FB2">
              <w:t>eculizumab</w:t>
            </w:r>
            <w:proofErr w:type="spellEnd"/>
            <w:r w:rsidRPr="00244FB2">
              <w:t xml:space="preserve"> was likely to be generalisable to the proposed immunosuppressed subgroup on the basis that results were consistent across subgroups including patients with and without backgrou</w:t>
            </w:r>
            <w:r w:rsidR="0010576F" w:rsidRPr="00244FB2">
              <w:t>nd immunosuppressive therapy</w:t>
            </w:r>
            <w:r w:rsidRPr="00244FB2">
              <w:t>. This claim appeared reasonable</w:t>
            </w:r>
            <w:r w:rsidR="00E57B70" w:rsidRPr="00244FB2">
              <w:t>,</w:t>
            </w:r>
            <w:r w:rsidRPr="00244FB2">
              <w:t xml:space="preserve"> but the lower absolute risk of relapse in this population is likely </w:t>
            </w:r>
            <w:r w:rsidR="00DC14F4" w:rsidRPr="00244FB2">
              <w:t xml:space="preserve">to </w:t>
            </w:r>
            <w:r w:rsidRPr="00244FB2">
              <w:t xml:space="preserve">reduce the magnitude of benefit associated with </w:t>
            </w:r>
            <w:proofErr w:type="spellStart"/>
            <w:r w:rsidRPr="00244FB2">
              <w:t>eculizumab</w:t>
            </w:r>
            <w:proofErr w:type="spellEnd"/>
            <w:r w:rsidRPr="00244FB2">
              <w:t xml:space="preserve"> treatment</w:t>
            </w:r>
            <w:r w:rsidR="00F254C6" w:rsidRPr="00244FB2">
              <w:t>. The PSCR noted that patients who have experienced an immunosuppressive event with prior treatment ha</w:t>
            </w:r>
            <w:r w:rsidR="00586C23" w:rsidRPr="00244FB2">
              <w:t>ve</w:t>
            </w:r>
            <w:r w:rsidR="00F254C6" w:rsidRPr="00244FB2">
              <w:t xml:space="preserve"> no alternate treatment options and therefore</w:t>
            </w:r>
            <w:r w:rsidR="00586C23" w:rsidRPr="00244FB2">
              <w:t xml:space="preserve"> have</w:t>
            </w:r>
            <w:r w:rsidR="00F254C6" w:rsidRPr="00244FB2">
              <w:t xml:space="preserve"> a high need for relapse prevention treatments.</w:t>
            </w:r>
          </w:p>
        </w:tc>
      </w:tr>
      <w:tr w:rsidR="007433D3" w:rsidRPr="00244FB2" w14:paraId="050E2A3D" w14:textId="77777777" w:rsidTr="00294486">
        <w:tc>
          <w:tcPr>
            <w:tcW w:w="851" w:type="pct"/>
            <w:shd w:val="clear" w:color="auto" w:fill="auto"/>
            <w:vAlign w:val="center"/>
          </w:tcPr>
          <w:p w14:paraId="6FCFABB1" w14:textId="77777777" w:rsidR="007433D3" w:rsidRPr="00244FB2" w:rsidRDefault="0010576F" w:rsidP="0098559B">
            <w:pPr>
              <w:pStyle w:val="TableText"/>
              <w:keepNext w:val="0"/>
              <w:jc w:val="center"/>
            </w:pPr>
            <w:r w:rsidRPr="00244FB2">
              <w:t>Best supportive care</w:t>
            </w:r>
          </w:p>
        </w:tc>
        <w:tc>
          <w:tcPr>
            <w:tcW w:w="4149" w:type="pct"/>
            <w:shd w:val="clear" w:color="auto" w:fill="auto"/>
            <w:vAlign w:val="center"/>
          </w:tcPr>
          <w:p w14:paraId="0CFA9AB8" w14:textId="77777777" w:rsidR="00E1217D" w:rsidRPr="00244FB2" w:rsidRDefault="0010576F" w:rsidP="00CA719B">
            <w:pPr>
              <w:pStyle w:val="TableText"/>
              <w:keepNext w:val="0"/>
            </w:pPr>
            <w:r w:rsidRPr="00244FB2">
              <w:t xml:space="preserve">The submission noted that rituximab was not permitted as a background immunosuppressive therapy in the PREVENT trial due to conflicting mechanisms of action with </w:t>
            </w:r>
            <w:proofErr w:type="spellStart"/>
            <w:r w:rsidRPr="00244FB2">
              <w:t>eculizumab</w:t>
            </w:r>
            <w:proofErr w:type="spellEnd"/>
            <w:r w:rsidRPr="00244FB2">
              <w:t>. The submission acknowledged that this was not representative of best supportive care in Australia, which can include the use of rituximab treatment.</w:t>
            </w:r>
            <w:r w:rsidR="00D4220C" w:rsidRPr="00244FB2">
              <w:t xml:space="preserve"> However, the submission argued that treatment outcomes in the placebo arm w</w:t>
            </w:r>
            <w:r w:rsidR="00CA719B" w:rsidRPr="00244FB2">
              <w:t>ere</w:t>
            </w:r>
            <w:r w:rsidR="00D4220C" w:rsidRPr="00244FB2">
              <w:t xml:space="preserve"> broadly generali</w:t>
            </w:r>
            <w:r w:rsidR="003A7ABC" w:rsidRPr="00244FB2">
              <w:t>s</w:t>
            </w:r>
            <w:r w:rsidR="00D4220C" w:rsidRPr="00244FB2">
              <w:t xml:space="preserve">able to clinical practice as many patients had stopped rituximab treatment prior to </w:t>
            </w:r>
            <w:r w:rsidR="00244FB2" w:rsidRPr="00244FB2">
              <w:t>enrolment</w:t>
            </w:r>
            <w:r w:rsidR="00D4220C" w:rsidRPr="00244FB2">
              <w:t>, prior rituximab use was not</w:t>
            </w:r>
            <w:r w:rsidR="00E1217D" w:rsidRPr="00244FB2">
              <w:t xml:space="preserve"> a</w:t>
            </w:r>
            <w:r w:rsidR="00D4220C" w:rsidRPr="00244FB2">
              <w:t xml:space="preserve"> treatment effect modifier, and relapse rates while using </w:t>
            </w:r>
            <w:proofErr w:type="spellStart"/>
            <w:r w:rsidR="00D4220C" w:rsidRPr="00244FB2">
              <w:t>eculizumab</w:t>
            </w:r>
            <w:proofErr w:type="spellEnd"/>
            <w:r w:rsidR="00D4220C" w:rsidRPr="00244FB2">
              <w:t xml:space="preserve"> were lower than historical relapse rates that included patients using rituximab.</w:t>
            </w:r>
            <w:r w:rsidR="00E1217D" w:rsidRPr="00244FB2">
              <w:t xml:space="preserve"> Available published data suggest that rituximab is an effective treatment for NMOSD and there may be clinically important differences amongs</w:t>
            </w:r>
            <w:r w:rsidR="00DD2407" w:rsidRPr="00244FB2">
              <w:t>t existing immunotherapies (</w:t>
            </w:r>
            <w:proofErr w:type="spellStart"/>
            <w:r w:rsidR="00DD2407" w:rsidRPr="00244FB2">
              <w:t>Damato</w:t>
            </w:r>
            <w:proofErr w:type="spellEnd"/>
            <w:r w:rsidR="00DD2407" w:rsidRPr="00244FB2">
              <w:t xml:space="preserve"> 2016, Huang 2019, Gao 2019, </w:t>
            </w:r>
            <w:proofErr w:type="spellStart"/>
            <w:r w:rsidR="00DD2407" w:rsidRPr="00244FB2">
              <w:t>Nikoo</w:t>
            </w:r>
            <w:proofErr w:type="spellEnd"/>
            <w:r w:rsidR="00DD2407" w:rsidRPr="00244FB2">
              <w:t xml:space="preserve"> 2017, </w:t>
            </w:r>
            <w:proofErr w:type="gramStart"/>
            <w:r w:rsidR="00DD2407" w:rsidRPr="00244FB2">
              <w:t>Tahara</w:t>
            </w:r>
            <w:proofErr w:type="gramEnd"/>
            <w:r w:rsidR="00DD2407" w:rsidRPr="00244FB2">
              <w:t xml:space="preserve"> 2020). </w:t>
            </w:r>
            <w:r w:rsidR="00E1217D" w:rsidRPr="00244FB2">
              <w:t>Additionally, the submission did not address the optimisation of background therapies and it is unclear whether the intensity of background treatment (no therapy, monotherapy, combination therapy) was representative of Australian clinical practice.</w:t>
            </w:r>
            <w:r w:rsidR="0070400F" w:rsidRPr="00244FB2">
              <w:t xml:space="preserve"> The PSCR </w:t>
            </w:r>
            <w:r w:rsidR="002C12EA" w:rsidRPr="00244FB2">
              <w:t>reiterate</w:t>
            </w:r>
            <w:r w:rsidR="0070400F" w:rsidRPr="00244FB2">
              <w:t xml:space="preserve">d that rituximab use was prohibited in the PREVENT trial due to the incompatibility between the mechanisms of action of </w:t>
            </w:r>
            <w:proofErr w:type="spellStart"/>
            <w:r w:rsidR="0070400F" w:rsidRPr="00244FB2">
              <w:t>eculizumab</w:t>
            </w:r>
            <w:proofErr w:type="spellEnd"/>
            <w:r w:rsidR="0070400F" w:rsidRPr="00244FB2">
              <w:t xml:space="preserve"> and rituximab. In addition, </w:t>
            </w:r>
            <w:r w:rsidR="002C12EA" w:rsidRPr="00244FB2">
              <w:t xml:space="preserve">the PSCR stated that as </w:t>
            </w:r>
            <w:r w:rsidR="0070400F" w:rsidRPr="00244FB2">
              <w:t xml:space="preserve">rituximab is not </w:t>
            </w:r>
            <w:r w:rsidR="002C12EA" w:rsidRPr="00244FB2">
              <w:t xml:space="preserve">TGA </w:t>
            </w:r>
            <w:r w:rsidR="0070400F" w:rsidRPr="00244FB2">
              <w:t xml:space="preserve">registered </w:t>
            </w:r>
            <w:r w:rsidR="002C12EA" w:rsidRPr="00244FB2">
              <w:t xml:space="preserve">or PBS listed </w:t>
            </w:r>
            <w:r w:rsidR="0070400F" w:rsidRPr="00244FB2">
              <w:t xml:space="preserve">for use in NMOSD, the effectiveness, safety and dose determination has not been established. </w:t>
            </w:r>
            <w:r w:rsidR="002C12EA" w:rsidRPr="00244FB2">
              <w:t xml:space="preserve">In addition, </w:t>
            </w:r>
            <w:r w:rsidR="00586C23" w:rsidRPr="00244FB2">
              <w:t xml:space="preserve">the PSCR stated that </w:t>
            </w:r>
            <w:r w:rsidR="0070400F" w:rsidRPr="00244FB2">
              <w:t xml:space="preserve">given the lack of registration in Australia, access to rituximab is </w:t>
            </w:r>
            <w:r w:rsidR="004B685E" w:rsidRPr="00244FB2">
              <w:t>dependent on where the patient in treated, resulting in equity issues.</w:t>
            </w:r>
            <w:r w:rsidR="005D5E9B" w:rsidRPr="00244FB2">
              <w:t xml:space="preserve"> The ESC considered that the majority of NMOSD patients would be treated in specialist centres reducing the risk of </w:t>
            </w:r>
            <w:r w:rsidR="00665FFC" w:rsidRPr="00244FB2">
              <w:t>access in</w:t>
            </w:r>
            <w:r w:rsidR="005D5E9B" w:rsidRPr="00244FB2">
              <w:t>equity</w:t>
            </w:r>
            <w:r w:rsidR="00665FFC" w:rsidRPr="00244FB2">
              <w:t xml:space="preserve"> for rit</w:t>
            </w:r>
            <w:r w:rsidR="005D5E9B" w:rsidRPr="00244FB2">
              <w:t>uximab treatment.</w:t>
            </w:r>
          </w:p>
        </w:tc>
      </w:tr>
      <w:tr w:rsidR="0010576F" w:rsidRPr="00244FB2" w14:paraId="62FF7F14" w14:textId="77777777" w:rsidTr="00294486">
        <w:tc>
          <w:tcPr>
            <w:tcW w:w="851" w:type="pct"/>
            <w:shd w:val="clear" w:color="auto" w:fill="auto"/>
            <w:vAlign w:val="center"/>
          </w:tcPr>
          <w:p w14:paraId="0B770BC7" w14:textId="77777777" w:rsidR="0010576F" w:rsidRPr="00244FB2" w:rsidRDefault="0010576F" w:rsidP="00985966">
            <w:pPr>
              <w:pStyle w:val="TableText"/>
              <w:jc w:val="center"/>
            </w:pPr>
            <w:r w:rsidRPr="00244FB2">
              <w:t>Baseline disability</w:t>
            </w:r>
          </w:p>
        </w:tc>
        <w:tc>
          <w:tcPr>
            <w:tcW w:w="4149" w:type="pct"/>
            <w:shd w:val="clear" w:color="auto" w:fill="auto"/>
            <w:vAlign w:val="center"/>
          </w:tcPr>
          <w:p w14:paraId="710B8BCF" w14:textId="77777777" w:rsidR="0010576F" w:rsidRPr="00244FB2" w:rsidRDefault="0010576F" w:rsidP="00771C2F">
            <w:pPr>
              <w:pStyle w:val="TableText"/>
            </w:pPr>
            <w:r w:rsidRPr="00244FB2">
              <w:t xml:space="preserve">The trial evidence was limited to patients with an EDSS </w:t>
            </w:r>
            <w:r w:rsidR="00C67CF3" w:rsidRPr="00244FB2">
              <w:t xml:space="preserve">score </w:t>
            </w:r>
            <w:r w:rsidR="00771C2F" w:rsidRPr="00244FB2">
              <w:t>≤</w:t>
            </w:r>
            <w:r w:rsidRPr="00244FB2">
              <w:t xml:space="preserve"> 7 (covering patients from fully ambulatory to wheelchair bound). The risk benefit profile of treating patients with more advanced disease is currently unknown.</w:t>
            </w:r>
          </w:p>
        </w:tc>
      </w:tr>
      <w:tr w:rsidR="0010576F" w:rsidRPr="00244FB2" w14:paraId="6F560B5D" w14:textId="77777777" w:rsidTr="00294486">
        <w:tc>
          <w:tcPr>
            <w:tcW w:w="851" w:type="pct"/>
            <w:shd w:val="clear" w:color="auto" w:fill="auto"/>
            <w:vAlign w:val="center"/>
          </w:tcPr>
          <w:p w14:paraId="7EBB1E45" w14:textId="77777777" w:rsidR="0010576F" w:rsidRPr="00244FB2" w:rsidRDefault="0010576F" w:rsidP="00985966">
            <w:pPr>
              <w:pStyle w:val="TableText"/>
              <w:jc w:val="center"/>
            </w:pPr>
            <w:r w:rsidRPr="00244FB2">
              <w:t>Patient age</w:t>
            </w:r>
          </w:p>
        </w:tc>
        <w:tc>
          <w:tcPr>
            <w:tcW w:w="4149" w:type="pct"/>
            <w:shd w:val="clear" w:color="auto" w:fill="auto"/>
            <w:vAlign w:val="center"/>
          </w:tcPr>
          <w:p w14:paraId="6B852E81" w14:textId="77777777" w:rsidR="0010576F" w:rsidRPr="00244FB2" w:rsidRDefault="0010576F" w:rsidP="00985966">
            <w:pPr>
              <w:pStyle w:val="TableText"/>
            </w:pPr>
            <w:r w:rsidRPr="00244FB2">
              <w:t xml:space="preserve">The trial evidence was limited to adult patients. The efficacy and safety of weight-based </w:t>
            </w:r>
            <w:proofErr w:type="spellStart"/>
            <w:r w:rsidRPr="00244FB2">
              <w:t>eculizumab</w:t>
            </w:r>
            <w:proofErr w:type="spellEnd"/>
            <w:r w:rsidRPr="00244FB2">
              <w:t xml:space="preserve"> dosing in paediatric patients is currently unknown.</w:t>
            </w:r>
          </w:p>
        </w:tc>
      </w:tr>
    </w:tbl>
    <w:p w14:paraId="52FEDC68" w14:textId="77777777" w:rsidR="00091CE5" w:rsidRPr="00244FB2" w:rsidRDefault="00091CE5" w:rsidP="00022269">
      <w:pPr>
        <w:pStyle w:val="TableFooter"/>
      </w:pPr>
      <w:r w:rsidRPr="00244FB2">
        <w:t xml:space="preserve">Source: </w:t>
      </w:r>
      <w:r w:rsidR="00294486" w:rsidRPr="00244FB2">
        <w:t>Table 2-32 (p 91-93) of the submission</w:t>
      </w:r>
    </w:p>
    <w:p w14:paraId="165A51BC" w14:textId="77777777" w:rsidR="00317F93" w:rsidRPr="00244FB2" w:rsidRDefault="00317F93" w:rsidP="00022269">
      <w:pPr>
        <w:pStyle w:val="TableFooter"/>
        <w:rPr>
          <w:i/>
        </w:rPr>
      </w:pPr>
      <w:r w:rsidRPr="00244FB2">
        <w:t xml:space="preserve">EDSS = </w:t>
      </w:r>
      <w:r w:rsidR="000378C8" w:rsidRPr="00244FB2">
        <w:t xml:space="preserve">Expanded Disability Status Scale; </w:t>
      </w:r>
      <w:r w:rsidR="000C7AE3" w:rsidRPr="00244FB2">
        <w:t xml:space="preserve">EMA = European Medicines Agency; ESC = Economic Sub-Committee; </w:t>
      </w:r>
      <w:r w:rsidRPr="00244FB2">
        <w:t xml:space="preserve">NMOSD = </w:t>
      </w:r>
      <w:proofErr w:type="spellStart"/>
      <w:r w:rsidRPr="00244FB2">
        <w:t>neuromyelitis</w:t>
      </w:r>
      <w:proofErr w:type="spellEnd"/>
      <w:r w:rsidRPr="00244FB2">
        <w:t xml:space="preserve"> </w:t>
      </w:r>
      <w:proofErr w:type="spellStart"/>
      <w:r w:rsidRPr="00244FB2">
        <w:t>optica</w:t>
      </w:r>
      <w:proofErr w:type="spellEnd"/>
      <w:r w:rsidRPr="00244FB2">
        <w:t xml:space="preserve"> spectrum disorder; PBS = Pharmaceutical Benefits Scheme</w:t>
      </w:r>
      <w:r w:rsidR="000C7AE3" w:rsidRPr="00244FB2">
        <w:t xml:space="preserve">; PSCR = pre-Sub-Committee response; TGA = Therapeutic Goods </w:t>
      </w:r>
      <w:r w:rsidR="000C7AE3" w:rsidRPr="00244FB2">
        <w:lastRenderedPageBreak/>
        <w:t>Administration</w:t>
      </w:r>
    </w:p>
    <w:p w14:paraId="21FE4582" w14:textId="77777777" w:rsidR="00B60939" w:rsidRPr="00244FB2" w:rsidRDefault="00B60939" w:rsidP="00EC5836">
      <w:pPr>
        <w:pStyle w:val="3-SubsectionHeading"/>
      </w:pPr>
      <w:bookmarkStart w:id="9" w:name="_Toc22897641"/>
      <w:bookmarkStart w:id="10" w:name="_Toc50974497"/>
      <w:r w:rsidRPr="00244FB2">
        <w:t>Comparative effectiveness</w:t>
      </w:r>
      <w:bookmarkEnd w:id="9"/>
      <w:bookmarkEnd w:id="10"/>
    </w:p>
    <w:p w14:paraId="32BD4626" w14:textId="77777777" w:rsidR="004E18E6" w:rsidRPr="00244FB2" w:rsidRDefault="004E18E6" w:rsidP="004E18E6">
      <w:pPr>
        <w:pStyle w:val="ExecSumBodyText"/>
      </w:pPr>
      <w:r w:rsidRPr="00244FB2">
        <w:t xml:space="preserve">The time to first adjudicated relapse with </w:t>
      </w:r>
      <w:proofErr w:type="spellStart"/>
      <w:r w:rsidRPr="00244FB2">
        <w:t>eculizumab</w:t>
      </w:r>
      <w:proofErr w:type="spellEnd"/>
      <w:r w:rsidRPr="00244FB2">
        <w:t xml:space="preserve"> and placebo in the PREVENT trial is presented below.</w:t>
      </w:r>
    </w:p>
    <w:p w14:paraId="2238E2F1" w14:textId="77777777" w:rsidR="004E18E6" w:rsidRPr="00244FB2" w:rsidRDefault="004E18E6" w:rsidP="004E18E6">
      <w:pPr>
        <w:pStyle w:val="Tableheadingrow"/>
        <w:rPr>
          <w:lang w:val="en-AU"/>
        </w:rPr>
      </w:pPr>
      <w:r w:rsidRPr="00244FB2">
        <w:rPr>
          <w:lang w:val="en-AU"/>
        </w:rPr>
        <w:t>Figure 1: Kaplan-Meier curve for the time to first adjudicated relapse in the PREVENT trial</w:t>
      </w:r>
    </w:p>
    <w:p w14:paraId="7B6707CC" w14:textId="77777777" w:rsidR="004E18E6" w:rsidRPr="00244FB2" w:rsidRDefault="004E18E6" w:rsidP="004E18E6">
      <w:pPr>
        <w:pStyle w:val="TableFooter"/>
      </w:pPr>
      <w:r w:rsidRPr="00244FB2">
        <w:rPr>
          <w:noProof/>
          <w:lang w:eastAsia="en-AU"/>
        </w:rPr>
        <w:drawing>
          <wp:inline distT="0" distB="0" distL="0" distR="0" wp14:anchorId="1D1BA642" wp14:editId="153A273C">
            <wp:extent cx="5653405" cy="2347913"/>
            <wp:effectExtent l="0" t="0" r="4445" b="0"/>
            <wp:docPr id="13" name="Picture 13" title="Figure 1: Kaplan-Meier curve for the time to first adjudicated relapse in the PREVENT t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400"/>
                    <a:stretch/>
                  </pic:blipFill>
                  <pic:spPr bwMode="auto">
                    <a:xfrm>
                      <a:off x="0" y="0"/>
                      <a:ext cx="5653405" cy="2347913"/>
                    </a:xfrm>
                    <a:prstGeom prst="rect">
                      <a:avLst/>
                    </a:prstGeom>
                    <a:noFill/>
                    <a:ln>
                      <a:noFill/>
                    </a:ln>
                    <a:extLst>
                      <a:ext uri="{53640926-AAD7-44D8-BBD7-CCE9431645EC}">
                        <a14:shadowObscured xmlns:a14="http://schemas.microsoft.com/office/drawing/2010/main"/>
                      </a:ext>
                    </a:extLst>
                  </pic:spPr>
                </pic:pic>
              </a:graphicData>
            </a:graphic>
          </wp:inline>
        </w:drawing>
      </w:r>
    </w:p>
    <w:p w14:paraId="3AA30B8E" w14:textId="77777777" w:rsidR="004E18E6" w:rsidRPr="00244FB2" w:rsidRDefault="004E18E6" w:rsidP="000378C8">
      <w:pPr>
        <w:pStyle w:val="TableFooter"/>
      </w:pPr>
      <w:r w:rsidRPr="00244FB2">
        <w:t xml:space="preserve">Source: Figure 1 of the </w:t>
      </w:r>
      <w:proofErr w:type="spellStart"/>
      <w:r w:rsidRPr="00244FB2">
        <w:t>eculizumab</w:t>
      </w:r>
      <w:proofErr w:type="spellEnd"/>
      <w:r w:rsidRPr="00244FB2">
        <w:t xml:space="preserve"> product information</w:t>
      </w:r>
    </w:p>
    <w:p w14:paraId="1BFF1689" w14:textId="77777777" w:rsidR="000378C8" w:rsidRPr="00244FB2" w:rsidRDefault="000378C8" w:rsidP="004E18E6">
      <w:pPr>
        <w:pStyle w:val="TableFooter"/>
        <w:spacing w:after="120"/>
      </w:pPr>
      <w:r w:rsidRPr="00244FB2">
        <w:t>CI = confidence interval</w:t>
      </w:r>
    </w:p>
    <w:p w14:paraId="24105858" w14:textId="77777777" w:rsidR="000378C8" w:rsidRPr="00244FB2" w:rsidRDefault="000378C8" w:rsidP="000378C8"/>
    <w:p w14:paraId="2219E1E4" w14:textId="77777777" w:rsidR="004E18E6" w:rsidRPr="00244FB2" w:rsidRDefault="004E18E6" w:rsidP="004E18E6">
      <w:pPr>
        <w:pStyle w:val="ExecSumBodyText"/>
      </w:pPr>
      <w:r w:rsidRPr="00244FB2">
        <w:t xml:space="preserve">Treatment with </w:t>
      </w:r>
      <w:proofErr w:type="spellStart"/>
      <w:r w:rsidRPr="00244FB2">
        <w:t>eculizumab</w:t>
      </w:r>
      <w:proofErr w:type="spellEnd"/>
      <w:r w:rsidRPr="00244FB2">
        <w:t xml:space="preserve"> was associated with a statistically significant improvement in the time to first adjudicated relapse compared to placebo (H</w:t>
      </w:r>
      <w:r w:rsidR="00C67CF3" w:rsidRPr="00244FB2">
        <w:t>azard ratio (H</w:t>
      </w:r>
      <w:r w:rsidRPr="00244FB2">
        <w:t>R</w:t>
      </w:r>
      <w:r w:rsidR="00C67CF3" w:rsidRPr="00244FB2">
        <w:t>)</w:t>
      </w:r>
      <w:r w:rsidRPr="00244FB2">
        <w:t xml:space="preserve"> </w:t>
      </w:r>
      <w:r w:rsidR="00B11F66" w:rsidRPr="00244FB2">
        <w:t xml:space="preserve">= </w:t>
      </w:r>
      <w:r w:rsidRPr="00244FB2">
        <w:t xml:space="preserve">0.058; 95% </w:t>
      </w:r>
      <w:r w:rsidR="00C67CF3" w:rsidRPr="00244FB2">
        <w:t>confidence interval (</w:t>
      </w:r>
      <w:r w:rsidRPr="00244FB2">
        <w:t>CI</w:t>
      </w:r>
      <w:r w:rsidR="00C67CF3" w:rsidRPr="00244FB2">
        <w:t>)</w:t>
      </w:r>
      <w:r w:rsidR="00B11F66" w:rsidRPr="00244FB2">
        <w:t>:</w:t>
      </w:r>
      <w:r w:rsidRPr="00244FB2">
        <w:t xml:space="preserve"> 0.017, 0.197).</w:t>
      </w:r>
      <w:r w:rsidR="00F62159" w:rsidRPr="00244FB2">
        <w:t xml:space="preserve"> </w:t>
      </w:r>
    </w:p>
    <w:p w14:paraId="55FBAAF6" w14:textId="77777777" w:rsidR="004E18E6" w:rsidRPr="00244FB2" w:rsidRDefault="004E18E6" w:rsidP="004E18E6">
      <w:pPr>
        <w:pStyle w:val="ExecSumBodyText"/>
      </w:pPr>
      <w:r w:rsidRPr="00244FB2">
        <w:t xml:space="preserve">A comparison of annualised relapse rates between </w:t>
      </w:r>
      <w:proofErr w:type="spellStart"/>
      <w:r w:rsidRPr="00244FB2">
        <w:t>eculizumab</w:t>
      </w:r>
      <w:proofErr w:type="spellEnd"/>
      <w:r w:rsidRPr="00244FB2">
        <w:t xml:space="preserve"> and placebo in the PREVENT trial is summarised below.</w:t>
      </w:r>
    </w:p>
    <w:p w14:paraId="32DA95FB" w14:textId="77777777" w:rsidR="004E18E6" w:rsidRPr="00244FB2" w:rsidRDefault="004E18E6" w:rsidP="00985966">
      <w:pPr>
        <w:pStyle w:val="Tableheadingrow"/>
        <w:rPr>
          <w:lang w:val="en-AU"/>
        </w:rPr>
      </w:pPr>
      <w:r w:rsidRPr="00244FB2">
        <w:rPr>
          <w:lang w:val="en-AU"/>
        </w:rPr>
        <w:lastRenderedPageBreak/>
        <w:t>Tabl</w:t>
      </w:r>
      <w:r w:rsidR="00D4220C" w:rsidRPr="00244FB2">
        <w:rPr>
          <w:lang w:val="en-AU"/>
        </w:rPr>
        <w:t>e 5</w:t>
      </w:r>
      <w:r w:rsidRPr="00244FB2">
        <w:rPr>
          <w:lang w:val="en-AU"/>
        </w:rPr>
        <w:t>: Annualised relapse rates reported in the PREVENT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321"/>
        <w:gridCol w:w="1849"/>
        <w:gridCol w:w="1435"/>
        <w:gridCol w:w="1435"/>
      </w:tblGrid>
      <w:tr w:rsidR="004E18E6" w:rsidRPr="00244FB2" w14:paraId="597B691F" w14:textId="77777777" w:rsidTr="00D642D7">
        <w:trPr>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06B88645" w14:textId="77777777" w:rsidR="004E18E6" w:rsidRPr="00244FB2" w:rsidRDefault="004E18E6" w:rsidP="00985966">
            <w:pPr>
              <w:pStyle w:val="TableText"/>
              <w:widowControl w:val="0"/>
            </w:pPr>
            <w:r w:rsidRPr="00244FB2">
              <w:rPr>
                <w:b/>
              </w:rPr>
              <w:t>Outcome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03AE80" w14:textId="77777777" w:rsidR="004E18E6" w:rsidRPr="00244FB2" w:rsidRDefault="004E18E6" w:rsidP="00985966">
            <w:pPr>
              <w:pStyle w:val="TableText"/>
              <w:widowControl w:val="0"/>
              <w:jc w:val="center"/>
            </w:pPr>
            <w:r w:rsidRPr="00244FB2">
              <w:rPr>
                <w:b/>
              </w:rPr>
              <w:t>Number of relapses</w:t>
            </w:r>
          </w:p>
        </w:tc>
        <w:tc>
          <w:tcPr>
            <w:tcW w:w="1321" w:type="dxa"/>
            <w:tcBorders>
              <w:top w:val="single" w:sz="4" w:space="0" w:color="auto"/>
              <w:left w:val="single" w:sz="4" w:space="0" w:color="auto"/>
              <w:bottom w:val="single" w:sz="4" w:space="0" w:color="auto"/>
              <w:right w:val="single" w:sz="4" w:space="0" w:color="auto"/>
            </w:tcBorders>
            <w:vAlign w:val="center"/>
          </w:tcPr>
          <w:p w14:paraId="584A4F7F" w14:textId="77777777" w:rsidR="004E18E6" w:rsidRPr="00244FB2" w:rsidRDefault="004E18E6" w:rsidP="00985966">
            <w:pPr>
              <w:pStyle w:val="TableText"/>
              <w:widowControl w:val="0"/>
              <w:jc w:val="center"/>
              <w:rPr>
                <w:b/>
              </w:rPr>
            </w:pPr>
            <w:r w:rsidRPr="00244FB2">
              <w:rPr>
                <w:b/>
              </w:rPr>
              <w:t>Patient years of follow-up</w:t>
            </w:r>
          </w:p>
        </w:tc>
        <w:tc>
          <w:tcPr>
            <w:tcW w:w="1849" w:type="dxa"/>
            <w:tcBorders>
              <w:top w:val="single" w:sz="4" w:space="0" w:color="auto"/>
              <w:left w:val="single" w:sz="4" w:space="0" w:color="auto"/>
              <w:bottom w:val="single" w:sz="4" w:space="0" w:color="auto"/>
              <w:right w:val="single" w:sz="4" w:space="0" w:color="auto"/>
            </w:tcBorders>
            <w:vAlign w:val="center"/>
          </w:tcPr>
          <w:p w14:paraId="35D8A3AA" w14:textId="77777777" w:rsidR="004E18E6" w:rsidRPr="00244FB2" w:rsidRDefault="004E18E6" w:rsidP="00985966">
            <w:pPr>
              <w:pStyle w:val="TableText"/>
              <w:widowControl w:val="0"/>
              <w:jc w:val="center"/>
              <w:rPr>
                <w:b/>
              </w:rPr>
            </w:pPr>
            <w:r w:rsidRPr="00244FB2">
              <w:rPr>
                <w:b/>
              </w:rPr>
              <w:t>Annualised relapse rate (95% CI)</w:t>
            </w:r>
          </w:p>
        </w:tc>
        <w:tc>
          <w:tcPr>
            <w:tcW w:w="1435" w:type="dxa"/>
            <w:tcBorders>
              <w:top w:val="single" w:sz="4" w:space="0" w:color="auto"/>
              <w:left w:val="single" w:sz="4" w:space="0" w:color="auto"/>
              <w:bottom w:val="single" w:sz="4" w:space="0" w:color="auto"/>
              <w:right w:val="single" w:sz="4" w:space="0" w:color="auto"/>
            </w:tcBorders>
            <w:vAlign w:val="center"/>
          </w:tcPr>
          <w:p w14:paraId="530B7325" w14:textId="77777777" w:rsidR="004E18E6" w:rsidRPr="00244FB2" w:rsidRDefault="004E18E6" w:rsidP="00985966">
            <w:pPr>
              <w:pStyle w:val="TableText"/>
              <w:widowControl w:val="0"/>
              <w:jc w:val="center"/>
              <w:rPr>
                <w:b/>
              </w:rPr>
            </w:pPr>
            <w:r w:rsidRPr="00244FB2">
              <w:rPr>
                <w:b/>
              </w:rPr>
              <w:t xml:space="preserve">Rate ratio </w:t>
            </w:r>
          </w:p>
          <w:p w14:paraId="794D29BB" w14:textId="77777777" w:rsidR="004E18E6" w:rsidRPr="00244FB2" w:rsidRDefault="004E18E6" w:rsidP="00985966">
            <w:pPr>
              <w:pStyle w:val="TableText"/>
              <w:widowControl w:val="0"/>
              <w:jc w:val="center"/>
              <w:rPr>
                <w:b/>
              </w:rPr>
            </w:pPr>
            <w:r w:rsidRPr="00244FB2">
              <w:rPr>
                <w:b/>
              </w:rPr>
              <w:t>(95% CI)</w:t>
            </w:r>
          </w:p>
        </w:tc>
        <w:tc>
          <w:tcPr>
            <w:tcW w:w="1435" w:type="dxa"/>
            <w:tcBorders>
              <w:top w:val="single" w:sz="4" w:space="0" w:color="auto"/>
              <w:left w:val="single" w:sz="4" w:space="0" w:color="auto"/>
              <w:bottom w:val="single" w:sz="4" w:space="0" w:color="auto"/>
              <w:right w:val="single" w:sz="4" w:space="0" w:color="auto"/>
            </w:tcBorders>
            <w:vAlign w:val="center"/>
          </w:tcPr>
          <w:p w14:paraId="2046DC3A" w14:textId="77777777" w:rsidR="004E18E6" w:rsidRPr="00244FB2" w:rsidRDefault="004E18E6" w:rsidP="00985966">
            <w:pPr>
              <w:pStyle w:val="TableText"/>
              <w:widowControl w:val="0"/>
              <w:jc w:val="center"/>
              <w:rPr>
                <w:b/>
              </w:rPr>
            </w:pPr>
            <w:r w:rsidRPr="00244FB2">
              <w:rPr>
                <w:b/>
              </w:rPr>
              <w:t>P-value</w:t>
            </w:r>
          </w:p>
        </w:tc>
      </w:tr>
      <w:tr w:rsidR="004E18E6" w:rsidRPr="00244FB2" w14:paraId="40C9D2EF"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E7CB21C" w14:textId="77777777" w:rsidR="004E18E6" w:rsidRPr="00244FB2" w:rsidRDefault="004E18E6" w:rsidP="00985966">
            <w:pPr>
              <w:pStyle w:val="TableText"/>
              <w:widowControl w:val="0"/>
              <w:rPr>
                <w:b/>
              </w:rPr>
            </w:pPr>
            <w:r w:rsidRPr="00244FB2">
              <w:rPr>
                <w:b/>
              </w:rPr>
              <w:t>Adjudicated relapses</w:t>
            </w:r>
          </w:p>
        </w:tc>
      </w:tr>
      <w:tr w:rsidR="004E18E6" w:rsidRPr="00244FB2" w14:paraId="09A5EF33"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19ADF0EB" w14:textId="77777777" w:rsidR="004E18E6" w:rsidRPr="00244FB2" w:rsidRDefault="004E18E6" w:rsidP="00985966">
            <w:pPr>
              <w:pStyle w:val="TableText"/>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410035E5" w14:textId="77777777" w:rsidR="004E18E6" w:rsidRPr="00244FB2" w:rsidRDefault="004E18E6" w:rsidP="00985966">
            <w:pPr>
              <w:pStyle w:val="TableText"/>
              <w:widowControl w:val="0"/>
              <w:jc w:val="center"/>
            </w:pPr>
            <w:r w:rsidRPr="00244FB2">
              <w:t>3</w:t>
            </w:r>
          </w:p>
        </w:tc>
        <w:tc>
          <w:tcPr>
            <w:tcW w:w="1321" w:type="dxa"/>
            <w:tcBorders>
              <w:top w:val="single" w:sz="4" w:space="0" w:color="auto"/>
              <w:left w:val="single" w:sz="4" w:space="0" w:color="auto"/>
              <w:bottom w:val="single" w:sz="4" w:space="0" w:color="auto"/>
              <w:right w:val="single" w:sz="4" w:space="0" w:color="auto"/>
            </w:tcBorders>
            <w:vAlign w:val="center"/>
          </w:tcPr>
          <w:p w14:paraId="402079D1" w14:textId="77777777" w:rsidR="004E18E6" w:rsidRPr="00244FB2" w:rsidRDefault="004E18E6" w:rsidP="00985966">
            <w:pPr>
              <w:pStyle w:val="TableText"/>
              <w:widowControl w:val="0"/>
              <w:jc w:val="center"/>
            </w:pPr>
            <w:r w:rsidRPr="00244FB2">
              <w:t>171.32</w:t>
            </w:r>
          </w:p>
        </w:tc>
        <w:tc>
          <w:tcPr>
            <w:tcW w:w="1849" w:type="dxa"/>
            <w:tcBorders>
              <w:top w:val="single" w:sz="4" w:space="0" w:color="auto"/>
              <w:left w:val="single" w:sz="4" w:space="0" w:color="auto"/>
              <w:bottom w:val="single" w:sz="4" w:space="0" w:color="auto"/>
              <w:right w:val="single" w:sz="4" w:space="0" w:color="auto"/>
            </w:tcBorders>
            <w:vAlign w:val="center"/>
          </w:tcPr>
          <w:p w14:paraId="38EE28C8" w14:textId="77777777" w:rsidR="004E18E6" w:rsidRPr="00244FB2" w:rsidRDefault="00D642D7" w:rsidP="00985966">
            <w:pPr>
              <w:pStyle w:val="TableText"/>
              <w:widowControl w:val="0"/>
              <w:jc w:val="center"/>
            </w:pPr>
            <w:r w:rsidRPr="00244FB2">
              <w:t xml:space="preserve">0.016 </w:t>
            </w:r>
            <w:r w:rsidR="004E18E6" w:rsidRPr="00244FB2">
              <w:t>(0.005, 0.050)</w:t>
            </w:r>
          </w:p>
        </w:tc>
        <w:tc>
          <w:tcPr>
            <w:tcW w:w="1435" w:type="dxa"/>
            <w:vMerge w:val="restart"/>
            <w:tcBorders>
              <w:top w:val="single" w:sz="4" w:space="0" w:color="auto"/>
              <w:left w:val="single" w:sz="4" w:space="0" w:color="auto"/>
              <w:right w:val="single" w:sz="4" w:space="0" w:color="auto"/>
            </w:tcBorders>
            <w:vAlign w:val="center"/>
          </w:tcPr>
          <w:p w14:paraId="239F630A" w14:textId="77777777" w:rsidR="004E18E6" w:rsidRPr="00244FB2" w:rsidRDefault="004E18E6" w:rsidP="00985966">
            <w:pPr>
              <w:pStyle w:val="TableText"/>
              <w:widowControl w:val="0"/>
              <w:jc w:val="center"/>
            </w:pPr>
            <w:r w:rsidRPr="00244FB2">
              <w:t xml:space="preserve">0.045 </w:t>
            </w:r>
          </w:p>
          <w:p w14:paraId="34A73D11" w14:textId="77777777" w:rsidR="004E18E6" w:rsidRPr="00244FB2" w:rsidRDefault="004E18E6" w:rsidP="00985966">
            <w:pPr>
              <w:pStyle w:val="TableText"/>
              <w:widowControl w:val="0"/>
              <w:jc w:val="center"/>
            </w:pPr>
            <w:r w:rsidRPr="00244FB2">
              <w:t>(0.013, 0.151)</w:t>
            </w:r>
          </w:p>
        </w:tc>
        <w:tc>
          <w:tcPr>
            <w:tcW w:w="1435" w:type="dxa"/>
            <w:vMerge w:val="restart"/>
            <w:tcBorders>
              <w:top w:val="single" w:sz="4" w:space="0" w:color="auto"/>
              <w:left w:val="single" w:sz="4" w:space="0" w:color="auto"/>
              <w:right w:val="single" w:sz="4" w:space="0" w:color="auto"/>
            </w:tcBorders>
            <w:vAlign w:val="center"/>
          </w:tcPr>
          <w:p w14:paraId="0EDE8521" w14:textId="77777777" w:rsidR="004E18E6" w:rsidRPr="00244FB2" w:rsidRDefault="004E18E6" w:rsidP="00985966">
            <w:pPr>
              <w:pStyle w:val="TableText"/>
              <w:widowControl w:val="0"/>
              <w:jc w:val="center"/>
            </w:pPr>
            <w:r w:rsidRPr="00244FB2">
              <w:t>&lt; 0.0001</w:t>
            </w:r>
          </w:p>
        </w:tc>
      </w:tr>
      <w:tr w:rsidR="004E18E6" w:rsidRPr="00244FB2" w14:paraId="352E7893"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3DD63173" w14:textId="77777777" w:rsidR="004E18E6" w:rsidRPr="00244FB2" w:rsidRDefault="004E18E6" w:rsidP="00985966">
            <w:pPr>
              <w:pStyle w:val="TableText"/>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5D33CBE9" w14:textId="77777777" w:rsidR="004E18E6" w:rsidRPr="00943783" w:rsidRDefault="004E18E6" w:rsidP="00985966">
            <w:pPr>
              <w:pStyle w:val="TableText"/>
              <w:widowControl w:val="0"/>
              <w:jc w:val="center"/>
              <w:rPr>
                <w:vertAlign w:val="superscript"/>
              </w:rPr>
            </w:pPr>
            <w:r w:rsidRPr="00244FB2">
              <w:t>21</w:t>
            </w:r>
            <w:r w:rsidR="00943783">
              <w:rPr>
                <w:vertAlign w:val="superscript"/>
              </w:rPr>
              <w:t>a</w:t>
            </w:r>
          </w:p>
        </w:tc>
        <w:tc>
          <w:tcPr>
            <w:tcW w:w="1321" w:type="dxa"/>
            <w:tcBorders>
              <w:top w:val="single" w:sz="4" w:space="0" w:color="auto"/>
              <w:left w:val="single" w:sz="4" w:space="0" w:color="auto"/>
              <w:bottom w:val="single" w:sz="4" w:space="0" w:color="auto"/>
              <w:right w:val="single" w:sz="4" w:space="0" w:color="auto"/>
            </w:tcBorders>
            <w:vAlign w:val="center"/>
          </w:tcPr>
          <w:p w14:paraId="2722A042" w14:textId="77777777" w:rsidR="004E18E6" w:rsidRPr="00244FB2" w:rsidRDefault="004E18E6" w:rsidP="00985966">
            <w:pPr>
              <w:pStyle w:val="TableText"/>
              <w:widowControl w:val="0"/>
              <w:jc w:val="center"/>
            </w:pPr>
            <w:r w:rsidRPr="00244FB2">
              <w:t>52.41</w:t>
            </w:r>
          </w:p>
        </w:tc>
        <w:tc>
          <w:tcPr>
            <w:tcW w:w="1849" w:type="dxa"/>
            <w:tcBorders>
              <w:top w:val="single" w:sz="4" w:space="0" w:color="auto"/>
              <w:left w:val="single" w:sz="4" w:space="0" w:color="auto"/>
              <w:bottom w:val="single" w:sz="4" w:space="0" w:color="auto"/>
              <w:right w:val="single" w:sz="4" w:space="0" w:color="auto"/>
            </w:tcBorders>
            <w:vAlign w:val="center"/>
          </w:tcPr>
          <w:p w14:paraId="766ACC0E" w14:textId="77777777" w:rsidR="004E18E6" w:rsidRPr="00244FB2" w:rsidRDefault="00D642D7" w:rsidP="00985966">
            <w:pPr>
              <w:pStyle w:val="TableText"/>
              <w:widowControl w:val="0"/>
              <w:jc w:val="center"/>
            </w:pPr>
            <w:r w:rsidRPr="00244FB2">
              <w:t xml:space="preserve">0.350 </w:t>
            </w:r>
            <w:r w:rsidR="004E18E6" w:rsidRPr="00244FB2">
              <w:t>(0.199, 0.616)</w:t>
            </w:r>
          </w:p>
        </w:tc>
        <w:tc>
          <w:tcPr>
            <w:tcW w:w="1435" w:type="dxa"/>
            <w:vMerge/>
            <w:tcBorders>
              <w:left w:val="single" w:sz="4" w:space="0" w:color="auto"/>
              <w:bottom w:val="single" w:sz="4" w:space="0" w:color="auto"/>
              <w:right w:val="single" w:sz="4" w:space="0" w:color="auto"/>
            </w:tcBorders>
            <w:vAlign w:val="center"/>
          </w:tcPr>
          <w:p w14:paraId="7A232B3F" w14:textId="77777777" w:rsidR="004E18E6" w:rsidRPr="00244FB2" w:rsidRDefault="004E18E6" w:rsidP="00985966">
            <w:pPr>
              <w:pStyle w:val="TableText"/>
              <w:widowControl w:val="0"/>
              <w:jc w:val="center"/>
            </w:pPr>
          </w:p>
        </w:tc>
        <w:tc>
          <w:tcPr>
            <w:tcW w:w="1435" w:type="dxa"/>
            <w:vMerge/>
            <w:tcBorders>
              <w:left w:val="single" w:sz="4" w:space="0" w:color="auto"/>
              <w:bottom w:val="single" w:sz="4" w:space="0" w:color="auto"/>
              <w:right w:val="single" w:sz="4" w:space="0" w:color="auto"/>
            </w:tcBorders>
            <w:vAlign w:val="center"/>
          </w:tcPr>
          <w:p w14:paraId="323EFAF6" w14:textId="77777777" w:rsidR="004E18E6" w:rsidRPr="00244FB2" w:rsidRDefault="004E18E6" w:rsidP="00985966">
            <w:pPr>
              <w:pStyle w:val="TableText"/>
              <w:widowControl w:val="0"/>
              <w:jc w:val="center"/>
            </w:pPr>
          </w:p>
        </w:tc>
      </w:tr>
      <w:tr w:rsidR="004E18E6" w:rsidRPr="00244FB2" w14:paraId="392594C3"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52D464A3" w14:textId="77777777" w:rsidR="004E18E6" w:rsidRPr="00244FB2" w:rsidRDefault="004E18E6" w:rsidP="00985966">
            <w:pPr>
              <w:pStyle w:val="TableText"/>
              <w:widowControl w:val="0"/>
              <w:rPr>
                <w:b/>
              </w:rPr>
            </w:pPr>
            <w:r w:rsidRPr="00244FB2">
              <w:rPr>
                <w:b/>
              </w:rPr>
              <w:t>On-trial relapses (assessed by treating physician)</w:t>
            </w:r>
          </w:p>
        </w:tc>
      </w:tr>
      <w:tr w:rsidR="004E18E6" w:rsidRPr="00244FB2" w14:paraId="6B946982"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71C8C49E" w14:textId="77777777" w:rsidR="004E18E6" w:rsidRPr="00244FB2" w:rsidRDefault="004E18E6" w:rsidP="00985966">
            <w:pPr>
              <w:pStyle w:val="TableText"/>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3E2BE20D" w14:textId="77777777" w:rsidR="004E18E6" w:rsidRPr="00244FB2" w:rsidRDefault="004E18E6" w:rsidP="00985966">
            <w:pPr>
              <w:pStyle w:val="TableText"/>
              <w:widowControl w:val="0"/>
              <w:jc w:val="center"/>
            </w:pPr>
            <w:r w:rsidRPr="00244FB2">
              <w:t>14</w:t>
            </w:r>
          </w:p>
        </w:tc>
        <w:tc>
          <w:tcPr>
            <w:tcW w:w="1321" w:type="dxa"/>
            <w:tcBorders>
              <w:top w:val="single" w:sz="4" w:space="0" w:color="auto"/>
              <w:left w:val="single" w:sz="4" w:space="0" w:color="auto"/>
              <w:bottom w:val="single" w:sz="4" w:space="0" w:color="auto"/>
              <w:right w:val="single" w:sz="4" w:space="0" w:color="auto"/>
            </w:tcBorders>
            <w:vAlign w:val="center"/>
          </w:tcPr>
          <w:p w14:paraId="348BE1EB" w14:textId="77777777" w:rsidR="004E18E6" w:rsidRPr="00244FB2" w:rsidRDefault="004E18E6" w:rsidP="00985966">
            <w:pPr>
              <w:pStyle w:val="TableText"/>
              <w:widowControl w:val="0"/>
              <w:jc w:val="center"/>
            </w:pPr>
            <w:r w:rsidRPr="00244FB2">
              <w:t>171.32</w:t>
            </w:r>
          </w:p>
        </w:tc>
        <w:tc>
          <w:tcPr>
            <w:tcW w:w="1849" w:type="dxa"/>
            <w:tcBorders>
              <w:top w:val="single" w:sz="4" w:space="0" w:color="auto"/>
              <w:left w:val="single" w:sz="4" w:space="0" w:color="auto"/>
              <w:bottom w:val="single" w:sz="4" w:space="0" w:color="auto"/>
              <w:right w:val="single" w:sz="4" w:space="0" w:color="auto"/>
            </w:tcBorders>
            <w:vAlign w:val="center"/>
          </w:tcPr>
          <w:p w14:paraId="7566BC00" w14:textId="77777777" w:rsidR="004E18E6" w:rsidRPr="00244FB2" w:rsidRDefault="00D642D7" w:rsidP="00985966">
            <w:pPr>
              <w:pStyle w:val="TableText"/>
              <w:widowControl w:val="0"/>
              <w:jc w:val="center"/>
            </w:pPr>
            <w:r w:rsidRPr="00244FB2">
              <w:t xml:space="preserve">0.066 </w:t>
            </w:r>
            <w:r w:rsidR="004E18E6" w:rsidRPr="00244FB2">
              <w:t>(0.036, 0.120)</w:t>
            </w:r>
          </w:p>
        </w:tc>
        <w:tc>
          <w:tcPr>
            <w:tcW w:w="1435" w:type="dxa"/>
            <w:vMerge w:val="restart"/>
            <w:tcBorders>
              <w:top w:val="single" w:sz="4" w:space="0" w:color="auto"/>
              <w:left w:val="single" w:sz="4" w:space="0" w:color="auto"/>
              <w:right w:val="single" w:sz="4" w:space="0" w:color="auto"/>
            </w:tcBorders>
            <w:vAlign w:val="center"/>
          </w:tcPr>
          <w:p w14:paraId="01473EB8" w14:textId="77777777" w:rsidR="004E18E6" w:rsidRPr="00244FB2" w:rsidRDefault="004E18E6" w:rsidP="00985966">
            <w:pPr>
              <w:pStyle w:val="TableText"/>
              <w:widowControl w:val="0"/>
              <w:jc w:val="center"/>
            </w:pPr>
            <w:r w:rsidRPr="00244FB2">
              <w:t xml:space="preserve">0.147 </w:t>
            </w:r>
          </w:p>
          <w:p w14:paraId="253DCFEB" w14:textId="77777777" w:rsidR="004E18E6" w:rsidRPr="00244FB2" w:rsidRDefault="004E18E6" w:rsidP="00985966">
            <w:pPr>
              <w:pStyle w:val="TableText"/>
              <w:widowControl w:val="0"/>
              <w:jc w:val="center"/>
            </w:pPr>
            <w:r w:rsidRPr="00244FB2">
              <w:t>(0.078, 0.278)</w:t>
            </w:r>
          </w:p>
        </w:tc>
        <w:tc>
          <w:tcPr>
            <w:tcW w:w="1435" w:type="dxa"/>
            <w:vMerge w:val="restart"/>
            <w:tcBorders>
              <w:top w:val="single" w:sz="4" w:space="0" w:color="auto"/>
              <w:left w:val="single" w:sz="4" w:space="0" w:color="auto"/>
              <w:right w:val="single" w:sz="4" w:space="0" w:color="auto"/>
            </w:tcBorders>
            <w:vAlign w:val="center"/>
          </w:tcPr>
          <w:p w14:paraId="4F5E3141" w14:textId="77777777" w:rsidR="004E18E6" w:rsidRPr="00244FB2" w:rsidRDefault="004E18E6" w:rsidP="00985966">
            <w:pPr>
              <w:pStyle w:val="TableText"/>
              <w:widowControl w:val="0"/>
              <w:jc w:val="center"/>
            </w:pPr>
            <w:r w:rsidRPr="00244FB2">
              <w:t>&lt; 0.0001</w:t>
            </w:r>
          </w:p>
        </w:tc>
      </w:tr>
      <w:tr w:rsidR="004E18E6" w:rsidRPr="00244FB2" w14:paraId="7C8F1932"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37A08F1F" w14:textId="77777777" w:rsidR="004E18E6" w:rsidRPr="00244FB2" w:rsidRDefault="004E18E6" w:rsidP="00985966">
            <w:pPr>
              <w:pStyle w:val="TableText"/>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259F6B82" w14:textId="77777777" w:rsidR="004E18E6" w:rsidRPr="00943783" w:rsidRDefault="004E18E6" w:rsidP="00985966">
            <w:pPr>
              <w:pStyle w:val="TableText"/>
              <w:widowControl w:val="0"/>
              <w:jc w:val="center"/>
              <w:rPr>
                <w:vertAlign w:val="superscript"/>
              </w:rPr>
            </w:pPr>
            <w:r w:rsidRPr="00244FB2">
              <w:t>31</w:t>
            </w:r>
            <w:r w:rsidR="00943783">
              <w:rPr>
                <w:vertAlign w:val="superscript"/>
              </w:rPr>
              <w:t>b</w:t>
            </w:r>
          </w:p>
        </w:tc>
        <w:tc>
          <w:tcPr>
            <w:tcW w:w="1321" w:type="dxa"/>
            <w:tcBorders>
              <w:top w:val="single" w:sz="4" w:space="0" w:color="auto"/>
              <w:left w:val="single" w:sz="4" w:space="0" w:color="auto"/>
              <w:bottom w:val="single" w:sz="4" w:space="0" w:color="auto"/>
              <w:right w:val="single" w:sz="4" w:space="0" w:color="auto"/>
            </w:tcBorders>
            <w:vAlign w:val="center"/>
          </w:tcPr>
          <w:p w14:paraId="6FEC2C7F" w14:textId="77777777" w:rsidR="004E18E6" w:rsidRPr="00244FB2" w:rsidRDefault="004E18E6" w:rsidP="00985966">
            <w:pPr>
              <w:pStyle w:val="TableText"/>
              <w:widowControl w:val="0"/>
              <w:jc w:val="center"/>
            </w:pPr>
            <w:r w:rsidRPr="00244FB2">
              <w:t>52.41</w:t>
            </w:r>
          </w:p>
        </w:tc>
        <w:tc>
          <w:tcPr>
            <w:tcW w:w="1849" w:type="dxa"/>
            <w:tcBorders>
              <w:top w:val="single" w:sz="4" w:space="0" w:color="auto"/>
              <w:left w:val="single" w:sz="4" w:space="0" w:color="auto"/>
              <w:bottom w:val="single" w:sz="4" w:space="0" w:color="auto"/>
              <w:right w:val="single" w:sz="4" w:space="0" w:color="auto"/>
            </w:tcBorders>
            <w:vAlign w:val="center"/>
          </w:tcPr>
          <w:p w14:paraId="5273EEE9" w14:textId="77777777" w:rsidR="004E18E6" w:rsidRPr="00244FB2" w:rsidRDefault="00D642D7" w:rsidP="00985966">
            <w:pPr>
              <w:pStyle w:val="TableText"/>
              <w:widowControl w:val="0"/>
              <w:jc w:val="center"/>
            </w:pPr>
            <w:r w:rsidRPr="00244FB2">
              <w:t xml:space="preserve">0.446 </w:t>
            </w:r>
            <w:r w:rsidR="004E18E6" w:rsidRPr="00244FB2">
              <w:t>(0.272, 0.732)</w:t>
            </w:r>
          </w:p>
        </w:tc>
        <w:tc>
          <w:tcPr>
            <w:tcW w:w="1435" w:type="dxa"/>
            <w:vMerge/>
            <w:tcBorders>
              <w:left w:val="single" w:sz="4" w:space="0" w:color="auto"/>
              <w:bottom w:val="single" w:sz="4" w:space="0" w:color="auto"/>
              <w:right w:val="single" w:sz="4" w:space="0" w:color="auto"/>
            </w:tcBorders>
            <w:vAlign w:val="center"/>
          </w:tcPr>
          <w:p w14:paraId="44A13457" w14:textId="77777777" w:rsidR="004E18E6" w:rsidRPr="00244FB2" w:rsidRDefault="004E18E6" w:rsidP="00985966">
            <w:pPr>
              <w:pStyle w:val="TableText"/>
              <w:widowControl w:val="0"/>
              <w:jc w:val="center"/>
            </w:pPr>
          </w:p>
        </w:tc>
        <w:tc>
          <w:tcPr>
            <w:tcW w:w="1435" w:type="dxa"/>
            <w:vMerge/>
            <w:tcBorders>
              <w:left w:val="single" w:sz="4" w:space="0" w:color="auto"/>
              <w:bottom w:val="single" w:sz="4" w:space="0" w:color="auto"/>
              <w:right w:val="single" w:sz="4" w:space="0" w:color="auto"/>
            </w:tcBorders>
            <w:vAlign w:val="center"/>
          </w:tcPr>
          <w:p w14:paraId="7761C352" w14:textId="77777777" w:rsidR="004E18E6" w:rsidRPr="00244FB2" w:rsidRDefault="004E18E6" w:rsidP="00985966">
            <w:pPr>
              <w:pStyle w:val="TableText"/>
              <w:widowControl w:val="0"/>
              <w:jc w:val="center"/>
            </w:pPr>
          </w:p>
        </w:tc>
      </w:tr>
      <w:tr w:rsidR="004E18E6" w:rsidRPr="00244FB2" w14:paraId="147AD5A0"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18C68F79" w14:textId="77777777" w:rsidR="004E18E6" w:rsidRPr="00244FB2" w:rsidRDefault="004E18E6" w:rsidP="00985966">
            <w:pPr>
              <w:pStyle w:val="TableText"/>
              <w:widowControl w:val="0"/>
              <w:rPr>
                <w:b/>
              </w:rPr>
            </w:pPr>
            <w:r w:rsidRPr="00244FB2">
              <w:rPr>
                <w:b/>
              </w:rPr>
              <w:t>On-trial relapses requiring hospitalisation</w:t>
            </w:r>
          </w:p>
        </w:tc>
      </w:tr>
      <w:tr w:rsidR="004E18E6" w:rsidRPr="00244FB2" w14:paraId="052981B9"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4762053C" w14:textId="77777777" w:rsidR="004E18E6" w:rsidRPr="00244FB2" w:rsidRDefault="004E18E6" w:rsidP="00985966">
            <w:pPr>
              <w:pStyle w:val="TableText"/>
              <w:widowControl w:val="0"/>
              <w:rPr>
                <w:vertAlign w:val="superscript"/>
              </w:rPr>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166FABC9" w14:textId="77777777" w:rsidR="004E18E6" w:rsidRPr="00244FB2" w:rsidRDefault="004E18E6" w:rsidP="00985966">
            <w:pPr>
              <w:pStyle w:val="TableText"/>
              <w:widowControl w:val="0"/>
              <w:jc w:val="center"/>
            </w:pPr>
            <w:r w:rsidRPr="00244FB2">
              <w:t>6</w:t>
            </w:r>
          </w:p>
        </w:tc>
        <w:tc>
          <w:tcPr>
            <w:tcW w:w="1321" w:type="dxa"/>
            <w:tcBorders>
              <w:top w:val="single" w:sz="4" w:space="0" w:color="auto"/>
              <w:left w:val="single" w:sz="4" w:space="0" w:color="auto"/>
              <w:bottom w:val="single" w:sz="4" w:space="0" w:color="auto"/>
              <w:right w:val="single" w:sz="4" w:space="0" w:color="auto"/>
            </w:tcBorders>
            <w:vAlign w:val="center"/>
          </w:tcPr>
          <w:p w14:paraId="551E0174" w14:textId="77777777" w:rsidR="004E18E6" w:rsidRPr="00244FB2" w:rsidRDefault="004E18E6" w:rsidP="00985966">
            <w:pPr>
              <w:pStyle w:val="TableText"/>
              <w:widowControl w:val="0"/>
              <w:jc w:val="center"/>
            </w:pPr>
            <w:r w:rsidRPr="00244FB2">
              <w:t>171.32</w:t>
            </w:r>
          </w:p>
        </w:tc>
        <w:tc>
          <w:tcPr>
            <w:tcW w:w="1849" w:type="dxa"/>
            <w:tcBorders>
              <w:top w:val="single" w:sz="4" w:space="0" w:color="auto"/>
              <w:left w:val="single" w:sz="4" w:space="0" w:color="auto"/>
              <w:bottom w:val="single" w:sz="4" w:space="0" w:color="auto"/>
              <w:right w:val="single" w:sz="4" w:space="0" w:color="auto"/>
            </w:tcBorders>
            <w:vAlign w:val="center"/>
          </w:tcPr>
          <w:p w14:paraId="7B2AAB42" w14:textId="77777777" w:rsidR="004E18E6" w:rsidRPr="00244FB2" w:rsidRDefault="00D642D7" w:rsidP="00985966">
            <w:pPr>
              <w:pStyle w:val="TableText"/>
              <w:widowControl w:val="0"/>
              <w:jc w:val="center"/>
            </w:pPr>
            <w:r w:rsidRPr="00244FB2">
              <w:t xml:space="preserve">0.04 </w:t>
            </w:r>
            <w:r w:rsidR="004E18E6" w:rsidRPr="00244FB2">
              <w:t>(0.02, 0.08)</w:t>
            </w:r>
          </w:p>
        </w:tc>
        <w:tc>
          <w:tcPr>
            <w:tcW w:w="1435" w:type="dxa"/>
            <w:vMerge w:val="restart"/>
            <w:tcBorders>
              <w:top w:val="single" w:sz="4" w:space="0" w:color="auto"/>
              <w:left w:val="single" w:sz="4" w:space="0" w:color="auto"/>
              <w:right w:val="single" w:sz="4" w:space="0" w:color="auto"/>
            </w:tcBorders>
            <w:vAlign w:val="center"/>
          </w:tcPr>
          <w:p w14:paraId="2EF9074D" w14:textId="77777777" w:rsidR="004E18E6" w:rsidRPr="00244FB2" w:rsidRDefault="004E18E6" w:rsidP="00985966">
            <w:pPr>
              <w:pStyle w:val="TableText"/>
              <w:widowControl w:val="0"/>
              <w:jc w:val="center"/>
            </w:pPr>
            <w:r w:rsidRPr="00244FB2">
              <w:t>NR</w:t>
            </w:r>
          </w:p>
        </w:tc>
        <w:tc>
          <w:tcPr>
            <w:tcW w:w="1435" w:type="dxa"/>
            <w:vMerge w:val="restart"/>
            <w:tcBorders>
              <w:top w:val="single" w:sz="4" w:space="0" w:color="auto"/>
              <w:left w:val="single" w:sz="4" w:space="0" w:color="auto"/>
              <w:right w:val="single" w:sz="4" w:space="0" w:color="auto"/>
            </w:tcBorders>
            <w:vAlign w:val="center"/>
          </w:tcPr>
          <w:p w14:paraId="2299E66C" w14:textId="77777777" w:rsidR="004E18E6" w:rsidRPr="00244FB2" w:rsidRDefault="004E18E6" w:rsidP="00985966">
            <w:pPr>
              <w:pStyle w:val="TableText"/>
              <w:widowControl w:val="0"/>
              <w:jc w:val="center"/>
            </w:pPr>
            <w:r w:rsidRPr="00244FB2">
              <w:t>&lt; 0.0001</w:t>
            </w:r>
          </w:p>
        </w:tc>
      </w:tr>
      <w:tr w:rsidR="004E18E6" w:rsidRPr="00244FB2" w14:paraId="2004EBE2"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24624A6F" w14:textId="77777777" w:rsidR="004E18E6" w:rsidRPr="00244FB2" w:rsidRDefault="004E18E6" w:rsidP="00985966">
            <w:pPr>
              <w:pStyle w:val="TableText"/>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69CE4EF3" w14:textId="77777777" w:rsidR="004E18E6" w:rsidRPr="00244FB2" w:rsidRDefault="004E18E6" w:rsidP="00985966">
            <w:pPr>
              <w:pStyle w:val="TableText"/>
              <w:widowControl w:val="0"/>
              <w:jc w:val="center"/>
            </w:pPr>
            <w:r w:rsidRPr="00244FB2">
              <w:t>15</w:t>
            </w:r>
          </w:p>
        </w:tc>
        <w:tc>
          <w:tcPr>
            <w:tcW w:w="1321" w:type="dxa"/>
            <w:tcBorders>
              <w:top w:val="single" w:sz="4" w:space="0" w:color="auto"/>
              <w:left w:val="single" w:sz="4" w:space="0" w:color="auto"/>
              <w:bottom w:val="single" w:sz="4" w:space="0" w:color="auto"/>
              <w:right w:val="single" w:sz="4" w:space="0" w:color="auto"/>
            </w:tcBorders>
            <w:vAlign w:val="center"/>
          </w:tcPr>
          <w:p w14:paraId="2AB7BD2F" w14:textId="77777777" w:rsidR="004E18E6" w:rsidRPr="00244FB2" w:rsidRDefault="004E18E6" w:rsidP="00985966">
            <w:pPr>
              <w:pStyle w:val="TableText"/>
              <w:widowControl w:val="0"/>
              <w:jc w:val="center"/>
            </w:pPr>
            <w:r w:rsidRPr="00244FB2">
              <w:t>52.41</w:t>
            </w:r>
          </w:p>
        </w:tc>
        <w:tc>
          <w:tcPr>
            <w:tcW w:w="1849" w:type="dxa"/>
            <w:tcBorders>
              <w:top w:val="single" w:sz="4" w:space="0" w:color="auto"/>
              <w:left w:val="single" w:sz="4" w:space="0" w:color="auto"/>
              <w:bottom w:val="single" w:sz="4" w:space="0" w:color="auto"/>
              <w:right w:val="single" w:sz="4" w:space="0" w:color="auto"/>
            </w:tcBorders>
            <w:vAlign w:val="center"/>
          </w:tcPr>
          <w:p w14:paraId="65E1860B" w14:textId="77777777" w:rsidR="004E18E6" w:rsidRPr="00244FB2" w:rsidRDefault="00D642D7" w:rsidP="00985966">
            <w:pPr>
              <w:pStyle w:val="TableText"/>
              <w:widowControl w:val="0"/>
              <w:jc w:val="center"/>
            </w:pPr>
            <w:r w:rsidRPr="00244FB2">
              <w:t xml:space="preserve">0.31 </w:t>
            </w:r>
            <w:r w:rsidR="004E18E6" w:rsidRPr="00244FB2">
              <w:t>(0.19, 0.50)</w:t>
            </w:r>
          </w:p>
        </w:tc>
        <w:tc>
          <w:tcPr>
            <w:tcW w:w="1435" w:type="dxa"/>
            <w:vMerge/>
            <w:tcBorders>
              <w:left w:val="single" w:sz="4" w:space="0" w:color="auto"/>
              <w:right w:val="single" w:sz="4" w:space="0" w:color="auto"/>
            </w:tcBorders>
            <w:vAlign w:val="center"/>
          </w:tcPr>
          <w:p w14:paraId="17E04943" w14:textId="77777777" w:rsidR="004E18E6" w:rsidRPr="00244FB2" w:rsidRDefault="004E18E6" w:rsidP="00985966">
            <w:pPr>
              <w:pStyle w:val="TableText"/>
              <w:widowControl w:val="0"/>
              <w:jc w:val="center"/>
            </w:pPr>
          </w:p>
        </w:tc>
        <w:tc>
          <w:tcPr>
            <w:tcW w:w="1435" w:type="dxa"/>
            <w:vMerge/>
            <w:tcBorders>
              <w:left w:val="single" w:sz="4" w:space="0" w:color="auto"/>
              <w:right w:val="single" w:sz="4" w:space="0" w:color="auto"/>
            </w:tcBorders>
            <w:vAlign w:val="center"/>
          </w:tcPr>
          <w:p w14:paraId="12674D15" w14:textId="77777777" w:rsidR="004E18E6" w:rsidRPr="00244FB2" w:rsidRDefault="004E18E6" w:rsidP="00985966">
            <w:pPr>
              <w:pStyle w:val="TableText"/>
              <w:widowControl w:val="0"/>
              <w:jc w:val="center"/>
            </w:pPr>
          </w:p>
        </w:tc>
      </w:tr>
      <w:tr w:rsidR="004E18E6" w:rsidRPr="00244FB2" w14:paraId="007EBD77"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77D9FAFD" w14:textId="77777777" w:rsidR="004E18E6" w:rsidRPr="00244FB2" w:rsidRDefault="004E18E6" w:rsidP="00985966">
            <w:pPr>
              <w:pStyle w:val="TableText"/>
              <w:widowControl w:val="0"/>
              <w:rPr>
                <w:b/>
              </w:rPr>
            </w:pPr>
            <w:r w:rsidRPr="00244FB2">
              <w:rPr>
                <w:b/>
              </w:rPr>
              <w:t>On-trial relapses requiring acute treatment with high dose oral corticosteroids</w:t>
            </w:r>
          </w:p>
        </w:tc>
      </w:tr>
      <w:tr w:rsidR="004E18E6" w:rsidRPr="00244FB2" w14:paraId="22BB7CE5"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193733F5" w14:textId="77777777" w:rsidR="004E18E6" w:rsidRPr="00244FB2" w:rsidRDefault="004E18E6" w:rsidP="00985966">
            <w:pPr>
              <w:pStyle w:val="TableText"/>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75D0FA8B" w14:textId="77777777" w:rsidR="004E18E6" w:rsidRPr="00244FB2" w:rsidRDefault="004E18E6" w:rsidP="00985966">
            <w:pPr>
              <w:pStyle w:val="TableText"/>
              <w:widowControl w:val="0"/>
              <w:jc w:val="center"/>
            </w:pPr>
            <w:r w:rsidRPr="00244FB2">
              <w:t>7</w:t>
            </w:r>
          </w:p>
        </w:tc>
        <w:tc>
          <w:tcPr>
            <w:tcW w:w="1321" w:type="dxa"/>
            <w:tcBorders>
              <w:top w:val="single" w:sz="4" w:space="0" w:color="auto"/>
              <w:left w:val="single" w:sz="4" w:space="0" w:color="auto"/>
              <w:bottom w:val="single" w:sz="4" w:space="0" w:color="auto"/>
              <w:right w:val="single" w:sz="4" w:space="0" w:color="auto"/>
            </w:tcBorders>
            <w:vAlign w:val="center"/>
          </w:tcPr>
          <w:p w14:paraId="6D28A935" w14:textId="77777777" w:rsidR="004E18E6" w:rsidRPr="00244FB2" w:rsidRDefault="004E18E6" w:rsidP="00985966">
            <w:pPr>
              <w:pStyle w:val="TableText"/>
              <w:widowControl w:val="0"/>
              <w:jc w:val="center"/>
            </w:pPr>
            <w:r w:rsidRPr="00244FB2">
              <w:t>171.32</w:t>
            </w:r>
          </w:p>
        </w:tc>
        <w:tc>
          <w:tcPr>
            <w:tcW w:w="1849" w:type="dxa"/>
            <w:tcBorders>
              <w:top w:val="single" w:sz="4" w:space="0" w:color="auto"/>
              <w:left w:val="single" w:sz="4" w:space="0" w:color="auto"/>
              <w:bottom w:val="single" w:sz="4" w:space="0" w:color="auto"/>
              <w:right w:val="single" w:sz="4" w:space="0" w:color="auto"/>
            </w:tcBorders>
            <w:vAlign w:val="center"/>
          </w:tcPr>
          <w:p w14:paraId="4BF03E7B" w14:textId="77777777" w:rsidR="004E18E6" w:rsidRPr="00244FB2" w:rsidRDefault="00D642D7" w:rsidP="00985966">
            <w:pPr>
              <w:pStyle w:val="TableText"/>
              <w:widowControl w:val="0"/>
              <w:jc w:val="center"/>
            </w:pPr>
            <w:r w:rsidRPr="00244FB2">
              <w:t xml:space="preserve">0.04 </w:t>
            </w:r>
            <w:r w:rsidR="004E18E6" w:rsidRPr="00244FB2">
              <w:t>(0.02, 0.09)</w:t>
            </w:r>
          </w:p>
        </w:tc>
        <w:tc>
          <w:tcPr>
            <w:tcW w:w="1435" w:type="dxa"/>
            <w:vMerge w:val="restart"/>
            <w:tcBorders>
              <w:left w:val="single" w:sz="4" w:space="0" w:color="auto"/>
              <w:right w:val="single" w:sz="4" w:space="0" w:color="auto"/>
            </w:tcBorders>
            <w:vAlign w:val="center"/>
          </w:tcPr>
          <w:p w14:paraId="5A99C1A2" w14:textId="77777777" w:rsidR="004E18E6" w:rsidRPr="00244FB2" w:rsidRDefault="004E18E6" w:rsidP="00985966">
            <w:pPr>
              <w:pStyle w:val="TableText"/>
              <w:widowControl w:val="0"/>
              <w:jc w:val="center"/>
            </w:pPr>
            <w:r w:rsidRPr="00244FB2">
              <w:t>NR</w:t>
            </w:r>
          </w:p>
        </w:tc>
        <w:tc>
          <w:tcPr>
            <w:tcW w:w="1435" w:type="dxa"/>
            <w:vMerge w:val="restart"/>
            <w:tcBorders>
              <w:left w:val="single" w:sz="4" w:space="0" w:color="auto"/>
              <w:right w:val="single" w:sz="4" w:space="0" w:color="auto"/>
            </w:tcBorders>
            <w:vAlign w:val="center"/>
          </w:tcPr>
          <w:p w14:paraId="57A65298" w14:textId="77777777" w:rsidR="004E18E6" w:rsidRPr="00244FB2" w:rsidRDefault="004E18E6" w:rsidP="00985966">
            <w:pPr>
              <w:pStyle w:val="TableText"/>
              <w:widowControl w:val="0"/>
              <w:jc w:val="center"/>
            </w:pPr>
            <w:r w:rsidRPr="00244FB2">
              <w:t>0.0733</w:t>
            </w:r>
          </w:p>
        </w:tc>
      </w:tr>
      <w:tr w:rsidR="004E18E6" w:rsidRPr="00244FB2" w14:paraId="2EB2C43A"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0DB31158" w14:textId="77777777" w:rsidR="004E18E6" w:rsidRPr="00244FB2" w:rsidRDefault="004E18E6" w:rsidP="00985966">
            <w:pPr>
              <w:pStyle w:val="TableText"/>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29AD20A1" w14:textId="77777777" w:rsidR="004E18E6" w:rsidRPr="00244FB2" w:rsidRDefault="004E18E6" w:rsidP="00985966">
            <w:pPr>
              <w:pStyle w:val="TableText"/>
              <w:widowControl w:val="0"/>
              <w:jc w:val="center"/>
            </w:pPr>
            <w:r w:rsidRPr="00244FB2">
              <w:t>6</w:t>
            </w:r>
          </w:p>
        </w:tc>
        <w:tc>
          <w:tcPr>
            <w:tcW w:w="1321" w:type="dxa"/>
            <w:tcBorders>
              <w:top w:val="single" w:sz="4" w:space="0" w:color="auto"/>
              <w:left w:val="single" w:sz="4" w:space="0" w:color="auto"/>
              <w:bottom w:val="single" w:sz="4" w:space="0" w:color="auto"/>
              <w:right w:val="single" w:sz="4" w:space="0" w:color="auto"/>
            </w:tcBorders>
            <w:vAlign w:val="center"/>
          </w:tcPr>
          <w:p w14:paraId="71C99B26" w14:textId="77777777" w:rsidR="004E18E6" w:rsidRPr="00244FB2" w:rsidRDefault="004E18E6" w:rsidP="00985966">
            <w:pPr>
              <w:pStyle w:val="TableText"/>
              <w:widowControl w:val="0"/>
              <w:jc w:val="center"/>
            </w:pPr>
            <w:r w:rsidRPr="00244FB2">
              <w:t>52.41</w:t>
            </w:r>
          </w:p>
        </w:tc>
        <w:tc>
          <w:tcPr>
            <w:tcW w:w="1849" w:type="dxa"/>
            <w:tcBorders>
              <w:top w:val="single" w:sz="4" w:space="0" w:color="auto"/>
              <w:left w:val="single" w:sz="4" w:space="0" w:color="auto"/>
              <w:bottom w:val="single" w:sz="4" w:space="0" w:color="auto"/>
              <w:right w:val="single" w:sz="4" w:space="0" w:color="auto"/>
            </w:tcBorders>
            <w:vAlign w:val="center"/>
          </w:tcPr>
          <w:p w14:paraId="5E51F8C3" w14:textId="77777777" w:rsidR="004E18E6" w:rsidRPr="00244FB2" w:rsidRDefault="00D642D7" w:rsidP="00985966">
            <w:pPr>
              <w:pStyle w:val="TableText"/>
              <w:widowControl w:val="0"/>
              <w:jc w:val="center"/>
            </w:pPr>
            <w:r w:rsidRPr="00244FB2">
              <w:t xml:space="preserve">0.11 </w:t>
            </w:r>
            <w:r w:rsidR="004E18E6" w:rsidRPr="00244FB2">
              <w:t>(0.05, 0.25)</w:t>
            </w:r>
          </w:p>
        </w:tc>
        <w:tc>
          <w:tcPr>
            <w:tcW w:w="1435" w:type="dxa"/>
            <w:vMerge/>
            <w:tcBorders>
              <w:left w:val="single" w:sz="4" w:space="0" w:color="auto"/>
              <w:right w:val="single" w:sz="4" w:space="0" w:color="auto"/>
            </w:tcBorders>
            <w:vAlign w:val="center"/>
          </w:tcPr>
          <w:p w14:paraId="09C149B4" w14:textId="77777777" w:rsidR="004E18E6" w:rsidRPr="00244FB2" w:rsidRDefault="004E18E6" w:rsidP="00985966">
            <w:pPr>
              <w:pStyle w:val="TableText"/>
              <w:widowControl w:val="0"/>
              <w:jc w:val="center"/>
            </w:pPr>
          </w:p>
        </w:tc>
        <w:tc>
          <w:tcPr>
            <w:tcW w:w="1435" w:type="dxa"/>
            <w:vMerge/>
            <w:tcBorders>
              <w:left w:val="single" w:sz="4" w:space="0" w:color="auto"/>
              <w:right w:val="single" w:sz="4" w:space="0" w:color="auto"/>
            </w:tcBorders>
            <w:vAlign w:val="center"/>
          </w:tcPr>
          <w:p w14:paraId="57353157" w14:textId="77777777" w:rsidR="004E18E6" w:rsidRPr="00244FB2" w:rsidRDefault="004E18E6" w:rsidP="00985966">
            <w:pPr>
              <w:pStyle w:val="TableText"/>
              <w:widowControl w:val="0"/>
              <w:jc w:val="center"/>
            </w:pPr>
          </w:p>
        </w:tc>
      </w:tr>
      <w:tr w:rsidR="004E18E6" w:rsidRPr="00244FB2" w14:paraId="04107385"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1B1EB4F2" w14:textId="77777777" w:rsidR="004E18E6" w:rsidRPr="00244FB2" w:rsidRDefault="004E18E6" w:rsidP="00985966">
            <w:pPr>
              <w:pStyle w:val="TableText"/>
              <w:widowControl w:val="0"/>
            </w:pPr>
            <w:r w:rsidRPr="00244FB2">
              <w:rPr>
                <w:b/>
              </w:rPr>
              <w:t>On-trial relapses requiring acute treatment with intravenous corticosteroids</w:t>
            </w:r>
          </w:p>
        </w:tc>
      </w:tr>
      <w:tr w:rsidR="004E18E6" w:rsidRPr="00244FB2" w14:paraId="61CBAA41"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062C735C" w14:textId="77777777" w:rsidR="004E18E6" w:rsidRPr="00244FB2" w:rsidRDefault="004E18E6" w:rsidP="00985966">
            <w:pPr>
              <w:pStyle w:val="TableText"/>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7252532E" w14:textId="77777777" w:rsidR="004E18E6" w:rsidRPr="00244FB2" w:rsidRDefault="004E18E6" w:rsidP="00985966">
            <w:pPr>
              <w:pStyle w:val="TableText"/>
              <w:widowControl w:val="0"/>
              <w:jc w:val="center"/>
            </w:pPr>
            <w:r w:rsidRPr="00244FB2">
              <w:t>12</w:t>
            </w:r>
          </w:p>
        </w:tc>
        <w:tc>
          <w:tcPr>
            <w:tcW w:w="1321" w:type="dxa"/>
            <w:tcBorders>
              <w:top w:val="single" w:sz="4" w:space="0" w:color="auto"/>
              <w:left w:val="single" w:sz="4" w:space="0" w:color="auto"/>
              <w:bottom w:val="single" w:sz="4" w:space="0" w:color="auto"/>
              <w:right w:val="single" w:sz="4" w:space="0" w:color="auto"/>
            </w:tcBorders>
            <w:vAlign w:val="center"/>
          </w:tcPr>
          <w:p w14:paraId="5B4E05D8" w14:textId="77777777" w:rsidR="004E18E6" w:rsidRPr="00244FB2" w:rsidRDefault="004E18E6" w:rsidP="00985966">
            <w:pPr>
              <w:pStyle w:val="TableText"/>
              <w:widowControl w:val="0"/>
              <w:jc w:val="center"/>
            </w:pPr>
            <w:r w:rsidRPr="00244FB2">
              <w:t>171.32</w:t>
            </w:r>
          </w:p>
        </w:tc>
        <w:tc>
          <w:tcPr>
            <w:tcW w:w="1849" w:type="dxa"/>
            <w:tcBorders>
              <w:top w:val="single" w:sz="4" w:space="0" w:color="auto"/>
              <w:left w:val="single" w:sz="4" w:space="0" w:color="auto"/>
              <w:bottom w:val="single" w:sz="4" w:space="0" w:color="auto"/>
              <w:right w:val="single" w:sz="4" w:space="0" w:color="auto"/>
            </w:tcBorders>
            <w:vAlign w:val="center"/>
          </w:tcPr>
          <w:p w14:paraId="5B430C4E" w14:textId="77777777" w:rsidR="004E18E6" w:rsidRPr="00244FB2" w:rsidRDefault="00D642D7" w:rsidP="00985966">
            <w:pPr>
              <w:pStyle w:val="TableText"/>
              <w:widowControl w:val="0"/>
              <w:jc w:val="center"/>
            </w:pPr>
            <w:r w:rsidRPr="00244FB2">
              <w:t xml:space="preserve">0.07 </w:t>
            </w:r>
            <w:r w:rsidR="004E18E6" w:rsidRPr="00244FB2">
              <w:t>(0.04, 0.12)</w:t>
            </w:r>
          </w:p>
        </w:tc>
        <w:tc>
          <w:tcPr>
            <w:tcW w:w="1435" w:type="dxa"/>
            <w:vMerge w:val="restart"/>
            <w:tcBorders>
              <w:left w:val="single" w:sz="4" w:space="0" w:color="auto"/>
              <w:right w:val="single" w:sz="4" w:space="0" w:color="auto"/>
            </w:tcBorders>
            <w:vAlign w:val="center"/>
          </w:tcPr>
          <w:p w14:paraId="363BE833" w14:textId="77777777" w:rsidR="004E18E6" w:rsidRPr="00244FB2" w:rsidRDefault="004E18E6" w:rsidP="00985966">
            <w:pPr>
              <w:pStyle w:val="TableText"/>
              <w:widowControl w:val="0"/>
              <w:jc w:val="center"/>
            </w:pPr>
            <w:r w:rsidRPr="00244FB2">
              <w:t>NR</w:t>
            </w:r>
          </w:p>
        </w:tc>
        <w:tc>
          <w:tcPr>
            <w:tcW w:w="1435" w:type="dxa"/>
            <w:vMerge w:val="restart"/>
            <w:tcBorders>
              <w:left w:val="single" w:sz="4" w:space="0" w:color="auto"/>
              <w:right w:val="single" w:sz="4" w:space="0" w:color="auto"/>
            </w:tcBorders>
            <w:vAlign w:val="center"/>
          </w:tcPr>
          <w:p w14:paraId="3347BA87" w14:textId="77777777" w:rsidR="004E18E6" w:rsidRPr="00244FB2" w:rsidRDefault="004E18E6" w:rsidP="00985966">
            <w:pPr>
              <w:pStyle w:val="TableText"/>
              <w:widowControl w:val="0"/>
              <w:jc w:val="center"/>
            </w:pPr>
            <w:r w:rsidRPr="00244FB2">
              <w:t>&lt; 0.0001</w:t>
            </w:r>
          </w:p>
        </w:tc>
      </w:tr>
      <w:tr w:rsidR="004E18E6" w:rsidRPr="00244FB2" w14:paraId="0CE601A3"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5D4F57F4" w14:textId="77777777" w:rsidR="004E18E6" w:rsidRPr="00244FB2" w:rsidRDefault="004E18E6" w:rsidP="00985966">
            <w:pPr>
              <w:pStyle w:val="TableText"/>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47EE0B66" w14:textId="77777777" w:rsidR="004E18E6" w:rsidRPr="00244FB2" w:rsidRDefault="004E18E6" w:rsidP="00985966">
            <w:pPr>
              <w:pStyle w:val="TableText"/>
              <w:widowControl w:val="0"/>
              <w:jc w:val="center"/>
            </w:pPr>
            <w:r w:rsidRPr="00244FB2">
              <w:t>22</w:t>
            </w:r>
          </w:p>
        </w:tc>
        <w:tc>
          <w:tcPr>
            <w:tcW w:w="1321" w:type="dxa"/>
            <w:tcBorders>
              <w:top w:val="single" w:sz="4" w:space="0" w:color="auto"/>
              <w:left w:val="single" w:sz="4" w:space="0" w:color="auto"/>
              <w:bottom w:val="single" w:sz="4" w:space="0" w:color="auto"/>
              <w:right w:val="single" w:sz="4" w:space="0" w:color="auto"/>
            </w:tcBorders>
            <w:vAlign w:val="center"/>
          </w:tcPr>
          <w:p w14:paraId="12382724" w14:textId="77777777" w:rsidR="004E18E6" w:rsidRPr="00244FB2" w:rsidRDefault="004E18E6" w:rsidP="00985966">
            <w:pPr>
              <w:pStyle w:val="TableText"/>
              <w:widowControl w:val="0"/>
              <w:jc w:val="center"/>
            </w:pPr>
            <w:r w:rsidRPr="00244FB2">
              <w:t>52.41</w:t>
            </w:r>
          </w:p>
        </w:tc>
        <w:tc>
          <w:tcPr>
            <w:tcW w:w="1849" w:type="dxa"/>
            <w:tcBorders>
              <w:top w:val="single" w:sz="4" w:space="0" w:color="auto"/>
              <w:left w:val="single" w:sz="4" w:space="0" w:color="auto"/>
              <w:bottom w:val="single" w:sz="4" w:space="0" w:color="auto"/>
              <w:right w:val="single" w:sz="4" w:space="0" w:color="auto"/>
            </w:tcBorders>
            <w:vAlign w:val="center"/>
          </w:tcPr>
          <w:p w14:paraId="0F4256D0" w14:textId="77777777" w:rsidR="004E18E6" w:rsidRPr="00244FB2" w:rsidRDefault="00D642D7" w:rsidP="00985966">
            <w:pPr>
              <w:pStyle w:val="TableText"/>
              <w:widowControl w:val="0"/>
              <w:jc w:val="center"/>
            </w:pPr>
            <w:r w:rsidRPr="00244FB2">
              <w:t xml:space="preserve">0.42 </w:t>
            </w:r>
            <w:r w:rsidR="004E18E6" w:rsidRPr="00244FB2">
              <w:t>(0.28, 0.64)</w:t>
            </w:r>
          </w:p>
        </w:tc>
        <w:tc>
          <w:tcPr>
            <w:tcW w:w="1435" w:type="dxa"/>
            <w:vMerge/>
            <w:tcBorders>
              <w:left w:val="single" w:sz="4" w:space="0" w:color="auto"/>
              <w:right w:val="single" w:sz="4" w:space="0" w:color="auto"/>
            </w:tcBorders>
            <w:vAlign w:val="center"/>
          </w:tcPr>
          <w:p w14:paraId="7F092F04" w14:textId="77777777" w:rsidR="004E18E6" w:rsidRPr="00244FB2" w:rsidRDefault="004E18E6" w:rsidP="00985966">
            <w:pPr>
              <w:pStyle w:val="TableText"/>
              <w:widowControl w:val="0"/>
              <w:jc w:val="center"/>
            </w:pPr>
          </w:p>
        </w:tc>
        <w:tc>
          <w:tcPr>
            <w:tcW w:w="1435" w:type="dxa"/>
            <w:vMerge/>
            <w:tcBorders>
              <w:left w:val="single" w:sz="4" w:space="0" w:color="auto"/>
              <w:right w:val="single" w:sz="4" w:space="0" w:color="auto"/>
            </w:tcBorders>
            <w:vAlign w:val="center"/>
          </w:tcPr>
          <w:p w14:paraId="1E5DBB45" w14:textId="77777777" w:rsidR="004E18E6" w:rsidRPr="00244FB2" w:rsidRDefault="004E18E6" w:rsidP="00985966">
            <w:pPr>
              <w:pStyle w:val="TableText"/>
              <w:widowControl w:val="0"/>
              <w:jc w:val="center"/>
            </w:pPr>
          </w:p>
        </w:tc>
      </w:tr>
      <w:tr w:rsidR="004E18E6" w:rsidRPr="00244FB2" w14:paraId="2B0AC634"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ED98D33" w14:textId="77777777" w:rsidR="004E18E6" w:rsidRPr="00244FB2" w:rsidRDefault="004E18E6" w:rsidP="00985966">
            <w:pPr>
              <w:pStyle w:val="TableText"/>
              <w:widowControl w:val="0"/>
            </w:pPr>
            <w:r w:rsidRPr="00244FB2">
              <w:rPr>
                <w:b/>
              </w:rPr>
              <w:t>On-trial relapses requiring acute treatment with plasma exchange</w:t>
            </w:r>
          </w:p>
        </w:tc>
      </w:tr>
      <w:tr w:rsidR="004E18E6" w:rsidRPr="00244FB2" w14:paraId="79E8093F"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5762894A" w14:textId="77777777" w:rsidR="004E18E6" w:rsidRPr="00244FB2" w:rsidRDefault="004E18E6" w:rsidP="00985966">
            <w:pPr>
              <w:pStyle w:val="TableText"/>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7A39B1E6" w14:textId="77777777" w:rsidR="004E18E6" w:rsidRPr="00244FB2" w:rsidRDefault="004E18E6" w:rsidP="00985966">
            <w:pPr>
              <w:pStyle w:val="TableText"/>
              <w:widowControl w:val="0"/>
              <w:jc w:val="center"/>
            </w:pPr>
            <w:r w:rsidRPr="00244FB2">
              <w:t>4</w:t>
            </w:r>
          </w:p>
        </w:tc>
        <w:tc>
          <w:tcPr>
            <w:tcW w:w="1321" w:type="dxa"/>
            <w:tcBorders>
              <w:top w:val="single" w:sz="4" w:space="0" w:color="auto"/>
              <w:left w:val="single" w:sz="4" w:space="0" w:color="auto"/>
              <w:bottom w:val="single" w:sz="4" w:space="0" w:color="auto"/>
              <w:right w:val="single" w:sz="4" w:space="0" w:color="auto"/>
            </w:tcBorders>
            <w:vAlign w:val="center"/>
          </w:tcPr>
          <w:p w14:paraId="126AB27A" w14:textId="77777777" w:rsidR="004E18E6" w:rsidRPr="00244FB2" w:rsidRDefault="004E18E6" w:rsidP="00985966">
            <w:pPr>
              <w:pStyle w:val="TableText"/>
              <w:widowControl w:val="0"/>
              <w:jc w:val="center"/>
            </w:pPr>
            <w:r w:rsidRPr="00244FB2">
              <w:t>171.32</w:t>
            </w:r>
          </w:p>
        </w:tc>
        <w:tc>
          <w:tcPr>
            <w:tcW w:w="1849" w:type="dxa"/>
            <w:tcBorders>
              <w:top w:val="single" w:sz="4" w:space="0" w:color="auto"/>
              <w:left w:val="single" w:sz="4" w:space="0" w:color="auto"/>
              <w:bottom w:val="single" w:sz="4" w:space="0" w:color="auto"/>
              <w:right w:val="single" w:sz="4" w:space="0" w:color="auto"/>
            </w:tcBorders>
            <w:vAlign w:val="center"/>
          </w:tcPr>
          <w:p w14:paraId="224DB7C8" w14:textId="77777777" w:rsidR="004E18E6" w:rsidRPr="00244FB2" w:rsidRDefault="00D642D7" w:rsidP="00985966">
            <w:pPr>
              <w:pStyle w:val="TableText"/>
              <w:widowControl w:val="0"/>
              <w:jc w:val="center"/>
            </w:pPr>
            <w:r w:rsidRPr="00244FB2">
              <w:t xml:space="preserve">0.02 </w:t>
            </w:r>
            <w:r w:rsidR="004E18E6" w:rsidRPr="00244FB2">
              <w:t>(0.01, 0.06)</w:t>
            </w:r>
          </w:p>
        </w:tc>
        <w:tc>
          <w:tcPr>
            <w:tcW w:w="1435" w:type="dxa"/>
            <w:vMerge w:val="restart"/>
            <w:tcBorders>
              <w:left w:val="single" w:sz="4" w:space="0" w:color="auto"/>
              <w:right w:val="single" w:sz="4" w:space="0" w:color="auto"/>
            </w:tcBorders>
            <w:vAlign w:val="center"/>
          </w:tcPr>
          <w:p w14:paraId="1A9035BF" w14:textId="77777777" w:rsidR="004E18E6" w:rsidRPr="00244FB2" w:rsidRDefault="004E18E6" w:rsidP="00985966">
            <w:pPr>
              <w:pStyle w:val="TableText"/>
              <w:widowControl w:val="0"/>
              <w:jc w:val="center"/>
            </w:pPr>
            <w:r w:rsidRPr="00244FB2">
              <w:t>NR</w:t>
            </w:r>
          </w:p>
        </w:tc>
        <w:tc>
          <w:tcPr>
            <w:tcW w:w="1435" w:type="dxa"/>
            <w:vMerge w:val="restart"/>
            <w:tcBorders>
              <w:left w:val="single" w:sz="4" w:space="0" w:color="auto"/>
              <w:right w:val="single" w:sz="4" w:space="0" w:color="auto"/>
            </w:tcBorders>
            <w:vAlign w:val="center"/>
          </w:tcPr>
          <w:p w14:paraId="296A9BCE" w14:textId="77777777" w:rsidR="004E18E6" w:rsidRPr="00244FB2" w:rsidRDefault="004E18E6" w:rsidP="00985966">
            <w:pPr>
              <w:pStyle w:val="TableText"/>
              <w:widowControl w:val="0"/>
              <w:jc w:val="center"/>
            </w:pPr>
            <w:r w:rsidRPr="00244FB2">
              <w:t>0.0001</w:t>
            </w:r>
          </w:p>
        </w:tc>
      </w:tr>
      <w:tr w:rsidR="004E18E6" w:rsidRPr="00244FB2" w14:paraId="0FC0920B" w14:textId="77777777" w:rsidTr="00D642D7">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55B7A6CD" w14:textId="77777777" w:rsidR="004E18E6" w:rsidRPr="00244FB2" w:rsidRDefault="004E18E6" w:rsidP="00D15288">
            <w:pPr>
              <w:pStyle w:val="TableText"/>
              <w:keepNext w:val="0"/>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0186FC7D" w14:textId="77777777" w:rsidR="004E18E6" w:rsidRPr="00244FB2" w:rsidRDefault="004E18E6" w:rsidP="00D15288">
            <w:pPr>
              <w:pStyle w:val="TableText"/>
              <w:keepNext w:val="0"/>
              <w:widowControl w:val="0"/>
              <w:jc w:val="center"/>
            </w:pPr>
            <w:r w:rsidRPr="00244FB2">
              <w:t>10</w:t>
            </w:r>
          </w:p>
        </w:tc>
        <w:tc>
          <w:tcPr>
            <w:tcW w:w="1321" w:type="dxa"/>
            <w:tcBorders>
              <w:top w:val="single" w:sz="4" w:space="0" w:color="auto"/>
              <w:left w:val="single" w:sz="4" w:space="0" w:color="auto"/>
              <w:bottom w:val="single" w:sz="4" w:space="0" w:color="auto"/>
              <w:right w:val="single" w:sz="4" w:space="0" w:color="auto"/>
            </w:tcBorders>
            <w:vAlign w:val="center"/>
          </w:tcPr>
          <w:p w14:paraId="3290FE1C" w14:textId="77777777" w:rsidR="004E18E6" w:rsidRPr="00244FB2" w:rsidRDefault="004E18E6" w:rsidP="00D15288">
            <w:pPr>
              <w:pStyle w:val="TableText"/>
              <w:keepNext w:val="0"/>
              <w:widowControl w:val="0"/>
              <w:jc w:val="center"/>
            </w:pPr>
            <w:r w:rsidRPr="00244FB2">
              <w:t>52.41</w:t>
            </w:r>
          </w:p>
        </w:tc>
        <w:tc>
          <w:tcPr>
            <w:tcW w:w="1849" w:type="dxa"/>
            <w:tcBorders>
              <w:top w:val="single" w:sz="4" w:space="0" w:color="auto"/>
              <w:left w:val="single" w:sz="4" w:space="0" w:color="auto"/>
              <w:bottom w:val="single" w:sz="4" w:space="0" w:color="auto"/>
              <w:right w:val="single" w:sz="4" w:space="0" w:color="auto"/>
            </w:tcBorders>
            <w:vAlign w:val="center"/>
          </w:tcPr>
          <w:p w14:paraId="7F714293" w14:textId="77777777" w:rsidR="004E18E6" w:rsidRPr="00244FB2" w:rsidRDefault="00D642D7" w:rsidP="00D642D7">
            <w:pPr>
              <w:pStyle w:val="TableText"/>
              <w:keepNext w:val="0"/>
              <w:widowControl w:val="0"/>
              <w:jc w:val="center"/>
            </w:pPr>
            <w:r w:rsidRPr="00244FB2">
              <w:t xml:space="preserve">0.19 </w:t>
            </w:r>
            <w:r w:rsidR="004E18E6" w:rsidRPr="00244FB2">
              <w:t>(0.10, 0.35)</w:t>
            </w:r>
          </w:p>
        </w:tc>
        <w:tc>
          <w:tcPr>
            <w:tcW w:w="1435" w:type="dxa"/>
            <w:vMerge/>
            <w:tcBorders>
              <w:left w:val="single" w:sz="4" w:space="0" w:color="auto"/>
              <w:bottom w:val="single" w:sz="4" w:space="0" w:color="auto"/>
              <w:right w:val="single" w:sz="4" w:space="0" w:color="auto"/>
            </w:tcBorders>
            <w:vAlign w:val="center"/>
          </w:tcPr>
          <w:p w14:paraId="3713F4E8" w14:textId="77777777" w:rsidR="004E18E6" w:rsidRPr="00244FB2" w:rsidRDefault="004E18E6" w:rsidP="00D15288">
            <w:pPr>
              <w:pStyle w:val="TableText"/>
              <w:keepNext w:val="0"/>
              <w:widowControl w:val="0"/>
              <w:jc w:val="center"/>
            </w:pPr>
          </w:p>
        </w:tc>
        <w:tc>
          <w:tcPr>
            <w:tcW w:w="1435" w:type="dxa"/>
            <w:vMerge/>
            <w:tcBorders>
              <w:left w:val="single" w:sz="4" w:space="0" w:color="auto"/>
              <w:bottom w:val="single" w:sz="4" w:space="0" w:color="auto"/>
              <w:right w:val="single" w:sz="4" w:space="0" w:color="auto"/>
            </w:tcBorders>
            <w:vAlign w:val="center"/>
          </w:tcPr>
          <w:p w14:paraId="13A72EF1" w14:textId="77777777" w:rsidR="004E18E6" w:rsidRPr="00244FB2" w:rsidRDefault="004E18E6" w:rsidP="00D15288">
            <w:pPr>
              <w:pStyle w:val="TableText"/>
              <w:keepNext w:val="0"/>
              <w:widowControl w:val="0"/>
              <w:jc w:val="center"/>
            </w:pPr>
          </w:p>
        </w:tc>
      </w:tr>
    </w:tbl>
    <w:p w14:paraId="69AF7634" w14:textId="77777777" w:rsidR="004E18E6" w:rsidRPr="00244FB2" w:rsidRDefault="004E18E6" w:rsidP="004E18E6">
      <w:pPr>
        <w:pStyle w:val="TableFooter"/>
      </w:pPr>
      <w:r w:rsidRPr="00244FB2">
        <w:t>Source: Table 2-15 (p 58), Table 2-16 (p 58) of the submission; Table 34 (p 119) of the PREVENT trial report</w:t>
      </w:r>
    </w:p>
    <w:p w14:paraId="0B568A4D" w14:textId="77777777" w:rsidR="004E18E6" w:rsidRDefault="004E18E6" w:rsidP="00943783">
      <w:pPr>
        <w:pStyle w:val="TableFooter"/>
      </w:pPr>
      <w:r w:rsidRPr="00244FB2">
        <w:t>CI</w:t>
      </w:r>
      <w:r w:rsidR="000378C8" w:rsidRPr="00244FB2">
        <w:t xml:space="preserve"> =</w:t>
      </w:r>
      <w:r w:rsidRPr="00244FB2">
        <w:t xml:space="preserve"> confidence interval; NR</w:t>
      </w:r>
      <w:r w:rsidR="000378C8" w:rsidRPr="00244FB2">
        <w:t xml:space="preserve"> =</w:t>
      </w:r>
      <w:r w:rsidRPr="00244FB2">
        <w:t xml:space="preserve"> not reported </w:t>
      </w:r>
    </w:p>
    <w:p w14:paraId="1204648C" w14:textId="77777777" w:rsidR="00943783" w:rsidRDefault="00943783" w:rsidP="00943783">
      <w:pPr>
        <w:pStyle w:val="TableFooter"/>
      </w:pPr>
      <w:proofErr w:type="gramStart"/>
      <w:r w:rsidRPr="00943783">
        <w:rPr>
          <w:vertAlign w:val="superscript"/>
        </w:rPr>
        <w:t>a</w:t>
      </w:r>
      <w:proofErr w:type="gramEnd"/>
      <w:r>
        <w:rPr>
          <w:vertAlign w:val="superscript"/>
        </w:rPr>
        <w:t xml:space="preserve"> </w:t>
      </w:r>
      <w:r w:rsidRPr="00943783">
        <w:t>one patient had two adjudicated on trial relapses.</w:t>
      </w:r>
    </w:p>
    <w:p w14:paraId="4D9207A8" w14:textId="77777777" w:rsidR="00943783" w:rsidRDefault="00943783" w:rsidP="00943783">
      <w:pPr>
        <w:pStyle w:val="TableFooter"/>
        <w:spacing w:after="120"/>
      </w:pPr>
      <w:proofErr w:type="gramStart"/>
      <w:r>
        <w:rPr>
          <w:vertAlign w:val="superscript"/>
        </w:rPr>
        <w:t>b</w:t>
      </w:r>
      <w:proofErr w:type="gramEnd"/>
      <w:r>
        <w:t xml:space="preserve"> </w:t>
      </w:r>
      <w:r w:rsidRPr="00943783">
        <w:t>two patients each had two adjudicated on-trial relapses</w:t>
      </w:r>
    </w:p>
    <w:p w14:paraId="763C85BB" w14:textId="77777777" w:rsidR="004E18E6" w:rsidRPr="00244FB2" w:rsidRDefault="00586C23" w:rsidP="004E18E6">
      <w:pPr>
        <w:pStyle w:val="ExecSumBodyText"/>
      </w:pPr>
      <w:r w:rsidRPr="00244FB2">
        <w:t>The ESC noted that t</w:t>
      </w:r>
      <w:r w:rsidR="004E18E6" w:rsidRPr="00244FB2">
        <w:t xml:space="preserve">reatment with </w:t>
      </w:r>
      <w:proofErr w:type="spellStart"/>
      <w:r w:rsidR="004E18E6" w:rsidRPr="00244FB2">
        <w:t>eculizumab</w:t>
      </w:r>
      <w:proofErr w:type="spellEnd"/>
      <w:r w:rsidR="004E18E6" w:rsidRPr="00244FB2">
        <w:t xml:space="preserve"> was associated with a statistically significant reduction in adjudicated annualised relapse rate compared to placebo (R</w:t>
      </w:r>
      <w:r w:rsidR="00C67CF3" w:rsidRPr="00244FB2">
        <w:t>ate ratio (R</w:t>
      </w:r>
      <w:r w:rsidR="004E18E6" w:rsidRPr="00244FB2">
        <w:t>R</w:t>
      </w:r>
      <w:r w:rsidR="00C67CF3" w:rsidRPr="00244FB2">
        <w:t>)</w:t>
      </w:r>
      <w:r w:rsidR="004E18E6" w:rsidRPr="00244FB2">
        <w:t xml:space="preserve"> </w:t>
      </w:r>
      <w:r w:rsidR="00B11F66" w:rsidRPr="00244FB2">
        <w:t xml:space="preserve">= </w:t>
      </w:r>
      <w:r w:rsidR="004E18E6" w:rsidRPr="00244FB2">
        <w:t>0.045; 95% CI</w:t>
      </w:r>
      <w:r w:rsidR="00B11F66" w:rsidRPr="00244FB2">
        <w:t>:</w:t>
      </w:r>
      <w:r w:rsidR="004E18E6" w:rsidRPr="00244FB2">
        <w:t xml:space="preserve"> 0.013, 0.151). However, the difference between treatment arms was reduced when on-trial relapses were assessed by the treating physician (RR </w:t>
      </w:r>
      <w:r w:rsidR="00B11F66" w:rsidRPr="00244FB2">
        <w:t xml:space="preserve">= </w:t>
      </w:r>
      <w:r w:rsidR="004E18E6" w:rsidRPr="00244FB2">
        <w:t>0.147; 95% CI</w:t>
      </w:r>
      <w:r w:rsidR="00B11F66" w:rsidRPr="00244FB2">
        <w:t>:</w:t>
      </w:r>
      <w:r w:rsidR="004E18E6" w:rsidRPr="00244FB2">
        <w:t xml:space="preserve"> 0.078, 0.278). Treatment with </w:t>
      </w:r>
      <w:proofErr w:type="spellStart"/>
      <w:r w:rsidR="004E18E6" w:rsidRPr="00244FB2">
        <w:t>eculizumab</w:t>
      </w:r>
      <w:proofErr w:type="spellEnd"/>
      <w:r w:rsidR="004E18E6" w:rsidRPr="00244FB2">
        <w:t xml:space="preserve"> appeared to be associated with a reduction in relapses across all severity levels.</w:t>
      </w:r>
    </w:p>
    <w:p w14:paraId="0AE33EA3" w14:textId="77777777" w:rsidR="00987BF2" w:rsidRPr="00244FB2" w:rsidRDefault="00987BF2" w:rsidP="00987BF2">
      <w:pPr>
        <w:pStyle w:val="ExecSumBodyText"/>
      </w:pPr>
      <w:r w:rsidRPr="00244FB2">
        <w:t xml:space="preserve">Interim results of the longer term extension study indicated an adjudicated annualised relapse rate of 0.032 (9 relapses over 279.30 years; October 2018 data analysis) in patients treated with </w:t>
      </w:r>
      <w:proofErr w:type="spellStart"/>
      <w:r w:rsidRPr="00244FB2">
        <w:t>eculizumab</w:t>
      </w:r>
      <w:proofErr w:type="spellEnd"/>
      <w:r w:rsidRPr="00244FB2">
        <w:t xml:space="preserve">. Further analyses suggested a decrease in the on-trial annualised relapse rate for patients switching from placebo to </w:t>
      </w:r>
      <w:proofErr w:type="spellStart"/>
      <w:r w:rsidRPr="00244FB2">
        <w:t>eculizumab</w:t>
      </w:r>
      <w:proofErr w:type="spellEnd"/>
      <w:r w:rsidRPr="00244FB2">
        <w:t xml:space="preserve"> (0.446 vs. 0.134; October 2018 data analysis) while the annualised relapse rate remained relatively constant in patients continuing with </w:t>
      </w:r>
      <w:proofErr w:type="spellStart"/>
      <w:r w:rsidRPr="00244FB2">
        <w:t>eculizumab</w:t>
      </w:r>
      <w:proofErr w:type="spellEnd"/>
      <w:r w:rsidRPr="00244FB2">
        <w:t xml:space="preserve"> treatment (0.066 vs. 0.101; October 2018 data analysis).</w:t>
      </w:r>
    </w:p>
    <w:p w14:paraId="4AE6B5AD" w14:textId="77777777" w:rsidR="00313DB9" w:rsidRPr="00244FB2" w:rsidRDefault="00313DB9" w:rsidP="00987BF2">
      <w:pPr>
        <w:pStyle w:val="ExecSumBodyText"/>
      </w:pPr>
      <w:r w:rsidRPr="00244FB2">
        <w:t xml:space="preserve">There were no results </w:t>
      </w:r>
      <w:r w:rsidR="00B15846" w:rsidRPr="00244FB2">
        <w:t xml:space="preserve">from either the PREVENT study or the longer term extension study </w:t>
      </w:r>
      <w:r w:rsidRPr="00244FB2">
        <w:t xml:space="preserve">that indicated that </w:t>
      </w:r>
      <w:proofErr w:type="spellStart"/>
      <w:r w:rsidRPr="00244FB2">
        <w:t>eculizumab</w:t>
      </w:r>
      <w:proofErr w:type="spellEnd"/>
      <w:r w:rsidR="000201B2" w:rsidRPr="00244FB2">
        <w:t xml:space="preserve"> substantially extends the lifespan of patients with NMOSD</w:t>
      </w:r>
      <w:r w:rsidR="00B15846" w:rsidRPr="00244FB2">
        <w:t>.</w:t>
      </w:r>
    </w:p>
    <w:p w14:paraId="0FD48C1C" w14:textId="77777777" w:rsidR="00F62159" w:rsidRPr="00244FB2" w:rsidRDefault="00F62159" w:rsidP="00F62159">
      <w:pPr>
        <w:pStyle w:val="ExecSumBodyText"/>
      </w:pPr>
      <w:r w:rsidRPr="00244FB2">
        <w:t xml:space="preserve">A comparison of disability and quality of life measures between </w:t>
      </w:r>
      <w:proofErr w:type="spellStart"/>
      <w:r w:rsidRPr="00244FB2">
        <w:t>eculizumab</w:t>
      </w:r>
      <w:proofErr w:type="spellEnd"/>
      <w:r w:rsidRPr="00244FB2">
        <w:t xml:space="preserve"> and placebo in the PREVENT trial is summarised below.</w:t>
      </w:r>
    </w:p>
    <w:p w14:paraId="680FD4FA" w14:textId="77777777" w:rsidR="00F62159" w:rsidRPr="00244FB2" w:rsidRDefault="00D4220C" w:rsidP="00985966">
      <w:pPr>
        <w:pStyle w:val="Tableheadingrow"/>
        <w:rPr>
          <w:lang w:val="en-AU"/>
        </w:rPr>
      </w:pPr>
      <w:r w:rsidRPr="00244FB2">
        <w:rPr>
          <w:lang w:val="en-AU"/>
        </w:rPr>
        <w:lastRenderedPageBreak/>
        <w:t>Table 6</w:t>
      </w:r>
      <w:r w:rsidR="00F62159" w:rsidRPr="00244FB2">
        <w:rPr>
          <w:lang w:val="en-AU"/>
        </w:rPr>
        <w:t>: Disability and quality of life measures reported in the PREVENT trial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488"/>
        <w:gridCol w:w="1489"/>
        <w:gridCol w:w="1984"/>
        <w:gridCol w:w="1079"/>
      </w:tblGrid>
      <w:tr w:rsidR="00F62159" w:rsidRPr="00244FB2" w14:paraId="0462FDB0" w14:textId="77777777" w:rsidTr="00D15288">
        <w:trPr>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426A6D9C" w14:textId="77777777" w:rsidR="00F62159" w:rsidRPr="00244FB2" w:rsidRDefault="00F62159" w:rsidP="00985966">
            <w:pPr>
              <w:pStyle w:val="TableText"/>
              <w:widowControl w:val="0"/>
            </w:pPr>
            <w:r w:rsidRPr="00244FB2">
              <w:rPr>
                <w:b/>
              </w:rPr>
              <w:t>Outcome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BDE01" w14:textId="77777777" w:rsidR="00F62159" w:rsidRPr="00244FB2" w:rsidRDefault="00F62159" w:rsidP="00985966">
            <w:pPr>
              <w:pStyle w:val="TableText"/>
              <w:widowControl w:val="0"/>
              <w:jc w:val="center"/>
              <w:rPr>
                <w:b/>
              </w:rPr>
            </w:pPr>
            <w:r w:rsidRPr="00244FB2">
              <w:rPr>
                <w:b/>
              </w:rPr>
              <w:t>Baseline</w:t>
            </w:r>
            <w:r w:rsidR="000378C8" w:rsidRPr="00244FB2">
              <w:rPr>
                <w:b/>
              </w:rPr>
              <w:t>,</w:t>
            </w:r>
          </w:p>
          <w:p w14:paraId="64808827" w14:textId="77777777" w:rsidR="00F62159" w:rsidRPr="00244FB2" w:rsidRDefault="000378C8" w:rsidP="00985966">
            <w:pPr>
              <w:pStyle w:val="TableText"/>
              <w:widowControl w:val="0"/>
              <w:jc w:val="center"/>
            </w:pPr>
            <w:r w:rsidRPr="00244FB2">
              <w:rPr>
                <w:b/>
              </w:rPr>
              <w:t>m</w:t>
            </w:r>
            <w:r w:rsidR="00F62159" w:rsidRPr="00244FB2">
              <w:rPr>
                <w:b/>
              </w:rPr>
              <w:t>ean (SD)</w:t>
            </w:r>
          </w:p>
        </w:tc>
        <w:tc>
          <w:tcPr>
            <w:tcW w:w="1488" w:type="dxa"/>
            <w:tcBorders>
              <w:top w:val="single" w:sz="4" w:space="0" w:color="auto"/>
              <w:left w:val="single" w:sz="4" w:space="0" w:color="auto"/>
              <w:bottom w:val="single" w:sz="4" w:space="0" w:color="auto"/>
              <w:right w:val="single" w:sz="4" w:space="0" w:color="auto"/>
            </w:tcBorders>
            <w:vAlign w:val="center"/>
          </w:tcPr>
          <w:p w14:paraId="31F43E6C" w14:textId="77777777" w:rsidR="00F62159" w:rsidRPr="00244FB2" w:rsidRDefault="000378C8" w:rsidP="00985966">
            <w:pPr>
              <w:pStyle w:val="TableText"/>
              <w:widowControl w:val="0"/>
              <w:jc w:val="center"/>
              <w:rPr>
                <w:b/>
              </w:rPr>
            </w:pPr>
            <w:r w:rsidRPr="00244FB2">
              <w:rPr>
                <w:b/>
              </w:rPr>
              <w:t>Change from baseline, m</w:t>
            </w:r>
            <w:r w:rsidR="00F62159" w:rsidRPr="00244FB2">
              <w:rPr>
                <w:b/>
              </w:rPr>
              <w:t>edian (range)</w:t>
            </w:r>
          </w:p>
        </w:tc>
        <w:tc>
          <w:tcPr>
            <w:tcW w:w="1489" w:type="dxa"/>
            <w:tcBorders>
              <w:top w:val="single" w:sz="4" w:space="0" w:color="auto"/>
              <w:left w:val="single" w:sz="4" w:space="0" w:color="auto"/>
              <w:bottom w:val="single" w:sz="4" w:space="0" w:color="auto"/>
              <w:right w:val="single" w:sz="4" w:space="0" w:color="auto"/>
            </w:tcBorders>
            <w:vAlign w:val="center"/>
          </w:tcPr>
          <w:p w14:paraId="020B918D" w14:textId="77777777" w:rsidR="00F62159" w:rsidRPr="00244FB2" w:rsidRDefault="00F62159" w:rsidP="00985966">
            <w:pPr>
              <w:pStyle w:val="TableText"/>
              <w:widowControl w:val="0"/>
              <w:jc w:val="center"/>
              <w:rPr>
                <w:b/>
              </w:rPr>
            </w:pPr>
            <w:r w:rsidRPr="00244FB2">
              <w:rPr>
                <w:b/>
              </w:rPr>
              <w:t xml:space="preserve">Change from baseline, </w:t>
            </w:r>
          </w:p>
          <w:p w14:paraId="10DB794F" w14:textId="77777777" w:rsidR="00F62159" w:rsidRPr="00244FB2" w:rsidRDefault="000378C8" w:rsidP="00985966">
            <w:pPr>
              <w:pStyle w:val="TableText"/>
              <w:widowControl w:val="0"/>
              <w:jc w:val="center"/>
              <w:rPr>
                <w:b/>
              </w:rPr>
            </w:pPr>
            <w:r w:rsidRPr="00244FB2">
              <w:rPr>
                <w:b/>
              </w:rPr>
              <w:t>m</w:t>
            </w:r>
            <w:r w:rsidR="00F62159" w:rsidRPr="00244FB2">
              <w:rPr>
                <w:b/>
              </w:rPr>
              <w:t>ean (SD)</w:t>
            </w:r>
          </w:p>
        </w:tc>
        <w:tc>
          <w:tcPr>
            <w:tcW w:w="1984" w:type="dxa"/>
            <w:tcBorders>
              <w:top w:val="single" w:sz="4" w:space="0" w:color="auto"/>
              <w:left w:val="single" w:sz="4" w:space="0" w:color="auto"/>
              <w:bottom w:val="single" w:sz="4" w:space="0" w:color="auto"/>
              <w:right w:val="single" w:sz="4" w:space="0" w:color="auto"/>
            </w:tcBorders>
            <w:vAlign w:val="center"/>
          </w:tcPr>
          <w:p w14:paraId="4EC9902F" w14:textId="77777777" w:rsidR="00F62159" w:rsidRPr="00244FB2" w:rsidRDefault="000378C8" w:rsidP="000378C8">
            <w:pPr>
              <w:pStyle w:val="TableText"/>
              <w:widowControl w:val="0"/>
              <w:jc w:val="center"/>
              <w:rPr>
                <w:b/>
              </w:rPr>
            </w:pPr>
            <w:r w:rsidRPr="00244FB2">
              <w:rPr>
                <w:b/>
              </w:rPr>
              <w:t xml:space="preserve">Difference in change from baseline, </w:t>
            </w:r>
            <w:r w:rsidRPr="00244FB2">
              <w:rPr>
                <w:b/>
              </w:rPr>
              <w:br/>
              <w:t>m</w:t>
            </w:r>
            <w:r w:rsidR="00F62159" w:rsidRPr="00244FB2">
              <w:rPr>
                <w:b/>
              </w:rPr>
              <w:t xml:space="preserve">ean (95% CI) </w:t>
            </w:r>
          </w:p>
        </w:tc>
        <w:tc>
          <w:tcPr>
            <w:tcW w:w="1079" w:type="dxa"/>
            <w:tcBorders>
              <w:top w:val="single" w:sz="4" w:space="0" w:color="auto"/>
              <w:left w:val="single" w:sz="4" w:space="0" w:color="auto"/>
              <w:bottom w:val="single" w:sz="4" w:space="0" w:color="auto"/>
              <w:right w:val="single" w:sz="4" w:space="0" w:color="auto"/>
            </w:tcBorders>
            <w:vAlign w:val="center"/>
          </w:tcPr>
          <w:p w14:paraId="25AD4CAB" w14:textId="77777777" w:rsidR="00F62159" w:rsidRPr="00244FB2" w:rsidRDefault="00F62159" w:rsidP="00985966">
            <w:pPr>
              <w:pStyle w:val="TableText"/>
              <w:widowControl w:val="0"/>
              <w:jc w:val="center"/>
              <w:rPr>
                <w:b/>
                <w:vertAlign w:val="superscript"/>
              </w:rPr>
            </w:pPr>
            <w:r w:rsidRPr="00244FB2">
              <w:rPr>
                <w:b/>
              </w:rPr>
              <w:t>P-</w:t>
            </w:r>
            <w:proofErr w:type="spellStart"/>
            <w:r w:rsidRPr="00244FB2">
              <w:rPr>
                <w:b/>
              </w:rPr>
              <w:t>value</w:t>
            </w:r>
            <w:r w:rsidRPr="00244FB2">
              <w:rPr>
                <w:b/>
                <w:vertAlign w:val="superscript"/>
              </w:rPr>
              <w:t>a</w:t>
            </w:r>
            <w:proofErr w:type="spellEnd"/>
          </w:p>
        </w:tc>
      </w:tr>
      <w:tr w:rsidR="00F62159" w:rsidRPr="00244FB2" w14:paraId="0E436473"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4AAF9F0" w14:textId="77777777" w:rsidR="00F62159" w:rsidRPr="00244FB2" w:rsidRDefault="000378C8" w:rsidP="00985966">
            <w:pPr>
              <w:pStyle w:val="TableText"/>
              <w:widowControl w:val="0"/>
              <w:rPr>
                <w:b/>
              </w:rPr>
            </w:pPr>
            <w:r w:rsidRPr="00244FB2">
              <w:rPr>
                <w:b/>
              </w:rPr>
              <w:t>EDSS</w:t>
            </w:r>
            <w:r w:rsidR="00F62159" w:rsidRPr="00244FB2">
              <w:rPr>
                <w:b/>
              </w:rPr>
              <w:t xml:space="preserve"> (0-10 scale, with higher scores indicating increased disability)</w:t>
            </w:r>
          </w:p>
        </w:tc>
      </w:tr>
      <w:tr w:rsidR="00F62159" w:rsidRPr="00244FB2" w14:paraId="0EC127B0"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4A7157B5" w14:textId="77777777" w:rsidR="00F62159" w:rsidRPr="00244FB2" w:rsidRDefault="00F62159" w:rsidP="00985966">
            <w:pPr>
              <w:pStyle w:val="TableText"/>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793EA2FA" w14:textId="77777777" w:rsidR="00F62159" w:rsidRPr="00244FB2" w:rsidRDefault="00F62159" w:rsidP="00985966">
            <w:pPr>
              <w:pStyle w:val="TableText"/>
              <w:widowControl w:val="0"/>
              <w:jc w:val="center"/>
            </w:pPr>
            <w:r w:rsidRPr="00244FB2">
              <w:t>4.15 (1.65)</w:t>
            </w:r>
          </w:p>
        </w:tc>
        <w:tc>
          <w:tcPr>
            <w:tcW w:w="1488" w:type="dxa"/>
            <w:tcBorders>
              <w:top w:val="single" w:sz="4" w:space="0" w:color="auto"/>
              <w:left w:val="single" w:sz="4" w:space="0" w:color="auto"/>
              <w:bottom w:val="single" w:sz="4" w:space="0" w:color="auto"/>
              <w:right w:val="single" w:sz="4" w:space="0" w:color="auto"/>
            </w:tcBorders>
            <w:vAlign w:val="center"/>
          </w:tcPr>
          <w:p w14:paraId="72FF440F" w14:textId="77777777" w:rsidR="00F62159" w:rsidRPr="00244FB2" w:rsidRDefault="00F62159" w:rsidP="00985966">
            <w:pPr>
              <w:pStyle w:val="TableText"/>
              <w:widowControl w:val="0"/>
              <w:jc w:val="center"/>
            </w:pPr>
            <w:r w:rsidRPr="00244FB2">
              <w:t>0.00 (-3.5, 1.5)</w:t>
            </w:r>
          </w:p>
        </w:tc>
        <w:tc>
          <w:tcPr>
            <w:tcW w:w="1489" w:type="dxa"/>
            <w:tcBorders>
              <w:top w:val="single" w:sz="4" w:space="0" w:color="auto"/>
              <w:left w:val="single" w:sz="4" w:space="0" w:color="auto"/>
              <w:bottom w:val="single" w:sz="4" w:space="0" w:color="auto"/>
              <w:right w:val="single" w:sz="4" w:space="0" w:color="auto"/>
            </w:tcBorders>
            <w:vAlign w:val="center"/>
          </w:tcPr>
          <w:p w14:paraId="45E2DB60" w14:textId="77777777" w:rsidR="00F62159" w:rsidRPr="00244FB2" w:rsidRDefault="00F62159" w:rsidP="00985966">
            <w:pPr>
              <w:pStyle w:val="TableText"/>
              <w:widowControl w:val="0"/>
              <w:jc w:val="center"/>
            </w:pPr>
            <w:r w:rsidRPr="00244FB2">
              <w:t>-0.18 (0.81)</w:t>
            </w:r>
          </w:p>
        </w:tc>
        <w:tc>
          <w:tcPr>
            <w:tcW w:w="1984" w:type="dxa"/>
            <w:vMerge w:val="restart"/>
            <w:tcBorders>
              <w:top w:val="single" w:sz="4" w:space="0" w:color="auto"/>
              <w:left w:val="single" w:sz="4" w:space="0" w:color="auto"/>
              <w:right w:val="single" w:sz="4" w:space="0" w:color="auto"/>
            </w:tcBorders>
            <w:vAlign w:val="center"/>
          </w:tcPr>
          <w:p w14:paraId="2B06C951" w14:textId="77777777" w:rsidR="00F62159" w:rsidRPr="00244FB2" w:rsidRDefault="00F62159" w:rsidP="00985966">
            <w:pPr>
              <w:pStyle w:val="TableText"/>
              <w:widowControl w:val="0"/>
              <w:jc w:val="center"/>
            </w:pPr>
            <w:r w:rsidRPr="00244FB2">
              <w:t xml:space="preserve">-0.29 </w:t>
            </w:r>
          </w:p>
          <w:p w14:paraId="3E66014B" w14:textId="77777777" w:rsidR="00F62159" w:rsidRPr="00244FB2" w:rsidRDefault="00F62159" w:rsidP="00985966">
            <w:pPr>
              <w:pStyle w:val="TableText"/>
              <w:widowControl w:val="0"/>
              <w:jc w:val="center"/>
            </w:pPr>
            <w:r w:rsidRPr="00244FB2">
              <w:t>(-0.59, 0.01)</w:t>
            </w:r>
          </w:p>
        </w:tc>
        <w:tc>
          <w:tcPr>
            <w:tcW w:w="1079" w:type="dxa"/>
            <w:vMerge w:val="restart"/>
            <w:tcBorders>
              <w:top w:val="single" w:sz="4" w:space="0" w:color="auto"/>
              <w:left w:val="single" w:sz="4" w:space="0" w:color="auto"/>
              <w:right w:val="single" w:sz="4" w:space="0" w:color="auto"/>
            </w:tcBorders>
            <w:vAlign w:val="center"/>
          </w:tcPr>
          <w:p w14:paraId="6A4C5E0E" w14:textId="77777777" w:rsidR="00F62159" w:rsidRPr="00244FB2" w:rsidRDefault="00F62159" w:rsidP="00985966">
            <w:pPr>
              <w:pStyle w:val="TableText"/>
              <w:widowControl w:val="0"/>
              <w:jc w:val="center"/>
            </w:pPr>
            <w:r w:rsidRPr="00244FB2">
              <w:t>0.0597</w:t>
            </w:r>
          </w:p>
        </w:tc>
      </w:tr>
      <w:tr w:rsidR="00F62159" w:rsidRPr="00244FB2" w14:paraId="55086DB3"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231C544B" w14:textId="77777777" w:rsidR="00F62159" w:rsidRPr="00244FB2" w:rsidRDefault="00F62159" w:rsidP="00985966">
            <w:pPr>
              <w:pStyle w:val="TableText"/>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10DA946B" w14:textId="77777777" w:rsidR="00F62159" w:rsidRPr="00244FB2" w:rsidRDefault="00F62159" w:rsidP="00985966">
            <w:pPr>
              <w:pStyle w:val="TableText"/>
              <w:widowControl w:val="0"/>
              <w:jc w:val="center"/>
            </w:pPr>
            <w:r w:rsidRPr="00244FB2">
              <w:t>4.26 (1.51)</w:t>
            </w:r>
          </w:p>
        </w:tc>
        <w:tc>
          <w:tcPr>
            <w:tcW w:w="1488" w:type="dxa"/>
            <w:tcBorders>
              <w:top w:val="single" w:sz="4" w:space="0" w:color="auto"/>
              <w:left w:val="single" w:sz="4" w:space="0" w:color="auto"/>
              <w:bottom w:val="single" w:sz="4" w:space="0" w:color="auto"/>
              <w:right w:val="single" w:sz="4" w:space="0" w:color="auto"/>
            </w:tcBorders>
            <w:vAlign w:val="center"/>
          </w:tcPr>
          <w:p w14:paraId="2C7C982D" w14:textId="77777777" w:rsidR="00F62159" w:rsidRPr="00244FB2" w:rsidRDefault="00F62159" w:rsidP="00985966">
            <w:pPr>
              <w:pStyle w:val="TableText"/>
              <w:widowControl w:val="0"/>
              <w:jc w:val="center"/>
            </w:pPr>
            <w:r w:rsidRPr="00244FB2">
              <w:t>0.00 (-2.0, 2.5)</w:t>
            </w:r>
          </w:p>
        </w:tc>
        <w:tc>
          <w:tcPr>
            <w:tcW w:w="1489" w:type="dxa"/>
            <w:tcBorders>
              <w:top w:val="single" w:sz="4" w:space="0" w:color="auto"/>
              <w:left w:val="single" w:sz="4" w:space="0" w:color="auto"/>
              <w:bottom w:val="single" w:sz="4" w:space="0" w:color="auto"/>
              <w:right w:val="single" w:sz="4" w:space="0" w:color="auto"/>
            </w:tcBorders>
            <w:vAlign w:val="center"/>
          </w:tcPr>
          <w:p w14:paraId="42E6BEE1" w14:textId="77777777" w:rsidR="00F62159" w:rsidRPr="00244FB2" w:rsidRDefault="00F62159" w:rsidP="00985966">
            <w:pPr>
              <w:pStyle w:val="TableText"/>
              <w:widowControl w:val="0"/>
              <w:jc w:val="center"/>
            </w:pPr>
            <w:r w:rsidRPr="00244FB2">
              <w:t>0.12 (0.95)</w:t>
            </w:r>
          </w:p>
        </w:tc>
        <w:tc>
          <w:tcPr>
            <w:tcW w:w="1984" w:type="dxa"/>
            <w:vMerge/>
            <w:tcBorders>
              <w:left w:val="single" w:sz="4" w:space="0" w:color="auto"/>
              <w:bottom w:val="single" w:sz="4" w:space="0" w:color="auto"/>
              <w:right w:val="single" w:sz="4" w:space="0" w:color="auto"/>
            </w:tcBorders>
            <w:vAlign w:val="center"/>
          </w:tcPr>
          <w:p w14:paraId="293590FC" w14:textId="77777777" w:rsidR="00F62159" w:rsidRPr="00244FB2" w:rsidRDefault="00F62159" w:rsidP="00985966">
            <w:pPr>
              <w:pStyle w:val="TableText"/>
              <w:widowControl w:val="0"/>
              <w:jc w:val="center"/>
            </w:pPr>
          </w:p>
        </w:tc>
        <w:tc>
          <w:tcPr>
            <w:tcW w:w="1079" w:type="dxa"/>
            <w:vMerge/>
            <w:tcBorders>
              <w:left w:val="single" w:sz="4" w:space="0" w:color="auto"/>
              <w:bottom w:val="single" w:sz="4" w:space="0" w:color="auto"/>
              <w:right w:val="single" w:sz="4" w:space="0" w:color="auto"/>
            </w:tcBorders>
            <w:vAlign w:val="center"/>
          </w:tcPr>
          <w:p w14:paraId="0707E5D2" w14:textId="77777777" w:rsidR="00F62159" w:rsidRPr="00244FB2" w:rsidRDefault="00F62159" w:rsidP="00985966">
            <w:pPr>
              <w:pStyle w:val="TableText"/>
              <w:widowControl w:val="0"/>
              <w:jc w:val="center"/>
            </w:pPr>
          </w:p>
        </w:tc>
      </w:tr>
      <w:tr w:rsidR="00F62159" w:rsidRPr="00244FB2" w14:paraId="2A47920E"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3F653FA6" w14:textId="77777777" w:rsidR="00F62159" w:rsidRPr="00244FB2" w:rsidRDefault="00F62159" w:rsidP="00985966">
            <w:pPr>
              <w:pStyle w:val="TableText"/>
              <w:widowControl w:val="0"/>
              <w:rPr>
                <w:b/>
              </w:rPr>
            </w:pPr>
            <w:r w:rsidRPr="00244FB2">
              <w:rPr>
                <w:b/>
              </w:rPr>
              <w:t>Hauser Ambulation Index (0-9 scale, with higher scores indicating increased walking impairment)</w:t>
            </w:r>
          </w:p>
        </w:tc>
      </w:tr>
      <w:tr w:rsidR="00F62159" w:rsidRPr="00244FB2" w14:paraId="7C2606A2"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16BAF942" w14:textId="77777777" w:rsidR="00F62159" w:rsidRPr="00244FB2" w:rsidRDefault="00F62159" w:rsidP="00985966">
            <w:pPr>
              <w:pStyle w:val="TableText"/>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1DF9081C" w14:textId="77777777" w:rsidR="00F62159" w:rsidRPr="00244FB2" w:rsidRDefault="00F62159" w:rsidP="00985966">
            <w:pPr>
              <w:pStyle w:val="TableText"/>
              <w:widowControl w:val="0"/>
              <w:jc w:val="center"/>
            </w:pPr>
            <w:r w:rsidRPr="00244FB2">
              <w:t>2.4 (2.17)</w:t>
            </w:r>
          </w:p>
        </w:tc>
        <w:tc>
          <w:tcPr>
            <w:tcW w:w="1488" w:type="dxa"/>
            <w:tcBorders>
              <w:top w:val="single" w:sz="4" w:space="0" w:color="auto"/>
              <w:left w:val="single" w:sz="4" w:space="0" w:color="auto"/>
              <w:bottom w:val="single" w:sz="4" w:space="0" w:color="auto"/>
              <w:right w:val="single" w:sz="4" w:space="0" w:color="auto"/>
            </w:tcBorders>
            <w:vAlign w:val="center"/>
          </w:tcPr>
          <w:p w14:paraId="75B8D74F" w14:textId="77777777" w:rsidR="00F62159" w:rsidRPr="00244FB2" w:rsidRDefault="00F62159" w:rsidP="00985966">
            <w:pPr>
              <w:pStyle w:val="TableText"/>
              <w:widowControl w:val="0"/>
              <w:jc w:val="center"/>
            </w:pPr>
            <w:r w:rsidRPr="00244FB2">
              <w:t>0.0 (-5, 3)</w:t>
            </w:r>
          </w:p>
        </w:tc>
        <w:tc>
          <w:tcPr>
            <w:tcW w:w="1489" w:type="dxa"/>
            <w:tcBorders>
              <w:top w:val="single" w:sz="4" w:space="0" w:color="auto"/>
              <w:left w:val="single" w:sz="4" w:space="0" w:color="auto"/>
              <w:bottom w:val="single" w:sz="4" w:space="0" w:color="auto"/>
              <w:right w:val="single" w:sz="4" w:space="0" w:color="auto"/>
            </w:tcBorders>
            <w:vAlign w:val="center"/>
          </w:tcPr>
          <w:p w14:paraId="4F28FA4B" w14:textId="77777777" w:rsidR="00F62159" w:rsidRPr="00244FB2" w:rsidRDefault="00F62159" w:rsidP="00985966">
            <w:pPr>
              <w:pStyle w:val="TableText"/>
              <w:widowControl w:val="0"/>
              <w:jc w:val="center"/>
            </w:pPr>
            <w:r w:rsidRPr="00244FB2">
              <w:t>-0.4 (1.08)</w:t>
            </w:r>
          </w:p>
        </w:tc>
        <w:tc>
          <w:tcPr>
            <w:tcW w:w="1984" w:type="dxa"/>
            <w:vMerge w:val="restart"/>
            <w:tcBorders>
              <w:top w:val="single" w:sz="4" w:space="0" w:color="auto"/>
              <w:left w:val="single" w:sz="4" w:space="0" w:color="auto"/>
              <w:right w:val="single" w:sz="4" w:space="0" w:color="auto"/>
            </w:tcBorders>
            <w:vAlign w:val="center"/>
          </w:tcPr>
          <w:p w14:paraId="7216EE2D" w14:textId="77777777" w:rsidR="00F62159" w:rsidRPr="00244FB2" w:rsidRDefault="00F62159" w:rsidP="00985966">
            <w:pPr>
              <w:pStyle w:val="TableText"/>
              <w:widowControl w:val="0"/>
              <w:jc w:val="center"/>
            </w:pPr>
            <w:r w:rsidRPr="00244FB2">
              <w:t xml:space="preserve">-0.87 </w:t>
            </w:r>
          </w:p>
          <w:p w14:paraId="74BC39DE" w14:textId="77777777" w:rsidR="00F62159" w:rsidRPr="00244FB2" w:rsidRDefault="00F62159" w:rsidP="00985966">
            <w:pPr>
              <w:pStyle w:val="TableText"/>
              <w:widowControl w:val="0"/>
              <w:jc w:val="center"/>
            </w:pPr>
            <w:r w:rsidRPr="00244FB2">
              <w:t>(-1.32, -0.42)</w:t>
            </w:r>
          </w:p>
        </w:tc>
        <w:tc>
          <w:tcPr>
            <w:tcW w:w="1079" w:type="dxa"/>
            <w:vMerge w:val="restart"/>
            <w:tcBorders>
              <w:top w:val="single" w:sz="4" w:space="0" w:color="auto"/>
              <w:left w:val="single" w:sz="4" w:space="0" w:color="auto"/>
              <w:right w:val="single" w:sz="4" w:space="0" w:color="auto"/>
            </w:tcBorders>
            <w:vAlign w:val="center"/>
          </w:tcPr>
          <w:p w14:paraId="7404EDDC" w14:textId="77777777" w:rsidR="00F62159" w:rsidRPr="00244FB2" w:rsidRDefault="00F62159" w:rsidP="00985966">
            <w:pPr>
              <w:pStyle w:val="TableText"/>
              <w:widowControl w:val="0"/>
              <w:jc w:val="center"/>
            </w:pPr>
            <w:r w:rsidRPr="00244FB2">
              <w:t>NS</w:t>
            </w:r>
          </w:p>
        </w:tc>
      </w:tr>
      <w:tr w:rsidR="00F62159" w:rsidRPr="00244FB2" w14:paraId="6DB1E370"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59D95C7A" w14:textId="77777777" w:rsidR="00F62159" w:rsidRPr="00244FB2" w:rsidRDefault="00F62159" w:rsidP="00985966">
            <w:pPr>
              <w:pStyle w:val="TableText"/>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02BD9641" w14:textId="77777777" w:rsidR="00F62159" w:rsidRPr="00244FB2" w:rsidRDefault="00F62159" w:rsidP="00985966">
            <w:pPr>
              <w:pStyle w:val="TableText"/>
              <w:widowControl w:val="0"/>
              <w:jc w:val="center"/>
            </w:pPr>
            <w:r w:rsidRPr="00244FB2">
              <w:t>2.1 (1.40)</w:t>
            </w:r>
          </w:p>
        </w:tc>
        <w:tc>
          <w:tcPr>
            <w:tcW w:w="1488" w:type="dxa"/>
            <w:tcBorders>
              <w:top w:val="single" w:sz="4" w:space="0" w:color="auto"/>
              <w:left w:val="single" w:sz="4" w:space="0" w:color="auto"/>
              <w:bottom w:val="single" w:sz="4" w:space="0" w:color="auto"/>
              <w:right w:val="single" w:sz="4" w:space="0" w:color="auto"/>
            </w:tcBorders>
            <w:vAlign w:val="center"/>
          </w:tcPr>
          <w:p w14:paraId="3E39FE9A" w14:textId="77777777" w:rsidR="00F62159" w:rsidRPr="00244FB2" w:rsidRDefault="00F62159" w:rsidP="00985966">
            <w:pPr>
              <w:pStyle w:val="TableText"/>
              <w:widowControl w:val="0"/>
              <w:jc w:val="center"/>
            </w:pPr>
            <w:r w:rsidRPr="00244FB2">
              <w:t>0.0 (-2, 8)</w:t>
            </w:r>
          </w:p>
        </w:tc>
        <w:tc>
          <w:tcPr>
            <w:tcW w:w="1489" w:type="dxa"/>
            <w:tcBorders>
              <w:top w:val="single" w:sz="4" w:space="0" w:color="auto"/>
              <w:left w:val="single" w:sz="4" w:space="0" w:color="auto"/>
              <w:bottom w:val="single" w:sz="4" w:space="0" w:color="auto"/>
              <w:right w:val="single" w:sz="4" w:space="0" w:color="auto"/>
            </w:tcBorders>
            <w:vAlign w:val="center"/>
          </w:tcPr>
          <w:p w14:paraId="51E91C42" w14:textId="77777777" w:rsidR="00F62159" w:rsidRPr="00244FB2" w:rsidRDefault="00F62159" w:rsidP="00985966">
            <w:pPr>
              <w:pStyle w:val="TableText"/>
              <w:widowControl w:val="0"/>
              <w:jc w:val="center"/>
            </w:pPr>
            <w:r w:rsidRPr="00244FB2">
              <w:t>0.5 (1.61)</w:t>
            </w:r>
          </w:p>
        </w:tc>
        <w:tc>
          <w:tcPr>
            <w:tcW w:w="1984" w:type="dxa"/>
            <w:vMerge/>
            <w:tcBorders>
              <w:left w:val="single" w:sz="4" w:space="0" w:color="auto"/>
              <w:bottom w:val="single" w:sz="4" w:space="0" w:color="auto"/>
              <w:right w:val="single" w:sz="4" w:space="0" w:color="auto"/>
            </w:tcBorders>
            <w:vAlign w:val="center"/>
          </w:tcPr>
          <w:p w14:paraId="76EDF74D" w14:textId="77777777" w:rsidR="00F62159" w:rsidRPr="00244FB2" w:rsidRDefault="00F62159" w:rsidP="00985966">
            <w:pPr>
              <w:pStyle w:val="TableText"/>
              <w:widowControl w:val="0"/>
              <w:jc w:val="center"/>
            </w:pPr>
          </w:p>
        </w:tc>
        <w:tc>
          <w:tcPr>
            <w:tcW w:w="1079" w:type="dxa"/>
            <w:vMerge/>
            <w:tcBorders>
              <w:left w:val="single" w:sz="4" w:space="0" w:color="auto"/>
              <w:bottom w:val="single" w:sz="4" w:space="0" w:color="auto"/>
              <w:right w:val="single" w:sz="4" w:space="0" w:color="auto"/>
            </w:tcBorders>
            <w:vAlign w:val="center"/>
          </w:tcPr>
          <w:p w14:paraId="22353152" w14:textId="77777777" w:rsidR="00F62159" w:rsidRPr="00244FB2" w:rsidRDefault="00F62159" w:rsidP="00985966">
            <w:pPr>
              <w:pStyle w:val="TableText"/>
              <w:widowControl w:val="0"/>
              <w:jc w:val="center"/>
            </w:pPr>
          </w:p>
        </w:tc>
      </w:tr>
      <w:tr w:rsidR="00F62159" w:rsidRPr="00244FB2" w14:paraId="31E78BAE"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5C6F38EC" w14:textId="77777777" w:rsidR="00F62159" w:rsidRPr="00244FB2" w:rsidRDefault="00F62159" w:rsidP="00985966">
            <w:pPr>
              <w:pStyle w:val="TableText"/>
              <w:widowControl w:val="0"/>
              <w:rPr>
                <w:b/>
              </w:rPr>
            </w:pPr>
            <w:r w:rsidRPr="00244FB2">
              <w:rPr>
                <w:b/>
              </w:rPr>
              <w:t>Modified Rankin Scale (0-6 scale, with higher scores indicating increased dependence)</w:t>
            </w:r>
          </w:p>
        </w:tc>
      </w:tr>
      <w:tr w:rsidR="00F62159" w:rsidRPr="00244FB2" w14:paraId="760C6A62"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1AE652CD" w14:textId="77777777" w:rsidR="00F62159" w:rsidRPr="00244FB2" w:rsidRDefault="00F62159" w:rsidP="00985966">
            <w:pPr>
              <w:pStyle w:val="TableText"/>
              <w:widowControl w:val="0"/>
              <w:rPr>
                <w:vertAlign w:val="superscript"/>
              </w:rPr>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11034BFB" w14:textId="77777777" w:rsidR="00F62159" w:rsidRPr="00244FB2" w:rsidRDefault="00F62159" w:rsidP="00985966">
            <w:pPr>
              <w:pStyle w:val="TableText"/>
              <w:widowControl w:val="0"/>
              <w:jc w:val="center"/>
            </w:pPr>
            <w:r w:rsidRPr="00244FB2">
              <w:t>2.1 (1.14)</w:t>
            </w:r>
          </w:p>
        </w:tc>
        <w:tc>
          <w:tcPr>
            <w:tcW w:w="1488" w:type="dxa"/>
            <w:tcBorders>
              <w:top w:val="single" w:sz="4" w:space="0" w:color="auto"/>
              <w:left w:val="single" w:sz="4" w:space="0" w:color="auto"/>
              <w:bottom w:val="single" w:sz="4" w:space="0" w:color="auto"/>
              <w:right w:val="single" w:sz="4" w:space="0" w:color="auto"/>
            </w:tcBorders>
            <w:vAlign w:val="center"/>
          </w:tcPr>
          <w:p w14:paraId="468696ED" w14:textId="77777777" w:rsidR="00F62159" w:rsidRPr="00244FB2" w:rsidRDefault="00F62159" w:rsidP="00985966">
            <w:pPr>
              <w:pStyle w:val="TableText"/>
              <w:widowControl w:val="0"/>
              <w:jc w:val="center"/>
            </w:pPr>
            <w:r w:rsidRPr="00244FB2">
              <w:t>0.0 (-4, 2)</w:t>
            </w:r>
          </w:p>
        </w:tc>
        <w:tc>
          <w:tcPr>
            <w:tcW w:w="1489" w:type="dxa"/>
            <w:tcBorders>
              <w:top w:val="single" w:sz="4" w:space="0" w:color="auto"/>
              <w:left w:val="single" w:sz="4" w:space="0" w:color="auto"/>
              <w:bottom w:val="single" w:sz="4" w:space="0" w:color="auto"/>
              <w:right w:val="single" w:sz="4" w:space="0" w:color="auto"/>
            </w:tcBorders>
            <w:vAlign w:val="center"/>
          </w:tcPr>
          <w:p w14:paraId="3458EB86" w14:textId="77777777" w:rsidR="00F62159" w:rsidRPr="00244FB2" w:rsidRDefault="00F62159" w:rsidP="00985966">
            <w:pPr>
              <w:pStyle w:val="TableText"/>
              <w:widowControl w:val="0"/>
              <w:jc w:val="center"/>
            </w:pPr>
            <w:r w:rsidRPr="00244FB2">
              <w:t>-0.2 (0.72)</w:t>
            </w:r>
          </w:p>
        </w:tc>
        <w:tc>
          <w:tcPr>
            <w:tcW w:w="1984" w:type="dxa"/>
            <w:vMerge w:val="restart"/>
            <w:tcBorders>
              <w:top w:val="single" w:sz="4" w:space="0" w:color="auto"/>
              <w:left w:val="single" w:sz="4" w:space="0" w:color="auto"/>
              <w:right w:val="single" w:sz="4" w:space="0" w:color="auto"/>
            </w:tcBorders>
            <w:vAlign w:val="center"/>
          </w:tcPr>
          <w:p w14:paraId="52503CF5" w14:textId="77777777" w:rsidR="00F62159" w:rsidRPr="00244FB2" w:rsidRDefault="00F62159" w:rsidP="00985966">
            <w:pPr>
              <w:pStyle w:val="TableText"/>
              <w:widowControl w:val="0"/>
              <w:jc w:val="center"/>
            </w:pPr>
            <w:r w:rsidRPr="00244FB2">
              <w:t xml:space="preserve">-0.32 </w:t>
            </w:r>
          </w:p>
          <w:p w14:paraId="6B3F7591" w14:textId="77777777" w:rsidR="00F62159" w:rsidRPr="00244FB2" w:rsidRDefault="00F62159" w:rsidP="00985966">
            <w:pPr>
              <w:pStyle w:val="TableText"/>
              <w:widowControl w:val="0"/>
              <w:jc w:val="center"/>
            </w:pPr>
            <w:r w:rsidRPr="00244FB2">
              <w:t>(-0.57, -0.06)</w:t>
            </w:r>
          </w:p>
        </w:tc>
        <w:tc>
          <w:tcPr>
            <w:tcW w:w="1079" w:type="dxa"/>
            <w:vMerge w:val="restart"/>
            <w:tcBorders>
              <w:top w:val="single" w:sz="4" w:space="0" w:color="auto"/>
              <w:left w:val="single" w:sz="4" w:space="0" w:color="auto"/>
              <w:right w:val="single" w:sz="4" w:space="0" w:color="auto"/>
            </w:tcBorders>
            <w:vAlign w:val="center"/>
          </w:tcPr>
          <w:p w14:paraId="7C8E3176" w14:textId="77777777" w:rsidR="00F62159" w:rsidRPr="00244FB2" w:rsidRDefault="00F62159" w:rsidP="00985966">
            <w:pPr>
              <w:pStyle w:val="TableText"/>
              <w:widowControl w:val="0"/>
              <w:jc w:val="center"/>
            </w:pPr>
            <w:r w:rsidRPr="00244FB2">
              <w:t>NS</w:t>
            </w:r>
          </w:p>
        </w:tc>
      </w:tr>
      <w:tr w:rsidR="00F62159" w:rsidRPr="00244FB2" w14:paraId="65E0227F"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555A2ECE" w14:textId="77777777" w:rsidR="00F62159" w:rsidRPr="00244FB2" w:rsidRDefault="00F62159" w:rsidP="00985966">
            <w:pPr>
              <w:pStyle w:val="TableText"/>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7FC282C1" w14:textId="77777777" w:rsidR="00F62159" w:rsidRPr="00244FB2" w:rsidRDefault="00F62159" w:rsidP="00985966">
            <w:pPr>
              <w:pStyle w:val="TableText"/>
              <w:widowControl w:val="0"/>
              <w:jc w:val="center"/>
            </w:pPr>
            <w:r w:rsidRPr="00244FB2">
              <w:t>2.1 (0.98)</w:t>
            </w:r>
          </w:p>
        </w:tc>
        <w:tc>
          <w:tcPr>
            <w:tcW w:w="1488" w:type="dxa"/>
            <w:tcBorders>
              <w:top w:val="single" w:sz="4" w:space="0" w:color="auto"/>
              <w:left w:val="single" w:sz="4" w:space="0" w:color="auto"/>
              <w:bottom w:val="single" w:sz="4" w:space="0" w:color="auto"/>
              <w:right w:val="single" w:sz="4" w:space="0" w:color="auto"/>
            </w:tcBorders>
            <w:vAlign w:val="center"/>
          </w:tcPr>
          <w:p w14:paraId="641F11DC" w14:textId="77777777" w:rsidR="00F62159" w:rsidRPr="00244FB2" w:rsidRDefault="00F62159" w:rsidP="00985966">
            <w:pPr>
              <w:pStyle w:val="TableText"/>
              <w:widowControl w:val="0"/>
              <w:jc w:val="center"/>
            </w:pPr>
            <w:r w:rsidRPr="00244FB2">
              <w:t>0.0 (-2, 3)</w:t>
            </w:r>
          </w:p>
        </w:tc>
        <w:tc>
          <w:tcPr>
            <w:tcW w:w="1489" w:type="dxa"/>
            <w:tcBorders>
              <w:top w:val="single" w:sz="4" w:space="0" w:color="auto"/>
              <w:left w:val="single" w:sz="4" w:space="0" w:color="auto"/>
              <w:bottom w:val="single" w:sz="4" w:space="0" w:color="auto"/>
              <w:right w:val="single" w:sz="4" w:space="0" w:color="auto"/>
            </w:tcBorders>
            <w:vAlign w:val="center"/>
          </w:tcPr>
          <w:p w14:paraId="16FD068E" w14:textId="77777777" w:rsidR="00F62159" w:rsidRPr="00244FB2" w:rsidRDefault="00F62159" w:rsidP="00985966">
            <w:pPr>
              <w:pStyle w:val="TableText"/>
              <w:widowControl w:val="0"/>
              <w:jc w:val="center"/>
            </w:pPr>
            <w:r w:rsidRPr="00244FB2">
              <w:t>0.1 (0.75)</w:t>
            </w:r>
          </w:p>
        </w:tc>
        <w:tc>
          <w:tcPr>
            <w:tcW w:w="1984" w:type="dxa"/>
            <w:vMerge/>
            <w:tcBorders>
              <w:left w:val="single" w:sz="4" w:space="0" w:color="auto"/>
              <w:bottom w:val="single" w:sz="4" w:space="0" w:color="auto"/>
              <w:right w:val="single" w:sz="4" w:space="0" w:color="auto"/>
            </w:tcBorders>
            <w:vAlign w:val="center"/>
          </w:tcPr>
          <w:p w14:paraId="03F14311" w14:textId="77777777" w:rsidR="00F62159" w:rsidRPr="00244FB2" w:rsidRDefault="00F62159" w:rsidP="00985966">
            <w:pPr>
              <w:pStyle w:val="TableText"/>
              <w:widowControl w:val="0"/>
              <w:jc w:val="center"/>
            </w:pPr>
          </w:p>
        </w:tc>
        <w:tc>
          <w:tcPr>
            <w:tcW w:w="1079" w:type="dxa"/>
            <w:vMerge/>
            <w:tcBorders>
              <w:left w:val="single" w:sz="4" w:space="0" w:color="auto"/>
              <w:bottom w:val="single" w:sz="4" w:space="0" w:color="auto"/>
              <w:right w:val="single" w:sz="4" w:space="0" w:color="auto"/>
            </w:tcBorders>
            <w:vAlign w:val="center"/>
          </w:tcPr>
          <w:p w14:paraId="59A68F9B" w14:textId="77777777" w:rsidR="00F62159" w:rsidRPr="00244FB2" w:rsidRDefault="00F62159" w:rsidP="00985966">
            <w:pPr>
              <w:pStyle w:val="TableText"/>
              <w:widowControl w:val="0"/>
              <w:jc w:val="center"/>
            </w:pPr>
          </w:p>
        </w:tc>
      </w:tr>
      <w:tr w:rsidR="00F62159" w:rsidRPr="00244FB2" w14:paraId="05C031CE"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62983F45" w14:textId="77777777" w:rsidR="00F62159" w:rsidRPr="00244FB2" w:rsidRDefault="00F62159" w:rsidP="00985966">
            <w:pPr>
              <w:pStyle w:val="TableText"/>
              <w:widowControl w:val="0"/>
              <w:rPr>
                <w:b/>
              </w:rPr>
            </w:pPr>
            <w:proofErr w:type="spellStart"/>
            <w:r w:rsidRPr="00244FB2">
              <w:rPr>
                <w:b/>
              </w:rPr>
              <w:t>Kurtzke</w:t>
            </w:r>
            <w:proofErr w:type="spellEnd"/>
            <w:r w:rsidRPr="00244FB2">
              <w:rPr>
                <w:b/>
              </w:rPr>
              <w:t xml:space="preserve"> functional system score – visual (0-6 scale, with higher scores indicating lower visual acuity)</w:t>
            </w:r>
          </w:p>
        </w:tc>
      </w:tr>
      <w:tr w:rsidR="00F62159" w:rsidRPr="00244FB2" w14:paraId="1FADD312"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3943695A" w14:textId="77777777" w:rsidR="00F62159" w:rsidRPr="00244FB2" w:rsidRDefault="00F62159" w:rsidP="00985966">
            <w:pPr>
              <w:pStyle w:val="TableText"/>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6A2D8067" w14:textId="77777777" w:rsidR="00F62159" w:rsidRPr="00244FB2" w:rsidRDefault="00F62159" w:rsidP="00985966">
            <w:pPr>
              <w:pStyle w:val="TableText"/>
              <w:widowControl w:val="0"/>
              <w:jc w:val="center"/>
            </w:pPr>
            <w:r w:rsidRPr="00244FB2">
              <w:t>3.2 (2.15)</w:t>
            </w:r>
          </w:p>
        </w:tc>
        <w:tc>
          <w:tcPr>
            <w:tcW w:w="1488" w:type="dxa"/>
            <w:tcBorders>
              <w:top w:val="single" w:sz="4" w:space="0" w:color="auto"/>
              <w:left w:val="single" w:sz="4" w:space="0" w:color="auto"/>
              <w:bottom w:val="single" w:sz="4" w:space="0" w:color="auto"/>
              <w:right w:val="single" w:sz="4" w:space="0" w:color="auto"/>
            </w:tcBorders>
            <w:vAlign w:val="center"/>
          </w:tcPr>
          <w:p w14:paraId="6EA3E008" w14:textId="77777777" w:rsidR="00F62159" w:rsidRPr="00244FB2" w:rsidRDefault="00F62159" w:rsidP="00985966">
            <w:pPr>
              <w:pStyle w:val="TableText"/>
              <w:widowControl w:val="0"/>
              <w:jc w:val="center"/>
            </w:pPr>
            <w:r w:rsidRPr="00244FB2">
              <w:t>-1.0 (-4, 3)</w:t>
            </w:r>
          </w:p>
        </w:tc>
        <w:tc>
          <w:tcPr>
            <w:tcW w:w="1489" w:type="dxa"/>
            <w:tcBorders>
              <w:top w:val="single" w:sz="4" w:space="0" w:color="auto"/>
              <w:left w:val="single" w:sz="4" w:space="0" w:color="auto"/>
              <w:bottom w:val="single" w:sz="4" w:space="0" w:color="auto"/>
              <w:right w:val="single" w:sz="4" w:space="0" w:color="auto"/>
            </w:tcBorders>
            <w:vAlign w:val="center"/>
          </w:tcPr>
          <w:p w14:paraId="1FD69356" w14:textId="77777777" w:rsidR="00F62159" w:rsidRPr="00244FB2" w:rsidRDefault="00F62159" w:rsidP="00985966">
            <w:pPr>
              <w:pStyle w:val="TableText"/>
              <w:widowControl w:val="0"/>
              <w:jc w:val="center"/>
            </w:pPr>
            <w:r w:rsidRPr="00244FB2">
              <w:t>-0.7 (1.15)</w:t>
            </w:r>
          </w:p>
        </w:tc>
        <w:tc>
          <w:tcPr>
            <w:tcW w:w="1984" w:type="dxa"/>
            <w:vMerge w:val="restart"/>
            <w:tcBorders>
              <w:top w:val="single" w:sz="4" w:space="0" w:color="auto"/>
              <w:left w:val="single" w:sz="4" w:space="0" w:color="auto"/>
              <w:right w:val="single" w:sz="4" w:space="0" w:color="auto"/>
            </w:tcBorders>
            <w:vAlign w:val="center"/>
          </w:tcPr>
          <w:p w14:paraId="05DF0A9C" w14:textId="77777777" w:rsidR="00F62159" w:rsidRPr="00244FB2" w:rsidRDefault="00F62159" w:rsidP="00985966">
            <w:pPr>
              <w:pStyle w:val="TableText"/>
              <w:widowControl w:val="0"/>
              <w:jc w:val="center"/>
            </w:pPr>
            <w:r w:rsidRPr="00244FB2">
              <w:t xml:space="preserve">-0.27 </w:t>
            </w:r>
          </w:p>
          <w:p w14:paraId="58A6B745" w14:textId="77777777" w:rsidR="00F62159" w:rsidRPr="00244FB2" w:rsidRDefault="00F62159" w:rsidP="00985966">
            <w:pPr>
              <w:pStyle w:val="TableText"/>
              <w:widowControl w:val="0"/>
              <w:jc w:val="center"/>
            </w:pPr>
            <w:r w:rsidRPr="00244FB2">
              <w:t>(-0.58, 0.04)</w:t>
            </w:r>
          </w:p>
        </w:tc>
        <w:tc>
          <w:tcPr>
            <w:tcW w:w="1079" w:type="dxa"/>
            <w:vMerge w:val="restart"/>
            <w:tcBorders>
              <w:top w:val="single" w:sz="4" w:space="0" w:color="auto"/>
              <w:left w:val="single" w:sz="4" w:space="0" w:color="auto"/>
              <w:right w:val="single" w:sz="4" w:space="0" w:color="auto"/>
            </w:tcBorders>
            <w:vAlign w:val="center"/>
          </w:tcPr>
          <w:p w14:paraId="0ED1BF8A" w14:textId="77777777" w:rsidR="00F62159" w:rsidRPr="00244FB2" w:rsidRDefault="00F62159" w:rsidP="00985966">
            <w:pPr>
              <w:pStyle w:val="TableText"/>
              <w:widowControl w:val="0"/>
              <w:jc w:val="center"/>
            </w:pPr>
            <w:r w:rsidRPr="00244FB2">
              <w:t>NS</w:t>
            </w:r>
          </w:p>
        </w:tc>
      </w:tr>
      <w:tr w:rsidR="00F62159" w:rsidRPr="00244FB2" w14:paraId="73AED05C"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6A872D62" w14:textId="77777777" w:rsidR="00F62159" w:rsidRPr="00244FB2" w:rsidRDefault="00F62159" w:rsidP="00985966">
            <w:pPr>
              <w:pStyle w:val="TableText"/>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5EE4EC41" w14:textId="77777777" w:rsidR="00F62159" w:rsidRPr="00244FB2" w:rsidRDefault="00F62159" w:rsidP="00985966">
            <w:pPr>
              <w:pStyle w:val="TableText"/>
              <w:widowControl w:val="0"/>
              <w:jc w:val="center"/>
            </w:pPr>
            <w:r w:rsidRPr="00244FB2">
              <w:t>2.7 (2.32)</w:t>
            </w:r>
          </w:p>
        </w:tc>
        <w:tc>
          <w:tcPr>
            <w:tcW w:w="1488" w:type="dxa"/>
            <w:tcBorders>
              <w:top w:val="single" w:sz="4" w:space="0" w:color="auto"/>
              <w:left w:val="single" w:sz="4" w:space="0" w:color="auto"/>
              <w:bottom w:val="single" w:sz="4" w:space="0" w:color="auto"/>
              <w:right w:val="single" w:sz="4" w:space="0" w:color="auto"/>
            </w:tcBorders>
            <w:vAlign w:val="center"/>
          </w:tcPr>
          <w:p w14:paraId="0F4869C9" w14:textId="77777777" w:rsidR="00F62159" w:rsidRPr="00244FB2" w:rsidRDefault="00F62159" w:rsidP="00985966">
            <w:pPr>
              <w:pStyle w:val="TableText"/>
              <w:widowControl w:val="0"/>
              <w:jc w:val="center"/>
            </w:pPr>
            <w:r w:rsidRPr="00244FB2">
              <w:t>0.0 (-2, 2)</w:t>
            </w:r>
          </w:p>
        </w:tc>
        <w:tc>
          <w:tcPr>
            <w:tcW w:w="1489" w:type="dxa"/>
            <w:tcBorders>
              <w:top w:val="single" w:sz="4" w:space="0" w:color="auto"/>
              <w:left w:val="single" w:sz="4" w:space="0" w:color="auto"/>
              <w:bottom w:val="single" w:sz="4" w:space="0" w:color="auto"/>
              <w:right w:val="single" w:sz="4" w:space="0" w:color="auto"/>
            </w:tcBorders>
            <w:vAlign w:val="center"/>
          </w:tcPr>
          <w:p w14:paraId="680EF445" w14:textId="77777777" w:rsidR="00F62159" w:rsidRPr="00244FB2" w:rsidRDefault="00F62159" w:rsidP="00985966">
            <w:pPr>
              <w:pStyle w:val="TableText"/>
              <w:widowControl w:val="0"/>
              <w:jc w:val="center"/>
            </w:pPr>
            <w:r w:rsidRPr="00244FB2">
              <w:t>-0.3 (0.93)</w:t>
            </w:r>
          </w:p>
        </w:tc>
        <w:tc>
          <w:tcPr>
            <w:tcW w:w="1984" w:type="dxa"/>
            <w:vMerge/>
            <w:tcBorders>
              <w:left w:val="single" w:sz="4" w:space="0" w:color="auto"/>
              <w:bottom w:val="single" w:sz="4" w:space="0" w:color="auto"/>
              <w:right w:val="single" w:sz="4" w:space="0" w:color="auto"/>
            </w:tcBorders>
            <w:vAlign w:val="center"/>
          </w:tcPr>
          <w:p w14:paraId="20BDFA5F" w14:textId="77777777" w:rsidR="00F62159" w:rsidRPr="00244FB2" w:rsidRDefault="00F62159" w:rsidP="00985966">
            <w:pPr>
              <w:pStyle w:val="TableText"/>
              <w:widowControl w:val="0"/>
              <w:jc w:val="center"/>
            </w:pPr>
          </w:p>
        </w:tc>
        <w:tc>
          <w:tcPr>
            <w:tcW w:w="1079" w:type="dxa"/>
            <w:vMerge/>
            <w:tcBorders>
              <w:left w:val="single" w:sz="4" w:space="0" w:color="auto"/>
              <w:bottom w:val="single" w:sz="4" w:space="0" w:color="auto"/>
              <w:right w:val="single" w:sz="4" w:space="0" w:color="auto"/>
            </w:tcBorders>
            <w:vAlign w:val="center"/>
          </w:tcPr>
          <w:p w14:paraId="333AD94B" w14:textId="77777777" w:rsidR="00F62159" w:rsidRPr="00244FB2" w:rsidRDefault="00F62159" w:rsidP="00985966">
            <w:pPr>
              <w:pStyle w:val="TableText"/>
              <w:widowControl w:val="0"/>
              <w:jc w:val="center"/>
            </w:pPr>
          </w:p>
        </w:tc>
      </w:tr>
      <w:tr w:rsidR="00987BF2" w:rsidRPr="00244FB2" w14:paraId="7F1D1C99"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147C4985" w14:textId="77777777" w:rsidR="00987BF2" w:rsidRPr="00244FB2" w:rsidRDefault="00987BF2" w:rsidP="00985966">
            <w:pPr>
              <w:pStyle w:val="TableText"/>
              <w:widowControl w:val="0"/>
              <w:rPr>
                <w:b/>
              </w:rPr>
            </w:pPr>
            <w:r w:rsidRPr="00244FB2">
              <w:rPr>
                <w:b/>
              </w:rPr>
              <w:t>EQ-5D-3L Visual analogue score (0-100 scale, with higher scores indicating increased quality of life)</w:t>
            </w:r>
          </w:p>
        </w:tc>
      </w:tr>
      <w:tr w:rsidR="00987BF2" w:rsidRPr="00244FB2" w14:paraId="65DE49CF"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1ADF1D02" w14:textId="77777777" w:rsidR="00987BF2" w:rsidRPr="00244FB2" w:rsidRDefault="00987BF2" w:rsidP="00D15288">
            <w:pPr>
              <w:pStyle w:val="TableText"/>
              <w:keepNext w:val="0"/>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7C68A047" w14:textId="77777777" w:rsidR="00987BF2" w:rsidRPr="00244FB2" w:rsidRDefault="00987BF2" w:rsidP="00D15288">
            <w:pPr>
              <w:pStyle w:val="TableText"/>
              <w:keepNext w:val="0"/>
              <w:widowControl w:val="0"/>
              <w:jc w:val="center"/>
            </w:pPr>
            <w:r w:rsidRPr="00244FB2">
              <w:t>63.6 (20.00)</w:t>
            </w:r>
          </w:p>
        </w:tc>
        <w:tc>
          <w:tcPr>
            <w:tcW w:w="1488" w:type="dxa"/>
            <w:tcBorders>
              <w:top w:val="single" w:sz="4" w:space="0" w:color="auto"/>
              <w:left w:val="single" w:sz="4" w:space="0" w:color="auto"/>
              <w:bottom w:val="single" w:sz="4" w:space="0" w:color="auto"/>
              <w:right w:val="single" w:sz="4" w:space="0" w:color="auto"/>
            </w:tcBorders>
            <w:vAlign w:val="center"/>
          </w:tcPr>
          <w:p w14:paraId="54D9B9BB" w14:textId="77777777" w:rsidR="00987BF2" w:rsidRPr="00244FB2" w:rsidRDefault="00987BF2" w:rsidP="00D15288">
            <w:pPr>
              <w:pStyle w:val="TableText"/>
              <w:keepNext w:val="0"/>
              <w:widowControl w:val="0"/>
              <w:jc w:val="center"/>
            </w:pPr>
            <w:r w:rsidRPr="00244FB2">
              <w:t>0.0 (-30.0, 60.0)</w:t>
            </w:r>
          </w:p>
        </w:tc>
        <w:tc>
          <w:tcPr>
            <w:tcW w:w="1489" w:type="dxa"/>
            <w:tcBorders>
              <w:top w:val="single" w:sz="4" w:space="0" w:color="auto"/>
              <w:left w:val="single" w:sz="4" w:space="0" w:color="auto"/>
              <w:bottom w:val="single" w:sz="4" w:space="0" w:color="auto"/>
              <w:right w:val="single" w:sz="4" w:space="0" w:color="auto"/>
            </w:tcBorders>
            <w:vAlign w:val="center"/>
          </w:tcPr>
          <w:p w14:paraId="3FB7112D" w14:textId="77777777" w:rsidR="00987BF2" w:rsidRPr="00244FB2" w:rsidRDefault="00987BF2" w:rsidP="00D15288">
            <w:pPr>
              <w:pStyle w:val="TableText"/>
              <w:keepNext w:val="0"/>
              <w:widowControl w:val="0"/>
              <w:jc w:val="center"/>
            </w:pPr>
            <w:r w:rsidRPr="00244FB2">
              <w:t>5.4 (18.53)</w:t>
            </w:r>
          </w:p>
        </w:tc>
        <w:tc>
          <w:tcPr>
            <w:tcW w:w="1984" w:type="dxa"/>
            <w:vMerge w:val="restart"/>
            <w:tcBorders>
              <w:top w:val="single" w:sz="4" w:space="0" w:color="auto"/>
              <w:left w:val="single" w:sz="4" w:space="0" w:color="auto"/>
              <w:right w:val="single" w:sz="4" w:space="0" w:color="auto"/>
            </w:tcBorders>
            <w:vAlign w:val="center"/>
          </w:tcPr>
          <w:p w14:paraId="6D1AC7CF" w14:textId="77777777" w:rsidR="00987BF2" w:rsidRPr="00244FB2" w:rsidRDefault="00987BF2" w:rsidP="00D15288">
            <w:pPr>
              <w:pStyle w:val="TableText"/>
              <w:keepNext w:val="0"/>
              <w:widowControl w:val="0"/>
              <w:jc w:val="center"/>
            </w:pPr>
            <w:r w:rsidRPr="00244FB2">
              <w:t>6.43 (0.63, 12.23)</w:t>
            </w:r>
          </w:p>
        </w:tc>
        <w:tc>
          <w:tcPr>
            <w:tcW w:w="1079" w:type="dxa"/>
            <w:vMerge w:val="restart"/>
            <w:tcBorders>
              <w:top w:val="single" w:sz="4" w:space="0" w:color="auto"/>
              <w:left w:val="single" w:sz="4" w:space="0" w:color="auto"/>
              <w:right w:val="single" w:sz="4" w:space="0" w:color="auto"/>
            </w:tcBorders>
            <w:vAlign w:val="center"/>
          </w:tcPr>
          <w:p w14:paraId="37702F95" w14:textId="77777777" w:rsidR="00987BF2" w:rsidRPr="00244FB2" w:rsidRDefault="00987BF2" w:rsidP="00D15288">
            <w:pPr>
              <w:pStyle w:val="TableText"/>
              <w:keepNext w:val="0"/>
              <w:widowControl w:val="0"/>
              <w:jc w:val="center"/>
            </w:pPr>
            <w:r w:rsidRPr="00244FB2">
              <w:t>NS</w:t>
            </w:r>
          </w:p>
        </w:tc>
      </w:tr>
      <w:tr w:rsidR="00987BF2" w:rsidRPr="00244FB2" w14:paraId="1871BEAE"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1BC26C82" w14:textId="77777777" w:rsidR="00987BF2" w:rsidRPr="00244FB2" w:rsidRDefault="00987BF2" w:rsidP="00D15288">
            <w:pPr>
              <w:pStyle w:val="TableText"/>
              <w:keepNext w:val="0"/>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0CC976B2" w14:textId="77777777" w:rsidR="00987BF2" w:rsidRPr="00244FB2" w:rsidRDefault="00987BF2" w:rsidP="00D15288">
            <w:pPr>
              <w:pStyle w:val="TableText"/>
              <w:keepNext w:val="0"/>
              <w:widowControl w:val="0"/>
              <w:jc w:val="center"/>
            </w:pPr>
            <w:r w:rsidRPr="00244FB2">
              <w:t>59.1 (20.39)</w:t>
            </w:r>
          </w:p>
        </w:tc>
        <w:tc>
          <w:tcPr>
            <w:tcW w:w="1488" w:type="dxa"/>
            <w:tcBorders>
              <w:top w:val="single" w:sz="4" w:space="0" w:color="auto"/>
              <w:left w:val="single" w:sz="4" w:space="0" w:color="auto"/>
              <w:bottom w:val="single" w:sz="4" w:space="0" w:color="auto"/>
              <w:right w:val="single" w:sz="4" w:space="0" w:color="auto"/>
            </w:tcBorders>
            <w:vAlign w:val="center"/>
          </w:tcPr>
          <w:p w14:paraId="27DB385F" w14:textId="77777777" w:rsidR="00987BF2" w:rsidRPr="00244FB2" w:rsidRDefault="00987BF2" w:rsidP="00D15288">
            <w:pPr>
              <w:pStyle w:val="TableText"/>
              <w:keepNext w:val="0"/>
              <w:widowControl w:val="0"/>
              <w:jc w:val="center"/>
            </w:pPr>
            <w:r w:rsidRPr="00244FB2">
              <w:t>0.0 (-28.0, 40.0)</w:t>
            </w:r>
          </w:p>
        </w:tc>
        <w:tc>
          <w:tcPr>
            <w:tcW w:w="1489" w:type="dxa"/>
            <w:tcBorders>
              <w:top w:val="single" w:sz="4" w:space="0" w:color="auto"/>
              <w:left w:val="single" w:sz="4" w:space="0" w:color="auto"/>
              <w:bottom w:val="single" w:sz="4" w:space="0" w:color="auto"/>
              <w:right w:val="single" w:sz="4" w:space="0" w:color="auto"/>
            </w:tcBorders>
            <w:vAlign w:val="center"/>
          </w:tcPr>
          <w:p w14:paraId="200E66B6" w14:textId="77777777" w:rsidR="00987BF2" w:rsidRPr="00244FB2" w:rsidRDefault="00987BF2" w:rsidP="00D15288">
            <w:pPr>
              <w:pStyle w:val="TableText"/>
              <w:keepNext w:val="0"/>
              <w:widowControl w:val="0"/>
              <w:jc w:val="center"/>
            </w:pPr>
            <w:r w:rsidRPr="00244FB2">
              <w:t>0.6 (16.39)</w:t>
            </w:r>
          </w:p>
        </w:tc>
        <w:tc>
          <w:tcPr>
            <w:tcW w:w="1984" w:type="dxa"/>
            <w:vMerge/>
            <w:tcBorders>
              <w:left w:val="single" w:sz="4" w:space="0" w:color="auto"/>
              <w:bottom w:val="single" w:sz="4" w:space="0" w:color="auto"/>
              <w:right w:val="single" w:sz="4" w:space="0" w:color="auto"/>
            </w:tcBorders>
            <w:vAlign w:val="center"/>
          </w:tcPr>
          <w:p w14:paraId="6387118E" w14:textId="77777777" w:rsidR="00987BF2" w:rsidRPr="00244FB2" w:rsidRDefault="00987BF2" w:rsidP="00D15288">
            <w:pPr>
              <w:pStyle w:val="TableText"/>
              <w:keepNext w:val="0"/>
              <w:widowControl w:val="0"/>
              <w:jc w:val="center"/>
            </w:pPr>
          </w:p>
        </w:tc>
        <w:tc>
          <w:tcPr>
            <w:tcW w:w="1079" w:type="dxa"/>
            <w:vMerge/>
            <w:tcBorders>
              <w:left w:val="single" w:sz="4" w:space="0" w:color="auto"/>
              <w:bottom w:val="single" w:sz="4" w:space="0" w:color="auto"/>
              <w:right w:val="single" w:sz="4" w:space="0" w:color="auto"/>
            </w:tcBorders>
            <w:vAlign w:val="center"/>
          </w:tcPr>
          <w:p w14:paraId="4FB972B1" w14:textId="77777777" w:rsidR="00987BF2" w:rsidRPr="00244FB2" w:rsidRDefault="00987BF2" w:rsidP="00D15288">
            <w:pPr>
              <w:pStyle w:val="TableText"/>
              <w:keepNext w:val="0"/>
              <w:widowControl w:val="0"/>
              <w:jc w:val="center"/>
            </w:pPr>
          </w:p>
        </w:tc>
      </w:tr>
      <w:tr w:rsidR="00987BF2" w:rsidRPr="00244FB2" w14:paraId="262F8DDF"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5EACCC89" w14:textId="77777777" w:rsidR="00987BF2" w:rsidRPr="00244FB2" w:rsidRDefault="00987BF2" w:rsidP="00D15288">
            <w:pPr>
              <w:pStyle w:val="TableText"/>
              <w:keepNext w:val="0"/>
              <w:widowControl w:val="0"/>
              <w:rPr>
                <w:b/>
              </w:rPr>
            </w:pPr>
            <w:r w:rsidRPr="00244FB2">
              <w:rPr>
                <w:b/>
              </w:rPr>
              <w:t>EQ-5D-3L Index score (0-1 scale, with higher scores indicating increased quality of life)</w:t>
            </w:r>
          </w:p>
        </w:tc>
      </w:tr>
      <w:tr w:rsidR="00987BF2" w:rsidRPr="00244FB2" w14:paraId="0DE233AB"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09625F49" w14:textId="77777777" w:rsidR="00987BF2" w:rsidRPr="00244FB2" w:rsidRDefault="00987BF2" w:rsidP="00D15288">
            <w:pPr>
              <w:pStyle w:val="TableText"/>
              <w:keepNext w:val="0"/>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1DEE1AA2" w14:textId="77777777" w:rsidR="00987BF2" w:rsidRPr="00244FB2" w:rsidRDefault="00987BF2" w:rsidP="00D15288">
            <w:pPr>
              <w:pStyle w:val="TableText"/>
              <w:keepNext w:val="0"/>
              <w:widowControl w:val="0"/>
              <w:jc w:val="center"/>
            </w:pPr>
            <w:r w:rsidRPr="00244FB2">
              <w:t>0.68 (0.196)</w:t>
            </w:r>
          </w:p>
        </w:tc>
        <w:tc>
          <w:tcPr>
            <w:tcW w:w="1488" w:type="dxa"/>
            <w:tcBorders>
              <w:top w:val="single" w:sz="4" w:space="0" w:color="auto"/>
              <w:left w:val="single" w:sz="4" w:space="0" w:color="auto"/>
              <w:bottom w:val="single" w:sz="4" w:space="0" w:color="auto"/>
              <w:right w:val="single" w:sz="4" w:space="0" w:color="auto"/>
            </w:tcBorders>
            <w:vAlign w:val="center"/>
          </w:tcPr>
          <w:p w14:paraId="52808BA6" w14:textId="77777777" w:rsidR="00987BF2" w:rsidRPr="00244FB2" w:rsidRDefault="00987BF2" w:rsidP="00D15288">
            <w:pPr>
              <w:pStyle w:val="TableText"/>
              <w:keepNext w:val="0"/>
              <w:widowControl w:val="0"/>
              <w:jc w:val="center"/>
            </w:pPr>
            <w:r w:rsidRPr="00244FB2">
              <w:t>0.03 (-0.57, 0.56)</w:t>
            </w:r>
          </w:p>
        </w:tc>
        <w:tc>
          <w:tcPr>
            <w:tcW w:w="1489" w:type="dxa"/>
            <w:tcBorders>
              <w:top w:val="single" w:sz="4" w:space="0" w:color="auto"/>
              <w:left w:val="single" w:sz="4" w:space="0" w:color="auto"/>
              <w:bottom w:val="single" w:sz="4" w:space="0" w:color="auto"/>
              <w:right w:val="single" w:sz="4" w:space="0" w:color="auto"/>
            </w:tcBorders>
            <w:vAlign w:val="center"/>
          </w:tcPr>
          <w:p w14:paraId="287A2E22" w14:textId="77777777" w:rsidR="00987BF2" w:rsidRPr="00244FB2" w:rsidRDefault="00987BF2" w:rsidP="00D15288">
            <w:pPr>
              <w:pStyle w:val="TableText"/>
              <w:keepNext w:val="0"/>
              <w:widowControl w:val="0"/>
              <w:jc w:val="center"/>
            </w:pPr>
            <w:r w:rsidRPr="00244FB2">
              <w:t>0.05 (0.18)</w:t>
            </w:r>
          </w:p>
        </w:tc>
        <w:tc>
          <w:tcPr>
            <w:tcW w:w="1984" w:type="dxa"/>
            <w:vMerge w:val="restart"/>
            <w:tcBorders>
              <w:top w:val="single" w:sz="4" w:space="0" w:color="auto"/>
              <w:left w:val="single" w:sz="4" w:space="0" w:color="auto"/>
              <w:right w:val="single" w:sz="4" w:space="0" w:color="auto"/>
            </w:tcBorders>
            <w:vAlign w:val="center"/>
          </w:tcPr>
          <w:p w14:paraId="7248851F" w14:textId="77777777" w:rsidR="00987BF2" w:rsidRPr="00244FB2" w:rsidRDefault="00987BF2" w:rsidP="00D15288">
            <w:pPr>
              <w:pStyle w:val="TableText"/>
              <w:keepNext w:val="0"/>
              <w:widowControl w:val="0"/>
              <w:jc w:val="center"/>
            </w:pPr>
            <w:r w:rsidRPr="00244FB2">
              <w:t>0.09 (0.02, 0.15)</w:t>
            </w:r>
          </w:p>
        </w:tc>
        <w:tc>
          <w:tcPr>
            <w:tcW w:w="1079" w:type="dxa"/>
            <w:vMerge w:val="restart"/>
            <w:tcBorders>
              <w:top w:val="single" w:sz="4" w:space="0" w:color="auto"/>
              <w:left w:val="single" w:sz="4" w:space="0" w:color="auto"/>
              <w:right w:val="single" w:sz="4" w:space="0" w:color="auto"/>
            </w:tcBorders>
            <w:vAlign w:val="center"/>
          </w:tcPr>
          <w:p w14:paraId="6327EDFF" w14:textId="77777777" w:rsidR="00987BF2" w:rsidRPr="00244FB2" w:rsidRDefault="00987BF2" w:rsidP="00D15288">
            <w:pPr>
              <w:pStyle w:val="TableText"/>
              <w:keepNext w:val="0"/>
              <w:widowControl w:val="0"/>
              <w:jc w:val="center"/>
            </w:pPr>
            <w:r w:rsidRPr="00244FB2">
              <w:t>NS</w:t>
            </w:r>
          </w:p>
        </w:tc>
      </w:tr>
      <w:tr w:rsidR="00987BF2" w:rsidRPr="00244FB2" w14:paraId="5DE481FF"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39E4ED68" w14:textId="77777777" w:rsidR="00987BF2" w:rsidRPr="00244FB2" w:rsidRDefault="00987BF2" w:rsidP="00D15288">
            <w:pPr>
              <w:pStyle w:val="TableText"/>
              <w:keepNext w:val="0"/>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1E7470CC" w14:textId="77777777" w:rsidR="00987BF2" w:rsidRPr="00244FB2" w:rsidRDefault="00987BF2" w:rsidP="00D15288">
            <w:pPr>
              <w:pStyle w:val="TableText"/>
              <w:keepNext w:val="0"/>
              <w:widowControl w:val="0"/>
              <w:jc w:val="center"/>
            </w:pPr>
            <w:r w:rsidRPr="00244FB2">
              <w:t>0.68 (0.196)</w:t>
            </w:r>
          </w:p>
        </w:tc>
        <w:tc>
          <w:tcPr>
            <w:tcW w:w="1488" w:type="dxa"/>
            <w:tcBorders>
              <w:top w:val="single" w:sz="4" w:space="0" w:color="auto"/>
              <w:left w:val="single" w:sz="4" w:space="0" w:color="auto"/>
              <w:bottom w:val="single" w:sz="4" w:space="0" w:color="auto"/>
              <w:right w:val="single" w:sz="4" w:space="0" w:color="auto"/>
            </w:tcBorders>
            <w:vAlign w:val="center"/>
          </w:tcPr>
          <w:p w14:paraId="7417F68E" w14:textId="77777777" w:rsidR="00987BF2" w:rsidRPr="00244FB2" w:rsidRDefault="00987BF2" w:rsidP="00D15288">
            <w:pPr>
              <w:pStyle w:val="TableText"/>
              <w:keepNext w:val="0"/>
              <w:widowControl w:val="0"/>
              <w:jc w:val="center"/>
            </w:pPr>
            <w:r w:rsidRPr="00244FB2">
              <w:t>0.00 (-0.67, 0.41)</w:t>
            </w:r>
          </w:p>
        </w:tc>
        <w:tc>
          <w:tcPr>
            <w:tcW w:w="1489" w:type="dxa"/>
            <w:tcBorders>
              <w:top w:val="single" w:sz="4" w:space="0" w:color="auto"/>
              <w:left w:val="single" w:sz="4" w:space="0" w:color="auto"/>
              <w:bottom w:val="single" w:sz="4" w:space="0" w:color="auto"/>
              <w:right w:val="single" w:sz="4" w:space="0" w:color="auto"/>
            </w:tcBorders>
            <w:vAlign w:val="center"/>
          </w:tcPr>
          <w:p w14:paraId="565AAB7B" w14:textId="77777777" w:rsidR="00987BF2" w:rsidRPr="00244FB2" w:rsidRDefault="00987BF2" w:rsidP="00D15288">
            <w:pPr>
              <w:pStyle w:val="TableText"/>
              <w:keepNext w:val="0"/>
              <w:widowControl w:val="0"/>
              <w:jc w:val="center"/>
            </w:pPr>
            <w:r w:rsidRPr="00244FB2">
              <w:t>-0.04 (0.21)</w:t>
            </w:r>
          </w:p>
        </w:tc>
        <w:tc>
          <w:tcPr>
            <w:tcW w:w="1984" w:type="dxa"/>
            <w:vMerge/>
            <w:tcBorders>
              <w:left w:val="single" w:sz="4" w:space="0" w:color="auto"/>
              <w:bottom w:val="single" w:sz="4" w:space="0" w:color="auto"/>
              <w:right w:val="single" w:sz="4" w:space="0" w:color="auto"/>
            </w:tcBorders>
            <w:vAlign w:val="center"/>
          </w:tcPr>
          <w:p w14:paraId="6F717E4C" w14:textId="77777777" w:rsidR="00987BF2" w:rsidRPr="00244FB2" w:rsidRDefault="00987BF2" w:rsidP="00D15288">
            <w:pPr>
              <w:pStyle w:val="TableText"/>
              <w:keepNext w:val="0"/>
              <w:widowControl w:val="0"/>
              <w:jc w:val="center"/>
            </w:pPr>
          </w:p>
        </w:tc>
        <w:tc>
          <w:tcPr>
            <w:tcW w:w="1079" w:type="dxa"/>
            <w:vMerge/>
            <w:tcBorders>
              <w:left w:val="single" w:sz="4" w:space="0" w:color="auto"/>
              <w:bottom w:val="single" w:sz="4" w:space="0" w:color="auto"/>
              <w:right w:val="single" w:sz="4" w:space="0" w:color="auto"/>
            </w:tcBorders>
            <w:vAlign w:val="center"/>
          </w:tcPr>
          <w:p w14:paraId="70072A09" w14:textId="77777777" w:rsidR="00987BF2" w:rsidRPr="00244FB2" w:rsidRDefault="00987BF2" w:rsidP="00D15288">
            <w:pPr>
              <w:pStyle w:val="TableText"/>
              <w:keepNext w:val="0"/>
              <w:widowControl w:val="0"/>
              <w:jc w:val="center"/>
            </w:pPr>
          </w:p>
        </w:tc>
      </w:tr>
      <w:tr w:rsidR="00987BF2" w:rsidRPr="00244FB2" w14:paraId="3BE030EC"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225BEEAD" w14:textId="77777777" w:rsidR="00987BF2" w:rsidRPr="00244FB2" w:rsidRDefault="00987BF2" w:rsidP="00D15288">
            <w:pPr>
              <w:pStyle w:val="TableText"/>
              <w:keepNext w:val="0"/>
              <w:widowControl w:val="0"/>
              <w:rPr>
                <w:b/>
              </w:rPr>
            </w:pPr>
            <w:r w:rsidRPr="00244FB2">
              <w:rPr>
                <w:b/>
              </w:rPr>
              <w:t>SF-36 Physical component score (0-100 scale, with higher scores indicating increased physical quality of life)</w:t>
            </w:r>
          </w:p>
        </w:tc>
      </w:tr>
      <w:tr w:rsidR="00987BF2" w:rsidRPr="00244FB2" w14:paraId="67052502"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22C1B1EA" w14:textId="77777777" w:rsidR="00987BF2" w:rsidRPr="00244FB2" w:rsidRDefault="00987BF2" w:rsidP="00D15288">
            <w:pPr>
              <w:pStyle w:val="TableText"/>
              <w:keepNext w:val="0"/>
              <w:widowControl w:val="0"/>
              <w:rPr>
                <w:vertAlign w:val="superscript"/>
              </w:rPr>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7BD33239" w14:textId="77777777" w:rsidR="00987BF2" w:rsidRPr="00244FB2" w:rsidRDefault="00987BF2" w:rsidP="00D15288">
            <w:pPr>
              <w:pStyle w:val="TableText"/>
              <w:keepNext w:val="0"/>
              <w:widowControl w:val="0"/>
              <w:jc w:val="center"/>
            </w:pPr>
            <w:r w:rsidRPr="00244FB2">
              <w:t>38.6 (9.83)</w:t>
            </w:r>
          </w:p>
        </w:tc>
        <w:tc>
          <w:tcPr>
            <w:tcW w:w="1488" w:type="dxa"/>
            <w:tcBorders>
              <w:top w:val="single" w:sz="4" w:space="0" w:color="auto"/>
              <w:left w:val="single" w:sz="4" w:space="0" w:color="auto"/>
              <w:bottom w:val="single" w:sz="4" w:space="0" w:color="auto"/>
              <w:right w:val="single" w:sz="4" w:space="0" w:color="auto"/>
            </w:tcBorders>
            <w:vAlign w:val="center"/>
          </w:tcPr>
          <w:p w14:paraId="703ABB33" w14:textId="77777777" w:rsidR="00987BF2" w:rsidRPr="00244FB2" w:rsidRDefault="00987BF2" w:rsidP="00D15288">
            <w:pPr>
              <w:pStyle w:val="TableText"/>
              <w:keepNext w:val="0"/>
              <w:widowControl w:val="0"/>
              <w:jc w:val="center"/>
            </w:pPr>
            <w:r w:rsidRPr="00244FB2">
              <w:t>2.6 (-19.8, 34.1)</w:t>
            </w:r>
          </w:p>
        </w:tc>
        <w:tc>
          <w:tcPr>
            <w:tcW w:w="1489" w:type="dxa"/>
            <w:tcBorders>
              <w:top w:val="single" w:sz="4" w:space="0" w:color="auto"/>
              <w:left w:val="single" w:sz="4" w:space="0" w:color="auto"/>
              <w:bottom w:val="single" w:sz="4" w:space="0" w:color="auto"/>
              <w:right w:val="single" w:sz="4" w:space="0" w:color="auto"/>
            </w:tcBorders>
            <w:vAlign w:val="center"/>
          </w:tcPr>
          <w:p w14:paraId="182C9588" w14:textId="77777777" w:rsidR="00987BF2" w:rsidRPr="00244FB2" w:rsidRDefault="00987BF2" w:rsidP="00D15288">
            <w:pPr>
              <w:pStyle w:val="TableText"/>
              <w:keepNext w:val="0"/>
              <w:widowControl w:val="0"/>
              <w:jc w:val="center"/>
            </w:pPr>
            <w:r w:rsidRPr="00244FB2">
              <w:t>3.4 (7.7)</w:t>
            </w:r>
          </w:p>
        </w:tc>
        <w:tc>
          <w:tcPr>
            <w:tcW w:w="1984" w:type="dxa"/>
            <w:vMerge w:val="restart"/>
            <w:tcBorders>
              <w:top w:val="single" w:sz="4" w:space="0" w:color="auto"/>
              <w:left w:val="single" w:sz="4" w:space="0" w:color="auto"/>
              <w:right w:val="single" w:sz="4" w:space="0" w:color="auto"/>
            </w:tcBorders>
            <w:vAlign w:val="center"/>
          </w:tcPr>
          <w:p w14:paraId="01713B95" w14:textId="77777777" w:rsidR="00987BF2" w:rsidRPr="00244FB2" w:rsidRDefault="00987BF2" w:rsidP="00D15288">
            <w:pPr>
              <w:pStyle w:val="TableText"/>
              <w:keepNext w:val="0"/>
              <w:widowControl w:val="0"/>
              <w:jc w:val="center"/>
            </w:pPr>
            <w:r w:rsidRPr="00244FB2">
              <w:t>3.10 (0.49, 5.71)</w:t>
            </w:r>
          </w:p>
        </w:tc>
        <w:tc>
          <w:tcPr>
            <w:tcW w:w="1079" w:type="dxa"/>
            <w:vMerge w:val="restart"/>
            <w:tcBorders>
              <w:top w:val="single" w:sz="4" w:space="0" w:color="auto"/>
              <w:left w:val="single" w:sz="4" w:space="0" w:color="auto"/>
              <w:right w:val="single" w:sz="4" w:space="0" w:color="auto"/>
            </w:tcBorders>
            <w:vAlign w:val="center"/>
          </w:tcPr>
          <w:p w14:paraId="700766F1" w14:textId="77777777" w:rsidR="00987BF2" w:rsidRPr="00244FB2" w:rsidRDefault="00987BF2" w:rsidP="00D15288">
            <w:pPr>
              <w:pStyle w:val="TableText"/>
              <w:keepNext w:val="0"/>
              <w:widowControl w:val="0"/>
              <w:jc w:val="center"/>
            </w:pPr>
            <w:r w:rsidRPr="00244FB2">
              <w:t>NS</w:t>
            </w:r>
          </w:p>
        </w:tc>
      </w:tr>
      <w:tr w:rsidR="00987BF2" w:rsidRPr="00244FB2" w14:paraId="516DBFF8"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4B69B40A" w14:textId="77777777" w:rsidR="00987BF2" w:rsidRPr="00244FB2" w:rsidRDefault="00987BF2" w:rsidP="00D15288">
            <w:pPr>
              <w:pStyle w:val="TableText"/>
              <w:keepNext w:val="0"/>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312CB634" w14:textId="77777777" w:rsidR="00987BF2" w:rsidRPr="00244FB2" w:rsidRDefault="00987BF2" w:rsidP="00D15288">
            <w:pPr>
              <w:pStyle w:val="TableText"/>
              <w:keepNext w:val="0"/>
              <w:widowControl w:val="0"/>
              <w:jc w:val="center"/>
            </w:pPr>
            <w:r w:rsidRPr="00244FB2">
              <w:t>36.9 (10.85)</w:t>
            </w:r>
          </w:p>
        </w:tc>
        <w:tc>
          <w:tcPr>
            <w:tcW w:w="1488" w:type="dxa"/>
            <w:tcBorders>
              <w:top w:val="single" w:sz="4" w:space="0" w:color="auto"/>
              <w:left w:val="single" w:sz="4" w:space="0" w:color="auto"/>
              <w:bottom w:val="single" w:sz="4" w:space="0" w:color="auto"/>
              <w:right w:val="single" w:sz="4" w:space="0" w:color="auto"/>
            </w:tcBorders>
            <w:vAlign w:val="center"/>
          </w:tcPr>
          <w:p w14:paraId="1B56C92D" w14:textId="77777777" w:rsidR="00987BF2" w:rsidRPr="00244FB2" w:rsidRDefault="00987BF2" w:rsidP="00D15288">
            <w:pPr>
              <w:pStyle w:val="TableText"/>
              <w:keepNext w:val="0"/>
              <w:widowControl w:val="0"/>
              <w:jc w:val="center"/>
            </w:pPr>
            <w:r w:rsidRPr="00244FB2">
              <w:t>0.4 (-19.9, 22.6)</w:t>
            </w:r>
          </w:p>
        </w:tc>
        <w:tc>
          <w:tcPr>
            <w:tcW w:w="1489" w:type="dxa"/>
            <w:tcBorders>
              <w:top w:val="single" w:sz="4" w:space="0" w:color="auto"/>
              <w:left w:val="single" w:sz="4" w:space="0" w:color="auto"/>
              <w:bottom w:val="single" w:sz="4" w:space="0" w:color="auto"/>
              <w:right w:val="single" w:sz="4" w:space="0" w:color="auto"/>
            </w:tcBorders>
            <w:vAlign w:val="center"/>
          </w:tcPr>
          <w:p w14:paraId="6B70867B" w14:textId="77777777" w:rsidR="00987BF2" w:rsidRPr="00244FB2" w:rsidRDefault="00987BF2" w:rsidP="00D15288">
            <w:pPr>
              <w:pStyle w:val="TableText"/>
              <w:keepNext w:val="0"/>
              <w:widowControl w:val="0"/>
              <w:jc w:val="center"/>
            </w:pPr>
            <w:r w:rsidRPr="00244FB2">
              <w:t>0.7 (8.3)</w:t>
            </w:r>
          </w:p>
        </w:tc>
        <w:tc>
          <w:tcPr>
            <w:tcW w:w="1984" w:type="dxa"/>
            <w:vMerge/>
            <w:tcBorders>
              <w:left w:val="single" w:sz="4" w:space="0" w:color="auto"/>
              <w:bottom w:val="single" w:sz="4" w:space="0" w:color="auto"/>
              <w:right w:val="single" w:sz="4" w:space="0" w:color="auto"/>
            </w:tcBorders>
            <w:vAlign w:val="center"/>
          </w:tcPr>
          <w:p w14:paraId="56E4134B" w14:textId="77777777" w:rsidR="00987BF2" w:rsidRPr="00244FB2" w:rsidRDefault="00987BF2" w:rsidP="00D15288">
            <w:pPr>
              <w:pStyle w:val="TableText"/>
              <w:keepNext w:val="0"/>
              <w:widowControl w:val="0"/>
              <w:jc w:val="center"/>
            </w:pPr>
          </w:p>
        </w:tc>
        <w:tc>
          <w:tcPr>
            <w:tcW w:w="1079" w:type="dxa"/>
            <w:vMerge/>
            <w:tcBorders>
              <w:left w:val="single" w:sz="4" w:space="0" w:color="auto"/>
              <w:bottom w:val="single" w:sz="4" w:space="0" w:color="auto"/>
              <w:right w:val="single" w:sz="4" w:space="0" w:color="auto"/>
            </w:tcBorders>
            <w:vAlign w:val="center"/>
          </w:tcPr>
          <w:p w14:paraId="06C512C5" w14:textId="77777777" w:rsidR="00987BF2" w:rsidRPr="00244FB2" w:rsidRDefault="00987BF2" w:rsidP="00D15288">
            <w:pPr>
              <w:pStyle w:val="TableText"/>
              <w:keepNext w:val="0"/>
              <w:widowControl w:val="0"/>
              <w:jc w:val="center"/>
            </w:pPr>
          </w:p>
        </w:tc>
      </w:tr>
      <w:tr w:rsidR="00987BF2" w:rsidRPr="00244FB2" w14:paraId="60EFD9FE" w14:textId="77777777" w:rsidTr="00D15288">
        <w:trPr>
          <w:trHeight w:val="70"/>
        </w:trPr>
        <w:tc>
          <w:tcPr>
            <w:tcW w:w="9017" w:type="dxa"/>
            <w:gridSpan w:val="6"/>
            <w:tcBorders>
              <w:top w:val="single" w:sz="4" w:space="0" w:color="auto"/>
              <w:left w:val="single" w:sz="4" w:space="0" w:color="auto"/>
              <w:bottom w:val="single" w:sz="4" w:space="0" w:color="auto"/>
              <w:right w:val="single" w:sz="4" w:space="0" w:color="auto"/>
            </w:tcBorders>
            <w:vAlign w:val="center"/>
          </w:tcPr>
          <w:p w14:paraId="7A6A73F8" w14:textId="77777777" w:rsidR="00987BF2" w:rsidRPr="00244FB2" w:rsidRDefault="00987BF2" w:rsidP="00D15288">
            <w:pPr>
              <w:pStyle w:val="TableText"/>
              <w:keepNext w:val="0"/>
              <w:widowControl w:val="0"/>
            </w:pPr>
            <w:r w:rsidRPr="00244FB2">
              <w:rPr>
                <w:b/>
              </w:rPr>
              <w:t>SF-36 Mental component score (0-100 scale, with higher scores indicating increased mental quality of life)</w:t>
            </w:r>
          </w:p>
        </w:tc>
      </w:tr>
      <w:tr w:rsidR="00987BF2" w:rsidRPr="00244FB2" w14:paraId="084C084C"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6C8ACA80" w14:textId="77777777" w:rsidR="00987BF2" w:rsidRPr="00244FB2" w:rsidRDefault="00987BF2" w:rsidP="00D15288">
            <w:pPr>
              <w:pStyle w:val="TableText"/>
              <w:keepNext w:val="0"/>
              <w:widowControl w:val="0"/>
            </w:pPr>
            <w:proofErr w:type="spellStart"/>
            <w:r w:rsidRPr="00244FB2">
              <w:t>Eculizumab</w:t>
            </w:r>
            <w:proofErr w:type="spellEnd"/>
            <w:r w:rsidRPr="00244FB2">
              <w:t xml:space="preserve"> (N = 96)</w:t>
            </w:r>
          </w:p>
        </w:tc>
        <w:tc>
          <w:tcPr>
            <w:tcW w:w="1134" w:type="dxa"/>
            <w:tcBorders>
              <w:top w:val="single" w:sz="4" w:space="0" w:color="auto"/>
              <w:left w:val="single" w:sz="4" w:space="0" w:color="auto"/>
              <w:bottom w:val="single" w:sz="4" w:space="0" w:color="auto"/>
              <w:right w:val="single" w:sz="4" w:space="0" w:color="auto"/>
            </w:tcBorders>
            <w:vAlign w:val="center"/>
          </w:tcPr>
          <w:p w14:paraId="2387798D" w14:textId="77777777" w:rsidR="00987BF2" w:rsidRPr="00244FB2" w:rsidRDefault="00987BF2" w:rsidP="00D15288">
            <w:pPr>
              <w:pStyle w:val="TableText"/>
              <w:keepNext w:val="0"/>
              <w:widowControl w:val="0"/>
              <w:jc w:val="center"/>
            </w:pPr>
            <w:r w:rsidRPr="00244FB2">
              <w:t>47.0 (12.55)</w:t>
            </w:r>
          </w:p>
        </w:tc>
        <w:tc>
          <w:tcPr>
            <w:tcW w:w="1488" w:type="dxa"/>
            <w:tcBorders>
              <w:top w:val="single" w:sz="4" w:space="0" w:color="auto"/>
              <w:left w:val="single" w:sz="4" w:space="0" w:color="auto"/>
              <w:bottom w:val="single" w:sz="4" w:space="0" w:color="auto"/>
              <w:right w:val="single" w:sz="4" w:space="0" w:color="auto"/>
            </w:tcBorders>
            <w:vAlign w:val="center"/>
          </w:tcPr>
          <w:p w14:paraId="1F4EE32D" w14:textId="77777777" w:rsidR="00987BF2" w:rsidRPr="00244FB2" w:rsidRDefault="00987BF2" w:rsidP="00D15288">
            <w:pPr>
              <w:pStyle w:val="TableText"/>
              <w:keepNext w:val="0"/>
              <w:widowControl w:val="0"/>
              <w:jc w:val="center"/>
            </w:pPr>
            <w:r w:rsidRPr="00244FB2">
              <w:t>-0.1 (-27.8, 28.6)</w:t>
            </w:r>
          </w:p>
        </w:tc>
        <w:tc>
          <w:tcPr>
            <w:tcW w:w="1489" w:type="dxa"/>
            <w:tcBorders>
              <w:top w:val="single" w:sz="4" w:space="0" w:color="auto"/>
              <w:left w:val="single" w:sz="4" w:space="0" w:color="auto"/>
              <w:bottom w:val="single" w:sz="4" w:space="0" w:color="auto"/>
              <w:right w:val="single" w:sz="4" w:space="0" w:color="auto"/>
            </w:tcBorders>
            <w:vAlign w:val="center"/>
          </w:tcPr>
          <w:p w14:paraId="306DFDBB" w14:textId="77777777" w:rsidR="00987BF2" w:rsidRPr="00244FB2" w:rsidRDefault="00987BF2" w:rsidP="00D15288">
            <w:pPr>
              <w:pStyle w:val="TableText"/>
              <w:keepNext w:val="0"/>
              <w:widowControl w:val="0"/>
              <w:jc w:val="center"/>
            </w:pPr>
            <w:r w:rsidRPr="00244FB2">
              <w:t>0.5 (10.6)</w:t>
            </w:r>
          </w:p>
        </w:tc>
        <w:tc>
          <w:tcPr>
            <w:tcW w:w="1984" w:type="dxa"/>
            <w:vMerge w:val="restart"/>
            <w:tcBorders>
              <w:top w:val="single" w:sz="4" w:space="0" w:color="auto"/>
              <w:left w:val="single" w:sz="4" w:space="0" w:color="auto"/>
              <w:right w:val="single" w:sz="4" w:space="0" w:color="auto"/>
            </w:tcBorders>
            <w:vAlign w:val="center"/>
          </w:tcPr>
          <w:p w14:paraId="06ABB43F" w14:textId="77777777" w:rsidR="00987BF2" w:rsidRPr="00244FB2" w:rsidRDefault="00987BF2" w:rsidP="00D15288">
            <w:pPr>
              <w:pStyle w:val="TableText"/>
              <w:keepNext w:val="0"/>
              <w:widowControl w:val="0"/>
              <w:jc w:val="center"/>
            </w:pPr>
            <w:r w:rsidRPr="00244FB2">
              <w:t>1.84 (-1.61, 5.29)</w:t>
            </w:r>
          </w:p>
        </w:tc>
        <w:tc>
          <w:tcPr>
            <w:tcW w:w="1079" w:type="dxa"/>
            <w:vMerge w:val="restart"/>
            <w:tcBorders>
              <w:top w:val="single" w:sz="4" w:space="0" w:color="auto"/>
              <w:left w:val="single" w:sz="4" w:space="0" w:color="auto"/>
              <w:right w:val="single" w:sz="4" w:space="0" w:color="auto"/>
            </w:tcBorders>
            <w:vAlign w:val="center"/>
          </w:tcPr>
          <w:p w14:paraId="042E890A" w14:textId="77777777" w:rsidR="00987BF2" w:rsidRPr="00244FB2" w:rsidRDefault="00987BF2" w:rsidP="00D15288">
            <w:pPr>
              <w:pStyle w:val="TableText"/>
              <w:keepNext w:val="0"/>
              <w:widowControl w:val="0"/>
              <w:jc w:val="center"/>
            </w:pPr>
            <w:r w:rsidRPr="00244FB2">
              <w:t>NS</w:t>
            </w:r>
          </w:p>
        </w:tc>
      </w:tr>
      <w:tr w:rsidR="00987BF2" w:rsidRPr="00244FB2" w14:paraId="473C7CFC" w14:textId="77777777" w:rsidTr="00D15288">
        <w:trPr>
          <w:trHeight w:val="70"/>
        </w:trPr>
        <w:tc>
          <w:tcPr>
            <w:tcW w:w="1843" w:type="dxa"/>
            <w:tcBorders>
              <w:top w:val="single" w:sz="4" w:space="0" w:color="auto"/>
              <w:left w:val="single" w:sz="4" w:space="0" w:color="auto"/>
              <w:bottom w:val="single" w:sz="4" w:space="0" w:color="auto"/>
              <w:right w:val="single" w:sz="4" w:space="0" w:color="auto"/>
            </w:tcBorders>
            <w:vAlign w:val="center"/>
          </w:tcPr>
          <w:p w14:paraId="67E6FFE8" w14:textId="77777777" w:rsidR="00987BF2" w:rsidRPr="00244FB2" w:rsidRDefault="00987BF2" w:rsidP="00D15288">
            <w:pPr>
              <w:pStyle w:val="TableText"/>
              <w:keepNext w:val="0"/>
              <w:widowControl w:val="0"/>
            </w:pPr>
            <w:r w:rsidRPr="00244FB2">
              <w:t>Placebo (N = 47)</w:t>
            </w:r>
          </w:p>
        </w:tc>
        <w:tc>
          <w:tcPr>
            <w:tcW w:w="1134" w:type="dxa"/>
            <w:tcBorders>
              <w:top w:val="single" w:sz="4" w:space="0" w:color="auto"/>
              <w:left w:val="single" w:sz="4" w:space="0" w:color="auto"/>
              <w:bottom w:val="single" w:sz="4" w:space="0" w:color="auto"/>
              <w:right w:val="single" w:sz="4" w:space="0" w:color="auto"/>
            </w:tcBorders>
            <w:vAlign w:val="center"/>
          </w:tcPr>
          <w:p w14:paraId="23F45F3E" w14:textId="77777777" w:rsidR="00987BF2" w:rsidRPr="00244FB2" w:rsidRDefault="00987BF2" w:rsidP="00D15288">
            <w:pPr>
              <w:pStyle w:val="TableText"/>
              <w:keepNext w:val="0"/>
              <w:widowControl w:val="0"/>
              <w:jc w:val="center"/>
            </w:pPr>
            <w:r w:rsidRPr="00244FB2">
              <w:t>44.0 (11.40)</w:t>
            </w:r>
          </w:p>
        </w:tc>
        <w:tc>
          <w:tcPr>
            <w:tcW w:w="1488" w:type="dxa"/>
            <w:tcBorders>
              <w:top w:val="single" w:sz="4" w:space="0" w:color="auto"/>
              <w:left w:val="single" w:sz="4" w:space="0" w:color="auto"/>
              <w:bottom w:val="single" w:sz="4" w:space="0" w:color="auto"/>
              <w:right w:val="single" w:sz="4" w:space="0" w:color="auto"/>
            </w:tcBorders>
            <w:vAlign w:val="center"/>
          </w:tcPr>
          <w:p w14:paraId="70F69FF1" w14:textId="77777777" w:rsidR="00987BF2" w:rsidRPr="00244FB2" w:rsidRDefault="00987BF2" w:rsidP="00D15288">
            <w:pPr>
              <w:pStyle w:val="TableText"/>
              <w:keepNext w:val="0"/>
              <w:widowControl w:val="0"/>
              <w:jc w:val="center"/>
            </w:pPr>
            <w:r w:rsidRPr="00244FB2">
              <w:t>0.4 (-29.1, 20.6)</w:t>
            </w:r>
          </w:p>
        </w:tc>
        <w:tc>
          <w:tcPr>
            <w:tcW w:w="1489" w:type="dxa"/>
            <w:tcBorders>
              <w:top w:val="single" w:sz="4" w:space="0" w:color="auto"/>
              <w:left w:val="single" w:sz="4" w:space="0" w:color="auto"/>
              <w:bottom w:val="single" w:sz="4" w:space="0" w:color="auto"/>
              <w:right w:val="single" w:sz="4" w:space="0" w:color="auto"/>
            </w:tcBorders>
            <w:vAlign w:val="center"/>
          </w:tcPr>
          <w:p w14:paraId="4062D943" w14:textId="77777777" w:rsidR="00987BF2" w:rsidRPr="00244FB2" w:rsidRDefault="00987BF2" w:rsidP="00D15288">
            <w:pPr>
              <w:pStyle w:val="TableText"/>
              <w:keepNext w:val="0"/>
              <w:widowControl w:val="0"/>
              <w:jc w:val="center"/>
            </w:pPr>
            <w:r w:rsidRPr="00244FB2">
              <w:t>-0.1 (11.8)</w:t>
            </w:r>
          </w:p>
        </w:tc>
        <w:tc>
          <w:tcPr>
            <w:tcW w:w="1984" w:type="dxa"/>
            <w:vMerge/>
            <w:tcBorders>
              <w:left w:val="single" w:sz="4" w:space="0" w:color="auto"/>
              <w:bottom w:val="single" w:sz="4" w:space="0" w:color="auto"/>
              <w:right w:val="single" w:sz="4" w:space="0" w:color="auto"/>
            </w:tcBorders>
            <w:vAlign w:val="center"/>
          </w:tcPr>
          <w:p w14:paraId="2B35AACB" w14:textId="77777777" w:rsidR="00987BF2" w:rsidRPr="00244FB2" w:rsidRDefault="00987BF2" w:rsidP="00D15288">
            <w:pPr>
              <w:pStyle w:val="TableText"/>
              <w:keepNext w:val="0"/>
              <w:widowControl w:val="0"/>
              <w:jc w:val="center"/>
            </w:pPr>
          </w:p>
        </w:tc>
        <w:tc>
          <w:tcPr>
            <w:tcW w:w="1079" w:type="dxa"/>
            <w:vMerge/>
            <w:tcBorders>
              <w:left w:val="single" w:sz="4" w:space="0" w:color="auto"/>
              <w:bottom w:val="single" w:sz="4" w:space="0" w:color="auto"/>
              <w:right w:val="single" w:sz="4" w:space="0" w:color="auto"/>
            </w:tcBorders>
            <w:vAlign w:val="center"/>
          </w:tcPr>
          <w:p w14:paraId="44E60437" w14:textId="77777777" w:rsidR="00987BF2" w:rsidRPr="00244FB2" w:rsidRDefault="00987BF2" w:rsidP="00D15288">
            <w:pPr>
              <w:pStyle w:val="TableText"/>
              <w:keepNext w:val="0"/>
              <w:widowControl w:val="0"/>
              <w:jc w:val="center"/>
            </w:pPr>
          </w:p>
        </w:tc>
      </w:tr>
    </w:tbl>
    <w:p w14:paraId="7693A290" w14:textId="77777777" w:rsidR="00F62159" w:rsidRPr="00244FB2" w:rsidRDefault="00F62159" w:rsidP="00F62159">
      <w:pPr>
        <w:pStyle w:val="TableFooter"/>
      </w:pPr>
      <w:r w:rsidRPr="00244FB2">
        <w:t>Source: Table 2-17 (p 59) of the submission;</w:t>
      </w:r>
      <w:r w:rsidR="00987BF2" w:rsidRPr="00244FB2">
        <w:t xml:space="preserve"> Table 31 (p 115), Table 32 (p 116),</w:t>
      </w:r>
      <w:r w:rsidRPr="00244FB2">
        <w:t xml:space="preserve"> Table 14.2.3.2.1.1 (p 744), Table 14.2.3.2.2.1 (p 745)</w:t>
      </w:r>
      <w:r w:rsidR="00987BF2" w:rsidRPr="00244FB2">
        <w:t>, Table 14.2.3.3.42.1 (p 871); 14.2.3.3.47.1(p 884)</w:t>
      </w:r>
      <w:r w:rsidRPr="00244FB2">
        <w:t xml:space="preserve"> of the PREVENT trial report </w:t>
      </w:r>
    </w:p>
    <w:p w14:paraId="18D07868" w14:textId="77777777" w:rsidR="00F62159" w:rsidRPr="00244FB2" w:rsidRDefault="00F62159" w:rsidP="00F62159">
      <w:pPr>
        <w:pStyle w:val="TableFooter"/>
      </w:pPr>
      <w:r w:rsidRPr="00244FB2">
        <w:t>CI</w:t>
      </w:r>
      <w:r w:rsidR="000378C8" w:rsidRPr="00244FB2">
        <w:t xml:space="preserve"> =</w:t>
      </w:r>
      <w:r w:rsidRPr="00244FB2">
        <w:t xml:space="preserve"> confidence interval; </w:t>
      </w:r>
      <w:r w:rsidR="00C67CF3" w:rsidRPr="00244FB2">
        <w:t>EDSS = Expanded Disability Status Scale</w:t>
      </w:r>
      <w:r w:rsidR="000378C8" w:rsidRPr="00244FB2">
        <w:t xml:space="preserve">; </w:t>
      </w:r>
      <w:r w:rsidRPr="00244FB2">
        <w:t>NS</w:t>
      </w:r>
      <w:r w:rsidR="000378C8" w:rsidRPr="00244FB2">
        <w:t xml:space="preserve"> =</w:t>
      </w:r>
      <w:r w:rsidRPr="00244FB2">
        <w:t xml:space="preserve"> not significant; SD</w:t>
      </w:r>
      <w:r w:rsidR="000378C8" w:rsidRPr="00244FB2">
        <w:t xml:space="preserve"> =</w:t>
      </w:r>
      <w:r w:rsidRPr="00244FB2">
        <w:t xml:space="preserve"> standard deviation</w:t>
      </w:r>
    </w:p>
    <w:p w14:paraId="10A7FEA2" w14:textId="77777777" w:rsidR="00F62159" w:rsidRPr="00244FB2" w:rsidRDefault="00F62159" w:rsidP="00F62159">
      <w:pPr>
        <w:pStyle w:val="TableFooter"/>
        <w:spacing w:after="120"/>
      </w:pPr>
      <w:proofErr w:type="gramStart"/>
      <w:r w:rsidRPr="00244FB2">
        <w:rPr>
          <w:vertAlign w:val="superscript"/>
        </w:rPr>
        <w:t>a</w:t>
      </w:r>
      <w:proofErr w:type="gramEnd"/>
      <w:r w:rsidRPr="00244FB2">
        <w:t xml:space="preserve"> The PREVENT trial used a hierarchical testing order for outcomes to account for multiplicity of testing (with EDSS assessed before other disability or quality of life outcomes). As the difference between arms was non-significant for EDSS, no further inferences can be made for other disability or quality of life outcomes</w:t>
      </w:r>
    </w:p>
    <w:p w14:paraId="17E03FF5" w14:textId="77777777" w:rsidR="00987BF2" w:rsidRPr="00244FB2" w:rsidRDefault="00C307B2" w:rsidP="00987BF2">
      <w:pPr>
        <w:pStyle w:val="ExecSumBodyText"/>
      </w:pPr>
      <w:r w:rsidRPr="00244FB2">
        <w:t>There were</w:t>
      </w:r>
      <w:r w:rsidR="00987BF2" w:rsidRPr="00244FB2">
        <w:t xml:space="preserve"> no statistically significant difference</w:t>
      </w:r>
      <w:r w:rsidRPr="00244FB2">
        <w:t>s</w:t>
      </w:r>
      <w:r w:rsidR="00987BF2" w:rsidRPr="00244FB2">
        <w:t xml:space="preserve"> in disability or quality of life measures between treatments</w:t>
      </w:r>
      <w:r w:rsidR="002F503D" w:rsidRPr="00244FB2">
        <w:t>,</w:t>
      </w:r>
      <w:r w:rsidR="00987BF2" w:rsidRPr="00244FB2">
        <w:t xml:space="preserve"> but results generally favoured the </w:t>
      </w:r>
      <w:proofErr w:type="spellStart"/>
      <w:r w:rsidR="00987BF2" w:rsidRPr="00244FB2">
        <w:t>eculizumab</w:t>
      </w:r>
      <w:proofErr w:type="spellEnd"/>
      <w:r w:rsidR="00987BF2" w:rsidRPr="00244FB2">
        <w:t xml:space="preserve"> arm. The numerical difference</w:t>
      </w:r>
      <w:r w:rsidR="003656AA" w:rsidRPr="00244FB2">
        <w:t>s</w:t>
      </w:r>
      <w:r w:rsidR="00987BF2" w:rsidRPr="00244FB2">
        <w:t xml:space="preserve"> in disability and quality of life mea</w:t>
      </w:r>
      <w:r w:rsidR="003656AA" w:rsidRPr="00244FB2">
        <w:t>sures between treatment arms were</w:t>
      </w:r>
      <w:r w:rsidR="00987BF2" w:rsidRPr="00244FB2">
        <w:t xml:space="preserve"> consistent with the higher incidence of relapse in the placebo arm. However, it is unclear whether these changes represent temporary differences or permanent effects as patients completed the </w:t>
      </w:r>
      <w:r w:rsidR="00985966" w:rsidRPr="00244FB2">
        <w:t xml:space="preserve">PREVENT </w:t>
      </w:r>
      <w:r w:rsidR="00987BF2" w:rsidRPr="00244FB2">
        <w:t>study 6 weeks after relapse.</w:t>
      </w:r>
      <w:r w:rsidR="00536A8E" w:rsidRPr="00244FB2">
        <w:t xml:space="preserve"> The PSCR stated that the average recovery occurs over three months, with </w:t>
      </w:r>
      <w:r w:rsidR="00586C23" w:rsidRPr="00244FB2">
        <w:t xml:space="preserve">the majority </w:t>
      </w:r>
      <w:r w:rsidR="00536A8E" w:rsidRPr="00244FB2">
        <w:t xml:space="preserve">of recovery from most relapses occurring within the first 30 days post relapse. As such, the </w:t>
      </w:r>
      <w:r w:rsidR="00CA719B" w:rsidRPr="00244FB2">
        <w:t xml:space="preserve">PSCR argued that the </w:t>
      </w:r>
      <w:r w:rsidR="00536A8E" w:rsidRPr="00244FB2">
        <w:t>follow-up of 6 weeks after a single relapse adequately capture</w:t>
      </w:r>
      <w:r w:rsidR="00CA719B" w:rsidRPr="00244FB2">
        <w:t>d</w:t>
      </w:r>
      <w:r w:rsidR="00536A8E" w:rsidRPr="00244FB2">
        <w:t xml:space="preserve"> the disability following a relapse as the majority of the recovery would have occurred. In addition, the PSCR stated that as the majority of relapses in NMOSD result in disability with permanent change</w:t>
      </w:r>
      <w:r w:rsidR="002C12EA" w:rsidRPr="00244FB2">
        <w:t xml:space="preserve"> (the PSCR cited an Australian </w:t>
      </w:r>
      <w:r w:rsidR="002C12EA" w:rsidRPr="00244FB2">
        <w:lastRenderedPageBreak/>
        <w:t>collaborative study (</w:t>
      </w:r>
      <w:proofErr w:type="spellStart"/>
      <w:r w:rsidR="002C12EA" w:rsidRPr="00244FB2">
        <w:t>Khalilidehkordi</w:t>
      </w:r>
      <w:proofErr w:type="spellEnd"/>
      <w:r w:rsidR="002C12EA" w:rsidRPr="00244FB2">
        <w:t>, 2020</w:t>
      </w:r>
      <w:r w:rsidR="002C12EA" w:rsidRPr="00244FB2">
        <w:rPr>
          <w:rStyle w:val="FootnoteReference"/>
        </w:rPr>
        <w:footnoteReference w:id="2"/>
      </w:r>
      <w:r w:rsidR="002C12EA" w:rsidRPr="00244FB2">
        <w:t>) which found that disability was permanent in 71% of patients irrespective of whether there was partial or no recovery following a relapse</w:t>
      </w:r>
      <w:r w:rsidR="008D45A5" w:rsidRPr="00244FB2">
        <w:t>)</w:t>
      </w:r>
      <w:r w:rsidR="00536A8E" w:rsidRPr="00244FB2">
        <w:t>, the disability and quality of life measures do not represent temporary differences.</w:t>
      </w:r>
      <w:r w:rsidR="00F254C6" w:rsidRPr="00244FB2">
        <w:t xml:space="preserve"> </w:t>
      </w:r>
      <w:r w:rsidR="00CA719B" w:rsidRPr="00244FB2">
        <w:t xml:space="preserve">However, the ESC considered that </w:t>
      </w:r>
      <w:r w:rsidR="006A141D" w:rsidRPr="00244FB2">
        <w:t>the magnitude of the effect on disability progression</w:t>
      </w:r>
      <w:r w:rsidR="00CA719B" w:rsidRPr="00244FB2">
        <w:t xml:space="preserve"> remained unclear</w:t>
      </w:r>
      <w:r w:rsidR="006A141D" w:rsidRPr="00244FB2">
        <w:t>.</w:t>
      </w:r>
    </w:p>
    <w:p w14:paraId="110248D6" w14:textId="77777777" w:rsidR="00987BF2" w:rsidRPr="00244FB2" w:rsidRDefault="00B908FF" w:rsidP="00987BF2">
      <w:pPr>
        <w:pStyle w:val="ExecSumBodyText"/>
      </w:pPr>
      <w:r w:rsidRPr="00244FB2">
        <w:t>Data from the longer-</w:t>
      </w:r>
      <w:r w:rsidR="00987BF2" w:rsidRPr="00244FB2">
        <w:t>term extension study suggested no further deterioration in disability or quality of life measures over time which was consistent with the low frequency of relapse.</w:t>
      </w:r>
    </w:p>
    <w:p w14:paraId="1FB10160" w14:textId="77777777" w:rsidR="00B60939" w:rsidRPr="00244FB2" w:rsidRDefault="00B60939" w:rsidP="00D86231">
      <w:pPr>
        <w:pStyle w:val="3-SubsectionHeading"/>
      </w:pPr>
      <w:bookmarkStart w:id="11" w:name="_Toc22897642"/>
      <w:bookmarkStart w:id="12" w:name="_Toc50974498"/>
      <w:r w:rsidRPr="00244FB2">
        <w:t>Comparative harms</w:t>
      </w:r>
      <w:bookmarkEnd w:id="11"/>
      <w:bookmarkEnd w:id="12"/>
    </w:p>
    <w:p w14:paraId="648E8C3A" w14:textId="77777777" w:rsidR="00B908FF" w:rsidRPr="00244FB2" w:rsidRDefault="00B908FF" w:rsidP="00B908FF">
      <w:pPr>
        <w:pStyle w:val="ExecSumBodyText"/>
      </w:pPr>
      <w:r w:rsidRPr="00244FB2">
        <w:t xml:space="preserve">Treatment with </w:t>
      </w:r>
      <w:proofErr w:type="spellStart"/>
      <w:r w:rsidRPr="00244FB2">
        <w:t>eculizumab</w:t>
      </w:r>
      <w:proofErr w:type="spellEnd"/>
      <w:r w:rsidRPr="00244FB2">
        <w:t xml:space="preserve"> was associated with a lower rate of adverse events compared to the placebo arm. The apparent difference in adverse event rates was primarily driven by the increased incidence of NMOSD-related events in the placebo arm.</w:t>
      </w:r>
    </w:p>
    <w:p w14:paraId="4BA66A6E" w14:textId="77777777" w:rsidR="00B908FF" w:rsidRPr="00244FB2" w:rsidRDefault="00B908FF" w:rsidP="00B908FF">
      <w:pPr>
        <w:pStyle w:val="ExecSumBodyText"/>
      </w:pPr>
      <w:r w:rsidRPr="00244FB2">
        <w:t xml:space="preserve">The most frequently reported adverse events (&gt; 20 per 100 patient years) in either treatment arm were NMOSD complications, upper respiratory tract infection, headache, </w:t>
      </w:r>
      <w:proofErr w:type="spellStart"/>
      <w:r w:rsidRPr="00244FB2">
        <w:t>nasopharyngitis</w:t>
      </w:r>
      <w:proofErr w:type="spellEnd"/>
      <w:r w:rsidRPr="00244FB2">
        <w:t>, nausea, urinary tract infection, diarrhoea and pain in extremity.</w:t>
      </w:r>
    </w:p>
    <w:p w14:paraId="4A4DE43D" w14:textId="77777777" w:rsidR="00B908FF" w:rsidRPr="00244FB2" w:rsidRDefault="00B908FF" w:rsidP="00B908FF">
      <w:pPr>
        <w:pStyle w:val="ExecSumBodyText"/>
      </w:pPr>
      <w:r w:rsidRPr="00244FB2">
        <w:t xml:space="preserve">The adverse event profile reported in the PREVENT trial and extension was consistent with the known safety profile of </w:t>
      </w:r>
      <w:proofErr w:type="spellStart"/>
      <w:r w:rsidRPr="00244FB2">
        <w:t>eculizumab</w:t>
      </w:r>
      <w:proofErr w:type="spellEnd"/>
      <w:r w:rsidRPr="00244FB2">
        <w:t xml:space="preserve">. </w:t>
      </w:r>
      <w:r w:rsidR="002C12EA" w:rsidRPr="00244FB2">
        <w:t xml:space="preserve">The PSCR </w:t>
      </w:r>
      <w:r w:rsidR="00765DF8" w:rsidRPr="00244FB2">
        <w:t xml:space="preserve">noted </w:t>
      </w:r>
      <w:r w:rsidR="002C12EA" w:rsidRPr="00244FB2">
        <w:t xml:space="preserve">that </w:t>
      </w:r>
      <w:proofErr w:type="spellStart"/>
      <w:r w:rsidR="00765DF8" w:rsidRPr="00244FB2">
        <w:t>eculizumab</w:t>
      </w:r>
      <w:proofErr w:type="spellEnd"/>
      <w:r w:rsidR="00765DF8" w:rsidRPr="00244FB2">
        <w:t xml:space="preserve"> has been used for over 10 years in the treatment of P</w:t>
      </w:r>
      <w:r w:rsidR="00831D1E">
        <w:t>N</w:t>
      </w:r>
      <w:r w:rsidR="00765DF8" w:rsidRPr="00244FB2">
        <w:t xml:space="preserve">H, myasthenia gravis and </w:t>
      </w:r>
      <w:proofErr w:type="spellStart"/>
      <w:r w:rsidR="00765DF8" w:rsidRPr="00244FB2">
        <w:t>aHUS</w:t>
      </w:r>
      <w:proofErr w:type="spellEnd"/>
      <w:r w:rsidR="00765DF8" w:rsidRPr="00244FB2">
        <w:t xml:space="preserve"> with </w:t>
      </w:r>
      <w:r w:rsidR="002C12EA" w:rsidRPr="00244FB2">
        <w:t>no new safety signals</w:t>
      </w:r>
      <w:r w:rsidR="00765DF8" w:rsidRPr="00244FB2">
        <w:t>.</w:t>
      </w:r>
      <w:r w:rsidR="002C12EA" w:rsidRPr="00244FB2">
        <w:t xml:space="preserve"> </w:t>
      </w:r>
      <w:r w:rsidR="00765DF8" w:rsidRPr="00244FB2">
        <w:t xml:space="preserve">The PSCR </w:t>
      </w:r>
      <w:r w:rsidR="002C12EA" w:rsidRPr="00244FB2">
        <w:t>considered that the long-term safety observed across these indications could be extrapolated to NMOSD patients.</w:t>
      </w:r>
      <w:r w:rsidRPr="00244FB2">
        <w:t xml:space="preserve"> </w:t>
      </w:r>
    </w:p>
    <w:p w14:paraId="2939CFAE" w14:textId="77777777" w:rsidR="007F1017" w:rsidRPr="00244FB2" w:rsidRDefault="007F1017" w:rsidP="00D86231">
      <w:pPr>
        <w:pStyle w:val="3-SubsectionHeading"/>
      </w:pPr>
      <w:bookmarkStart w:id="13" w:name="_Toc22897643"/>
      <w:bookmarkStart w:id="14" w:name="_Toc50974499"/>
      <w:r w:rsidRPr="00244FB2">
        <w:t>Benefits/harms</w:t>
      </w:r>
      <w:bookmarkEnd w:id="13"/>
      <w:bookmarkEnd w:id="14"/>
    </w:p>
    <w:p w14:paraId="29E0FFAF" w14:textId="77777777" w:rsidR="002441D2" w:rsidRPr="00244FB2" w:rsidRDefault="009045DB" w:rsidP="00E9094A">
      <w:pPr>
        <w:pStyle w:val="ExecSumBodyText"/>
      </w:pPr>
      <w:r>
        <w:t>The PBAC con</w:t>
      </w:r>
      <w:r w:rsidR="008C2771">
        <w:t xml:space="preserve">sidered that the magnitude of the effect of </w:t>
      </w:r>
      <w:proofErr w:type="spellStart"/>
      <w:r w:rsidR="008C2771">
        <w:t>eculizumab</w:t>
      </w:r>
      <w:proofErr w:type="spellEnd"/>
      <w:r>
        <w:t xml:space="preserve"> on disability progression and quality of life outcomes was highly uncertain.</w:t>
      </w:r>
    </w:p>
    <w:p w14:paraId="37BD9C44" w14:textId="77777777" w:rsidR="00B60939" w:rsidRPr="00244FB2" w:rsidRDefault="00B60939" w:rsidP="00E9094A">
      <w:pPr>
        <w:pStyle w:val="3-SubsectionHeading"/>
      </w:pPr>
      <w:bookmarkStart w:id="15" w:name="_Toc22897644"/>
      <w:bookmarkStart w:id="16" w:name="_Toc50974500"/>
      <w:r w:rsidRPr="00244FB2">
        <w:t>Clinical claim</w:t>
      </w:r>
      <w:bookmarkEnd w:id="15"/>
      <w:bookmarkEnd w:id="16"/>
    </w:p>
    <w:p w14:paraId="00209F52" w14:textId="77777777" w:rsidR="00655EBD" w:rsidRPr="00244FB2" w:rsidRDefault="00655EBD" w:rsidP="00655EBD">
      <w:pPr>
        <w:pStyle w:val="ExecSumBodyText"/>
      </w:pPr>
      <w:r w:rsidRPr="00244FB2">
        <w:t xml:space="preserve">The submission described </w:t>
      </w:r>
      <w:proofErr w:type="spellStart"/>
      <w:r w:rsidRPr="00244FB2">
        <w:t>eculizumab</w:t>
      </w:r>
      <w:proofErr w:type="spellEnd"/>
      <w:r w:rsidRPr="00244FB2">
        <w:t xml:space="preserve"> as superior in terms of efficacy and non-inferior in terms of safety compared to placebo. Th</w:t>
      </w:r>
      <w:r w:rsidR="002C12EA" w:rsidRPr="00244FB2">
        <w:t xml:space="preserve">e ESC considered that these </w:t>
      </w:r>
      <w:r w:rsidRPr="00244FB2">
        <w:t>claim</w:t>
      </w:r>
      <w:r w:rsidR="002C12EA" w:rsidRPr="00244FB2">
        <w:t>s</w:t>
      </w:r>
      <w:r w:rsidRPr="00244FB2">
        <w:t xml:space="preserve"> w</w:t>
      </w:r>
      <w:r w:rsidR="002C12EA" w:rsidRPr="00244FB2">
        <w:t>ere</w:t>
      </w:r>
      <w:r w:rsidRPr="00244FB2">
        <w:t xml:space="preserve"> reasonable.</w:t>
      </w:r>
    </w:p>
    <w:p w14:paraId="7E8CAC41" w14:textId="77777777" w:rsidR="00655EBD" w:rsidRPr="00244FB2" w:rsidRDefault="00655EBD" w:rsidP="00655EBD">
      <w:pPr>
        <w:pStyle w:val="ExecSumBodyText"/>
      </w:pPr>
      <w:r w:rsidRPr="00244FB2">
        <w:t xml:space="preserve">However, the </w:t>
      </w:r>
      <w:r w:rsidR="008D45A5" w:rsidRPr="00244FB2">
        <w:t xml:space="preserve">ESC noted that the </w:t>
      </w:r>
      <w:r w:rsidRPr="00244FB2">
        <w:t>following issues should be considered:</w:t>
      </w:r>
    </w:p>
    <w:p w14:paraId="75B944E7" w14:textId="77777777" w:rsidR="00FC5CD2" w:rsidRPr="00244FB2" w:rsidRDefault="00FC5CD2" w:rsidP="00617FDF">
      <w:pPr>
        <w:pStyle w:val="ExecSumBodyText"/>
        <w:numPr>
          <w:ilvl w:val="0"/>
          <w:numId w:val="7"/>
        </w:numPr>
        <w:ind w:left="1077" w:hanging="357"/>
      </w:pPr>
      <w:r w:rsidRPr="00244FB2">
        <w:t xml:space="preserve">Whether the results of the PREVENT trial can be generalised to the proposed lower risk PBS population. The relapse eligibility criteria in the PREVENT trial (2 relapses in the previous year or 3 relapses in the previous 2 years) were stricter than those </w:t>
      </w:r>
      <w:r w:rsidRPr="00244FB2">
        <w:lastRenderedPageBreak/>
        <w:t xml:space="preserve">proposed for the requested PBS population (2 relapses in the previous 2 years; or an immunosuppressive event with prior treatment) and it is likely that the PBS population will include patients with </w:t>
      </w:r>
      <w:r w:rsidR="0082671B" w:rsidRPr="00244FB2">
        <w:t xml:space="preserve">a </w:t>
      </w:r>
      <w:r w:rsidRPr="00244FB2">
        <w:t xml:space="preserve">lower risk of relapse. A smaller absolute risk of relapse will reduce the magnitude of benefit associated with </w:t>
      </w:r>
      <w:proofErr w:type="spellStart"/>
      <w:r w:rsidRPr="00244FB2">
        <w:t>eculizumab</w:t>
      </w:r>
      <w:proofErr w:type="spellEnd"/>
      <w:r w:rsidRPr="00244FB2">
        <w:t xml:space="preserve"> treatment</w:t>
      </w:r>
      <w:r w:rsidR="0070400F" w:rsidRPr="00244FB2">
        <w:t xml:space="preserve">. </w:t>
      </w:r>
      <w:r w:rsidR="005038B4" w:rsidRPr="00244FB2">
        <w:t>Although t</w:t>
      </w:r>
      <w:r w:rsidR="0070400F" w:rsidRPr="00244FB2">
        <w:t xml:space="preserve">he PSCR </w:t>
      </w:r>
      <w:r w:rsidR="00B33FC5" w:rsidRPr="00244FB2">
        <w:t xml:space="preserve">presented data from Palace 2019 which suggested that </w:t>
      </w:r>
      <w:r w:rsidR="0070400F" w:rsidRPr="00244FB2">
        <w:t>the number of prior relapses is not necessarily synonymous with future risk of relapse or severity of disease</w:t>
      </w:r>
      <w:r w:rsidR="005038B4" w:rsidRPr="00244FB2">
        <w:t xml:space="preserve">, </w:t>
      </w:r>
      <w:r w:rsidR="00D04A5E" w:rsidRPr="00244FB2">
        <w:t>t</w:t>
      </w:r>
      <w:r w:rsidR="00B33FC5" w:rsidRPr="00244FB2">
        <w:t>he ESC noted that this study did not apply the same definitions of prior relapse as used in the PREVENT trial</w:t>
      </w:r>
      <w:r w:rsidR="00D04A5E" w:rsidRPr="00244FB2">
        <w:t xml:space="preserve"> or adjust for the clustering nature of relapses</w:t>
      </w:r>
      <w:r w:rsidR="00B33FC5" w:rsidRPr="00244FB2">
        <w:t xml:space="preserve">. </w:t>
      </w:r>
      <w:r w:rsidR="00C17FFD" w:rsidRPr="00244FB2">
        <w:t>The ESC noted that the Palace 2019 data indicated that relaxing</w:t>
      </w:r>
      <w:r w:rsidR="00AF6841" w:rsidRPr="00244FB2">
        <w:t xml:space="preserve"> the</w:t>
      </w:r>
      <w:r w:rsidR="00C17FFD" w:rsidRPr="00244FB2">
        <w:t xml:space="preserve"> </w:t>
      </w:r>
      <w:r w:rsidR="0059019D" w:rsidRPr="00244FB2">
        <w:t>restriction</w:t>
      </w:r>
      <w:r w:rsidR="00C17FFD" w:rsidRPr="00244FB2">
        <w:t xml:space="preserve"> criteria around the number of prior relapses would result in a population who have a lower absolute risk of further relapses.</w:t>
      </w:r>
    </w:p>
    <w:p w14:paraId="5F9553EB" w14:textId="77777777" w:rsidR="00655EBD" w:rsidRPr="00244FB2" w:rsidRDefault="00655EBD" w:rsidP="00617FDF">
      <w:pPr>
        <w:pStyle w:val="ExecSumBodyText"/>
        <w:numPr>
          <w:ilvl w:val="0"/>
          <w:numId w:val="7"/>
        </w:numPr>
        <w:ind w:left="1077" w:hanging="357"/>
      </w:pPr>
      <w:r w:rsidRPr="00244FB2">
        <w:t>Whether the results from the placebo arm of the PREVENT trial are representative of best supportive care. The current clinical data suggest that there may be clinically important differences amongst existing immunotherapies and the exclusion of rituximab from the placebo arm may affect the generalisability of results to clinical practice.</w:t>
      </w:r>
      <w:r w:rsidR="004B685E" w:rsidRPr="00244FB2">
        <w:t xml:space="preserve"> The PSCR stated that rituximab use was prohibited in the PREVENT trial due to the incompatibility between the mechanisms of action of </w:t>
      </w:r>
      <w:proofErr w:type="spellStart"/>
      <w:r w:rsidR="004B685E" w:rsidRPr="00244FB2">
        <w:t>eculizumab</w:t>
      </w:r>
      <w:proofErr w:type="spellEnd"/>
      <w:r w:rsidR="004B685E" w:rsidRPr="00244FB2">
        <w:t xml:space="preserve"> and rituximab. In addition, </w:t>
      </w:r>
      <w:r w:rsidR="005038B4" w:rsidRPr="00244FB2">
        <w:t xml:space="preserve">the PSCR noted that </w:t>
      </w:r>
      <w:r w:rsidR="004B685E" w:rsidRPr="00244FB2">
        <w:t xml:space="preserve">rituximab is not </w:t>
      </w:r>
      <w:r w:rsidR="005038B4" w:rsidRPr="00244FB2">
        <w:t xml:space="preserve">TGA </w:t>
      </w:r>
      <w:r w:rsidR="004B685E" w:rsidRPr="00244FB2">
        <w:t>registered for use in NMOSD in Australia</w:t>
      </w:r>
      <w:r w:rsidR="005038B4" w:rsidRPr="00244FB2">
        <w:t xml:space="preserve"> and </w:t>
      </w:r>
      <w:r w:rsidR="004B685E" w:rsidRPr="00244FB2">
        <w:t xml:space="preserve">that access to rituximab is </w:t>
      </w:r>
      <w:r w:rsidR="005038B4" w:rsidRPr="00244FB2">
        <w:t xml:space="preserve">therefore </w:t>
      </w:r>
      <w:r w:rsidR="004B685E" w:rsidRPr="00244FB2">
        <w:t>dependent on where the patient i</w:t>
      </w:r>
      <w:r w:rsidR="005038B4" w:rsidRPr="00244FB2">
        <w:t>s</w:t>
      </w:r>
      <w:r w:rsidR="004B685E" w:rsidRPr="00244FB2">
        <w:t xml:space="preserve"> treated, resulting in equity issues.</w:t>
      </w:r>
      <w:r w:rsidR="00D04A5E" w:rsidRPr="00244FB2">
        <w:t xml:space="preserve"> The ESC noted that the majority of NMOSD patients would be treated in specialist centres</w:t>
      </w:r>
      <w:r w:rsidR="007D3E50" w:rsidRPr="00244FB2">
        <w:t>, where rituximab would be available,</w:t>
      </w:r>
      <w:r w:rsidR="00D04A5E" w:rsidRPr="00244FB2">
        <w:t xml:space="preserve"> reducing the risk of </w:t>
      </w:r>
      <w:r w:rsidR="00665FFC" w:rsidRPr="00244FB2">
        <w:t>access in</w:t>
      </w:r>
      <w:r w:rsidR="00D04A5E" w:rsidRPr="00244FB2">
        <w:t>equity.</w:t>
      </w:r>
    </w:p>
    <w:p w14:paraId="7EC13DE7" w14:textId="77777777" w:rsidR="00B33FC5" w:rsidRPr="00244FB2" w:rsidRDefault="0059019D" w:rsidP="00A93D58">
      <w:pPr>
        <w:pStyle w:val="ExecSumBodyText"/>
        <w:numPr>
          <w:ilvl w:val="0"/>
          <w:numId w:val="7"/>
        </w:numPr>
        <w:ind w:left="1077" w:hanging="357"/>
      </w:pPr>
      <w:r w:rsidRPr="00244FB2">
        <w:t xml:space="preserve">While </w:t>
      </w:r>
      <w:proofErr w:type="spellStart"/>
      <w:r w:rsidRPr="00244FB2">
        <w:t>eculizumab</w:t>
      </w:r>
      <w:proofErr w:type="spellEnd"/>
      <w:r w:rsidRPr="00244FB2">
        <w:t xml:space="preserve"> had a significant impact on reducing relapses in the trial, t</w:t>
      </w:r>
      <w:r w:rsidR="006A141D" w:rsidRPr="00244FB2">
        <w:t>he magnitude of the ef</w:t>
      </w:r>
      <w:r w:rsidRPr="00244FB2">
        <w:t>fect on disability progression i</w:t>
      </w:r>
      <w:r w:rsidR="006A141D" w:rsidRPr="00244FB2">
        <w:t xml:space="preserve">s </w:t>
      </w:r>
      <w:r w:rsidRPr="00244FB2">
        <w:t>unclear</w:t>
      </w:r>
      <w:r w:rsidR="00B33FC5" w:rsidRPr="00244FB2">
        <w:t>. There was limited follow-up of patients after a relapse during the PREVENT trial and it was unclear wh</w:t>
      </w:r>
      <w:r w:rsidR="00586C23" w:rsidRPr="00244FB2">
        <w:t xml:space="preserve">ether differences in disability and </w:t>
      </w:r>
      <w:r w:rsidR="00B33FC5" w:rsidRPr="00244FB2">
        <w:t xml:space="preserve">quality of life measures represent temporary differences (due to relapse) or permanent changes (due to disability progression). </w:t>
      </w:r>
      <w:r w:rsidR="008D45A5" w:rsidRPr="00244FB2">
        <w:t xml:space="preserve">The PSCR stated that the average recovery occurs over three months, with </w:t>
      </w:r>
      <w:r w:rsidR="00586C23" w:rsidRPr="00244FB2">
        <w:t>the majority of</w:t>
      </w:r>
      <w:r w:rsidR="008D45A5" w:rsidRPr="00244FB2">
        <w:t xml:space="preserve"> recovery from most relapses occurring within the first 30 days post relapse. As such, the </w:t>
      </w:r>
      <w:r w:rsidR="00A93D58" w:rsidRPr="00244FB2">
        <w:t xml:space="preserve">PSCR stated that </w:t>
      </w:r>
      <w:r w:rsidR="008D45A5" w:rsidRPr="00244FB2">
        <w:t xml:space="preserve">follow-up of 6 weeks after a single relapse </w:t>
      </w:r>
      <w:r w:rsidR="00A93D58" w:rsidRPr="00244FB2">
        <w:t>would</w:t>
      </w:r>
      <w:r w:rsidR="008D45A5" w:rsidRPr="00244FB2">
        <w:t xml:space="preserve"> adequately capture disability following a relapse as the majority of the recovery would have occurred. In addition, the PSCR stated that as the majority of relapses in NMOSD result in disability with permanent change (the PSCR cited an Australian collaborative study (</w:t>
      </w:r>
      <w:proofErr w:type="spellStart"/>
      <w:r w:rsidR="008D45A5" w:rsidRPr="00244FB2">
        <w:t>Khalilidehkordi</w:t>
      </w:r>
      <w:proofErr w:type="spellEnd"/>
      <w:r w:rsidR="008D45A5" w:rsidRPr="00244FB2">
        <w:t>, 2020</w:t>
      </w:r>
      <w:r w:rsidR="008D45A5" w:rsidRPr="00244FB2">
        <w:rPr>
          <w:rStyle w:val="FootnoteReference"/>
        </w:rPr>
        <w:footnoteReference w:id="3"/>
      </w:r>
      <w:r w:rsidR="008D45A5" w:rsidRPr="00244FB2">
        <w:t xml:space="preserve">) which found that disability was permanent in 71% of patients irrespective of whether there was partial or no recovery following a relapse), the disability and quality of life measures do not represent temporary differences. </w:t>
      </w:r>
      <w:r w:rsidR="00A93D58" w:rsidRPr="00244FB2">
        <w:t xml:space="preserve">The ESC considered that </w:t>
      </w:r>
      <w:r w:rsidR="00F2032F" w:rsidRPr="00244FB2">
        <w:t>although</w:t>
      </w:r>
      <w:r w:rsidR="00A93D58" w:rsidRPr="00244FB2">
        <w:t xml:space="preserve"> there </w:t>
      </w:r>
      <w:r w:rsidR="00F2032F" w:rsidRPr="00244FB2">
        <w:t>we</w:t>
      </w:r>
      <w:r w:rsidR="00A93D58" w:rsidRPr="00244FB2">
        <w:t>re data that suggest</w:t>
      </w:r>
      <w:r w:rsidR="00F2032F" w:rsidRPr="00244FB2">
        <w:t>ed</w:t>
      </w:r>
      <w:r w:rsidR="00A93D58" w:rsidRPr="00244FB2">
        <w:t xml:space="preserve"> increasing relapses are associated with increasing disability </w:t>
      </w:r>
      <w:r w:rsidR="00A93D58" w:rsidRPr="00244FB2">
        <w:lastRenderedPageBreak/>
        <w:t>and</w:t>
      </w:r>
      <w:r w:rsidR="0034721E" w:rsidRPr="00244FB2">
        <w:t>,</w:t>
      </w:r>
      <w:r w:rsidR="00A93D58" w:rsidRPr="00244FB2">
        <w:t xml:space="preserve"> therefore</w:t>
      </w:r>
      <w:r w:rsidR="0034721E" w:rsidRPr="00244FB2">
        <w:t>,</w:t>
      </w:r>
      <w:r w:rsidR="00A93D58" w:rsidRPr="00244FB2">
        <w:t xml:space="preserve"> reducing relapses should be associated with reduced disability, the magnitude of this effect was unclear.</w:t>
      </w:r>
    </w:p>
    <w:p w14:paraId="5670B776" w14:textId="77777777" w:rsidR="001B72D4" w:rsidRPr="00244FB2" w:rsidRDefault="001B72D4" w:rsidP="001B72D4">
      <w:pPr>
        <w:pStyle w:val="ExecSumBodyText"/>
        <w:rPr>
          <w:bCs/>
        </w:rPr>
      </w:pPr>
      <w:r w:rsidRPr="00244FB2">
        <w:rPr>
          <w:lang w:eastAsia="en-US"/>
        </w:rPr>
        <w:t>The PBAC considered that the claim of superior comparative effectiveness was reasonable</w:t>
      </w:r>
      <w:r w:rsidR="00C22BD5" w:rsidRPr="00244FB2">
        <w:rPr>
          <w:lang w:eastAsia="en-US"/>
        </w:rPr>
        <w:t xml:space="preserve"> in terms of extending the time to relapse for the population presented in the trial, but considered that efficacy in the proposed PBS population was uncertain as the eligibility of the PREVENT trial differed from the proposed PBS restriction</w:t>
      </w:r>
      <w:r w:rsidRPr="00244FB2">
        <w:rPr>
          <w:lang w:eastAsia="en-US"/>
        </w:rPr>
        <w:t>.</w:t>
      </w:r>
    </w:p>
    <w:p w14:paraId="3D3AFD1D" w14:textId="77777777" w:rsidR="001B72D4" w:rsidRPr="00244FB2" w:rsidRDefault="001B72D4" w:rsidP="001B72D4">
      <w:pPr>
        <w:pStyle w:val="ExecSumBodyText"/>
        <w:rPr>
          <w:bCs/>
        </w:rPr>
      </w:pPr>
      <w:r w:rsidRPr="00244FB2">
        <w:rPr>
          <w:lang w:eastAsia="en-US"/>
        </w:rPr>
        <w:t>The PBAC considered that the claim of non-inferior comparative safety was reasonable.</w:t>
      </w:r>
    </w:p>
    <w:p w14:paraId="1B0D13CF" w14:textId="77777777" w:rsidR="001B72D4" w:rsidRPr="00244FB2" w:rsidRDefault="001B72D4" w:rsidP="001B72D4">
      <w:pPr>
        <w:pStyle w:val="3-SubsectionHeading"/>
      </w:pPr>
      <w:bookmarkStart w:id="17" w:name="_Toc22897645"/>
      <w:bookmarkStart w:id="18" w:name="_Toc50974501"/>
      <w:r w:rsidRPr="00244FB2">
        <w:t>Economic analysis</w:t>
      </w:r>
      <w:bookmarkEnd w:id="17"/>
      <w:bookmarkEnd w:id="18"/>
      <w:r w:rsidRPr="00244FB2">
        <w:t xml:space="preserve"> </w:t>
      </w:r>
    </w:p>
    <w:p w14:paraId="5FBDB09B" w14:textId="77777777" w:rsidR="001B72D4" w:rsidRPr="00244FB2" w:rsidRDefault="001B72D4" w:rsidP="001B72D4">
      <w:pPr>
        <w:pStyle w:val="ExecSumBodyText"/>
        <w:rPr>
          <w:bCs/>
        </w:rPr>
      </w:pPr>
      <w:r w:rsidRPr="00244FB2">
        <w:rPr>
          <w:bCs/>
        </w:rPr>
        <w:t xml:space="preserve">The submission presented a stepped economic evaluation of </w:t>
      </w:r>
      <w:proofErr w:type="spellStart"/>
      <w:r w:rsidRPr="00244FB2">
        <w:rPr>
          <w:bCs/>
        </w:rPr>
        <w:t>eculizumab</w:t>
      </w:r>
      <w:proofErr w:type="spellEnd"/>
      <w:r w:rsidRPr="00244FB2">
        <w:rPr>
          <w:bCs/>
        </w:rPr>
        <w:t xml:space="preserve"> with best supportive care compared to best supportive care alone in patients with NMOSDs who are AQP4 positive and who have frequent relapses. The economic evaluation was based on the PREVENT trial with additional modelled data. The economic evaluation was presented as a cost-effectiveness/cost-utility analysis.</w:t>
      </w:r>
    </w:p>
    <w:p w14:paraId="0B2D244C" w14:textId="77777777" w:rsidR="00911883" w:rsidRPr="00244FB2" w:rsidRDefault="00911883" w:rsidP="00911883">
      <w:pPr>
        <w:pStyle w:val="ExecSumBodyText"/>
        <w:rPr>
          <w:bCs/>
          <w:i/>
        </w:rPr>
      </w:pPr>
      <w:r w:rsidRPr="00244FB2">
        <w:rPr>
          <w:bCs/>
        </w:rPr>
        <w:t xml:space="preserve">The submission did not present an economic analysis for the use of </w:t>
      </w:r>
      <w:proofErr w:type="spellStart"/>
      <w:r w:rsidRPr="00244FB2">
        <w:rPr>
          <w:bCs/>
        </w:rPr>
        <w:t>eculizumab</w:t>
      </w:r>
      <w:proofErr w:type="spellEnd"/>
      <w:r w:rsidRPr="00244FB2">
        <w:rPr>
          <w:bCs/>
        </w:rPr>
        <w:t xml:space="preserve"> in patients with a prior immunosuppressive event</w:t>
      </w:r>
      <w:r w:rsidR="003071A2" w:rsidRPr="00244FB2">
        <w:rPr>
          <w:bCs/>
        </w:rPr>
        <w:t xml:space="preserve"> who do not </w:t>
      </w:r>
      <w:r w:rsidR="001D3673" w:rsidRPr="00244FB2">
        <w:rPr>
          <w:bCs/>
        </w:rPr>
        <w:t xml:space="preserve">otherwise </w:t>
      </w:r>
      <w:r w:rsidR="003071A2" w:rsidRPr="00244FB2">
        <w:rPr>
          <w:bCs/>
        </w:rPr>
        <w:t>meet the relapse criteria</w:t>
      </w:r>
      <w:r w:rsidR="00FC5CD2" w:rsidRPr="00244FB2">
        <w:rPr>
          <w:bCs/>
        </w:rPr>
        <w:t xml:space="preserve"> (estimated</w:t>
      </w:r>
      <w:r w:rsidR="001B3603" w:rsidRPr="00244FB2">
        <w:rPr>
          <w:bCs/>
        </w:rPr>
        <w:t xml:space="preserve"> in the submission</w:t>
      </w:r>
      <w:r w:rsidR="00FC5CD2" w:rsidRPr="00244FB2">
        <w:rPr>
          <w:bCs/>
        </w:rPr>
        <w:t xml:space="preserve"> as </w:t>
      </w:r>
      <w:r w:rsidR="00FC5CD2" w:rsidRPr="00BE48E8">
        <w:rPr>
          <w:bCs/>
        </w:rPr>
        <w:t xml:space="preserve">approximately 10% </w:t>
      </w:r>
      <w:r w:rsidR="00FC5CD2" w:rsidRPr="00244FB2">
        <w:rPr>
          <w:bCs/>
        </w:rPr>
        <w:t>of the Australian NMOSD population)</w:t>
      </w:r>
      <w:r w:rsidRPr="00244FB2">
        <w:rPr>
          <w:bCs/>
        </w:rPr>
        <w:t>.</w:t>
      </w:r>
      <w:r w:rsidR="003C0AF3" w:rsidRPr="00244FB2">
        <w:rPr>
          <w:bCs/>
        </w:rPr>
        <w:t xml:space="preserve"> </w:t>
      </w:r>
    </w:p>
    <w:p w14:paraId="5DD61FFF" w14:textId="77777777" w:rsidR="00911883" w:rsidRPr="00244FB2" w:rsidRDefault="00D4220C" w:rsidP="00312840">
      <w:pPr>
        <w:pStyle w:val="Tableheadingrow"/>
        <w:rPr>
          <w:lang w:val="en-AU"/>
        </w:rPr>
      </w:pPr>
      <w:r w:rsidRPr="00244FB2">
        <w:rPr>
          <w:lang w:val="en-AU"/>
        </w:rPr>
        <w:lastRenderedPageBreak/>
        <w:t>Table 7</w:t>
      </w:r>
      <w:r w:rsidR="00911883" w:rsidRPr="00244FB2">
        <w:rPr>
          <w:lang w:val="en-AU"/>
        </w:rPr>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181"/>
      </w:tblGrid>
      <w:tr w:rsidR="00911883" w:rsidRPr="00244FB2" w14:paraId="2008E519" w14:textId="77777777" w:rsidTr="00D15288">
        <w:tc>
          <w:tcPr>
            <w:tcW w:w="1017" w:type="pct"/>
            <w:shd w:val="clear" w:color="auto" w:fill="auto"/>
          </w:tcPr>
          <w:p w14:paraId="7A964FCD" w14:textId="77777777" w:rsidR="00911883" w:rsidRPr="00244FB2" w:rsidRDefault="00911883" w:rsidP="00312840">
            <w:pPr>
              <w:pStyle w:val="TableText"/>
              <w:rPr>
                <w:b/>
              </w:rPr>
            </w:pPr>
            <w:r w:rsidRPr="00244FB2">
              <w:rPr>
                <w:b/>
              </w:rPr>
              <w:t xml:space="preserve">Component </w:t>
            </w:r>
          </w:p>
        </w:tc>
        <w:tc>
          <w:tcPr>
            <w:tcW w:w="3983" w:type="pct"/>
            <w:shd w:val="clear" w:color="auto" w:fill="auto"/>
          </w:tcPr>
          <w:p w14:paraId="73806754" w14:textId="77777777" w:rsidR="00911883" w:rsidRPr="00244FB2" w:rsidRDefault="00911883" w:rsidP="00312840">
            <w:pPr>
              <w:pStyle w:val="TableText"/>
              <w:rPr>
                <w:b/>
              </w:rPr>
            </w:pPr>
            <w:r w:rsidRPr="00244FB2">
              <w:rPr>
                <w:b/>
              </w:rPr>
              <w:t>Description</w:t>
            </w:r>
          </w:p>
        </w:tc>
      </w:tr>
      <w:tr w:rsidR="00911883" w:rsidRPr="00244FB2" w14:paraId="0CC0C0A2" w14:textId="77777777" w:rsidTr="00D15288">
        <w:tc>
          <w:tcPr>
            <w:tcW w:w="1017" w:type="pct"/>
            <w:shd w:val="clear" w:color="auto" w:fill="auto"/>
            <w:vAlign w:val="center"/>
          </w:tcPr>
          <w:p w14:paraId="1049B2FF" w14:textId="77777777" w:rsidR="00911883" w:rsidRPr="00244FB2" w:rsidRDefault="00911883" w:rsidP="00312840">
            <w:pPr>
              <w:pStyle w:val="TableText"/>
            </w:pPr>
            <w:r w:rsidRPr="00244FB2">
              <w:t xml:space="preserve">Type of analysis </w:t>
            </w:r>
          </w:p>
        </w:tc>
        <w:tc>
          <w:tcPr>
            <w:tcW w:w="3983" w:type="pct"/>
            <w:shd w:val="clear" w:color="auto" w:fill="auto"/>
            <w:vAlign w:val="center"/>
          </w:tcPr>
          <w:p w14:paraId="76649BFA" w14:textId="77777777" w:rsidR="00911883" w:rsidRPr="00244FB2" w:rsidRDefault="00911883" w:rsidP="00312840">
            <w:pPr>
              <w:pStyle w:val="TableText"/>
              <w:rPr>
                <w:rFonts w:ascii="Times" w:eastAsia="Times New Roman" w:hAnsi="Times" w:cs="Times New Roman"/>
                <w:szCs w:val="20"/>
              </w:rPr>
            </w:pPr>
            <w:r w:rsidRPr="00244FB2">
              <w:t>Cost-effectiveness analysis/cost-utility analysis</w:t>
            </w:r>
          </w:p>
        </w:tc>
      </w:tr>
      <w:tr w:rsidR="00911883" w:rsidRPr="00244FB2" w14:paraId="3067A503" w14:textId="77777777" w:rsidTr="00D15288">
        <w:tc>
          <w:tcPr>
            <w:tcW w:w="1017" w:type="pct"/>
            <w:shd w:val="clear" w:color="auto" w:fill="auto"/>
            <w:vAlign w:val="center"/>
          </w:tcPr>
          <w:p w14:paraId="59AAAF3D" w14:textId="77777777" w:rsidR="00911883" w:rsidRPr="00244FB2" w:rsidRDefault="00911883" w:rsidP="00312840">
            <w:pPr>
              <w:pStyle w:val="TableText"/>
              <w:rPr>
                <w:rFonts w:ascii="Times" w:eastAsia="Times New Roman" w:hAnsi="Times" w:cs="Times New Roman"/>
                <w:szCs w:val="20"/>
              </w:rPr>
            </w:pPr>
            <w:r w:rsidRPr="00244FB2">
              <w:t>Outcomes</w:t>
            </w:r>
          </w:p>
        </w:tc>
        <w:tc>
          <w:tcPr>
            <w:tcW w:w="3983" w:type="pct"/>
            <w:shd w:val="clear" w:color="auto" w:fill="auto"/>
            <w:vAlign w:val="center"/>
          </w:tcPr>
          <w:p w14:paraId="04118D55" w14:textId="77777777" w:rsidR="00911883" w:rsidRPr="00244FB2" w:rsidRDefault="00911883" w:rsidP="00312840">
            <w:pPr>
              <w:pStyle w:val="TableText"/>
            </w:pPr>
            <w:r w:rsidRPr="00244FB2">
              <w:t>Patients without relapse; average number of relapses; life years; quality adjusted life years</w:t>
            </w:r>
          </w:p>
        </w:tc>
      </w:tr>
      <w:tr w:rsidR="00911883" w:rsidRPr="00244FB2" w14:paraId="5F39769E" w14:textId="77777777" w:rsidTr="00D15288">
        <w:tc>
          <w:tcPr>
            <w:tcW w:w="1017" w:type="pct"/>
            <w:shd w:val="clear" w:color="auto" w:fill="auto"/>
            <w:vAlign w:val="center"/>
          </w:tcPr>
          <w:p w14:paraId="1332213C" w14:textId="77777777" w:rsidR="00911883" w:rsidRPr="00244FB2" w:rsidRDefault="00911883" w:rsidP="00312840">
            <w:pPr>
              <w:pStyle w:val="TableText"/>
              <w:rPr>
                <w:rFonts w:ascii="Times" w:eastAsia="Times New Roman" w:hAnsi="Times" w:cs="Times New Roman"/>
                <w:szCs w:val="20"/>
              </w:rPr>
            </w:pPr>
            <w:r w:rsidRPr="00244FB2">
              <w:t>Time horizon</w:t>
            </w:r>
          </w:p>
        </w:tc>
        <w:tc>
          <w:tcPr>
            <w:tcW w:w="3983" w:type="pct"/>
            <w:shd w:val="clear" w:color="auto" w:fill="auto"/>
            <w:vAlign w:val="center"/>
          </w:tcPr>
          <w:p w14:paraId="0531B6AB" w14:textId="77777777" w:rsidR="00911883" w:rsidRPr="00244FB2" w:rsidRDefault="00911883" w:rsidP="00586C23">
            <w:pPr>
              <w:pStyle w:val="TableText"/>
              <w:rPr>
                <w:rFonts w:ascii="Times" w:eastAsia="Times New Roman" w:hAnsi="Times" w:cs="Times New Roman"/>
                <w:szCs w:val="20"/>
              </w:rPr>
            </w:pPr>
            <w:r w:rsidRPr="00244FB2">
              <w:t>53 years (lifetime)</w:t>
            </w:r>
            <w:r w:rsidR="00313DB9" w:rsidRPr="00244FB2">
              <w:t xml:space="preserve">, compared to </w:t>
            </w:r>
            <w:r w:rsidR="00F27135" w:rsidRPr="00244FB2">
              <w:t>1-2 years in the PREVENT trial</w:t>
            </w:r>
            <w:r w:rsidR="0004376A" w:rsidRPr="00244FB2">
              <w:t xml:space="preserve">. The ESC </w:t>
            </w:r>
            <w:r w:rsidR="00586C23" w:rsidRPr="00244FB2">
              <w:t xml:space="preserve">considered that the long </w:t>
            </w:r>
            <w:r w:rsidR="005F0D55" w:rsidRPr="00244FB2">
              <w:t xml:space="preserve">time horizon </w:t>
            </w:r>
            <w:r w:rsidR="00586C23" w:rsidRPr="00244FB2">
              <w:t>added to the uncertainty in the model as the majority of the incremental benefits occurred in the extrapolated period</w:t>
            </w:r>
            <w:r w:rsidR="0004376A" w:rsidRPr="00244FB2">
              <w:t>.</w:t>
            </w:r>
          </w:p>
        </w:tc>
      </w:tr>
      <w:tr w:rsidR="00911883" w:rsidRPr="00244FB2" w14:paraId="3D1FF92D" w14:textId="77777777" w:rsidTr="00D15288">
        <w:tc>
          <w:tcPr>
            <w:tcW w:w="1017" w:type="pct"/>
            <w:shd w:val="clear" w:color="auto" w:fill="auto"/>
            <w:vAlign w:val="center"/>
          </w:tcPr>
          <w:p w14:paraId="3A886397" w14:textId="77777777" w:rsidR="00911883" w:rsidRPr="00244FB2" w:rsidRDefault="00911883" w:rsidP="00312840">
            <w:pPr>
              <w:pStyle w:val="TableText"/>
              <w:rPr>
                <w:rFonts w:ascii="Times" w:eastAsia="Times New Roman" w:hAnsi="Times" w:cs="Times New Roman"/>
                <w:szCs w:val="20"/>
              </w:rPr>
            </w:pPr>
            <w:r w:rsidRPr="00244FB2">
              <w:t>Methods used to generate results</w:t>
            </w:r>
          </w:p>
        </w:tc>
        <w:tc>
          <w:tcPr>
            <w:tcW w:w="3983" w:type="pct"/>
            <w:shd w:val="clear" w:color="auto" w:fill="auto"/>
            <w:vAlign w:val="center"/>
          </w:tcPr>
          <w:p w14:paraId="1D6169AE" w14:textId="77777777" w:rsidR="00911883" w:rsidRPr="00244FB2" w:rsidRDefault="00911883" w:rsidP="00312840">
            <w:pPr>
              <w:pStyle w:val="TableText"/>
              <w:rPr>
                <w:rFonts w:ascii="Times" w:eastAsia="Times New Roman" w:hAnsi="Times" w:cs="Times New Roman"/>
                <w:szCs w:val="20"/>
              </w:rPr>
            </w:pPr>
            <w:r w:rsidRPr="00244FB2">
              <w:t>Markov cohort model (with half-cycle correction)</w:t>
            </w:r>
          </w:p>
        </w:tc>
      </w:tr>
      <w:tr w:rsidR="00911883" w:rsidRPr="00244FB2" w14:paraId="4BA6BA89" w14:textId="77777777" w:rsidTr="00D15288">
        <w:tc>
          <w:tcPr>
            <w:tcW w:w="1017" w:type="pct"/>
            <w:shd w:val="clear" w:color="auto" w:fill="auto"/>
            <w:vAlign w:val="center"/>
          </w:tcPr>
          <w:p w14:paraId="0EA6F956" w14:textId="77777777" w:rsidR="00911883" w:rsidRPr="00244FB2" w:rsidRDefault="00911883" w:rsidP="00312840">
            <w:pPr>
              <w:pStyle w:val="TableText"/>
            </w:pPr>
            <w:r w:rsidRPr="00244FB2">
              <w:t>Treatments</w:t>
            </w:r>
          </w:p>
        </w:tc>
        <w:tc>
          <w:tcPr>
            <w:tcW w:w="3983" w:type="pct"/>
            <w:shd w:val="clear" w:color="auto" w:fill="auto"/>
            <w:vAlign w:val="center"/>
          </w:tcPr>
          <w:p w14:paraId="36B7FE62" w14:textId="77777777" w:rsidR="00911883" w:rsidRPr="00244FB2" w:rsidRDefault="00911883" w:rsidP="00312840">
            <w:pPr>
              <w:pStyle w:val="TableText"/>
            </w:pPr>
            <w:proofErr w:type="spellStart"/>
            <w:r w:rsidRPr="00244FB2">
              <w:t>Eculizumab</w:t>
            </w:r>
            <w:proofErr w:type="spellEnd"/>
            <w:r w:rsidRPr="00244FB2">
              <w:t xml:space="preserve"> with best supportive care; best supportive care alone</w:t>
            </w:r>
          </w:p>
        </w:tc>
      </w:tr>
      <w:tr w:rsidR="00911883" w:rsidRPr="00244FB2" w14:paraId="5077283C" w14:textId="77777777" w:rsidTr="00D15288">
        <w:tc>
          <w:tcPr>
            <w:tcW w:w="1017" w:type="pct"/>
            <w:shd w:val="clear" w:color="auto" w:fill="auto"/>
            <w:vAlign w:val="center"/>
          </w:tcPr>
          <w:p w14:paraId="564EF7CE" w14:textId="77777777" w:rsidR="00911883" w:rsidRPr="00244FB2" w:rsidRDefault="00911883" w:rsidP="00312840">
            <w:pPr>
              <w:pStyle w:val="TableText"/>
              <w:rPr>
                <w:rFonts w:ascii="Times" w:eastAsia="Times New Roman" w:hAnsi="Times" w:cs="Times New Roman"/>
                <w:szCs w:val="20"/>
              </w:rPr>
            </w:pPr>
            <w:r w:rsidRPr="00244FB2">
              <w:t>Health states</w:t>
            </w:r>
          </w:p>
        </w:tc>
        <w:tc>
          <w:tcPr>
            <w:tcW w:w="3983" w:type="pct"/>
            <w:shd w:val="clear" w:color="auto" w:fill="auto"/>
            <w:vAlign w:val="center"/>
          </w:tcPr>
          <w:p w14:paraId="2E85721A" w14:textId="77777777" w:rsidR="00911883" w:rsidRPr="00244FB2" w:rsidRDefault="00911883" w:rsidP="0076172A">
            <w:pPr>
              <w:pStyle w:val="TableText"/>
            </w:pPr>
            <w:r w:rsidRPr="00244FB2">
              <w:t>Twenty health states defined by EDSS score (0-9) and treatment (</w:t>
            </w:r>
            <w:proofErr w:type="spellStart"/>
            <w:r w:rsidRPr="00244FB2">
              <w:t>eculizumab</w:t>
            </w:r>
            <w:proofErr w:type="spellEnd"/>
            <w:r w:rsidRPr="00244FB2">
              <w:t>, best supportive care). Two death states defined as relapse-related death or general mortality</w:t>
            </w:r>
            <w:r w:rsidR="0004376A" w:rsidRPr="00244FB2">
              <w:t xml:space="preserve">. The ESC considered that the model structure was </w:t>
            </w:r>
            <w:r w:rsidR="007D3E50" w:rsidRPr="00244FB2">
              <w:t xml:space="preserve">overly </w:t>
            </w:r>
            <w:r w:rsidR="0004376A" w:rsidRPr="00244FB2">
              <w:t xml:space="preserve">complex </w:t>
            </w:r>
            <w:r w:rsidR="00D01A8B" w:rsidRPr="00244FB2">
              <w:t>and</w:t>
            </w:r>
            <w:r w:rsidR="005F0D55" w:rsidRPr="00244FB2">
              <w:t>, noting the small patient numbers in each EDSS state</w:t>
            </w:r>
            <w:r w:rsidR="00384C59" w:rsidRPr="00244FB2">
              <w:t xml:space="preserve"> and the non-significant difference in overall EDSS score between treatment groups in the PREVENT trial</w:t>
            </w:r>
            <w:r w:rsidR="005F0D55" w:rsidRPr="00244FB2">
              <w:t xml:space="preserve">, </w:t>
            </w:r>
            <w:r w:rsidR="00D01A8B" w:rsidRPr="00244FB2">
              <w:t xml:space="preserve">were unclear as to how well the EDSS states captured NMOSD related disability. The ESC </w:t>
            </w:r>
            <w:r w:rsidR="0004376A" w:rsidRPr="00244FB2">
              <w:t xml:space="preserve">noted the model submitted to CADTH </w:t>
            </w:r>
            <w:r w:rsidR="0059019D" w:rsidRPr="00244FB2">
              <w:t>appeared to have</w:t>
            </w:r>
            <w:r w:rsidR="0004376A" w:rsidRPr="00244FB2">
              <w:t xml:space="preserve"> a simpler structure with four health states </w:t>
            </w:r>
            <w:r w:rsidR="00D01A8B" w:rsidRPr="00244FB2">
              <w:t xml:space="preserve">that aligned with key NMOSD disabilities </w:t>
            </w:r>
            <w:r w:rsidR="0004376A" w:rsidRPr="00244FB2">
              <w:t>(relapse free, relapse, long-term disability and death).</w:t>
            </w:r>
            <w:r w:rsidR="00E14390" w:rsidRPr="00244FB2">
              <w:t xml:space="preserve"> The pre-PBAC response clarified that the CADTH model was not necessarily simpler as the four health states were further divided into a series of tunnel health states.</w:t>
            </w:r>
            <w:r w:rsidR="0076172A" w:rsidRPr="00244FB2">
              <w:t xml:space="preserve"> The pre-PBAC response also stated that a simpler “relapse free” health state (as used in the model submitted to CADTH) inappropriately combines all patients of varying disabilities in a single health state with a single utility value and a single estimate of resource utilisation</w:t>
            </w:r>
            <w:r w:rsidR="00AB5D4E" w:rsidRPr="00244FB2">
              <w:t>.</w:t>
            </w:r>
          </w:p>
        </w:tc>
      </w:tr>
      <w:tr w:rsidR="00911883" w:rsidRPr="00244FB2" w14:paraId="45C0AF30" w14:textId="77777777" w:rsidTr="00D15288">
        <w:tc>
          <w:tcPr>
            <w:tcW w:w="1017" w:type="pct"/>
            <w:shd w:val="clear" w:color="auto" w:fill="auto"/>
            <w:vAlign w:val="center"/>
          </w:tcPr>
          <w:p w14:paraId="064F6901" w14:textId="77777777" w:rsidR="00911883" w:rsidRPr="00244FB2" w:rsidRDefault="00911883" w:rsidP="00312840">
            <w:pPr>
              <w:pStyle w:val="TableText"/>
              <w:rPr>
                <w:rFonts w:ascii="Times" w:eastAsia="Times New Roman" w:hAnsi="Times" w:cs="Times New Roman"/>
                <w:szCs w:val="20"/>
              </w:rPr>
            </w:pPr>
            <w:r w:rsidRPr="00244FB2">
              <w:t>Cycle length</w:t>
            </w:r>
          </w:p>
        </w:tc>
        <w:tc>
          <w:tcPr>
            <w:tcW w:w="3983" w:type="pct"/>
            <w:shd w:val="clear" w:color="auto" w:fill="auto"/>
            <w:vAlign w:val="center"/>
          </w:tcPr>
          <w:p w14:paraId="2F7C11B9" w14:textId="77777777" w:rsidR="00911883" w:rsidRPr="00244FB2" w:rsidRDefault="00911883" w:rsidP="00312840">
            <w:pPr>
              <w:pStyle w:val="TableText"/>
            </w:pPr>
            <w:r w:rsidRPr="00244FB2">
              <w:t>Six-monthly</w:t>
            </w:r>
          </w:p>
        </w:tc>
      </w:tr>
      <w:tr w:rsidR="00FA7B8D" w:rsidRPr="00244FB2" w14:paraId="3CCBDE36" w14:textId="77777777" w:rsidTr="00D15288">
        <w:tc>
          <w:tcPr>
            <w:tcW w:w="1017" w:type="pct"/>
            <w:shd w:val="clear" w:color="auto" w:fill="auto"/>
            <w:vAlign w:val="center"/>
          </w:tcPr>
          <w:p w14:paraId="0C0D9B22" w14:textId="77777777" w:rsidR="00FA7B8D" w:rsidRPr="00244FB2" w:rsidRDefault="00FA7B8D" w:rsidP="00312840">
            <w:pPr>
              <w:pStyle w:val="TableText"/>
            </w:pPr>
            <w:r w:rsidRPr="00244FB2">
              <w:t>Patient characteristics</w:t>
            </w:r>
          </w:p>
        </w:tc>
        <w:tc>
          <w:tcPr>
            <w:tcW w:w="3983" w:type="pct"/>
            <w:shd w:val="clear" w:color="auto" w:fill="auto"/>
            <w:vAlign w:val="center"/>
          </w:tcPr>
          <w:p w14:paraId="010520E7" w14:textId="77777777" w:rsidR="00FA7B8D" w:rsidRPr="00244FB2" w:rsidRDefault="00F27135" w:rsidP="00312840">
            <w:pPr>
              <w:pStyle w:val="TableText"/>
            </w:pPr>
            <w:r w:rsidRPr="00244FB2">
              <w:t>Current a</w:t>
            </w:r>
            <w:r w:rsidR="00FA7B8D" w:rsidRPr="00244FB2">
              <w:t>ge</w:t>
            </w:r>
            <w:r w:rsidRPr="00244FB2">
              <w:t xml:space="preserve"> (47 years)</w:t>
            </w:r>
            <w:r w:rsidR="00FA7B8D" w:rsidRPr="00244FB2">
              <w:t>, gender</w:t>
            </w:r>
            <w:r w:rsidRPr="00244FB2">
              <w:t xml:space="preserve"> (91% female)</w:t>
            </w:r>
            <w:r w:rsidR="00FA7B8D" w:rsidRPr="00244FB2">
              <w:t xml:space="preserve"> and distribution across EDSS health states based on a published observational study comparing the characteristics of definitive NMOSD, suspected NMOSD and multiple sclerosis populations attending Australian treatment centres (Bukhari 2020)</w:t>
            </w:r>
          </w:p>
        </w:tc>
      </w:tr>
      <w:tr w:rsidR="00FA7B8D" w:rsidRPr="00244FB2" w14:paraId="42667307" w14:textId="77777777" w:rsidTr="00D15288">
        <w:tc>
          <w:tcPr>
            <w:tcW w:w="1017" w:type="pct"/>
            <w:shd w:val="clear" w:color="auto" w:fill="auto"/>
            <w:vAlign w:val="center"/>
          </w:tcPr>
          <w:p w14:paraId="7418A278" w14:textId="77777777" w:rsidR="00FA7B8D" w:rsidRPr="00244FB2" w:rsidRDefault="00FA7B8D" w:rsidP="00312840">
            <w:pPr>
              <w:pStyle w:val="TableText"/>
            </w:pPr>
            <w:r w:rsidRPr="00244FB2">
              <w:t xml:space="preserve">Transition probability </w:t>
            </w:r>
          </w:p>
        </w:tc>
        <w:tc>
          <w:tcPr>
            <w:tcW w:w="3983" w:type="pct"/>
            <w:shd w:val="clear" w:color="auto" w:fill="auto"/>
            <w:vAlign w:val="center"/>
          </w:tcPr>
          <w:p w14:paraId="701DCDA0" w14:textId="77777777" w:rsidR="00FA7B8D" w:rsidRPr="00244FB2" w:rsidRDefault="00FA7B8D" w:rsidP="00312840">
            <w:pPr>
              <w:pStyle w:val="TableText"/>
              <w:rPr>
                <w:szCs w:val="20"/>
              </w:rPr>
            </w:pPr>
            <w:r w:rsidRPr="00244FB2">
              <w:rPr>
                <w:szCs w:val="20"/>
              </w:rPr>
              <w:t xml:space="preserve">Transition probabilities for treatment persistence, relapse events and disability progression were derived from PREVENT trial data. Transition probabilities for relapse-related death were based on published estimates (Mealy 2018). Transition probabilities for general mortality were based on Australian life tables  </w:t>
            </w:r>
          </w:p>
        </w:tc>
      </w:tr>
      <w:tr w:rsidR="00FA7B8D" w:rsidRPr="00244FB2" w14:paraId="0B984579" w14:textId="77777777" w:rsidTr="00D15288">
        <w:tc>
          <w:tcPr>
            <w:tcW w:w="1017" w:type="pct"/>
            <w:shd w:val="clear" w:color="auto" w:fill="auto"/>
            <w:vAlign w:val="center"/>
          </w:tcPr>
          <w:p w14:paraId="6F57AFC7" w14:textId="77777777" w:rsidR="00FA7B8D" w:rsidRPr="00244FB2" w:rsidRDefault="00FA7B8D" w:rsidP="00312840">
            <w:pPr>
              <w:pStyle w:val="TableText"/>
            </w:pPr>
            <w:r w:rsidRPr="00244FB2">
              <w:t>Extrapolation method</w:t>
            </w:r>
          </w:p>
        </w:tc>
        <w:tc>
          <w:tcPr>
            <w:tcW w:w="3983" w:type="pct"/>
            <w:shd w:val="clear" w:color="auto" w:fill="auto"/>
            <w:vAlign w:val="center"/>
          </w:tcPr>
          <w:p w14:paraId="11FF5623" w14:textId="77777777" w:rsidR="00FA7B8D" w:rsidRPr="00244FB2" w:rsidRDefault="00FA7B8D" w:rsidP="00312840">
            <w:pPr>
              <w:pStyle w:val="TableText"/>
            </w:pPr>
            <w:r w:rsidRPr="00244FB2">
              <w:t>The probability of relapse, treatment efficacy and treatment persistence were assumed to remain constant over time</w:t>
            </w:r>
          </w:p>
        </w:tc>
      </w:tr>
      <w:tr w:rsidR="00FA7B8D" w:rsidRPr="00244FB2" w14:paraId="4EAB31B0" w14:textId="77777777" w:rsidTr="00D15288">
        <w:tc>
          <w:tcPr>
            <w:tcW w:w="1017" w:type="pct"/>
            <w:shd w:val="clear" w:color="auto" w:fill="auto"/>
            <w:vAlign w:val="center"/>
          </w:tcPr>
          <w:p w14:paraId="6BADF4BE" w14:textId="77777777" w:rsidR="00FA7B8D" w:rsidRPr="00244FB2" w:rsidRDefault="00FA7B8D" w:rsidP="00312840">
            <w:pPr>
              <w:pStyle w:val="TableText"/>
            </w:pPr>
            <w:r w:rsidRPr="00244FB2">
              <w:t>Utility values</w:t>
            </w:r>
          </w:p>
        </w:tc>
        <w:tc>
          <w:tcPr>
            <w:tcW w:w="3983" w:type="pct"/>
            <w:shd w:val="clear" w:color="auto" w:fill="auto"/>
            <w:vAlign w:val="center"/>
          </w:tcPr>
          <w:p w14:paraId="0B93094C" w14:textId="77777777" w:rsidR="00FA7B8D" w:rsidRPr="00244FB2" w:rsidRDefault="00FA7B8D" w:rsidP="00312840">
            <w:pPr>
              <w:pStyle w:val="Tabletext0"/>
              <w:keepNext/>
              <w:rPr>
                <w:rFonts w:eastAsia="Calibri"/>
              </w:rPr>
            </w:pPr>
            <w:r w:rsidRPr="00244FB2">
              <w:rPr>
                <w:rFonts w:eastAsia="Calibri"/>
              </w:rPr>
              <w:t>Relapse disutility values were based on a published survey of multiple sclerosis patients in the UK using the EQ-5D-3L utility instrument (</w:t>
            </w:r>
            <w:proofErr w:type="spellStart"/>
            <w:r w:rsidRPr="00244FB2">
              <w:rPr>
                <w:rFonts w:eastAsia="Calibri"/>
              </w:rPr>
              <w:t>Orne</w:t>
            </w:r>
            <w:proofErr w:type="spellEnd"/>
            <w:r w:rsidRPr="00244FB2">
              <w:rPr>
                <w:rFonts w:eastAsia="Calibri"/>
              </w:rPr>
              <w:t xml:space="preserve"> 2007)</w:t>
            </w:r>
          </w:p>
          <w:p w14:paraId="22D86E38" w14:textId="77777777" w:rsidR="00FA7B8D" w:rsidRPr="00244FB2" w:rsidRDefault="00FA7B8D" w:rsidP="00312840">
            <w:pPr>
              <w:pStyle w:val="Tabletext0"/>
              <w:keepNext/>
              <w:rPr>
                <w:rFonts w:eastAsia="Calibri"/>
              </w:rPr>
            </w:pPr>
          </w:p>
          <w:p w14:paraId="64092A5E" w14:textId="77777777" w:rsidR="00FA7B8D" w:rsidRPr="00244FB2" w:rsidRDefault="00FA7B8D" w:rsidP="00312840">
            <w:pPr>
              <w:pStyle w:val="TableText"/>
            </w:pPr>
            <w:r w:rsidRPr="00244FB2">
              <w:rPr>
                <w:rFonts w:eastAsia="Calibri"/>
              </w:rPr>
              <w:t>Health state utilities were based on a post-hoc analysis of EQ-5D-3L data (UK weights) from both treatment arms in the PREVENT trial and ECU-NMO-302 extension.</w:t>
            </w:r>
          </w:p>
        </w:tc>
      </w:tr>
      <w:tr w:rsidR="00FA7B8D" w:rsidRPr="00244FB2" w14:paraId="381AA2E7" w14:textId="77777777" w:rsidTr="00D15288">
        <w:tc>
          <w:tcPr>
            <w:tcW w:w="1017" w:type="pct"/>
            <w:shd w:val="clear" w:color="auto" w:fill="auto"/>
            <w:vAlign w:val="center"/>
          </w:tcPr>
          <w:p w14:paraId="189E091A" w14:textId="77777777" w:rsidR="00FA7B8D" w:rsidRPr="00244FB2" w:rsidRDefault="00FA7B8D" w:rsidP="00312840">
            <w:pPr>
              <w:pStyle w:val="TableText"/>
            </w:pPr>
            <w:r w:rsidRPr="00244FB2">
              <w:t>Costs</w:t>
            </w:r>
          </w:p>
        </w:tc>
        <w:tc>
          <w:tcPr>
            <w:tcW w:w="3983" w:type="pct"/>
            <w:shd w:val="clear" w:color="auto" w:fill="auto"/>
            <w:vAlign w:val="center"/>
          </w:tcPr>
          <w:p w14:paraId="01CFEDF6" w14:textId="77777777" w:rsidR="00FA7B8D" w:rsidRPr="00244FB2" w:rsidRDefault="00FA7B8D" w:rsidP="00312840">
            <w:pPr>
              <w:pStyle w:val="TableText"/>
            </w:pPr>
            <w:r w:rsidRPr="00244FB2">
              <w:t>Relapse costs were based on a poster presentation of US administrative claims data for NMOSD patients (</w:t>
            </w:r>
            <w:proofErr w:type="spellStart"/>
            <w:r w:rsidRPr="00244FB2">
              <w:t>Stafkey-Mailey</w:t>
            </w:r>
            <w:proofErr w:type="spellEnd"/>
            <w:r w:rsidRPr="00244FB2">
              <w:t xml:space="preserve"> 2016).</w:t>
            </w:r>
          </w:p>
          <w:p w14:paraId="20E89CBC" w14:textId="77777777" w:rsidR="00FA7B8D" w:rsidRPr="00244FB2" w:rsidRDefault="00FA7B8D" w:rsidP="00312840">
            <w:pPr>
              <w:pStyle w:val="TableText"/>
            </w:pPr>
          </w:p>
          <w:p w14:paraId="16D18BC7" w14:textId="77777777" w:rsidR="00FA7B8D" w:rsidRPr="00244FB2" w:rsidRDefault="00FA7B8D" w:rsidP="00312840">
            <w:pPr>
              <w:pStyle w:val="TableText"/>
            </w:pPr>
            <w:r w:rsidRPr="00244FB2">
              <w:t>Health state costs were based on a published observational study of Australian multiple sclerosis patients (Australian MS Longitudinal Study; Palmer 2011)</w:t>
            </w:r>
          </w:p>
          <w:p w14:paraId="7FEC139A" w14:textId="77777777" w:rsidR="00FA7B8D" w:rsidRPr="00244FB2" w:rsidRDefault="00FA7B8D" w:rsidP="00312840">
            <w:pPr>
              <w:pStyle w:val="TableText"/>
            </w:pPr>
          </w:p>
          <w:p w14:paraId="1EB8F1A2" w14:textId="77777777" w:rsidR="00FA7B8D" w:rsidRPr="00244FB2" w:rsidRDefault="00FA7B8D" w:rsidP="00312840">
            <w:pPr>
              <w:pStyle w:val="Tabletext0"/>
              <w:keepNext/>
              <w:rPr>
                <w:rFonts w:eastAsia="Calibri"/>
              </w:rPr>
            </w:pPr>
            <w:proofErr w:type="spellStart"/>
            <w:r w:rsidRPr="00244FB2">
              <w:t>Eculizumab</w:t>
            </w:r>
            <w:proofErr w:type="spellEnd"/>
            <w:r w:rsidRPr="00244FB2">
              <w:t xml:space="preserve"> drug costs were based on the proposed DPMQ. Treatment administration costs were estimated based on MBS costs for chemotherapy infusions. </w:t>
            </w:r>
          </w:p>
        </w:tc>
      </w:tr>
      <w:tr w:rsidR="00FA7B8D" w:rsidRPr="00244FB2" w14:paraId="605ACAEF" w14:textId="77777777" w:rsidTr="00D15288">
        <w:tc>
          <w:tcPr>
            <w:tcW w:w="1017" w:type="pct"/>
            <w:shd w:val="clear" w:color="auto" w:fill="auto"/>
            <w:vAlign w:val="center"/>
          </w:tcPr>
          <w:p w14:paraId="70E84398" w14:textId="77777777" w:rsidR="00FA7B8D" w:rsidRPr="00244FB2" w:rsidRDefault="00FA7B8D" w:rsidP="00312840">
            <w:pPr>
              <w:pStyle w:val="TableText"/>
            </w:pPr>
            <w:r w:rsidRPr="00244FB2">
              <w:t>Discount rate</w:t>
            </w:r>
          </w:p>
        </w:tc>
        <w:tc>
          <w:tcPr>
            <w:tcW w:w="3983" w:type="pct"/>
            <w:shd w:val="clear" w:color="auto" w:fill="auto"/>
            <w:vAlign w:val="center"/>
          </w:tcPr>
          <w:p w14:paraId="19760998" w14:textId="77777777" w:rsidR="00FA7B8D" w:rsidRPr="00244FB2" w:rsidRDefault="00FA7B8D" w:rsidP="00312840">
            <w:pPr>
              <w:pStyle w:val="TableText"/>
            </w:pPr>
            <w:r w:rsidRPr="00244FB2">
              <w:t>5% for costs and outcomes</w:t>
            </w:r>
          </w:p>
        </w:tc>
      </w:tr>
      <w:tr w:rsidR="00FA7B8D" w:rsidRPr="00244FB2" w14:paraId="6423087D" w14:textId="77777777" w:rsidTr="00D15288">
        <w:tc>
          <w:tcPr>
            <w:tcW w:w="1017" w:type="pct"/>
            <w:shd w:val="clear" w:color="auto" w:fill="auto"/>
            <w:vAlign w:val="center"/>
          </w:tcPr>
          <w:p w14:paraId="16280DF1" w14:textId="77777777" w:rsidR="00FA7B8D" w:rsidRPr="00244FB2" w:rsidRDefault="00FA7B8D" w:rsidP="00312840">
            <w:pPr>
              <w:pStyle w:val="TableText"/>
              <w:rPr>
                <w:rFonts w:ascii="Times" w:eastAsia="Times New Roman" w:hAnsi="Times" w:cs="Times New Roman"/>
                <w:szCs w:val="20"/>
              </w:rPr>
            </w:pPr>
            <w:r w:rsidRPr="00244FB2">
              <w:t>Software package</w:t>
            </w:r>
          </w:p>
        </w:tc>
        <w:tc>
          <w:tcPr>
            <w:tcW w:w="3983" w:type="pct"/>
            <w:shd w:val="clear" w:color="auto" w:fill="auto"/>
            <w:vAlign w:val="center"/>
          </w:tcPr>
          <w:p w14:paraId="19AB853C" w14:textId="77777777" w:rsidR="00FA7B8D" w:rsidRPr="00244FB2" w:rsidRDefault="00FA7B8D" w:rsidP="00312840">
            <w:pPr>
              <w:pStyle w:val="TableText"/>
            </w:pPr>
            <w:proofErr w:type="spellStart"/>
            <w:r w:rsidRPr="00244FB2">
              <w:t>TreeAge</w:t>
            </w:r>
            <w:proofErr w:type="spellEnd"/>
            <w:r w:rsidRPr="00244FB2">
              <w:t xml:space="preserve"> Pro Healthcare 2020</w:t>
            </w:r>
          </w:p>
        </w:tc>
      </w:tr>
    </w:tbl>
    <w:p w14:paraId="2F099E5E" w14:textId="77777777" w:rsidR="00911883" w:rsidRPr="00244FB2" w:rsidRDefault="00911883" w:rsidP="000378C8">
      <w:pPr>
        <w:pStyle w:val="TableFooter"/>
      </w:pPr>
      <w:r w:rsidRPr="00244FB2">
        <w:t>Source: Table 3-1 (p 110-111) of the submission</w:t>
      </w:r>
    </w:p>
    <w:p w14:paraId="1F0D58C3" w14:textId="77777777" w:rsidR="000378C8" w:rsidRPr="00244FB2" w:rsidRDefault="007F622B" w:rsidP="00E37B70">
      <w:pPr>
        <w:pStyle w:val="TableFooter"/>
        <w:spacing w:after="120"/>
      </w:pPr>
      <w:r w:rsidRPr="00244FB2">
        <w:t xml:space="preserve">CADTH = Canadian Agency for Drugs and Technologies in Health; </w:t>
      </w:r>
      <w:r w:rsidR="000378C8" w:rsidRPr="00244FB2">
        <w:t>DPMQ = dispensed price per maximum quantity; EDSS = Expanded Disability Status Sc</w:t>
      </w:r>
      <w:r w:rsidR="00C67CF3" w:rsidRPr="00244FB2">
        <w:t>ale</w:t>
      </w:r>
      <w:r w:rsidR="000378C8" w:rsidRPr="00244FB2">
        <w:t xml:space="preserve">; </w:t>
      </w:r>
      <w:r w:rsidRPr="00244FB2">
        <w:t xml:space="preserve">ESC = Economic Sub-Committee; </w:t>
      </w:r>
      <w:r w:rsidR="000378C8" w:rsidRPr="00244FB2">
        <w:t xml:space="preserve">MBS = Medicare Benefits Schedule; NMOSD = </w:t>
      </w:r>
      <w:proofErr w:type="spellStart"/>
      <w:r w:rsidR="000378C8" w:rsidRPr="00244FB2">
        <w:t>neuromyelitis</w:t>
      </w:r>
      <w:proofErr w:type="spellEnd"/>
      <w:r w:rsidR="000378C8" w:rsidRPr="00244FB2">
        <w:t xml:space="preserve"> </w:t>
      </w:r>
      <w:proofErr w:type="spellStart"/>
      <w:r w:rsidR="000378C8" w:rsidRPr="00244FB2">
        <w:t>optica</w:t>
      </w:r>
      <w:proofErr w:type="spellEnd"/>
      <w:r w:rsidR="000378C8" w:rsidRPr="00244FB2">
        <w:t xml:space="preserve"> spectrum disorder; UK = United Kingdom; US = United States</w:t>
      </w:r>
    </w:p>
    <w:p w14:paraId="5E12F7CC" w14:textId="77777777" w:rsidR="000378C8" w:rsidRPr="00244FB2" w:rsidRDefault="000378C8" w:rsidP="000378C8"/>
    <w:p w14:paraId="18B9277A" w14:textId="77777777" w:rsidR="00275C5A" w:rsidRPr="00244FB2" w:rsidRDefault="00FA7B8D" w:rsidP="00FA7B8D">
      <w:pPr>
        <w:pStyle w:val="ExecSumBodyText"/>
        <w:rPr>
          <w:bCs/>
        </w:rPr>
      </w:pPr>
      <w:r w:rsidRPr="00244FB2">
        <w:rPr>
          <w:bCs/>
        </w:rPr>
        <w:t>Patients begin the model in various EDSS health states based on the estimated distribution in the Australian NMOSD population</w:t>
      </w:r>
      <w:r w:rsidR="00F27135" w:rsidRPr="00244FB2">
        <w:rPr>
          <w:bCs/>
        </w:rPr>
        <w:t xml:space="preserve"> (Bukhari 2020)</w:t>
      </w:r>
      <w:r w:rsidRPr="00244FB2">
        <w:rPr>
          <w:bCs/>
        </w:rPr>
        <w:t xml:space="preserve">. In each cycle, patients can have no event or experience a non-fatal relapse, fatal relapse or death due to general mortality. Patients experiencing a non-fatal relapse may suffer permanent disability progression and transition to a higher EDSS health state. Patients in the </w:t>
      </w:r>
      <w:proofErr w:type="spellStart"/>
      <w:r w:rsidRPr="00244FB2">
        <w:rPr>
          <w:bCs/>
        </w:rPr>
        <w:t>eculizumab</w:t>
      </w:r>
      <w:proofErr w:type="spellEnd"/>
      <w:r w:rsidRPr="00244FB2">
        <w:rPr>
          <w:bCs/>
        </w:rPr>
        <w:t xml:space="preserve"> treatment arm may discontinue treatment and revert to the same transition probabilities as the best supportive care arm.</w:t>
      </w:r>
    </w:p>
    <w:p w14:paraId="122C290C" w14:textId="77777777" w:rsidR="00DE1845" w:rsidRPr="00244FB2" w:rsidRDefault="00DE1845" w:rsidP="00F915E4">
      <w:pPr>
        <w:pStyle w:val="ExecSumBodyText"/>
        <w:rPr>
          <w:bCs/>
        </w:rPr>
      </w:pPr>
      <w:r w:rsidRPr="00244FB2">
        <w:t xml:space="preserve">The ESC noted that the economic model was </w:t>
      </w:r>
      <w:r w:rsidR="007D3E50" w:rsidRPr="00244FB2">
        <w:t xml:space="preserve">overly </w:t>
      </w:r>
      <w:r w:rsidRPr="00244FB2">
        <w:t xml:space="preserve">complex with 20 health states and two death states. The ESC </w:t>
      </w:r>
      <w:r w:rsidR="00BD0AA7" w:rsidRPr="00244FB2">
        <w:t>considered it was</w:t>
      </w:r>
      <w:r w:rsidRPr="00244FB2">
        <w:t xml:space="preserve"> unclear </w:t>
      </w:r>
      <w:r w:rsidR="00BD0AA7" w:rsidRPr="00244FB2">
        <w:t>whether the</w:t>
      </w:r>
      <w:r w:rsidRPr="00244FB2">
        <w:t xml:space="preserve"> EDSS </w:t>
      </w:r>
      <w:r w:rsidR="00BD0AA7" w:rsidRPr="00244FB2">
        <w:t xml:space="preserve">health </w:t>
      </w:r>
      <w:r w:rsidRPr="00244FB2">
        <w:t>states</w:t>
      </w:r>
      <w:r w:rsidR="00BD0AA7" w:rsidRPr="00244FB2">
        <w:t xml:space="preserve"> adequately</w:t>
      </w:r>
      <w:r w:rsidRPr="00244FB2">
        <w:t xml:space="preserve"> cap</w:t>
      </w:r>
      <w:r w:rsidR="00BD0AA7" w:rsidRPr="00244FB2">
        <w:t>ture NMOSD-</w:t>
      </w:r>
      <w:r w:rsidR="009600C8" w:rsidRPr="00244FB2">
        <w:t>related disability, and also noted the</w:t>
      </w:r>
      <w:r w:rsidR="00BD0AA7" w:rsidRPr="00244FB2">
        <w:t xml:space="preserve"> probability of disability progression in the model was based on a </w:t>
      </w:r>
      <w:r w:rsidR="009600C8" w:rsidRPr="00244FB2">
        <w:t>small number</w:t>
      </w:r>
      <w:r w:rsidR="00BD0AA7" w:rsidRPr="00244FB2">
        <w:t xml:space="preserve"> of</w:t>
      </w:r>
      <w:r w:rsidR="009600C8" w:rsidRPr="00244FB2">
        <w:t xml:space="preserve"> </w:t>
      </w:r>
      <w:r w:rsidR="00BD0AA7" w:rsidRPr="00244FB2">
        <w:t xml:space="preserve">patients (23 patients) </w:t>
      </w:r>
      <w:r w:rsidR="00C4126B" w:rsidRPr="00244FB2">
        <w:t>from</w:t>
      </w:r>
      <w:r w:rsidR="00BD0AA7" w:rsidRPr="00244FB2">
        <w:t xml:space="preserve"> a post-hoc analysis of EDSS scores </w:t>
      </w:r>
      <w:r w:rsidR="00A9167A" w:rsidRPr="00244FB2">
        <w:t xml:space="preserve">in the PREVENT trial </w:t>
      </w:r>
      <w:r w:rsidR="00BD0AA7" w:rsidRPr="00244FB2">
        <w:t xml:space="preserve">at </w:t>
      </w:r>
      <w:r w:rsidR="00A9167A" w:rsidRPr="00244FB2">
        <w:t>four to six wee</w:t>
      </w:r>
      <w:r w:rsidR="00BD0AA7" w:rsidRPr="00244FB2">
        <w:t>k</w:t>
      </w:r>
      <w:r w:rsidR="00A9167A" w:rsidRPr="00244FB2">
        <w:t>s</w:t>
      </w:r>
      <w:r w:rsidR="00BD0AA7" w:rsidRPr="00244FB2">
        <w:t xml:space="preserve"> after relapse.</w:t>
      </w:r>
      <w:r w:rsidR="009600C8" w:rsidRPr="00244FB2">
        <w:t xml:space="preserve"> </w:t>
      </w:r>
      <w:r w:rsidRPr="00244FB2">
        <w:rPr>
          <w:bCs/>
        </w:rPr>
        <w:t>The ESC noted the model submitted to CADTH appeared to have</w:t>
      </w:r>
      <w:r w:rsidR="009600C8" w:rsidRPr="00244FB2">
        <w:rPr>
          <w:bCs/>
        </w:rPr>
        <w:t xml:space="preserve"> </w:t>
      </w:r>
      <w:r w:rsidRPr="00244FB2">
        <w:rPr>
          <w:bCs/>
        </w:rPr>
        <w:t xml:space="preserve">a simpler structure with four health states that aligned with key NMOSD disabilities (relapse free, relapse, long-term disability and death). </w:t>
      </w:r>
      <w:r w:rsidR="00E14390" w:rsidRPr="00244FB2">
        <w:rPr>
          <w:bCs/>
        </w:rPr>
        <w:t>The pre-PBAC response clarified that the CADTH model was not necessarily simpler as the four health states were further divided into a series of tunnel health states.</w:t>
      </w:r>
      <w:r w:rsidR="00300AD7" w:rsidRPr="00244FB2">
        <w:rPr>
          <w:bCs/>
        </w:rPr>
        <w:t xml:space="preserve"> </w:t>
      </w:r>
      <w:r w:rsidR="00AB5D4E" w:rsidRPr="00244FB2">
        <w:t xml:space="preserve">The pre-PBAC response also stated that a simpler “relapse free” health state (as used in the model submitted to CADTH) inappropriately combines all patients of varying disabilities in a single health state with a single utility value and a single estimate of resource utilisation. </w:t>
      </w:r>
    </w:p>
    <w:p w14:paraId="432F6DE7" w14:textId="77777777" w:rsidR="00FA7B8D" w:rsidRPr="00244FB2" w:rsidRDefault="00FA7B8D" w:rsidP="00FA7B8D">
      <w:pPr>
        <w:pStyle w:val="ExecSumBodyText"/>
      </w:pPr>
      <w:r w:rsidRPr="00244FB2">
        <w:t>Key drivers of the economic model are summarised in the table below</w:t>
      </w:r>
      <w:r w:rsidR="003D570C" w:rsidRPr="00244FB2">
        <w:t>.</w:t>
      </w:r>
    </w:p>
    <w:p w14:paraId="0D9807C5" w14:textId="77777777" w:rsidR="00FA7B8D" w:rsidRPr="00244FB2" w:rsidRDefault="00D4220C" w:rsidP="00943A54">
      <w:pPr>
        <w:pStyle w:val="TableFigureCaption"/>
      </w:pPr>
      <w:r w:rsidRPr="00244FB2">
        <w:lastRenderedPageBreak/>
        <w:t>Table 8</w:t>
      </w:r>
      <w:r w:rsidR="00FA7B8D" w:rsidRPr="00244FB2">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579"/>
        <w:gridCol w:w="1309"/>
      </w:tblGrid>
      <w:tr w:rsidR="00FA7B8D" w:rsidRPr="00244FB2" w14:paraId="761316CC" w14:textId="77777777" w:rsidTr="00943A54">
        <w:trPr>
          <w:cantSplit/>
          <w:tblHeader/>
        </w:trPr>
        <w:tc>
          <w:tcPr>
            <w:tcW w:w="626" w:type="pct"/>
            <w:shd w:val="clear" w:color="auto" w:fill="auto"/>
            <w:vAlign w:val="center"/>
          </w:tcPr>
          <w:p w14:paraId="1C6EC3AC" w14:textId="77777777" w:rsidR="00FA7B8D" w:rsidRPr="00244FB2" w:rsidRDefault="00FA7B8D" w:rsidP="00943A54">
            <w:pPr>
              <w:pStyle w:val="Tableheadingrow"/>
              <w:jc w:val="center"/>
              <w:rPr>
                <w:lang w:val="en-AU"/>
              </w:rPr>
            </w:pPr>
            <w:r w:rsidRPr="00244FB2">
              <w:rPr>
                <w:lang w:val="en-AU"/>
              </w:rPr>
              <w:t>Description</w:t>
            </w:r>
          </w:p>
        </w:tc>
        <w:tc>
          <w:tcPr>
            <w:tcW w:w="3648" w:type="pct"/>
            <w:shd w:val="clear" w:color="auto" w:fill="auto"/>
            <w:vAlign w:val="center"/>
          </w:tcPr>
          <w:p w14:paraId="60554C50" w14:textId="77777777" w:rsidR="00FA7B8D" w:rsidRPr="00244FB2" w:rsidRDefault="00FA7B8D" w:rsidP="00943A54">
            <w:pPr>
              <w:pStyle w:val="Tableheadingrow"/>
              <w:jc w:val="center"/>
              <w:rPr>
                <w:lang w:val="en-AU"/>
              </w:rPr>
            </w:pPr>
            <w:r w:rsidRPr="00244FB2">
              <w:rPr>
                <w:lang w:val="en-AU"/>
              </w:rPr>
              <w:t>Method/Value</w:t>
            </w:r>
          </w:p>
        </w:tc>
        <w:tc>
          <w:tcPr>
            <w:tcW w:w="726" w:type="pct"/>
            <w:shd w:val="clear" w:color="auto" w:fill="auto"/>
            <w:vAlign w:val="center"/>
          </w:tcPr>
          <w:p w14:paraId="435D870F" w14:textId="77777777" w:rsidR="00FA7B8D" w:rsidRPr="00244FB2" w:rsidRDefault="00FA7B8D" w:rsidP="00943A54">
            <w:pPr>
              <w:pStyle w:val="Tableheadingrow"/>
              <w:jc w:val="center"/>
              <w:rPr>
                <w:lang w:val="en-AU"/>
              </w:rPr>
            </w:pPr>
            <w:r w:rsidRPr="00244FB2">
              <w:rPr>
                <w:lang w:val="en-AU"/>
              </w:rPr>
              <w:t>Impact</w:t>
            </w:r>
          </w:p>
        </w:tc>
      </w:tr>
      <w:tr w:rsidR="00112C3D" w:rsidRPr="00244FB2" w14:paraId="048AFED7" w14:textId="77777777" w:rsidTr="00943A54">
        <w:trPr>
          <w:cantSplit/>
        </w:trPr>
        <w:tc>
          <w:tcPr>
            <w:tcW w:w="626" w:type="pct"/>
            <w:shd w:val="clear" w:color="auto" w:fill="auto"/>
            <w:vAlign w:val="center"/>
          </w:tcPr>
          <w:p w14:paraId="555E93D5" w14:textId="77777777" w:rsidR="00112C3D" w:rsidRPr="00244FB2" w:rsidRDefault="00112C3D" w:rsidP="003C0AF3">
            <w:pPr>
              <w:pStyle w:val="TableText"/>
              <w:keepNext w:val="0"/>
              <w:jc w:val="center"/>
            </w:pPr>
            <w:r w:rsidRPr="00244FB2">
              <w:t>Relapse rate</w:t>
            </w:r>
          </w:p>
        </w:tc>
        <w:tc>
          <w:tcPr>
            <w:tcW w:w="3648" w:type="pct"/>
            <w:shd w:val="clear" w:color="auto" w:fill="auto"/>
            <w:vAlign w:val="center"/>
          </w:tcPr>
          <w:p w14:paraId="285A38CF" w14:textId="77777777" w:rsidR="00112C3D" w:rsidRPr="00244FB2" w:rsidRDefault="00DD2407" w:rsidP="003C0AF3">
            <w:pPr>
              <w:pStyle w:val="TableText"/>
              <w:keepNext w:val="0"/>
            </w:pPr>
            <w:r w:rsidRPr="00244FB2">
              <w:t>The submission estimated the risk of relapse with best supportive care based on the adjudicated annualised relapse rate reported in the placebo arm of the PREVENT trial.</w:t>
            </w:r>
          </w:p>
          <w:p w14:paraId="28421C4A" w14:textId="77777777" w:rsidR="00DD2407" w:rsidRPr="00244FB2" w:rsidRDefault="00DD2407" w:rsidP="003C0AF3">
            <w:pPr>
              <w:pStyle w:val="TableText"/>
              <w:keepNext w:val="0"/>
            </w:pPr>
          </w:p>
          <w:p w14:paraId="0B441A7A" w14:textId="77777777" w:rsidR="00DD2407" w:rsidRPr="00244FB2" w:rsidRDefault="00DD2407" w:rsidP="003C0AF3">
            <w:pPr>
              <w:pStyle w:val="TableText"/>
              <w:keepNext w:val="0"/>
            </w:pPr>
            <w:r w:rsidRPr="00244FB2">
              <w:t xml:space="preserve">It is unclear whether the relapse rate from the PREVENT trial population can be generalised to the </w:t>
            </w:r>
            <w:r w:rsidR="0059019D" w:rsidRPr="00244FB2">
              <w:t xml:space="preserve">requested </w:t>
            </w:r>
            <w:r w:rsidRPr="00244FB2">
              <w:t>PBS population given the differences in eligibility criteria between the two populations.</w:t>
            </w:r>
            <w:r w:rsidR="00BF5BE2" w:rsidRPr="00244FB2">
              <w:t xml:space="preserve"> Overall, the PBS population is likely to include lower risk patients who may not achieve the same magnitude of benefit as the trial population.</w:t>
            </w:r>
          </w:p>
          <w:p w14:paraId="4EB87AC2" w14:textId="77777777" w:rsidR="0024438C" w:rsidRPr="00244FB2" w:rsidRDefault="0024438C" w:rsidP="003C0AF3">
            <w:pPr>
              <w:pStyle w:val="TableText"/>
              <w:keepNext w:val="0"/>
            </w:pPr>
          </w:p>
          <w:p w14:paraId="164A4669" w14:textId="77777777" w:rsidR="00DD2407" w:rsidRPr="00244FB2" w:rsidRDefault="00DD2407" w:rsidP="003C0AF3">
            <w:pPr>
              <w:pStyle w:val="TableText"/>
              <w:keepNext w:val="0"/>
            </w:pPr>
            <w:r w:rsidRPr="00244FB2">
              <w:t xml:space="preserve">It is unclear whether the placebo arm of the PREVENT trial is representative of best supportive care in practice due to the exclusion of rituximab as a treatment option. </w:t>
            </w:r>
          </w:p>
          <w:p w14:paraId="3A7BED22" w14:textId="77777777" w:rsidR="00DD2407" w:rsidRPr="00244FB2" w:rsidRDefault="00DD2407" w:rsidP="003C0AF3">
            <w:pPr>
              <w:pStyle w:val="TableText"/>
              <w:keepNext w:val="0"/>
            </w:pPr>
          </w:p>
          <w:p w14:paraId="3F44F3AA" w14:textId="77777777" w:rsidR="00DD2407" w:rsidRPr="00244FB2" w:rsidRDefault="00DD2407" w:rsidP="003C0AF3">
            <w:pPr>
              <w:pStyle w:val="TableText"/>
              <w:keepNext w:val="0"/>
            </w:pPr>
            <w:r w:rsidRPr="00244FB2">
              <w:t>The modelling of relapses based on adjudicated events may underestimate the frequency of relapses in clinical practice which would typically be assessed by the treating physician.</w:t>
            </w:r>
            <w:r w:rsidR="00FF1D15" w:rsidRPr="00244FB2">
              <w:t xml:space="preserve"> The PSCR noted that the incremental effect of </w:t>
            </w:r>
            <w:proofErr w:type="spellStart"/>
            <w:r w:rsidR="00FF1D15" w:rsidRPr="00244FB2">
              <w:t>eculizumab</w:t>
            </w:r>
            <w:proofErr w:type="spellEnd"/>
            <w:r w:rsidR="00FF1D15" w:rsidRPr="00244FB2">
              <w:t xml:space="preserve"> relative to best supportive care observed in the trial when relapse rates were based on adjudicated </w:t>
            </w:r>
            <w:r w:rsidR="00B8667B" w:rsidRPr="00244FB2">
              <w:t xml:space="preserve">events </w:t>
            </w:r>
            <w:r w:rsidR="00FF1D15" w:rsidRPr="00244FB2">
              <w:t xml:space="preserve">or treating physician assessment were similar (adjudicated rates: </w:t>
            </w:r>
            <w:proofErr w:type="spellStart"/>
            <w:r w:rsidR="00FF1D15" w:rsidRPr="00244FB2">
              <w:t>eculizumab</w:t>
            </w:r>
            <w:proofErr w:type="spellEnd"/>
            <w:r w:rsidR="00FF1D15" w:rsidRPr="00244FB2">
              <w:t xml:space="preserve"> = 0.350 versus placebo = 0.016; difference = 0.334; physician rates: </w:t>
            </w:r>
            <w:proofErr w:type="spellStart"/>
            <w:r w:rsidR="00FF1D15" w:rsidRPr="00244FB2">
              <w:t>eculizumab</w:t>
            </w:r>
            <w:proofErr w:type="spellEnd"/>
            <w:r w:rsidR="00FF1D15" w:rsidRPr="00244FB2">
              <w:t xml:space="preserve"> = 0.446 versus placebo = 0.066; difference = 0.380) and </w:t>
            </w:r>
            <w:r w:rsidR="0059019D" w:rsidRPr="00244FB2">
              <w:t xml:space="preserve">stated </w:t>
            </w:r>
            <w:r w:rsidR="00FF1D15" w:rsidRPr="00244FB2">
              <w:t>that the submission applied adjudicated rates were more conservative.</w:t>
            </w:r>
            <w:r w:rsidR="00B8667B" w:rsidRPr="00244FB2">
              <w:t xml:space="preserve"> </w:t>
            </w:r>
            <w:r w:rsidR="0059019D" w:rsidRPr="00244FB2">
              <w:t>However, the ESC noted that adjudicated rates were not more conservative if both the underlying relapse rate an</w:t>
            </w:r>
            <w:r w:rsidR="00B04BE3" w:rsidRPr="00244FB2">
              <w:t>d treatment efficacy estimates we</w:t>
            </w:r>
            <w:r w:rsidR="0059019D" w:rsidRPr="00244FB2">
              <w:t>re applied. Overall, t</w:t>
            </w:r>
            <w:r w:rsidR="00B8667B" w:rsidRPr="00244FB2">
              <w:t xml:space="preserve">he ESC considered that the use of the adjudicated event relapse definition </w:t>
            </w:r>
            <w:r w:rsidR="000C7AE3" w:rsidRPr="00244FB2">
              <w:t xml:space="preserve">may </w:t>
            </w:r>
            <w:r w:rsidR="00B8667B" w:rsidRPr="00244FB2">
              <w:t xml:space="preserve">not reflect how </w:t>
            </w:r>
            <w:proofErr w:type="spellStart"/>
            <w:r w:rsidR="00B8667B" w:rsidRPr="00244FB2">
              <w:t>eculizumab</w:t>
            </w:r>
            <w:proofErr w:type="spellEnd"/>
            <w:r w:rsidR="00B8667B" w:rsidRPr="00244FB2">
              <w:t xml:space="preserve"> would be administered in clinical practice</w:t>
            </w:r>
            <w:r w:rsidR="00543D20" w:rsidRPr="00244FB2">
              <w:t>, but noted this only had a minor impact on the ICER</w:t>
            </w:r>
            <w:r w:rsidR="00B8667B" w:rsidRPr="00244FB2">
              <w:t>.</w:t>
            </w:r>
          </w:p>
          <w:p w14:paraId="53449115" w14:textId="77777777" w:rsidR="0024438C" w:rsidRPr="00244FB2" w:rsidRDefault="0024438C" w:rsidP="003C0AF3">
            <w:pPr>
              <w:pStyle w:val="TableText"/>
              <w:keepNext w:val="0"/>
            </w:pPr>
          </w:p>
          <w:p w14:paraId="087EA1AF" w14:textId="77777777" w:rsidR="0024438C" w:rsidRPr="00244FB2" w:rsidRDefault="00DD2407" w:rsidP="003C0AF3">
            <w:pPr>
              <w:pStyle w:val="TableText"/>
              <w:keepNext w:val="0"/>
            </w:pPr>
            <w:r w:rsidRPr="00244FB2">
              <w:t>The submission assumed that the probability of relapse remained constant over time. This was inconsistent with the published literature, which indicates that the risk of relapse decreases with time since onset (</w:t>
            </w:r>
            <w:proofErr w:type="spellStart"/>
            <w:r w:rsidRPr="00244FB2">
              <w:t>Kunchock</w:t>
            </w:r>
            <w:proofErr w:type="spellEnd"/>
            <w:r w:rsidRPr="00244FB2">
              <w:t xml:space="preserve"> 2020, Palace 2019)</w:t>
            </w:r>
          </w:p>
        </w:tc>
        <w:tc>
          <w:tcPr>
            <w:tcW w:w="726" w:type="pct"/>
            <w:shd w:val="clear" w:color="auto" w:fill="auto"/>
            <w:vAlign w:val="center"/>
          </w:tcPr>
          <w:p w14:paraId="7D0D5BE3" w14:textId="77777777" w:rsidR="00112C3D" w:rsidRPr="00244FB2" w:rsidRDefault="00DD2407" w:rsidP="003C0AF3">
            <w:pPr>
              <w:pStyle w:val="TableText"/>
              <w:keepNext w:val="0"/>
              <w:jc w:val="center"/>
            </w:pPr>
            <w:r w:rsidRPr="00244FB2">
              <w:t xml:space="preserve">High, favours </w:t>
            </w:r>
            <w:proofErr w:type="spellStart"/>
            <w:r w:rsidRPr="00244FB2">
              <w:t>eculizumab</w:t>
            </w:r>
            <w:proofErr w:type="spellEnd"/>
          </w:p>
        </w:tc>
      </w:tr>
      <w:tr w:rsidR="00112C3D" w:rsidRPr="00244FB2" w14:paraId="7201F5FB" w14:textId="77777777" w:rsidTr="00943A54">
        <w:trPr>
          <w:cantSplit/>
        </w:trPr>
        <w:tc>
          <w:tcPr>
            <w:tcW w:w="626" w:type="pct"/>
            <w:shd w:val="clear" w:color="auto" w:fill="auto"/>
            <w:vAlign w:val="center"/>
          </w:tcPr>
          <w:p w14:paraId="635F3CD2" w14:textId="77777777" w:rsidR="00112C3D" w:rsidRPr="00244FB2" w:rsidRDefault="00112C3D" w:rsidP="003C0AF3">
            <w:pPr>
              <w:pStyle w:val="TableText"/>
              <w:keepNext w:val="0"/>
              <w:jc w:val="center"/>
            </w:pPr>
            <w:r w:rsidRPr="00244FB2">
              <w:t>Treatment efficacy</w:t>
            </w:r>
          </w:p>
        </w:tc>
        <w:tc>
          <w:tcPr>
            <w:tcW w:w="3648" w:type="pct"/>
            <w:shd w:val="clear" w:color="auto" w:fill="auto"/>
            <w:vAlign w:val="center"/>
          </w:tcPr>
          <w:p w14:paraId="57AD1F67" w14:textId="77777777" w:rsidR="00B806A3" w:rsidRPr="00244FB2" w:rsidRDefault="00B806A3" w:rsidP="003C0AF3">
            <w:pPr>
              <w:pStyle w:val="TableText"/>
              <w:keepNext w:val="0"/>
            </w:pPr>
            <w:r w:rsidRPr="00244FB2">
              <w:t xml:space="preserve">The submission estimated the risk of relapse in the </w:t>
            </w:r>
            <w:proofErr w:type="spellStart"/>
            <w:r w:rsidRPr="00244FB2">
              <w:t>eculizumab</w:t>
            </w:r>
            <w:proofErr w:type="spellEnd"/>
            <w:r w:rsidRPr="00244FB2">
              <w:t xml:space="preserve"> treatment arm by applying the hazard ratio from the time to first adjudicated relapse in the PREVENT trial to the risk of relapse in the best supportive care arm.</w:t>
            </w:r>
          </w:p>
          <w:p w14:paraId="279A8777" w14:textId="77777777" w:rsidR="00B806A3" w:rsidRPr="00244FB2" w:rsidRDefault="00B806A3" w:rsidP="003C0AF3">
            <w:pPr>
              <w:pStyle w:val="TableText"/>
              <w:keepNext w:val="0"/>
            </w:pPr>
          </w:p>
          <w:p w14:paraId="6E4B99EC" w14:textId="77777777" w:rsidR="00112C3D" w:rsidRPr="00244FB2" w:rsidRDefault="00B806A3" w:rsidP="003C0AF3">
            <w:pPr>
              <w:pStyle w:val="TableText"/>
              <w:keepNext w:val="0"/>
            </w:pPr>
            <w:r w:rsidRPr="00244FB2">
              <w:t>Treatment effi</w:t>
            </w:r>
            <w:r w:rsidR="00C01113" w:rsidRPr="00244FB2">
              <w:t>cacy estimates based on</w:t>
            </w:r>
            <w:r w:rsidRPr="00244FB2">
              <w:t xml:space="preserve"> relapses assessed by the treating physician may be more applicable </w:t>
            </w:r>
            <w:r w:rsidR="0024438C" w:rsidRPr="00244FB2">
              <w:t>to clinical practice</w:t>
            </w:r>
            <w:r w:rsidR="0059019D" w:rsidRPr="00244FB2">
              <w:t xml:space="preserve"> (as outlined above)</w:t>
            </w:r>
            <w:r w:rsidRPr="00244FB2">
              <w:t>.</w:t>
            </w:r>
          </w:p>
          <w:p w14:paraId="655CEDB1" w14:textId="77777777" w:rsidR="0024438C" w:rsidRPr="00244FB2" w:rsidRDefault="0024438C" w:rsidP="003C0AF3">
            <w:pPr>
              <w:pStyle w:val="TableText"/>
              <w:keepNext w:val="0"/>
            </w:pPr>
          </w:p>
          <w:p w14:paraId="39177BFD" w14:textId="77777777" w:rsidR="0024438C" w:rsidRPr="00244FB2" w:rsidRDefault="00C01113" w:rsidP="003C0AF3">
            <w:pPr>
              <w:pStyle w:val="TableText"/>
              <w:keepNext w:val="0"/>
            </w:pPr>
            <w:r w:rsidRPr="00244FB2">
              <w:t>The submission assumed constant treatment efficacy over time. This assumption could not be validated due to a lack of long-term data.</w:t>
            </w:r>
          </w:p>
        </w:tc>
        <w:tc>
          <w:tcPr>
            <w:tcW w:w="726" w:type="pct"/>
            <w:shd w:val="clear" w:color="auto" w:fill="auto"/>
            <w:vAlign w:val="center"/>
          </w:tcPr>
          <w:p w14:paraId="54FC66D6" w14:textId="77777777" w:rsidR="00112C3D" w:rsidRPr="00244FB2" w:rsidRDefault="00C01113" w:rsidP="003C0AF3">
            <w:pPr>
              <w:pStyle w:val="TableText"/>
              <w:keepNext w:val="0"/>
              <w:jc w:val="center"/>
            </w:pPr>
            <w:r w:rsidRPr="00244FB2">
              <w:t xml:space="preserve">High, favours </w:t>
            </w:r>
            <w:proofErr w:type="spellStart"/>
            <w:r w:rsidRPr="00244FB2">
              <w:t>eculizumab</w:t>
            </w:r>
            <w:proofErr w:type="spellEnd"/>
          </w:p>
        </w:tc>
      </w:tr>
      <w:tr w:rsidR="00FA7B8D" w:rsidRPr="00244FB2" w14:paraId="76ED90CB" w14:textId="77777777" w:rsidTr="00943A54">
        <w:trPr>
          <w:cantSplit/>
        </w:trPr>
        <w:tc>
          <w:tcPr>
            <w:tcW w:w="626" w:type="pct"/>
            <w:shd w:val="clear" w:color="auto" w:fill="auto"/>
            <w:vAlign w:val="center"/>
          </w:tcPr>
          <w:p w14:paraId="5046A102" w14:textId="77777777" w:rsidR="00FA7B8D" w:rsidRPr="00244FB2" w:rsidRDefault="007E01A9" w:rsidP="00DD2407">
            <w:pPr>
              <w:pStyle w:val="TableText"/>
              <w:keepNext w:val="0"/>
              <w:jc w:val="center"/>
            </w:pPr>
            <w:r w:rsidRPr="00244FB2">
              <w:lastRenderedPageBreak/>
              <w:t>Relapse mortality</w:t>
            </w:r>
          </w:p>
        </w:tc>
        <w:tc>
          <w:tcPr>
            <w:tcW w:w="3648" w:type="pct"/>
            <w:shd w:val="clear" w:color="auto" w:fill="auto"/>
            <w:vAlign w:val="center"/>
          </w:tcPr>
          <w:p w14:paraId="409BA943" w14:textId="77777777" w:rsidR="007E01A9" w:rsidRPr="00244FB2" w:rsidRDefault="007E01A9" w:rsidP="00DD2407">
            <w:pPr>
              <w:pStyle w:val="TableText"/>
              <w:keepNext w:val="0"/>
            </w:pPr>
            <w:r w:rsidRPr="00244FB2">
              <w:t>The submission assumed that 7% of relapses were fatal based on an observational study reporting a 7% all-cause mortality incidence in an NMOSD population (Mealy 2018)</w:t>
            </w:r>
            <w:r w:rsidR="00384C59" w:rsidRPr="00244FB2">
              <w:t xml:space="preserve">. The ESC noted that </w:t>
            </w:r>
            <w:r w:rsidR="00E57E72" w:rsidRPr="00244FB2">
              <w:t xml:space="preserve">some </w:t>
            </w:r>
            <w:r w:rsidR="00384C59" w:rsidRPr="00244FB2">
              <w:t xml:space="preserve">of the health gain produced by the model was associated with increased survival for those treated with </w:t>
            </w:r>
            <w:proofErr w:type="spellStart"/>
            <w:r w:rsidR="00E14390" w:rsidRPr="00244FB2">
              <w:t>e</w:t>
            </w:r>
            <w:r w:rsidR="00384C59" w:rsidRPr="00244FB2">
              <w:t>culizumab</w:t>
            </w:r>
            <w:proofErr w:type="spellEnd"/>
            <w:r w:rsidR="00384C59" w:rsidRPr="00244FB2">
              <w:t>, and this seemed unsupported by the evidence presented.</w:t>
            </w:r>
            <w:r w:rsidR="005D4939" w:rsidRPr="00244FB2">
              <w:t xml:space="preserve"> The pre-PBAC response stated that the assumption of a survival benefit with </w:t>
            </w:r>
            <w:proofErr w:type="spellStart"/>
            <w:r w:rsidR="005D4939" w:rsidRPr="00244FB2">
              <w:t>eculizumab</w:t>
            </w:r>
            <w:proofErr w:type="spellEnd"/>
            <w:r w:rsidR="005D4939" w:rsidRPr="00244FB2">
              <w:t xml:space="preserve"> treatment due to a reduction in fatal relapses was reasonable as relapses are associated with a risk of mortality.</w:t>
            </w:r>
          </w:p>
          <w:p w14:paraId="2EB93985" w14:textId="77777777" w:rsidR="007E01A9" w:rsidRPr="00244FB2" w:rsidRDefault="007E01A9" w:rsidP="00DD2407">
            <w:pPr>
              <w:pStyle w:val="TableText"/>
              <w:keepNext w:val="0"/>
            </w:pPr>
          </w:p>
          <w:p w14:paraId="12E0766A" w14:textId="77777777" w:rsidR="00364C03" w:rsidRPr="00244FB2" w:rsidRDefault="00364C03" w:rsidP="00DD2407">
            <w:pPr>
              <w:pStyle w:val="TableText"/>
              <w:keepNext w:val="0"/>
            </w:pPr>
            <w:r w:rsidRPr="00244FB2">
              <w:t xml:space="preserve">The submission inappropriately based the mortality assumption on all-cause mortality (7.0%) rather than NMOSD specific mortality (5.2%). </w:t>
            </w:r>
          </w:p>
          <w:p w14:paraId="482B84D8" w14:textId="77777777" w:rsidR="00364C03" w:rsidRPr="00244FB2" w:rsidRDefault="00364C03" w:rsidP="00DD2407">
            <w:pPr>
              <w:pStyle w:val="TableText"/>
              <w:keepNext w:val="0"/>
            </w:pPr>
          </w:p>
          <w:p w14:paraId="48941F1F" w14:textId="77777777" w:rsidR="00364C03" w:rsidRPr="00244FB2" w:rsidRDefault="00364C03" w:rsidP="00DD2407">
            <w:pPr>
              <w:pStyle w:val="TableText"/>
              <w:keepNext w:val="0"/>
            </w:pPr>
            <w:r w:rsidRPr="00244FB2">
              <w:t>The publication by Mealy noted that there were substantial differences in mortality outcomes between racial groups (African: 19/175, 10.9%; non-African: 3/252, 1.2%). In general, the non-African estimates are likely to be more relevant to the Australian population with NMOSD (primarily Asian or Caucasian; Bukhari et al 2017).</w:t>
            </w:r>
          </w:p>
          <w:p w14:paraId="757ABB21" w14:textId="77777777" w:rsidR="00364C03" w:rsidRPr="00244FB2" w:rsidRDefault="00364C03" w:rsidP="00DD2407">
            <w:pPr>
              <w:pStyle w:val="TableText"/>
              <w:keepNext w:val="0"/>
            </w:pPr>
          </w:p>
          <w:p w14:paraId="0069DD26" w14:textId="77777777" w:rsidR="00FA7B8D" w:rsidRPr="00244FB2" w:rsidRDefault="00364C03" w:rsidP="00DD2407">
            <w:pPr>
              <w:pStyle w:val="TableText"/>
              <w:keepNext w:val="0"/>
            </w:pPr>
            <w:r w:rsidRPr="00244FB2">
              <w:t>The mortality estimate reported in the Mealy publication was not based on relapse events but deaths reported in a population with an average follow-up duration of approximately 10 years (in which patients may have experienced multiple relapse events). Therefore applying the risk estimate to each relapse will substantially overestimate the cumulative mortality risk. To derive a mortality risk per relapse would require the mortality estimate to be distributed across the relapse events that occurred during the observation period</w:t>
            </w:r>
            <w:r w:rsidR="00122963" w:rsidRPr="00244FB2">
              <w:t xml:space="preserve">. </w:t>
            </w:r>
          </w:p>
          <w:p w14:paraId="7855AD87" w14:textId="77777777" w:rsidR="00122963" w:rsidRPr="00244FB2" w:rsidRDefault="00122963" w:rsidP="00DD2407">
            <w:pPr>
              <w:pStyle w:val="TableText"/>
              <w:keepNext w:val="0"/>
            </w:pPr>
          </w:p>
          <w:p w14:paraId="09EF1320" w14:textId="77777777" w:rsidR="00122963" w:rsidRPr="00244FB2" w:rsidRDefault="00122963" w:rsidP="00F2032F">
            <w:pPr>
              <w:pStyle w:val="TableText"/>
              <w:keepNext w:val="0"/>
            </w:pPr>
            <w:r w:rsidRPr="00244FB2">
              <w:t>The PSCR stated that the PREVENT trial was not powered to demon</w:t>
            </w:r>
            <w:r w:rsidR="00B62288" w:rsidRPr="00244FB2">
              <w:t xml:space="preserve">strate a reduction in mortality. The PSCR also stated that the mean age of death in Mealy 2018 was 52 years, which revealed a substantial premature mortality in the NMOSD cohort. </w:t>
            </w:r>
            <w:r w:rsidR="00296376" w:rsidRPr="00244FB2">
              <w:t>R</w:t>
            </w:r>
            <w:r w:rsidR="00B62288" w:rsidRPr="00244FB2">
              <w:t>emoving mortality from the economic model result</w:t>
            </w:r>
            <w:r w:rsidR="00296376" w:rsidRPr="00244FB2">
              <w:t>ed</w:t>
            </w:r>
            <w:r w:rsidR="00B62288" w:rsidRPr="00244FB2">
              <w:t xml:space="preserve"> in a 27% increase in the ICER</w:t>
            </w:r>
            <w:r w:rsidR="00FD2496" w:rsidRPr="00244FB2">
              <w:t xml:space="preserve"> (see ‘No risk of fatal relapse’ sensitivity analysis in Table 1</w:t>
            </w:r>
            <w:r w:rsidR="00F2032F" w:rsidRPr="00244FB2">
              <w:t>0</w:t>
            </w:r>
            <w:r w:rsidR="00FD2496" w:rsidRPr="00244FB2">
              <w:t>)</w:t>
            </w:r>
            <w:r w:rsidR="00B62288" w:rsidRPr="00244FB2">
              <w:t>.</w:t>
            </w:r>
          </w:p>
        </w:tc>
        <w:tc>
          <w:tcPr>
            <w:tcW w:w="726" w:type="pct"/>
            <w:shd w:val="clear" w:color="auto" w:fill="auto"/>
            <w:vAlign w:val="center"/>
          </w:tcPr>
          <w:p w14:paraId="33BD76E3" w14:textId="77777777" w:rsidR="00FA7B8D" w:rsidRPr="00244FB2" w:rsidRDefault="00FA7B8D" w:rsidP="00DD2407">
            <w:pPr>
              <w:pStyle w:val="TableText"/>
              <w:keepNext w:val="0"/>
              <w:jc w:val="center"/>
            </w:pPr>
            <w:r w:rsidRPr="00244FB2">
              <w:t>H</w:t>
            </w:r>
            <w:r w:rsidR="007E01A9" w:rsidRPr="00244FB2">
              <w:t xml:space="preserve">igh, favours </w:t>
            </w:r>
            <w:proofErr w:type="spellStart"/>
            <w:r w:rsidR="007E01A9" w:rsidRPr="00244FB2">
              <w:t>eculizumab</w:t>
            </w:r>
            <w:proofErr w:type="spellEnd"/>
          </w:p>
          <w:p w14:paraId="0686A827" w14:textId="77777777" w:rsidR="00FA7B8D" w:rsidRPr="00244FB2" w:rsidRDefault="00FA7B8D" w:rsidP="00DD2407">
            <w:pPr>
              <w:pStyle w:val="TableText"/>
              <w:keepNext w:val="0"/>
              <w:jc w:val="center"/>
            </w:pPr>
          </w:p>
        </w:tc>
      </w:tr>
      <w:tr w:rsidR="00FA7B8D" w:rsidRPr="00244FB2" w14:paraId="072989F1" w14:textId="77777777" w:rsidTr="00943A54">
        <w:trPr>
          <w:cantSplit/>
        </w:trPr>
        <w:tc>
          <w:tcPr>
            <w:tcW w:w="626" w:type="pct"/>
            <w:shd w:val="clear" w:color="auto" w:fill="auto"/>
            <w:vAlign w:val="center"/>
          </w:tcPr>
          <w:p w14:paraId="12D8B788" w14:textId="77777777" w:rsidR="00FA7B8D" w:rsidRPr="00244FB2" w:rsidRDefault="003D570C" w:rsidP="00DD2407">
            <w:pPr>
              <w:pStyle w:val="TableText"/>
              <w:keepNext w:val="0"/>
              <w:jc w:val="center"/>
            </w:pPr>
            <w:r w:rsidRPr="00244FB2">
              <w:t>Disability progression</w:t>
            </w:r>
          </w:p>
        </w:tc>
        <w:tc>
          <w:tcPr>
            <w:tcW w:w="3648" w:type="pct"/>
            <w:shd w:val="clear" w:color="auto" w:fill="auto"/>
            <w:vAlign w:val="center"/>
          </w:tcPr>
          <w:p w14:paraId="1F059295" w14:textId="77777777" w:rsidR="00112C3D" w:rsidRPr="00244FB2" w:rsidRDefault="00112C3D" w:rsidP="00DD2407">
            <w:pPr>
              <w:pStyle w:val="TableText"/>
              <w:keepNext w:val="0"/>
            </w:pPr>
            <w:r w:rsidRPr="00244FB2">
              <w:t>The submission estimated the probability of disability progression following relapse, based on a post-hoc analysis of EDSS scores at 4-6 weeks after relapse from both treatment arms in the PREVENT trial. It was unclear whether the estimates from the PREVENT trial adequately reflect the risk of permanent disability progression given they were based on the first assessment 30 days after relapse while the trial data, published reviews and treatment guidelines all suggest the potential for further recovery beyond this time point (</w:t>
            </w:r>
            <w:proofErr w:type="spellStart"/>
            <w:r w:rsidRPr="00244FB2">
              <w:t>UptoDate</w:t>
            </w:r>
            <w:proofErr w:type="spellEnd"/>
            <w:r w:rsidRPr="00244FB2">
              <w:t xml:space="preserve"> 2019; Kessler 2016).</w:t>
            </w:r>
            <w:r w:rsidR="003C0AF3" w:rsidRPr="00244FB2">
              <w:t xml:space="preserve"> The PSCR stated that although the 30 day follow up did not capture all potential recovery, post hoc analysis of the PREVENT trial and the open-label extension study found that the EDSS scores 30 days post relapse were the same as those at 120 days, with peak disability reached at 90 days (</w:t>
            </w:r>
            <w:proofErr w:type="spellStart"/>
            <w:r w:rsidR="003C0AF3" w:rsidRPr="00244FB2">
              <w:t>Berthele</w:t>
            </w:r>
            <w:proofErr w:type="spellEnd"/>
            <w:r w:rsidR="003C0AF3" w:rsidRPr="00244FB2">
              <w:t>, 2020).</w:t>
            </w:r>
            <w:r w:rsidR="00543D20" w:rsidRPr="00244FB2">
              <w:t xml:space="preserve"> Thus, the PSCR stated that the 30 day follow-up adequately captured the level of recovery and disability progression was not overestimated in the model. </w:t>
            </w:r>
            <w:r w:rsidR="00296376" w:rsidRPr="00244FB2">
              <w:t xml:space="preserve">The post hoc data also indicated a mean EDSS score increase of approximately 0.3 points across all patients at 120 days post an adjudicated relapse and that 30% of EDSS changes were clinically meaningful at 120 days. </w:t>
            </w:r>
            <w:r w:rsidR="00543D20" w:rsidRPr="00244FB2">
              <w:t>However, t</w:t>
            </w:r>
            <w:r w:rsidR="00296376" w:rsidRPr="00244FB2">
              <w:t xml:space="preserve">he ESC noted that the economic model estimated a mean EDSS score increase of 0.435 points across all patients, with 43.5% of patients having a clinically important change in EDSS score. The ESC noted that the model </w:t>
            </w:r>
            <w:r w:rsidR="00543D20" w:rsidRPr="00244FB2">
              <w:t xml:space="preserve">overestimates the risk of disability progression, and the model </w:t>
            </w:r>
            <w:r w:rsidR="00296376" w:rsidRPr="00244FB2">
              <w:t>estimates would need a relative reduction of approximately 30% to align with the new post hoc data.</w:t>
            </w:r>
          </w:p>
          <w:p w14:paraId="33D51E1E" w14:textId="77777777" w:rsidR="00112C3D" w:rsidRPr="00244FB2" w:rsidRDefault="00112C3D" w:rsidP="00DD2407">
            <w:pPr>
              <w:pStyle w:val="TableText"/>
              <w:keepNext w:val="0"/>
            </w:pPr>
          </w:p>
          <w:p w14:paraId="11F14363" w14:textId="77777777" w:rsidR="00FA7B8D" w:rsidRPr="00244FB2" w:rsidRDefault="00112C3D" w:rsidP="00DD2407">
            <w:pPr>
              <w:pStyle w:val="TableText"/>
              <w:keepNext w:val="0"/>
            </w:pPr>
            <w:r w:rsidRPr="00244FB2">
              <w:t>The submission noted that the economic model did not attempt to capture visual disability associated with NMOSD. The submission claimed that this approach may underestimate the benefits of delaying disability progression.</w:t>
            </w:r>
          </w:p>
        </w:tc>
        <w:tc>
          <w:tcPr>
            <w:tcW w:w="726" w:type="pct"/>
            <w:shd w:val="clear" w:color="auto" w:fill="auto"/>
            <w:vAlign w:val="center"/>
          </w:tcPr>
          <w:p w14:paraId="6FB2E250" w14:textId="77777777" w:rsidR="00112C3D" w:rsidRPr="00244FB2" w:rsidRDefault="00112C3D" w:rsidP="00DD2407">
            <w:pPr>
              <w:pStyle w:val="TableText"/>
              <w:keepNext w:val="0"/>
              <w:jc w:val="center"/>
            </w:pPr>
            <w:r w:rsidRPr="00244FB2">
              <w:t xml:space="preserve">High, favours </w:t>
            </w:r>
            <w:proofErr w:type="spellStart"/>
            <w:r w:rsidRPr="00244FB2">
              <w:t>eculizumab</w:t>
            </w:r>
            <w:proofErr w:type="spellEnd"/>
          </w:p>
          <w:p w14:paraId="3CA0FD7D" w14:textId="77777777" w:rsidR="00FA7B8D" w:rsidRPr="00244FB2" w:rsidRDefault="00FA7B8D" w:rsidP="00DD2407">
            <w:pPr>
              <w:pStyle w:val="TableText"/>
              <w:keepNext w:val="0"/>
              <w:jc w:val="center"/>
            </w:pPr>
          </w:p>
        </w:tc>
      </w:tr>
      <w:tr w:rsidR="00A207D6" w:rsidRPr="00244FB2" w14:paraId="5E799A9F" w14:textId="77777777" w:rsidTr="00943A54">
        <w:trPr>
          <w:cantSplit/>
        </w:trPr>
        <w:tc>
          <w:tcPr>
            <w:tcW w:w="626" w:type="pct"/>
            <w:shd w:val="clear" w:color="auto" w:fill="auto"/>
            <w:vAlign w:val="center"/>
          </w:tcPr>
          <w:p w14:paraId="5F9D9ABF" w14:textId="77777777" w:rsidR="00A207D6" w:rsidRPr="00244FB2" w:rsidRDefault="00A207D6" w:rsidP="00DD2407">
            <w:pPr>
              <w:pStyle w:val="TableText"/>
              <w:keepNext w:val="0"/>
              <w:jc w:val="center"/>
            </w:pPr>
            <w:r w:rsidRPr="00244FB2">
              <w:lastRenderedPageBreak/>
              <w:t>Health state utility values</w:t>
            </w:r>
          </w:p>
        </w:tc>
        <w:tc>
          <w:tcPr>
            <w:tcW w:w="3648" w:type="pct"/>
            <w:shd w:val="clear" w:color="auto" w:fill="auto"/>
            <w:vAlign w:val="center"/>
          </w:tcPr>
          <w:p w14:paraId="3C467411" w14:textId="77777777" w:rsidR="00846197" w:rsidRPr="00244FB2" w:rsidRDefault="00846197" w:rsidP="00846197">
            <w:pPr>
              <w:pStyle w:val="TableText"/>
              <w:keepNext w:val="0"/>
            </w:pPr>
            <w:r w:rsidRPr="00244FB2">
              <w:t>The submission stated that health state utility values were based on a post-hoc, random effects regression of EQ-5D-3L utility scores reported in the PREVENT trial and the ECU-NMO-302 extension study. This was incorrect, as the presented values were based on the raw utility scores.</w:t>
            </w:r>
          </w:p>
          <w:p w14:paraId="75DF927B" w14:textId="77777777" w:rsidR="00A207D6" w:rsidRPr="00244FB2" w:rsidRDefault="00A207D6" w:rsidP="00DD2407">
            <w:pPr>
              <w:pStyle w:val="TableText"/>
              <w:keepNext w:val="0"/>
            </w:pPr>
          </w:p>
          <w:p w14:paraId="1D035E83" w14:textId="77777777" w:rsidR="00846197" w:rsidRPr="00244FB2" w:rsidRDefault="00846197" w:rsidP="00846197">
            <w:pPr>
              <w:pStyle w:val="TableText"/>
              <w:keepNext w:val="0"/>
            </w:pPr>
            <w:r w:rsidRPr="00244FB2">
              <w:t>There was a limited number of observations informing higher EDSS scores (&gt; 7) which was consistent with the inclusion criteria of the PREVENT trial (patients with EDSS scores 0-7).</w:t>
            </w:r>
          </w:p>
          <w:p w14:paraId="254D9BBC" w14:textId="77777777" w:rsidR="00846197" w:rsidRPr="00244FB2" w:rsidRDefault="00846197" w:rsidP="00DD2407">
            <w:pPr>
              <w:pStyle w:val="TableText"/>
              <w:keepNext w:val="0"/>
            </w:pPr>
          </w:p>
          <w:p w14:paraId="2D5C5477" w14:textId="77777777" w:rsidR="00846197" w:rsidRPr="00244FB2" w:rsidRDefault="00846197" w:rsidP="00DD2407">
            <w:pPr>
              <w:pStyle w:val="TableText"/>
              <w:keepNext w:val="0"/>
            </w:pPr>
            <w:r w:rsidRPr="00244FB2">
              <w:t>The inclusion of all EDSS observations regardless of relapse status was inappropriate as measurements captured during an acute relapse may not be reflective of the underlying scores for each health state. Additionally, the model separately captures the disutility impact of relapses and therefore the inclusion of utility measurements during relapse in health states estimates will double-count the impact of these events.</w:t>
            </w:r>
          </w:p>
          <w:p w14:paraId="4A21128D" w14:textId="77777777" w:rsidR="00846197" w:rsidRPr="00244FB2" w:rsidRDefault="00846197" w:rsidP="00DD2407">
            <w:pPr>
              <w:pStyle w:val="TableText"/>
              <w:keepNext w:val="0"/>
            </w:pPr>
          </w:p>
          <w:p w14:paraId="71D18356" w14:textId="77777777" w:rsidR="00846197" w:rsidRPr="00244FB2" w:rsidRDefault="00846197" w:rsidP="00846197">
            <w:pPr>
              <w:pStyle w:val="TableText"/>
            </w:pPr>
            <w:r w:rsidRPr="00244FB2">
              <w:t>The submission acknowledged some inconsistencies in utility values between different EDSS scores (i.e. utility values did not consistently correlate with disability level). To address this issue, the submission merged the utility values from some EDSS steps in order to get a consistent decline with increasing disability.</w:t>
            </w:r>
          </w:p>
          <w:p w14:paraId="0DA86B76" w14:textId="77777777" w:rsidR="00846197" w:rsidRPr="00244FB2" w:rsidRDefault="00846197" w:rsidP="00846197">
            <w:pPr>
              <w:pStyle w:val="TableText"/>
            </w:pPr>
          </w:p>
          <w:p w14:paraId="112F5307" w14:textId="77777777" w:rsidR="00846197" w:rsidRPr="00244FB2" w:rsidRDefault="00846197" w:rsidP="00DD2407">
            <w:pPr>
              <w:pStyle w:val="TableText"/>
              <w:keepNext w:val="0"/>
            </w:pPr>
            <w:r w:rsidRPr="00244FB2">
              <w:t>The utility adjustments applied in the submission were poorly justified (e.g. EDSS 0 is primarily informed by EDSS 1.5) and do not adequately address the internal consistency issues associated with using the raw values.</w:t>
            </w:r>
          </w:p>
          <w:p w14:paraId="5F91001E" w14:textId="77777777" w:rsidR="007B073F" w:rsidRPr="00244FB2" w:rsidRDefault="007B073F" w:rsidP="00DD2407">
            <w:pPr>
              <w:pStyle w:val="TableText"/>
              <w:keepNext w:val="0"/>
            </w:pPr>
          </w:p>
          <w:p w14:paraId="58BE712A" w14:textId="77777777" w:rsidR="007B073F" w:rsidRPr="00244FB2" w:rsidRDefault="007B073F" w:rsidP="0035586F">
            <w:pPr>
              <w:pStyle w:val="TableText"/>
              <w:keepNext w:val="0"/>
            </w:pPr>
            <w:r w:rsidRPr="00244FB2">
              <w:t xml:space="preserve">The ESC </w:t>
            </w:r>
            <w:r w:rsidR="0035586F" w:rsidRPr="00244FB2">
              <w:t xml:space="preserve">noted that the utility values applied in the model were based on the PREVENT trial which had </w:t>
            </w:r>
            <w:r w:rsidRPr="00244FB2">
              <w:t>low sample numbers</w:t>
            </w:r>
            <w:r w:rsidR="0035586F" w:rsidRPr="00244FB2">
              <w:t>. This resulted in</w:t>
            </w:r>
            <w:r w:rsidRPr="00244FB2">
              <w:t xml:space="preserve"> inconsistencies in the raw utility values between the different EDSS scores and the application of utility values &lt; 0 for EDSS scores </w:t>
            </w:r>
            <w:r w:rsidR="0035586F" w:rsidRPr="00244FB2">
              <w:t>≥</w:t>
            </w:r>
            <w:r w:rsidRPr="00244FB2">
              <w:t xml:space="preserve"> 8</w:t>
            </w:r>
            <w:r w:rsidR="0035586F" w:rsidRPr="00244FB2">
              <w:t>. The ESC considered that the utilities resulting from the regression analyses had better internal consistency.</w:t>
            </w:r>
          </w:p>
        </w:tc>
        <w:tc>
          <w:tcPr>
            <w:tcW w:w="726" w:type="pct"/>
            <w:shd w:val="clear" w:color="auto" w:fill="auto"/>
            <w:vAlign w:val="center"/>
          </w:tcPr>
          <w:p w14:paraId="1D08322D" w14:textId="77777777" w:rsidR="00A207D6" w:rsidRPr="00244FB2" w:rsidRDefault="00846197" w:rsidP="00DD2407">
            <w:pPr>
              <w:pStyle w:val="TableText"/>
              <w:keepNext w:val="0"/>
              <w:jc w:val="center"/>
            </w:pPr>
            <w:r w:rsidRPr="00244FB2">
              <w:t xml:space="preserve">High, favours </w:t>
            </w:r>
            <w:proofErr w:type="spellStart"/>
            <w:r w:rsidRPr="00244FB2">
              <w:t>eculizumab</w:t>
            </w:r>
            <w:proofErr w:type="spellEnd"/>
          </w:p>
        </w:tc>
      </w:tr>
    </w:tbl>
    <w:p w14:paraId="7A2DC164" w14:textId="77777777" w:rsidR="00FA7B8D" w:rsidRPr="00244FB2" w:rsidRDefault="00FA7B8D" w:rsidP="00DD2407">
      <w:pPr>
        <w:pStyle w:val="TableFigureFooter"/>
      </w:pPr>
      <w:r w:rsidRPr="00244FB2">
        <w:t>Sou</w:t>
      </w:r>
      <w:r w:rsidR="00364C03" w:rsidRPr="00244FB2">
        <w:t xml:space="preserve">rce: </w:t>
      </w:r>
      <w:r w:rsidR="00C01113" w:rsidRPr="00244FB2">
        <w:t>Constructed during the evaluation</w:t>
      </w:r>
    </w:p>
    <w:p w14:paraId="48610E4A" w14:textId="77777777" w:rsidR="000378C8" w:rsidRPr="00244FB2" w:rsidRDefault="000378C8" w:rsidP="00DD2407">
      <w:pPr>
        <w:pStyle w:val="TableFigureFooter"/>
      </w:pPr>
      <w:r w:rsidRPr="00244FB2">
        <w:t>EDSS = Expanded Disability Status Sc</w:t>
      </w:r>
      <w:r w:rsidR="00C67CF3" w:rsidRPr="00244FB2">
        <w:t>ale</w:t>
      </w:r>
      <w:r w:rsidRPr="00244FB2">
        <w:t xml:space="preserve">; </w:t>
      </w:r>
      <w:r w:rsidR="000C7AE3" w:rsidRPr="00244FB2">
        <w:t xml:space="preserve">ESC = Economic Sub-Committee; ICER = incremental cost-effectiveness ratio; </w:t>
      </w:r>
      <w:r w:rsidRPr="00244FB2">
        <w:t xml:space="preserve">NMOSD = </w:t>
      </w:r>
      <w:proofErr w:type="spellStart"/>
      <w:r w:rsidRPr="00244FB2">
        <w:t>neuromyelitis</w:t>
      </w:r>
      <w:proofErr w:type="spellEnd"/>
      <w:r w:rsidRPr="00244FB2">
        <w:t xml:space="preserve"> </w:t>
      </w:r>
      <w:proofErr w:type="spellStart"/>
      <w:r w:rsidRPr="00244FB2">
        <w:t>optica</w:t>
      </w:r>
      <w:proofErr w:type="spellEnd"/>
      <w:r w:rsidRPr="00244FB2">
        <w:t xml:space="preserve"> spectrum disorder; PBS = Pharmaceutical Benefits Scheme</w:t>
      </w:r>
      <w:r w:rsidR="000C7AE3" w:rsidRPr="00244FB2">
        <w:t>; PSCR = pre-Sub-Committee response</w:t>
      </w:r>
    </w:p>
    <w:p w14:paraId="4E6E1B8D" w14:textId="77777777" w:rsidR="00A207D6" w:rsidRPr="00244FB2" w:rsidRDefault="00F27135" w:rsidP="00A207D6">
      <w:pPr>
        <w:pStyle w:val="ExecSumBodyText"/>
      </w:pPr>
      <w:r w:rsidRPr="00244FB2">
        <w:t xml:space="preserve">The submission estimated the probability of treatment discontinuation in the </w:t>
      </w:r>
      <w:proofErr w:type="spellStart"/>
      <w:r w:rsidRPr="00244FB2">
        <w:t>eculizumab</w:t>
      </w:r>
      <w:proofErr w:type="spellEnd"/>
      <w:r w:rsidRPr="00244FB2">
        <w:t xml:space="preserve"> arm based on the discontinuation rate reported in the PREVENT trial (9.3 per 100 patient-years of follow-up). The main cause of discontinuation in the trial was due to personal reasons (e.g. relocation, change of employment </w:t>
      </w:r>
      <w:r w:rsidR="00317F93" w:rsidRPr="00244FB2">
        <w:t>etc.</w:t>
      </w:r>
      <w:r w:rsidRPr="00244FB2">
        <w:t>).</w:t>
      </w:r>
      <w:r w:rsidR="00A207D6" w:rsidRPr="00244FB2">
        <w:t xml:space="preserve"> It was unclear whether discontinuation rates from the PREVENT trial (observed in a tightly regulated study setting) would be representative of clinical practice and it was unclear whether they would remain constant over the longer term time horizon of the model.</w:t>
      </w:r>
    </w:p>
    <w:p w14:paraId="7123D4EC" w14:textId="77777777" w:rsidR="00FA7B8D" w:rsidRPr="00244FB2" w:rsidRDefault="00FA7B8D" w:rsidP="00FA7B8D">
      <w:pPr>
        <w:pStyle w:val="ExecSumBodyText"/>
      </w:pPr>
      <w:r w:rsidRPr="00244FB2">
        <w:t xml:space="preserve">The results of the stepped economic evaluation are summarised below. During the evaluation, the time horizon of the first modelled step </w:t>
      </w:r>
      <w:r w:rsidR="000C1156" w:rsidRPr="00244FB2">
        <w:t xml:space="preserve">(i.e. Step 2a) </w:t>
      </w:r>
      <w:r w:rsidRPr="00244FB2">
        <w:t>was changed from 18 months to 36 months in order to coincide with the last trial based step. Additionally, Step 3 of the modelled analysis was divided into two sub-steps (introduction of fatal relapses; lifetime time horizon). Finally, Step 4 was also divided into two sub-steps (include utilities; introduction of disability progression)</w:t>
      </w:r>
      <w:r w:rsidR="00244FB2">
        <w:t xml:space="preserve">. </w:t>
      </w:r>
    </w:p>
    <w:p w14:paraId="06AC66BC" w14:textId="77777777" w:rsidR="00FA7B8D" w:rsidRPr="00244FB2" w:rsidRDefault="00D4220C" w:rsidP="00B50AED">
      <w:pPr>
        <w:pStyle w:val="Tableheadingrow"/>
        <w:rPr>
          <w:lang w:val="en-AU"/>
        </w:rPr>
      </w:pPr>
      <w:r w:rsidRPr="00244FB2">
        <w:rPr>
          <w:lang w:val="en-AU"/>
        </w:rPr>
        <w:lastRenderedPageBreak/>
        <w:t>Table 9</w:t>
      </w:r>
      <w:r w:rsidR="00FA7B8D" w:rsidRPr="00244FB2">
        <w:rPr>
          <w:lang w:val="en-AU"/>
        </w:rPr>
        <w:t xml:space="preserve">: Stepped economic evaluation of </w:t>
      </w:r>
      <w:proofErr w:type="spellStart"/>
      <w:r w:rsidR="00FA7B8D" w:rsidRPr="00244FB2">
        <w:rPr>
          <w:lang w:val="en-AU"/>
        </w:rPr>
        <w:t>eculizumab</w:t>
      </w:r>
      <w:proofErr w:type="spellEnd"/>
      <w:r w:rsidR="00FA7B8D" w:rsidRPr="00244FB2">
        <w:rPr>
          <w:lang w:val="en-AU"/>
        </w:rPr>
        <w:t xml:space="preserve"> compared to best supportive care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44"/>
        <w:gridCol w:w="1946"/>
        <w:gridCol w:w="2585"/>
      </w:tblGrid>
      <w:tr w:rsidR="00FA7B8D" w:rsidRPr="00244FB2" w14:paraId="1181E57A" w14:textId="77777777" w:rsidTr="00D15288">
        <w:trPr>
          <w:trHeight w:val="469"/>
        </w:trPr>
        <w:tc>
          <w:tcPr>
            <w:tcW w:w="1406" w:type="pct"/>
            <w:vAlign w:val="center"/>
          </w:tcPr>
          <w:p w14:paraId="1EEDFDA9" w14:textId="77777777" w:rsidR="00FA7B8D" w:rsidRPr="00244FB2" w:rsidRDefault="00FA7B8D" w:rsidP="00312840">
            <w:pPr>
              <w:pStyle w:val="TableText"/>
              <w:widowControl w:val="0"/>
              <w:jc w:val="center"/>
              <w:rPr>
                <w:b/>
              </w:rPr>
            </w:pPr>
            <w:r w:rsidRPr="00244FB2">
              <w:rPr>
                <w:b/>
              </w:rPr>
              <w:t>Type of resource item</w:t>
            </w:r>
          </w:p>
        </w:tc>
        <w:tc>
          <w:tcPr>
            <w:tcW w:w="1079" w:type="pct"/>
            <w:vAlign w:val="center"/>
          </w:tcPr>
          <w:p w14:paraId="2B28FB30" w14:textId="77777777" w:rsidR="00FA7B8D" w:rsidRPr="00244FB2" w:rsidRDefault="00FA7B8D" w:rsidP="00B50AED">
            <w:pPr>
              <w:pStyle w:val="TableText"/>
              <w:widowControl w:val="0"/>
              <w:jc w:val="center"/>
              <w:rPr>
                <w:b/>
              </w:rPr>
            </w:pPr>
            <w:proofErr w:type="spellStart"/>
            <w:r w:rsidRPr="00244FB2">
              <w:rPr>
                <w:b/>
              </w:rPr>
              <w:t>Eculizumab</w:t>
            </w:r>
            <w:proofErr w:type="spellEnd"/>
          </w:p>
        </w:tc>
        <w:tc>
          <w:tcPr>
            <w:tcW w:w="1080" w:type="pct"/>
            <w:vAlign w:val="center"/>
          </w:tcPr>
          <w:p w14:paraId="5E391C27" w14:textId="77777777" w:rsidR="00FA7B8D" w:rsidRPr="00244FB2" w:rsidRDefault="00FA7B8D" w:rsidP="00B50AED">
            <w:pPr>
              <w:pStyle w:val="TableText"/>
              <w:widowControl w:val="0"/>
              <w:jc w:val="center"/>
              <w:rPr>
                <w:b/>
              </w:rPr>
            </w:pPr>
            <w:r w:rsidRPr="00244FB2">
              <w:rPr>
                <w:b/>
              </w:rPr>
              <w:t>Best supportive care</w:t>
            </w:r>
          </w:p>
        </w:tc>
        <w:tc>
          <w:tcPr>
            <w:tcW w:w="1435" w:type="pct"/>
          </w:tcPr>
          <w:p w14:paraId="4FF9FB74" w14:textId="77777777" w:rsidR="00FA7B8D" w:rsidRPr="00244FB2" w:rsidRDefault="00FA7B8D" w:rsidP="00B50AED">
            <w:pPr>
              <w:pStyle w:val="TableText"/>
              <w:widowControl w:val="0"/>
              <w:jc w:val="center"/>
              <w:rPr>
                <w:b/>
              </w:rPr>
            </w:pPr>
            <w:r w:rsidRPr="00244FB2">
              <w:rPr>
                <w:b/>
              </w:rPr>
              <w:t xml:space="preserve">Incremental </w:t>
            </w:r>
          </w:p>
          <w:p w14:paraId="44307193" w14:textId="77777777" w:rsidR="00FA7B8D" w:rsidRPr="00244FB2" w:rsidRDefault="00FA7B8D" w:rsidP="00B50AED">
            <w:pPr>
              <w:pStyle w:val="TableText"/>
              <w:widowControl w:val="0"/>
              <w:jc w:val="center"/>
              <w:rPr>
                <w:b/>
              </w:rPr>
            </w:pPr>
            <w:r w:rsidRPr="00244FB2">
              <w:rPr>
                <w:b/>
              </w:rPr>
              <w:t>difference</w:t>
            </w:r>
          </w:p>
        </w:tc>
      </w:tr>
      <w:tr w:rsidR="00FA7B8D" w:rsidRPr="00244FB2" w14:paraId="11CFFC59" w14:textId="77777777" w:rsidTr="00D15288">
        <w:tc>
          <w:tcPr>
            <w:tcW w:w="5000" w:type="pct"/>
            <w:gridSpan w:val="4"/>
          </w:tcPr>
          <w:p w14:paraId="3F4D4154" w14:textId="77777777" w:rsidR="00FA7B8D" w:rsidRPr="00244FB2" w:rsidRDefault="00FA7B8D" w:rsidP="00312840">
            <w:pPr>
              <w:pStyle w:val="TableText"/>
              <w:widowControl w:val="0"/>
              <w:rPr>
                <w:b/>
              </w:rPr>
            </w:pPr>
            <w:r w:rsidRPr="00244FB2">
              <w:rPr>
                <w:b/>
              </w:rPr>
              <w:t>Step 1a: Trial based efficacy - 48 week results (approximately 1 year), drug and administration costs only</w:t>
            </w:r>
          </w:p>
        </w:tc>
      </w:tr>
      <w:tr w:rsidR="00FA7B8D" w:rsidRPr="00244FB2" w14:paraId="7D80A644" w14:textId="77777777" w:rsidTr="00D15288">
        <w:tc>
          <w:tcPr>
            <w:tcW w:w="1406" w:type="pct"/>
          </w:tcPr>
          <w:p w14:paraId="7310AB16" w14:textId="77777777" w:rsidR="00FA7B8D" w:rsidRPr="00244FB2" w:rsidRDefault="00FA7B8D" w:rsidP="00312840">
            <w:pPr>
              <w:pStyle w:val="TableText"/>
              <w:widowControl w:val="0"/>
            </w:pPr>
            <w:r w:rsidRPr="00244FB2">
              <w:t>Costs</w:t>
            </w:r>
          </w:p>
        </w:tc>
        <w:tc>
          <w:tcPr>
            <w:tcW w:w="1079" w:type="pct"/>
            <w:vAlign w:val="bottom"/>
          </w:tcPr>
          <w:p w14:paraId="61805324" w14:textId="77777777" w:rsidR="00FA7B8D" w:rsidRPr="005266FC" w:rsidRDefault="005266FC" w:rsidP="00B50AED">
            <w:pPr>
              <w:pStyle w:val="TableText"/>
              <w:widowControl w:val="0"/>
              <w:jc w:val="center"/>
              <w:rPr>
                <w:highlight w:val="black"/>
              </w:rPr>
            </w:pPr>
            <w:r>
              <w:rPr>
                <w:noProof/>
                <w:color w:val="000000"/>
                <w:highlight w:val="black"/>
              </w:rPr>
              <w:t>'''''''''''''''''''''''''</w:t>
            </w:r>
          </w:p>
        </w:tc>
        <w:tc>
          <w:tcPr>
            <w:tcW w:w="1080" w:type="pct"/>
            <w:vAlign w:val="bottom"/>
          </w:tcPr>
          <w:p w14:paraId="13027881" w14:textId="77777777" w:rsidR="00FA7B8D" w:rsidRPr="00244FB2" w:rsidRDefault="00FA7B8D" w:rsidP="00B50AED">
            <w:pPr>
              <w:pStyle w:val="TableText"/>
              <w:widowControl w:val="0"/>
              <w:jc w:val="center"/>
            </w:pPr>
            <w:r w:rsidRPr="00244FB2">
              <w:t>$0</w:t>
            </w:r>
          </w:p>
        </w:tc>
        <w:tc>
          <w:tcPr>
            <w:tcW w:w="1435" w:type="pct"/>
            <w:vAlign w:val="center"/>
          </w:tcPr>
          <w:p w14:paraId="60D599F8" w14:textId="77777777" w:rsidR="00FA7B8D" w:rsidRPr="005266FC" w:rsidRDefault="005266FC" w:rsidP="00B50AED">
            <w:pPr>
              <w:pStyle w:val="TableText"/>
              <w:widowControl w:val="0"/>
              <w:jc w:val="center"/>
              <w:rPr>
                <w:highlight w:val="black"/>
              </w:rPr>
            </w:pPr>
            <w:r>
              <w:rPr>
                <w:noProof/>
                <w:color w:val="000000"/>
                <w:highlight w:val="black"/>
              </w:rPr>
              <w:t>'''''''''''''''''''''''</w:t>
            </w:r>
          </w:p>
        </w:tc>
      </w:tr>
      <w:tr w:rsidR="00FA7B8D" w:rsidRPr="00244FB2" w14:paraId="7645939C" w14:textId="77777777" w:rsidTr="00D15288">
        <w:tc>
          <w:tcPr>
            <w:tcW w:w="1406" w:type="pct"/>
          </w:tcPr>
          <w:p w14:paraId="4B77837A" w14:textId="77777777" w:rsidR="00FA7B8D" w:rsidRPr="00244FB2" w:rsidRDefault="00FA7B8D" w:rsidP="00312840">
            <w:pPr>
              <w:pStyle w:val="TableText"/>
              <w:widowControl w:val="0"/>
            </w:pPr>
            <w:r w:rsidRPr="00244FB2">
              <w:t>Patients without relapse</w:t>
            </w:r>
          </w:p>
        </w:tc>
        <w:tc>
          <w:tcPr>
            <w:tcW w:w="1079" w:type="pct"/>
            <w:vAlign w:val="bottom"/>
          </w:tcPr>
          <w:p w14:paraId="42FBB410" w14:textId="77777777" w:rsidR="00FA7B8D" w:rsidRPr="00244FB2" w:rsidRDefault="00FA7B8D" w:rsidP="00B50AED">
            <w:pPr>
              <w:pStyle w:val="TableText"/>
              <w:widowControl w:val="0"/>
              <w:jc w:val="center"/>
            </w:pPr>
            <w:r w:rsidRPr="00244FB2">
              <w:t>0.979</w:t>
            </w:r>
          </w:p>
        </w:tc>
        <w:tc>
          <w:tcPr>
            <w:tcW w:w="1080" w:type="pct"/>
            <w:vAlign w:val="bottom"/>
          </w:tcPr>
          <w:p w14:paraId="4D37B45C" w14:textId="77777777" w:rsidR="00FA7B8D" w:rsidRPr="00244FB2" w:rsidRDefault="00FA7B8D" w:rsidP="00B50AED">
            <w:pPr>
              <w:pStyle w:val="TableText"/>
              <w:widowControl w:val="0"/>
              <w:jc w:val="center"/>
            </w:pPr>
            <w:r w:rsidRPr="00244FB2">
              <w:t>0.632</w:t>
            </w:r>
          </w:p>
        </w:tc>
        <w:tc>
          <w:tcPr>
            <w:tcW w:w="1435" w:type="pct"/>
            <w:vAlign w:val="center"/>
          </w:tcPr>
          <w:p w14:paraId="6D0F127F" w14:textId="77777777" w:rsidR="00FA7B8D" w:rsidRPr="00244FB2" w:rsidRDefault="00FA7B8D" w:rsidP="00B50AED">
            <w:pPr>
              <w:pStyle w:val="TableText"/>
              <w:widowControl w:val="0"/>
              <w:jc w:val="center"/>
            </w:pPr>
            <w:r w:rsidRPr="00244FB2">
              <w:t>0.347</w:t>
            </w:r>
          </w:p>
        </w:tc>
      </w:tr>
      <w:tr w:rsidR="00FA7B8D" w:rsidRPr="00244FB2" w14:paraId="69A6429D" w14:textId="77777777" w:rsidTr="00D15288">
        <w:tc>
          <w:tcPr>
            <w:tcW w:w="3565" w:type="pct"/>
            <w:gridSpan w:val="3"/>
          </w:tcPr>
          <w:p w14:paraId="663CC314" w14:textId="77777777" w:rsidR="00FA7B8D" w:rsidRPr="00244FB2" w:rsidRDefault="00FA7B8D" w:rsidP="00312840">
            <w:pPr>
              <w:pStyle w:val="TableText"/>
              <w:widowControl w:val="0"/>
              <w:jc w:val="right"/>
              <w:rPr>
                <w:b/>
              </w:rPr>
            </w:pPr>
            <w:r w:rsidRPr="00244FB2">
              <w:rPr>
                <w:b/>
              </w:rPr>
              <w:t>Incremental cost per additional patient free from relapse</w:t>
            </w:r>
          </w:p>
        </w:tc>
        <w:tc>
          <w:tcPr>
            <w:tcW w:w="1435" w:type="pct"/>
            <w:vAlign w:val="center"/>
          </w:tcPr>
          <w:p w14:paraId="4414B666" w14:textId="77777777" w:rsidR="00FA7B8D" w:rsidRPr="00FF39FD" w:rsidRDefault="005266FC" w:rsidP="00B50AED">
            <w:pPr>
              <w:pStyle w:val="TableText"/>
              <w:widowControl w:val="0"/>
              <w:jc w:val="center"/>
              <w:rPr>
                <w:vertAlign w:val="superscript"/>
              </w:rPr>
            </w:pPr>
            <w:r>
              <w:rPr>
                <w:noProof/>
                <w:color w:val="000000"/>
                <w:highlight w:val="black"/>
              </w:rPr>
              <w:t>'''''''''''''''''''''''''</w:t>
            </w:r>
            <w:r w:rsidR="00FF39FD" w:rsidRPr="00FF39FD">
              <w:rPr>
                <w:vertAlign w:val="superscript"/>
              </w:rPr>
              <w:t>1</w:t>
            </w:r>
          </w:p>
        </w:tc>
      </w:tr>
      <w:tr w:rsidR="00FA7B8D" w:rsidRPr="00244FB2" w14:paraId="53751529" w14:textId="77777777" w:rsidTr="00D15288">
        <w:tc>
          <w:tcPr>
            <w:tcW w:w="5000" w:type="pct"/>
            <w:gridSpan w:val="4"/>
          </w:tcPr>
          <w:p w14:paraId="2A567FE4" w14:textId="77777777" w:rsidR="00FA7B8D" w:rsidRPr="00244FB2" w:rsidRDefault="00FA7B8D" w:rsidP="00312840">
            <w:pPr>
              <w:pStyle w:val="TableText"/>
              <w:widowControl w:val="0"/>
              <w:rPr>
                <w:b/>
              </w:rPr>
            </w:pPr>
            <w:r w:rsidRPr="00244FB2">
              <w:rPr>
                <w:b/>
              </w:rPr>
              <w:t xml:space="preserve">Step 1b: Trial based efficacy - </w:t>
            </w:r>
            <w:r w:rsidRPr="00244FB2">
              <w:rPr>
                <w:b/>
                <w:u w:val="single"/>
              </w:rPr>
              <w:t>96 week</w:t>
            </w:r>
            <w:r w:rsidRPr="00244FB2">
              <w:rPr>
                <w:b/>
              </w:rPr>
              <w:t xml:space="preserve"> results (approximately 2 years), drug and administration costs only</w:t>
            </w:r>
          </w:p>
        </w:tc>
      </w:tr>
      <w:tr w:rsidR="00FA7B8D" w:rsidRPr="00244FB2" w14:paraId="3082B46C" w14:textId="77777777" w:rsidTr="00D15288">
        <w:tc>
          <w:tcPr>
            <w:tcW w:w="1406" w:type="pct"/>
          </w:tcPr>
          <w:p w14:paraId="4DB99CBC" w14:textId="77777777" w:rsidR="00FA7B8D" w:rsidRPr="00244FB2" w:rsidRDefault="00FA7B8D" w:rsidP="00312840">
            <w:pPr>
              <w:pStyle w:val="TableText"/>
              <w:widowControl w:val="0"/>
            </w:pPr>
            <w:r w:rsidRPr="00244FB2">
              <w:t>Costs</w:t>
            </w:r>
          </w:p>
        </w:tc>
        <w:tc>
          <w:tcPr>
            <w:tcW w:w="1079" w:type="pct"/>
            <w:vAlign w:val="bottom"/>
          </w:tcPr>
          <w:p w14:paraId="64BEC624" w14:textId="77777777" w:rsidR="00FA7B8D" w:rsidRPr="005266FC" w:rsidRDefault="005266FC" w:rsidP="00B50AED">
            <w:pPr>
              <w:pStyle w:val="TableText"/>
              <w:widowControl w:val="0"/>
              <w:jc w:val="center"/>
              <w:rPr>
                <w:highlight w:val="black"/>
              </w:rPr>
            </w:pPr>
            <w:r>
              <w:rPr>
                <w:noProof/>
                <w:color w:val="000000"/>
                <w:highlight w:val="black"/>
              </w:rPr>
              <w:t>''''''''''''''''''''''''</w:t>
            </w:r>
          </w:p>
        </w:tc>
        <w:tc>
          <w:tcPr>
            <w:tcW w:w="1080" w:type="pct"/>
            <w:vAlign w:val="bottom"/>
          </w:tcPr>
          <w:p w14:paraId="05C437DC" w14:textId="77777777" w:rsidR="00FA7B8D" w:rsidRPr="00244FB2" w:rsidRDefault="00FA7B8D" w:rsidP="00B50AED">
            <w:pPr>
              <w:pStyle w:val="TableText"/>
              <w:widowControl w:val="0"/>
              <w:jc w:val="center"/>
            </w:pPr>
            <w:r w:rsidRPr="00244FB2">
              <w:t>$0</w:t>
            </w:r>
          </w:p>
        </w:tc>
        <w:tc>
          <w:tcPr>
            <w:tcW w:w="1435" w:type="pct"/>
            <w:vAlign w:val="center"/>
          </w:tcPr>
          <w:p w14:paraId="539FB229" w14:textId="77777777" w:rsidR="00FA7B8D" w:rsidRPr="005266FC" w:rsidRDefault="005266FC" w:rsidP="00B50AED">
            <w:pPr>
              <w:pStyle w:val="TableText"/>
              <w:widowControl w:val="0"/>
              <w:jc w:val="center"/>
              <w:rPr>
                <w:highlight w:val="black"/>
              </w:rPr>
            </w:pPr>
            <w:r>
              <w:rPr>
                <w:noProof/>
                <w:color w:val="000000"/>
                <w:highlight w:val="black"/>
              </w:rPr>
              <w:t>'''''''''''''''''''''''''''''</w:t>
            </w:r>
          </w:p>
        </w:tc>
      </w:tr>
      <w:tr w:rsidR="00FA7B8D" w:rsidRPr="00244FB2" w14:paraId="44550075" w14:textId="77777777" w:rsidTr="00D15288">
        <w:tc>
          <w:tcPr>
            <w:tcW w:w="1406" w:type="pct"/>
          </w:tcPr>
          <w:p w14:paraId="215071CC" w14:textId="77777777" w:rsidR="00FA7B8D" w:rsidRPr="00244FB2" w:rsidRDefault="00FA7B8D" w:rsidP="00312840">
            <w:pPr>
              <w:pStyle w:val="TableText"/>
              <w:widowControl w:val="0"/>
            </w:pPr>
            <w:r w:rsidRPr="00244FB2">
              <w:t>Patients without relapse</w:t>
            </w:r>
          </w:p>
        </w:tc>
        <w:tc>
          <w:tcPr>
            <w:tcW w:w="1079" w:type="pct"/>
            <w:vAlign w:val="bottom"/>
          </w:tcPr>
          <w:p w14:paraId="262A5B6E" w14:textId="77777777" w:rsidR="00FA7B8D" w:rsidRPr="00244FB2" w:rsidRDefault="00FA7B8D" w:rsidP="00B50AED">
            <w:pPr>
              <w:pStyle w:val="TableText"/>
              <w:widowControl w:val="0"/>
              <w:jc w:val="center"/>
            </w:pPr>
            <w:r w:rsidRPr="00244FB2">
              <w:t>0.964</w:t>
            </w:r>
          </w:p>
        </w:tc>
        <w:tc>
          <w:tcPr>
            <w:tcW w:w="1080" w:type="pct"/>
            <w:vAlign w:val="bottom"/>
          </w:tcPr>
          <w:p w14:paraId="420246E7" w14:textId="77777777" w:rsidR="00FA7B8D" w:rsidRPr="00244FB2" w:rsidRDefault="00FA7B8D" w:rsidP="00B50AED">
            <w:pPr>
              <w:pStyle w:val="TableText"/>
              <w:widowControl w:val="0"/>
              <w:jc w:val="center"/>
            </w:pPr>
            <w:r w:rsidRPr="00244FB2">
              <w:t>0.519</w:t>
            </w:r>
          </w:p>
        </w:tc>
        <w:tc>
          <w:tcPr>
            <w:tcW w:w="1435" w:type="pct"/>
            <w:vAlign w:val="center"/>
          </w:tcPr>
          <w:p w14:paraId="6C66F1BE" w14:textId="77777777" w:rsidR="00FA7B8D" w:rsidRPr="00244FB2" w:rsidRDefault="00FA7B8D" w:rsidP="00B50AED">
            <w:pPr>
              <w:pStyle w:val="TableText"/>
              <w:widowControl w:val="0"/>
              <w:jc w:val="center"/>
            </w:pPr>
            <w:r w:rsidRPr="00244FB2">
              <w:t>0.445</w:t>
            </w:r>
          </w:p>
        </w:tc>
      </w:tr>
      <w:tr w:rsidR="00FA7B8D" w:rsidRPr="00244FB2" w14:paraId="511A5EE7" w14:textId="77777777" w:rsidTr="00D15288">
        <w:tc>
          <w:tcPr>
            <w:tcW w:w="3565" w:type="pct"/>
            <w:gridSpan w:val="3"/>
          </w:tcPr>
          <w:p w14:paraId="0BFF5ADB" w14:textId="77777777" w:rsidR="00FA7B8D" w:rsidRPr="00244FB2" w:rsidRDefault="00FA7B8D" w:rsidP="00312840">
            <w:pPr>
              <w:pStyle w:val="TableText"/>
              <w:widowControl w:val="0"/>
              <w:jc w:val="right"/>
              <w:rPr>
                <w:b/>
              </w:rPr>
            </w:pPr>
            <w:r w:rsidRPr="00244FB2">
              <w:rPr>
                <w:b/>
              </w:rPr>
              <w:t>Incremental cost per additional patient free from relapse</w:t>
            </w:r>
          </w:p>
        </w:tc>
        <w:tc>
          <w:tcPr>
            <w:tcW w:w="1435" w:type="pct"/>
            <w:vAlign w:val="center"/>
          </w:tcPr>
          <w:p w14:paraId="5E4D2892" w14:textId="77777777" w:rsidR="00FA7B8D" w:rsidRPr="00244FB2" w:rsidRDefault="005266FC" w:rsidP="00B50AED">
            <w:pPr>
              <w:pStyle w:val="TableText"/>
              <w:widowControl w:val="0"/>
              <w:jc w:val="center"/>
            </w:pPr>
            <w:r>
              <w:rPr>
                <w:noProof/>
                <w:color w:val="000000"/>
                <w:highlight w:val="black"/>
              </w:rPr>
              <w:t>'''''''''''''''''''''''''''''</w:t>
            </w:r>
            <w:r w:rsidR="00FF39FD" w:rsidRPr="00FF39FD">
              <w:rPr>
                <w:vertAlign w:val="superscript"/>
              </w:rPr>
              <w:t>1</w:t>
            </w:r>
          </w:p>
        </w:tc>
      </w:tr>
      <w:tr w:rsidR="00FA7B8D" w:rsidRPr="00244FB2" w14:paraId="4C90DFA4" w14:textId="77777777" w:rsidTr="00D15288">
        <w:tc>
          <w:tcPr>
            <w:tcW w:w="5000" w:type="pct"/>
            <w:gridSpan w:val="4"/>
          </w:tcPr>
          <w:p w14:paraId="7BB7930A" w14:textId="77777777" w:rsidR="00FA7B8D" w:rsidRPr="00244FB2" w:rsidRDefault="00FA7B8D" w:rsidP="00312840">
            <w:pPr>
              <w:pStyle w:val="TableText"/>
              <w:widowControl w:val="0"/>
              <w:rPr>
                <w:b/>
              </w:rPr>
            </w:pPr>
            <w:r w:rsidRPr="00244FB2">
              <w:rPr>
                <w:b/>
              </w:rPr>
              <w:t xml:space="preserve">Step 1c: Trial based efficacy - </w:t>
            </w:r>
            <w:r w:rsidRPr="00244FB2">
              <w:rPr>
                <w:b/>
                <w:u w:val="single"/>
              </w:rPr>
              <w:t>144 week</w:t>
            </w:r>
            <w:r w:rsidRPr="00244FB2">
              <w:rPr>
                <w:b/>
              </w:rPr>
              <w:t xml:space="preserve"> results (approximately 3 years), drug and administration costs only</w:t>
            </w:r>
          </w:p>
        </w:tc>
      </w:tr>
      <w:tr w:rsidR="00FA7B8D" w:rsidRPr="00244FB2" w14:paraId="21524520" w14:textId="77777777" w:rsidTr="00D15288">
        <w:tc>
          <w:tcPr>
            <w:tcW w:w="1406" w:type="pct"/>
          </w:tcPr>
          <w:p w14:paraId="6CE07DE7" w14:textId="77777777" w:rsidR="00FA7B8D" w:rsidRPr="00244FB2" w:rsidRDefault="00FA7B8D" w:rsidP="00312840">
            <w:pPr>
              <w:pStyle w:val="TableText"/>
              <w:widowControl w:val="0"/>
            </w:pPr>
            <w:r w:rsidRPr="00244FB2">
              <w:t>Costs</w:t>
            </w:r>
          </w:p>
        </w:tc>
        <w:tc>
          <w:tcPr>
            <w:tcW w:w="1079" w:type="pct"/>
            <w:vAlign w:val="bottom"/>
          </w:tcPr>
          <w:p w14:paraId="7B4AF343" w14:textId="77777777" w:rsidR="00FA7B8D" w:rsidRPr="005266FC" w:rsidRDefault="005266FC" w:rsidP="00B50AED">
            <w:pPr>
              <w:pStyle w:val="TableText"/>
              <w:widowControl w:val="0"/>
              <w:jc w:val="center"/>
              <w:rPr>
                <w:highlight w:val="black"/>
              </w:rPr>
            </w:pPr>
            <w:r>
              <w:rPr>
                <w:noProof/>
                <w:color w:val="000000"/>
                <w:highlight w:val="black"/>
              </w:rPr>
              <w:t>'''''''''''''''''''''''''''</w:t>
            </w:r>
          </w:p>
        </w:tc>
        <w:tc>
          <w:tcPr>
            <w:tcW w:w="1080" w:type="pct"/>
            <w:vAlign w:val="bottom"/>
          </w:tcPr>
          <w:p w14:paraId="0563445C" w14:textId="77777777" w:rsidR="00FA7B8D" w:rsidRPr="00244FB2" w:rsidRDefault="00FA7B8D" w:rsidP="00B50AED">
            <w:pPr>
              <w:pStyle w:val="TableText"/>
              <w:widowControl w:val="0"/>
              <w:jc w:val="center"/>
            </w:pPr>
            <w:r w:rsidRPr="00244FB2">
              <w:t>$0</w:t>
            </w:r>
          </w:p>
        </w:tc>
        <w:tc>
          <w:tcPr>
            <w:tcW w:w="1435" w:type="pct"/>
            <w:vAlign w:val="center"/>
          </w:tcPr>
          <w:p w14:paraId="4C422A01" w14:textId="77777777" w:rsidR="00FA7B8D" w:rsidRPr="005266FC" w:rsidRDefault="005266FC" w:rsidP="00B50AED">
            <w:pPr>
              <w:pStyle w:val="TableText"/>
              <w:widowControl w:val="0"/>
              <w:jc w:val="center"/>
              <w:rPr>
                <w:highlight w:val="black"/>
              </w:rPr>
            </w:pPr>
            <w:r>
              <w:rPr>
                <w:noProof/>
                <w:color w:val="000000"/>
                <w:highlight w:val="black"/>
              </w:rPr>
              <w:t>'''''''''''''''''''''''''</w:t>
            </w:r>
          </w:p>
        </w:tc>
      </w:tr>
      <w:tr w:rsidR="00FA7B8D" w:rsidRPr="00244FB2" w14:paraId="5A10805E" w14:textId="77777777" w:rsidTr="00D15288">
        <w:tc>
          <w:tcPr>
            <w:tcW w:w="1406" w:type="pct"/>
          </w:tcPr>
          <w:p w14:paraId="6C32B184" w14:textId="77777777" w:rsidR="00FA7B8D" w:rsidRPr="00244FB2" w:rsidRDefault="00FA7B8D" w:rsidP="00312840">
            <w:pPr>
              <w:pStyle w:val="TableText"/>
              <w:widowControl w:val="0"/>
            </w:pPr>
            <w:r w:rsidRPr="00244FB2">
              <w:t>Patients without relapse</w:t>
            </w:r>
          </w:p>
        </w:tc>
        <w:tc>
          <w:tcPr>
            <w:tcW w:w="1079" w:type="pct"/>
            <w:vAlign w:val="bottom"/>
          </w:tcPr>
          <w:p w14:paraId="6FD10D6F" w14:textId="77777777" w:rsidR="00FA7B8D" w:rsidRPr="00244FB2" w:rsidRDefault="00FA7B8D" w:rsidP="00B50AED">
            <w:pPr>
              <w:pStyle w:val="TableText"/>
              <w:widowControl w:val="0"/>
              <w:jc w:val="center"/>
            </w:pPr>
            <w:r w:rsidRPr="00244FB2">
              <w:t>0.964</w:t>
            </w:r>
          </w:p>
        </w:tc>
        <w:tc>
          <w:tcPr>
            <w:tcW w:w="1080" w:type="pct"/>
            <w:vAlign w:val="bottom"/>
          </w:tcPr>
          <w:p w14:paraId="41FD5E86" w14:textId="77777777" w:rsidR="00FA7B8D" w:rsidRPr="00244FB2" w:rsidRDefault="00FA7B8D" w:rsidP="00B50AED">
            <w:pPr>
              <w:pStyle w:val="TableText"/>
              <w:widowControl w:val="0"/>
              <w:jc w:val="center"/>
            </w:pPr>
            <w:r w:rsidRPr="00244FB2">
              <w:t>0.454</w:t>
            </w:r>
          </w:p>
        </w:tc>
        <w:tc>
          <w:tcPr>
            <w:tcW w:w="1435" w:type="pct"/>
            <w:vAlign w:val="center"/>
          </w:tcPr>
          <w:p w14:paraId="3020169E" w14:textId="77777777" w:rsidR="00FA7B8D" w:rsidRPr="00244FB2" w:rsidRDefault="00FA7B8D" w:rsidP="00B50AED">
            <w:pPr>
              <w:pStyle w:val="TableText"/>
              <w:widowControl w:val="0"/>
              <w:jc w:val="center"/>
            </w:pPr>
            <w:r w:rsidRPr="00244FB2">
              <w:t>0.510</w:t>
            </w:r>
          </w:p>
        </w:tc>
      </w:tr>
      <w:tr w:rsidR="00FA7B8D" w:rsidRPr="00244FB2" w14:paraId="577E209C" w14:textId="77777777" w:rsidTr="00D15288">
        <w:tc>
          <w:tcPr>
            <w:tcW w:w="3565" w:type="pct"/>
            <w:gridSpan w:val="3"/>
          </w:tcPr>
          <w:p w14:paraId="46196F3D" w14:textId="77777777" w:rsidR="00FA7B8D" w:rsidRPr="00244FB2" w:rsidRDefault="00FA7B8D" w:rsidP="00312840">
            <w:pPr>
              <w:pStyle w:val="TableText"/>
              <w:widowControl w:val="0"/>
              <w:jc w:val="right"/>
              <w:rPr>
                <w:b/>
              </w:rPr>
            </w:pPr>
            <w:r w:rsidRPr="00244FB2">
              <w:rPr>
                <w:b/>
              </w:rPr>
              <w:t>Incremental cost per additional patient free from relapse</w:t>
            </w:r>
          </w:p>
        </w:tc>
        <w:tc>
          <w:tcPr>
            <w:tcW w:w="1435" w:type="pct"/>
            <w:vAlign w:val="center"/>
          </w:tcPr>
          <w:p w14:paraId="58CD4FE0" w14:textId="77777777" w:rsidR="00FA7B8D" w:rsidRPr="00244FB2" w:rsidRDefault="005266FC" w:rsidP="00B50AED">
            <w:pPr>
              <w:pStyle w:val="TableText"/>
              <w:widowControl w:val="0"/>
              <w:jc w:val="center"/>
            </w:pPr>
            <w:r>
              <w:rPr>
                <w:noProof/>
                <w:color w:val="000000"/>
                <w:highlight w:val="black"/>
              </w:rPr>
              <w:t>'''''''''''''''''''''''''''</w:t>
            </w:r>
            <w:r w:rsidR="00FF39FD" w:rsidRPr="00FF39FD">
              <w:rPr>
                <w:vertAlign w:val="superscript"/>
              </w:rPr>
              <w:t>1</w:t>
            </w:r>
          </w:p>
        </w:tc>
      </w:tr>
      <w:tr w:rsidR="00FA7B8D" w:rsidRPr="00244FB2" w14:paraId="0AFF1D90" w14:textId="77777777" w:rsidTr="00D15288">
        <w:tc>
          <w:tcPr>
            <w:tcW w:w="5000" w:type="pct"/>
            <w:gridSpan w:val="4"/>
          </w:tcPr>
          <w:p w14:paraId="1CB5F184" w14:textId="77777777" w:rsidR="00FA7B8D" w:rsidRPr="00244FB2" w:rsidRDefault="00FA7B8D" w:rsidP="00312840">
            <w:pPr>
              <w:pStyle w:val="TableText"/>
              <w:widowControl w:val="0"/>
              <w:rPr>
                <w:b/>
              </w:rPr>
            </w:pPr>
            <w:r w:rsidRPr="00244FB2">
              <w:rPr>
                <w:b/>
              </w:rPr>
              <w:t xml:space="preserve">Step 2a: Modelled efficacy – </w:t>
            </w:r>
            <w:r w:rsidRPr="00244FB2">
              <w:rPr>
                <w:b/>
                <w:u w:val="single"/>
              </w:rPr>
              <w:t>36 month time horizon</w:t>
            </w:r>
            <w:r w:rsidRPr="00244FB2">
              <w:rPr>
                <w:b/>
              </w:rPr>
              <w:t>, drug and administration costs only</w:t>
            </w:r>
          </w:p>
        </w:tc>
      </w:tr>
      <w:tr w:rsidR="00FA7B8D" w:rsidRPr="00244FB2" w14:paraId="2D57A859" w14:textId="77777777" w:rsidTr="00D15288">
        <w:tc>
          <w:tcPr>
            <w:tcW w:w="1406" w:type="pct"/>
          </w:tcPr>
          <w:p w14:paraId="781DD129" w14:textId="77777777" w:rsidR="00FA7B8D" w:rsidRPr="00244FB2" w:rsidRDefault="00FA7B8D" w:rsidP="00312840">
            <w:pPr>
              <w:pStyle w:val="TableText"/>
              <w:widowControl w:val="0"/>
            </w:pPr>
            <w:r w:rsidRPr="00244FB2">
              <w:t>Costs</w:t>
            </w:r>
          </w:p>
        </w:tc>
        <w:tc>
          <w:tcPr>
            <w:tcW w:w="1079" w:type="pct"/>
            <w:vAlign w:val="bottom"/>
          </w:tcPr>
          <w:p w14:paraId="2AEE0669" w14:textId="77777777" w:rsidR="00FA7B8D" w:rsidRPr="005266FC" w:rsidRDefault="005266FC" w:rsidP="00B50AED">
            <w:pPr>
              <w:pStyle w:val="TableText"/>
              <w:widowControl w:val="0"/>
              <w:jc w:val="center"/>
              <w:rPr>
                <w:highlight w:val="black"/>
              </w:rPr>
            </w:pPr>
            <w:r>
              <w:rPr>
                <w:noProof/>
                <w:color w:val="000000"/>
                <w:highlight w:val="black"/>
              </w:rPr>
              <w:t>'''''''''''''''''''''''''</w:t>
            </w:r>
          </w:p>
        </w:tc>
        <w:tc>
          <w:tcPr>
            <w:tcW w:w="1080" w:type="pct"/>
            <w:vAlign w:val="bottom"/>
          </w:tcPr>
          <w:p w14:paraId="0878AF02" w14:textId="77777777" w:rsidR="00FA7B8D" w:rsidRPr="00244FB2" w:rsidRDefault="00FA7B8D" w:rsidP="00B50AED">
            <w:pPr>
              <w:pStyle w:val="TableText"/>
              <w:widowControl w:val="0"/>
              <w:jc w:val="center"/>
            </w:pPr>
            <w:r w:rsidRPr="00244FB2">
              <w:t>$0</w:t>
            </w:r>
          </w:p>
        </w:tc>
        <w:tc>
          <w:tcPr>
            <w:tcW w:w="1435" w:type="pct"/>
            <w:vAlign w:val="center"/>
          </w:tcPr>
          <w:p w14:paraId="18DE906F" w14:textId="77777777" w:rsidR="00FA7B8D" w:rsidRPr="005266FC" w:rsidRDefault="005266FC" w:rsidP="00B50AED">
            <w:pPr>
              <w:pStyle w:val="TableText"/>
              <w:widowControl w:val="0"/>
              <w:jc w:val="center"/>
              <w:rPr>
                <w:highlight w:val="black"/>
              </w:rPr>
            </w:pPr>
            <w:r>
              <w:rPr>
                <w:noProof/>
                <w:color w:val="000000"/>
                <w:highlight w:val="black"/>
              </w:rPr>
              <w:t>'''''''''''''''''''''''''''</w:t>
            </w:r>
          </w:p>
        </w:tc>
      </w:tr>
      <w:tr w:rsidR="00FA7B8D" w:rsidRPr="00244FB2" w14:paraId="1133A25A" w14:textId="77777777" w:rsidTr="00D15288">
        <w:tc>
          <w:tcPr>
            <w:tcW w:w="1406" w:type="pct"/>
          </w:tcPr>
          <w:p w14:paraId="16E236C0" w14:textId="77777777" w:rsidR="00FA7B8D" w:rsidRPr="00244FB2" w:rsidRDefault="00FA7B8D" w:rsidP="00312840">
            <w:pPr>
              <w:pStyle w:val="TableText"/>
              <w:widowControl w:val="0"/>
            </w:pPr>
            <w:r w:rsidRPr="00244FB2">
              <w:t>Average number of relapses</w:t>
            </w:r>
          </w:p>
        </w:tc>
        <w:tc>
          <w:tcPr>
            <w:tcW w:w="1079" w:type="pct"/>
            <w:vAlign w:val="bottom"/>
          </w:tcPr>
          <w:p w14:paraId="7F5B241C" w14:textId="77777777" w:rsidR="00FA7B8D" w:rsidRPr="00244FB2" w:rsidRDefault="00FA7B8D" w:rsidP="00B50AED">
            <w:pPr>
              <w:pStyle w:val="TableText"/>
              <w:widowControl w:val="0"/>
              <w:jc w:val="center"/>
            </w:pPr>
            <w:r w:rsidRPr="00244FB2">
              <w:t>0.0557</w:t>
            </w:r>
          </w:p>
        </w:tc>
        <w:tc>
          <w:tcPr>
            <w:tcW w:w="1080" w:type="pct"/>
            <w:vAlign w:val="bottom"/>
          </w:tcPr>
          <w:p w14:paraId="6685477F" w14:textId="77777777" w:rsidR="00FA7B8D" w:rsidRPr="00244FB2" w:rsidRDefault="00FA7B8D" w:rsidP="00B50AED">
            <w:pPr>
              <w:pStyle w:val="TableText"/>
              <w:widowControl w:val="0"/>
              <w:jc w:val="center"/>
            </w:pPr>
            <w:r w:rsidRPr="00244FB2">
              <w:t>0.9610</w:t>
            </w:r>
          </w:p>
        </w:tc>
        <w:tc>
          <w:tcPr>
            <w:tcW w:w="1435" w:type="pct"/>
            <w:vAlign w:val="center"/>
          </w:tcPr>
          <w:p w14:paraId="2214C0C2" w14:textId="77777777" w:rsidR="00FA7B8D" w:rsidRPr="00244FB2" w:rsidRDefault="00FA7B8D" w:rsidP="00B50AED">
            <w:pPr>
              <w:pStyle w:val="TableText"/>
              <w:widowControl w:val="0"/>
              <w:jc w:val="center"/>
            </w:pPr>
            <w:r w:rsidRPr="00244FB2">
              <w:t>-0.9053</w:t>
            </w:r>
          </w:p>
        </w:tc>
      </w:tr>
      <w:tr w:rsidR="00FA7B8D" w:rsidRPr="00244FB2" w14:paraId="26EC3637" w14:textId="77777777" w:rsidTr="00D15288">
        <w:tc>
          <w:tcPr>
            <w:tcW w:w="3565" w:type="pct"/>
            <w:gridSpan w:val="3"/>
          </w:tcPr>
          <w:p w14:paraId="04E8224D" w14:textId="77777777" w:rsidR="00FA7B8D" w:rsidRPr="00244FB2" w:rsidRDefault="00FA7B8D" w:rsidP="00312840">
            <w:pPr>
              <w:pStyle w:val="TableText"/>
              <w:widowControl w:val="0"/>
              <w:jc w:val="right"/>
              <w:rPr>
                <w:b/>
              </w:rPr>
            </w:pPr>
            <w:r w:rsidRPr="00244FB2">
              <w:rPr>
                <w:b/>
              </w:rPr>
              <w:t>Incremental cost per relapse avoided</w:t>
            </w:r>
          </w:p>
        </w:tc>
        <w:tc>
          <w:tcPr>
            <w:tcW w:w="1435" w:type="pct"/>
            <w:vAlign w:val="center"/>
          </w:tcPr>
          <w:p w14:paraId="5878A203" w14:textId="77777777" w:rsidR="00FA7B8D" w:rsidRPr="00244FB2" w:rsidRDefault="005266FC" w:rsidP="00B50AED">
            <w:pPr>
              <w:pStyle w:val="TableText"/>
              <w:widowControl w:val="0"/>
              <w:jc w:val="center"/>
            </w:pPr>
            <w:r>
              <w:rPr>
                <w:noProof/>
                <w:color w:val="000000"/>
                <w:highlight w:val="black"/>
              </w:rPr>
              <w:t>''''''''''''''''''''''''</w:t>
            </w:r>
            <w:r w:rsidR="00FF39FD" w:rsidRPr="00FF39FD">
              <w:rPr>
                <w:vertAlign w:val="superscript"/>
              </w:rPr>
              <w:t>1</w:t>
            </w:r>
          </w:p>
        </w:tc>
      </w:tr>
      <w:tr w:rsidR="00FA7B8D" w:rsidRPr="00244FB2" w14:paraId="4FAB3570" w14:textId="77777777" w:rsidTr="00D15288">
        <w:tc>
          <w:tcPr>
            <w:tcW w:w="5000" w:type="pct"/>
            <w:gridSpan w:val="4"/>
          </w:tcPr>
          <w:p w14:paraId="4EE8AFC0" w14:textId="77777777" w:rsidR="00FA7B8D" w:rsidRPr="00244FB2" w:rsidRDefault="00FA7B8D" w:rsidP="00312840">
            <w:pPr>
              <w:pStyle w:val="TableText"/>
              <w:widowControl w:val="0"/>
              <w:rPr>
                <w:b/>
              </w:rPr>
            </w:pPr>
            <w:r w:rsidRPr="00244FB2">
              <w:rPr>
                <w:b/>
              </w:rPr>
              <w:t xml:space="preserve">Step 2b: Modelled efficacy – 36 month time horizon, drug and administration costs only, </w:t>
            </w:r>
            <w:r w:rsidRPr="00244FB2">
              <w:rPr>
                <w:b/>
                <w:u w:val="single"/>
              </w:rPr>
              <w:t xml:space="preserve">allow </w:t>
            </w:r>
            <w:proofErr w:type="spellStart"/>
            <w:r w:rsidRPr="00244FB2">
              <w:rPr>
                <w:b/>
                <w:u w:val="single"/>
              </w:rPr>
              <w:t>eculizumab</w:t>
            </w:r>
            <w:proofErr w:type="spellEnd"/>
            <w:r w:rsidRPr="00244FB2">
              <w:rPr>
                <w:b/>
                <w:u w:val="single"/>
              </w:rPr>
              <w:t xml:space="preserve"> discontinuations</w:t>
            </w:r>
          </w:p>
        </w:tc>
      </w:tr>
      <w:tr w:rsidR="00FA7B8D" w:rsidRPr="00244FB2" w14:paraId="3F170722" w14:textId="77777777" w:rsidTr="00D15288">
        <w:tc>
          <w:tcPr>
            <w:tcW w:w="1406" w:type="pct"/>
          </w:tcPr>
          <w:p w14:paraId="762DD79C" w14:textId="77777777" w:rsidR="00FA7B8D" w:rsidRPr="00244FB2" w:rsidRDefault="00FA7B8D" w:rsidP="00312840">
            <w:pPr>
              <w:pStyle w:val="TableText"/>
              <w:widowControl w:val="0"/>
            </w:pPr>
            <w:r w:rsidRPr="00244FB2">
              <w:t>Costs</w:t>
            </w:r>
          </w:p>
        </w:tc>
        <w:tc>
          <w:tcPr>
            <w:tcW w:w="1079" w:type="pct"/>
            <w:vAlign w:val="bottom"/>
          </w:tcPr>
          <w:p w14:paraId="57B57847" w14:textId="77777777" w:rsidR="00FA7B8D" w:rsidRPr="005266FC" w:rsidRDefault="005266FC" w:rsidP="00B50AED">
            <w:pPr>
              <w:pStyle w:val="TableText"/>
              <w:widowControl w:val="0"/>
              <w:jc w:val="center"/>
              <w:rPr>
                <w:highlight w:val="black"/>
              </w:rPr>
            </w:pPr>
            <w:r>
              <w:rPr>
                <w:noProof/>
                <w:color w:val="000000"/>
                <w:highlight w:val="black"/>
              </w:rPr>
              <w:t>'''''''''''''''''''''''''</w:t>
            </w:r>
          </w:p>
        </w:tc>
        <w:tc>
          <w:tcPr>
            <w:tcW w:w="1080" w:type="pct"/>
            <w:vAlign w:val="bottom"/>
          </w:tcPr>
          <w:p w14:paraId="67D41854" w14:textId="77777777" w:rsidR="00FA7B8D" w:rsidRPr="00244FB2" w:rsidRDefault="00FA7B8D" w:rsidP="00B50AED">
            <w:pPr>
              <w:pStyle w:val="TableText"/>
              <w:widowControl w:val="0"/>
              <w:jc w:val="center"/>
            </w:pPr>
            <w:r w:rsidRPr="00244FB2">
              <w:t>$0</w:t>
            </w:r>
          </w:p>
        </w:tc>
        <w:tc>
          <w:tcPr>
            <w:tcW w:w="1435" w:type="pct"/>
            <w:vAlign w:val="center"/>
          </w:tcPr>
          <w:p w14:paraId="4EB634DE" w14:textId="77777777" w:rsidR="00FA7B8D" w:rsidRPr="005266FC" w:rsidRDefault="005266FC" w:rsidP="00B50AED">
            <w:pPr>
              <w:pStyle w:val="TableText"/>
              <w:widowControl w:val="0"/>
              <w:jc w:val="center"/>
              <w:rPr>
                <w:highlight w:val="black"/>
              </w:rPr>
            </w:pPr>
            <w:r>
              <w:rPr>
                <w:noProof/>
                <w:color w:val="000000"/>
                <w:highlight w:val="black"/>
              </w:rPr>
              <w:t>'''''''''''''''''''''''''''</w:t>
            </w:r>
          </w:p>
        </w:tc>
      </w:tr>
      <w:tr w:rsidR="00FA7B8D" w:rsidRPr="00244FB2" w14:paraId="107DACD2" w14:textId="77777777" w:rsidTr="00D15288">
        <w:tc>
          <w:tcPr>
            <w:tcW w:w="1406" w:type="pct"/>
          </w:tcPr>
          <w:p w14:paraId="71797F10" w14:textId="77777777" w:rsidR="00FA7B8D" w:rsidRPr="00244FB2" w:rsidRDefault="00FA7B8D" w:rsidP="00312840">
            <w:pPr>
              <w:pStyle w:val="TableText"/>
              <w:widowControl w:val="0"/>
            </w:pPr>
            <w:r w:rsidRPr="00244FB2">
              <w:t>Average number of relapses</w:t>
            </w:r>
          </w:p>
        </w:tc>
        <w:tc>
          <w:tcPr>
            <w:tcW w:w="1079" w:type="pct"/>
            <w:vAlign w:val="bottom"/>
          </w:tcPr>
          <w:p w14:paraId="5D0C6F3D" w14:textId="77777777" w:rsidR="00FA7B8D" w:rsidRPr="00244FB2" w:rsidRDefault="00FA7B8D" w:rsidP="00B50AED">
            <w:pPr>
              <w:pStyle w:val="TableText"/>
              <w:widowControl w:val="0"/>
              <w:jc w:val="center"/>
            </w:pPr>
            <w:r w:rsidRPr="00244FB2">
              <w:t>0.1546</w:t>
            </w:r>
          </w:p>
        </w:tc>
        <w:tc>
          <w:tcPr>
            <w:tcW w:w="1080" w:type="pct"/>
            <w:vAlign w:val="bottom"/>
          </w:tcPr>
          <w:p w14:paraId="41145CB0" w14:textId="77777777" w:rsidR="00FA7B8D" w:rsidRPr="00244FB2" w:rsidRDefault="00FA7B8D" w:rsidP="00B50AED">
            <w:pPr>
              <w:pStyle w:val="TableText"/>
              <w:widowControl w:val="0"/>
              <w:jc w:val="center"/>
            </w:pPr>
            <w:r w:rsidRPr="00244FB2">
              <w:t>0.9610</w:t>
            </w:r>
          </w:p>
        </w:tc>
        <w:tc>
          <w:tcPr>
            <w:tcW w:w="1435" w:type="pct"/>
            <w:vAlign w:val="center"/>
          </w:tcPr>
          <w:p w14:paraId="4534AA7F" w14:textId="77777777" w:rsidR="00FA7B8D" w:rsidRPr="00244FB2" w:rsidRDefault="00FA7B8D" w:rsidP="00B50AED">
            <w:pPr>
              <w:pStyle w:val="TableText"/>
              <w:widowControl w:val="0"/>
              <w:jc w:val="center"/>
            </w:pPr>
            <w:r w:rsidRPr="00244FB2">
              <w:t>-0.8064</w:t>
            </w:r>
          </w:p>
        </w:tc>
      </w:tr>
      <w:tr w:rsidR="00FA7B8D" w:rsidRPr="00244FB2" w14:paraId="34F7B769" w14:textId="77777777" w:rsidTr="00D15288">
        <w:tc>
          <w:tcPr>
            <w:tcW w:w="3565" w:type="pct"/>
            <w:gridSpan w:val="3"/>
          </w:tcPr>
          <w:p w14:paraId="405BB03B" w14:textId="77777777" w:rsidR="00FA7B8D" w:rsidRPr="00244FB2" w:rsidRDefault="00FA7B8D" w:rsidP="00312840">
            <w:pPr>
              <w:pStyle w:val="TableText"/>
              <w:widowControl w:val="0"/>
              <w:jc w:val="right"/>
              <w:rPr>
                <w:b/>
              </w:rPr>
            </w:pPr>
            <w:r w:rsidRPr="00244FB2">
              <w:rPr>
                <w:b/>
              </w:rPr>
              <w:t>Incremental cost per relapse avoided</w:t>
            </w:r>
          </w:p>
        </w:tc>
        <w:tc>
          <w:tcPr>
            <w:tcW w:w="1435" w:type="pct"/>
            <w:vAlign w:val="center"/>
          </w:tcPr>
          <w:p w14:paraId="1884AD44" w14:textId="77777777" w:rsidR="00FA7B8D" w:rsidRPr="00244FB2" w:rsidRDefault="005266FC" w:rsidP="00B50AED">
            <w:pPr>
              <w:pStyle w:val="TableText"/>
              <w:widowControl w:val="0"/>
              <w:jc w:val="center"/>
            </w:pPr>
            <w:r>
              <w:rPr>
                <w:noProof/>
                <w:color w:val="000000"/>
                <w:highlight w:val="black"/>
              </w:rPr>
              <w:t>'''''''''''''''''''''''''''</w:t>
            </w:r>
            <w:r w:rsidR="00FF39FD" w:rsidRPr="00FF39FD">
              <w:rPr>
                <w:vertAlign w:val="superscript"/>
              </w:rPr>
              <w:t>1</w:t>
            </w:r>
          </w:p>
        </w:tc>
      </w:tr>
      <w:tr w:rsidR="00FA7B8D" w:rsidRPr="00244FB2" w14:paraId="33273269" w14:textId="77777777" w:rsidTr="00D15288">
        <w:tc>
          <w:tcPr>
            <w:tcW w:w="5000" w:type="pct"/>
            <w:gridSpan w:val="4"/>
          </w:tcPr>
          <w:p w14:paraId="1E440958" w14:textId="77777777" w:rsidR="00FA7B8D" w:rsidRPr="00244FB2" w:rsidRDefault="00FA7B8D" w:rsidP="00312840">
            <w:pPr>
              <w:pStyle w:val="TableText"/>
              <w:widowControl w:val="0"/>
              <w:rPr>
                <w:b/>
              </w:rPr>
            </w:pPr>
            <w:r w:rsidRPr="00244FB2">
              <w:rPr>
                <w:b/>
              </w:rPr>
              <w:t xml:space="preserve">Step 2c: Modelled efficacy – 36 month time horizon, drug, administration and </w:t>
            </w:r>
            <w:r w:rsidRPr="00244FB2">
              <w:rPr>
                <w:b/>
                <w:u w:val="single"/>
              </w:rPr>
              <w:t>relapse costs</w:t>
            </w:r>
            <w:r w:rsidRPr="00244FB2">
              <w:rPr>
                <w:b/>
              </w:rPr>
              <w:t xml:space="preserve">, allow </w:t>
            </w:r>
            <w:proofErr w:type="spellStart"/>
            <w:r w:rsidRPr="00244FB2">
              <w:rPr>
                <w:b/>
              </w:rPr>
              <w:t>eculizumab</w:t>
            </w:r>
            <w:proofErr w:type="spellEnd"/>
            <w:r w:rsidRPr="00244FB2">
              <w:rPr>
                <w:b/>
              </w:rPr>
              <w:t xml:space="preserve"> discontinuations</w:t>
            </w:r>
          </w:p>
        </w:tc>
      </w:tr>
      <w:tr w:rsidR="00FA7B8D" w:rsidRPr="00244FB2" w14:paraId="0A5F5967" w14:textId="77777777" w:rsidTr="00D15288">
        <w:tc>
          <w:tcPr>
            <w:tcW w:w="1406" w:type="pct"/>
          </w:tcPr>
          <w:p w14:paraId="01C5BDE4" w14:textId="77777777" w:rsidR="00FA7B8D" w:rsidRPr="00244FB2" w:rsidRDefault="00FA7B8D" w:rsidP="00312840">
            <w:pPr>
              <w:pStyle w:val="TableText"/>
              <w:widowControl w:val="0"/>
            </w:pPr>
            <w:r w:rsidRPr="00244FB2">
              <w:t>Costs</w:t>
            </w:r>
          </w:p>
        </w:tc>
        <w:tc>
          <w:tcPr>
            <w:tcW w:w="1079" w:type="pct"/>
            <w:vAlign w:val="bottom"/>
          </w:tcPr>
          <w:p w14:paraId="1A127BD8" w14:textId="77777777" w:rsidR="00FA7B8D" w:rsidRPr="005266FC" w:rsidRDefault="005266FC" w:rsidP="00B50AED">
            <w:pPr>
              <w:pStyle w:val="TableText"/>
              <w:widowControl w:val="0"/>
              <w:jc w:val="center"/>
              <w:rPr>
                <w:highlight w:val="black"/>
              </w:rPr>
            </w:pPr>
            <w:r>
              <w:rPr>
                <w:noProof/>
                <w:color w:val="000000"/>
                <w:highlight w:val="black"/>
              </w:rPr>
              <w:t>'''''''''''''''''''''''''''</w:t>
            </w:r>
          </w:p>
        </w:tc>
        <w:tc>
          <w:tcPr>
            <w:tcW w:w="1080" w:type="pct"/>
            <w:vAlign w:val="bottom"/>
          </w:tcPr>
          <w:p w14:paraId="5225C0CC" w14:textId="77777777" w:rsidR="00FA7B8D" w:rsidRPr="00244FB2" w:rsidRDefault="00FA7B8D" w:rsidP="00B50AED">
            <w:pPr>
              <w:pStyle w:val="TableText"/>
              <w:widowControl w:val="0"/>
              <w:jc w:val="center"/>
            </w:pPr>
            <w:r w:rsidRPr="00244FB2">
              <w:t>$8,874</w:t>
            </w:r>
          </w:p>
        </w:tc>
        <w:tc>
          <w:tcPr>
            <w:tcW w:w="1435" w:type="pct"/>
            <w:vAlign w:val="center"/>
          </w:tcPr>
          <w:p w14:paraId="0D622CDA" w14:textId="77777777" w:rsidR="00FA7B8D" w:rsidRPr="005266FC" w:rsidRDefault="005266FC" w:rsidP="00B50AED">
            <w:pPr>
              <w:pStyle w:val="TableText"/>
              <w:widowControl w:val="0"/>
              <w:jc w:val="center"/>
              <w:rPr>
                <w:highlight w:val="black"/>
              </w:rPr>
            </w:pPr>
            <w:r>
              <w:rPr>
                <w:noProof/>
                <w:color w:val="000000"/>
                <w:highlight w:val="black"/>
              </w:rPr>
              <w:t>''''''''''''''''''''''''</w:t>
            </w:r>
          </w:p>
        </w:tc>
      </w:tr>
      <w:tr w:rsidR="00FA7B8D" w:rsidRPr="00244FB2" w14:paraId="7C56C4D3" w14:textId="77777777" w:rsidTr="00D15288">
        <w:tc>
          <w:tcPr>
            <w:tcW w:w="1406" w:type="pct"/>
          </w:tcPr>
          <w:p w14:paraId="06F56C5C" w14:textId="77777777" w:rsidR="00FA7B8D" w:rsidRPr="00244FB2" w:rsidRDefault="00FA7B8D" w:rsidP="00312840">
            <w:pPr>
              <w:pStyle w:val="TableText"/>
              <w:widowControl w:val="0"/>
            </w:pPr>
            <w:r w:rsidRPr="00244FB2">
              <w:t>Average number of relapses</w:t>
            </w:r>
          </w:p>
        </w:tc>
        <w:tc>
          <w:tcPr>
            <w:tcW w:w="1079" w:type="pct"/>
            <w:vAlign w:val="bottom"/>
          </w:tcPr>
          <w:p w14:paraId="104AB1C8" w14:textId="77777777" w:rsidR="00FA7B8D" w:rsidRPr="00244FB2" w:rsidRDefault="00FA7B8D" w:rsidP="00B50AED">
            <w:pPr>
              <w:pStyle w:val="TableText"/>
              <w:widowControl w:val="0"/>
              <w:jc w:val="center"/>
            </w:pPr>
            <w:r w:rsidRPr="00244FB2">
              <w:t>0.1546</w:t>
            </w:r>
          </w:p>
        </w:tc>
        <w:tc>
          <w:tcPr>
            <w:tcW w:w="1080" w:type="pct"/>
            <w:vAlign w:val="bottom"/>
          </w:tcPr>
          <w:p w14:paraId="1C930D84" w14:textId="77777777" w:rsidR="00FA7B8D" w:rsidRPr="00244FB2" w:rsidRDefault="00FA7B8D" w:rsidP="00B50AED">
            <w:pPr>
              <w:pStyle w:val="TableText"/>
              <w:widowControl w:val="0"/>
              <w:jc w:val="center"/>
            </w:pPr>
            <w:r w:rsidRPr="00244FB2">
              <w:t>0.9610</w:t>
            </w:r>
          </w:p>
        </w:tc>
        <w:tc>
          <w:tcPr>
            <w:tcW w:w="1435" w:type="pct"/>
            <w:vAlign w:val="center"/>
          </w:tcPr>
          <w:p w14:paraId="507A3BD9" w14:textId="77777777" w:rsidR="00FA7B8D" w:rsidRPr="00244FB2" w:rsidRDefault="00FA7B8D" w:rsidP="00B50AED">
            <w:pPr>
              <w:pStyle w:val="TableText"/>
              <w:widowControl w:val="0"/>
              <w:jc w:val="center"/>
            </w:pPr>
            <w:r w:rsidRPr="00244FB2">
              <w:t>-0.8064</w:t>
            </w:r>
          </w:p>
        </w:tc>
      </w:tr>
      <w:tr w:rsidR="00FA7B8D" w:rsidRPr="00244FB2" w14:paraId="2424A809" w14:textId="77777777" w:rsidTr="00D15288">
        <w:tc>
          <w:tcPr>
            <w:tcW w:w="3565" w:type="pct"/>
            <w:gridSpan w:val="3"/>
          </w:tcPr>
          <w:p w14:paraId="27C9E06B" w14:textId="77777777" w:rsidR="00FA7B8D" w:rsidRPr="00244FB2" w:rsidRDefault="00FA7B8D" w:rsidP="00312840">
            <w:pPr>
              <w:pStyle w:val="TableText"/>
              <w:widowControl w:val="0"/>
              <w:jc w:val="right"/>
              <w:rPr>
                <w:b/>
              </w:rPr>
            </w:pPr>
            <w:r w:rsidRPr="00244FB2">
              <w:rPr>
                <w:b/>
              </w:rPr>
              <w:t>Incremental cost per relapse avoided</w:t>
            </w:r>
          </w:p>
        </w:tc>
        <w:tc>
          <w:tcPr>
            <w:tcW w:w="1435" w:type="pct"/>
            <w:vAlign w:val="center"/>
          </w:tcPr>
          <w:p w14:paraId="06B335D4" w14:textId="77777777" w:rsidR="00FA7B8D" w:rsidRPr="00244FB2" w:rsidRDefault="005266FC" w:rsidP="00B50AED">
            <w:pPr>
              <w:pStyle w:val="TableText"/>
              <w:widowControl w:val="0"/>
              <w:jc w:val="center"/>
            </w:pPr>
            <w:r>
              <w:rPr>
                <w:noProof/>
                <w:color w:val="000000"/>
                <w:highlight w:val="black"/>
              </w:rPr>
              <w:t>''''''''''''''''''''''''</w:t>
            </w:r>
            <w:r w:rsidR="00FF39FD" w:rsidRPr="00FF39FD">
              <w:rPr>
                <w:vertAlign w:val="superscript"/>
              </w:rPr>
              <w:t>1</w:t>
            </w:r>
          </w:p>
        </w:tc>
      </w:tr>
      <w:tr w:rsidR="00FA7B8D" w:rsidRPr="00244FB2" w14:paraId="5087D647" w14:textId="77777777" w:rsidTr="00D15288">
        <w:tc>
          <w:tcPr>
            <w:tcW w:w="5000" w:type="pct"/>
            <w:gridSpan w:val="4"/>
          </w:tcPr>
          <w:p w14:paraId="2D4F2694" w14:textId="77777777" w:rsidR="00FA7B8D" w:rsidRPr="00244FB2" w:rsidRDefault="00FA7B8D" w:rsidP="00312840">
            <w:pPr>
              <w:pStyle w:val="TableText"/>
              <w:widowControl w:val="0"/>
              <w:rPr>
                <w:b/>
              </w:rPr>
            </w:pPr>
            <w:r w:rsidRPr="00244FB2">
              <w:rPr>
                <w:b/>
              </w:rPr>
              <w:t xml:space="preserve">Step 3a: Modelled efficacy – 36 month time horizon, drug, administration and relapse costs, allow </w:t>
            </w:r>
            <w:proofErr w:type="spellStart"/>
            <w:r w:rsidRPr="00244FB2">
              <w:rPr>
                <w:b/>
              </w:rPr>
              <w:t>eculizumab</w:t>
            </w:r>
            <w:proofErr w:type="spellEnd"/>
            <w:r w:rsidRPr="00244FB2">
              <w:rPr>
                <w:b/>
              </w:rPr>
              <w:t xml:space="preserve"> discontinuations, </w:t>
            </w:r>
            <w:r w:rsidRPr="00244FB2">
              <w:rPr>
                <w:b/>
                <w:u w:val="single"/>
              </w:rPr>
              <w:t>include fatal relapse events</w:t>
            </w:r>
          </w:p>
        </w:tc>
      </w:tr>
      <w:tr w:rsidR="00FA7B8D" w:rsidRPr="00244FB2" w14:paraId="41ECE3A9" w14:textId="77777777" w:rsidTr="00D15288">
        <w:tc>
          <w:tcPr>
            <w:tcW w:w="1406" w:type="pct"/>
          </w:tcPr>
          <w:p w14:paraId="06344BD2" w14:textId="77777777" w:rsidR="00FA7B8D" w:rsidRPr="00244FB2" w:rsidRDefault="00FA7B8D" w:rsidP="00312840">
            <w:pPr>
              <w:pStyle w:val="TableText"/>
              <w:widowControl w:val="0"/>
            </w:pPr>
            <w:r w:rsidRPr="00244FB2">
              <w:t>Costs</w:t>
            </w:r>
          </w:p>
        </w:tc>
        <w:tc>
          <w:tcPr>
            <w:tcW w:w="1079" w:type="pct"/>
            <w:vAlign w:val="bottom"/>
          </w:tcPr>
          <w:p w14:paraId="1F4D6B97" w14:textId="77777777" w:rsidR="00FA7B8D" w:rsidRPr="005266FC" w:rsidRDefault="005266FC" w:rsidP="00B50AED">
            <w:pPr>
              <w:pStyle w:val="TableText"/>
              <w:widowControl w:val="0"/>
              <w:jc w:val="center"/>
              <w:rPr>
                <w:highlight w:val="black"/>
              </w:rPr>
            </w:pPr>
            <w:r>
              <w:rPr>
                <w:noProof/>
                <w:color w:val="000000"/>
                <w:highlight w:val="black"/>
              </w:rPr>
              <w:t>''''''''''''''''''''''''</w:t>
            </w:r>
          </w:p>
        </w:tc>
        <w:tc>
          <w:tcPr>
            <w:tcW w:w="1080" w:type="pct"/>
            <w:vAlign w:val="bottom"/>
          </w:tcPr>
          <w:p w14:paraId="78255173" w14:textId="77777777" w:rsidR="00FA7B8D" w:rsidRPr="00244FB2" w:rsidRDefault="00FA7B8D" w:rsidP="00B50AED">
            <w:pPr>
              <w:pStyle w:val="TableText"/>
              <w:widowControl w:val="0"/>
              <w:jc w:val="center"/>
            </w:pPr>
            <w:r w:rsidRPr="00244FB2">
              <w:t>$8,636</w:t>
            </w:r>
          </w:p>
        </w:tc>
        <w:tc>
          <w:tcPr>
            <w:tcW w:w="1435" w:type="pct"/>
            <w:vAlign w:val="center"/>
          </w:tcPr>
          <w:p w14:paraId="4AB2A190" w14:textId="77777777" w:rsidR="00FA7B8D" w:rsidRPr="005266FC" w:rsidRDefault="005266FC" w:rsidP="00B50AED">
            <w:pPr>
              <w:pStyle w:val="TableText"/>
              <w:widowControl w:val="0"/>
              <w:jc w:val="center"/>
              <w:rPr>
                <w:highlight w:val="black"/>
              </w:rPr>
            </w:pPr>
            <w:r>
              <w:rPr>
                <w:noProof/>
                <w:color w:val="000000"/>
                <w:highlight w:val="black"/>
              </w:rPr>
              <w:t>'''''''''''''''''''''''''''''</w:t>
            </w:r>
          </w:p>
        </w:tc>
      </w:tr>
      <w:tr w:rsidR="00FA7B8D" w:rsidRPr="00244FB2" w14:paraId="55F22977" w14:textId="77777777" w:rsidTr="00D15288">
        <w:tc>
          <w:tcPr>
            <w:tcW w:w="1406" w:type="pct"/>
          </w:tcPr>
          <w:p w14:paraId="37E695C6" w14:textId="77777777" w:rsidR="00FA7B8D" w:rsidRPr="00244FB2" w:rsidRDefault="00FA7B8D" w:rsidP="00312840">
            <w:pPr>
              <w:pStyle w:val="TableText"/>
              <w:widowControl w:val="0"/>
            </w:pPr>
            <w:r w:rsidRPr="00244FB2">
              <w:t>LYs</w:t>
            </w:r>
          </w:p>
        </w:tc>
        <w:tc>
          <w:tcPr>
            <w:tcW w:w="1079" w:type="pct"/>
            <w:vAlign w:val="bottom"/>
          </w:tcPr>
          <w:p w14:paraId="240C9C6E" w14:textId="77777777" w:rsidR="00FA7B8D" w:rsidRPr="00244FB2" w:rsidRDefault="00FA7B8D" w:rsidP="00B50AED">
            <w:pPr>
              <w:pStyle w:val="TableText"/>
              <w:widowControl w:val="0"/>
              <w:jc w:val="center"/>
            </w:pPr>
            <w:r w:rsidRPr="00244FB2">
              <w:t>2.7745</w:t>
            </w:r>
          </w:p>
        </w:tc>
        <w:tc>
          <w:tcPr>
            <w:tcW w:w="1080" w:type="pct"/>
            <w:vAlign w:val="bottom"/>
          </w:tcPr>
          <w:p w14:paraId="12D9F717" w14:textId="77777777" w:rsidR="00FA7B8D" w:rsidRPr="00244FB2" w:rsidRDefault="00FA7B8D" w:rsidP="00B50AED">
            <w:pPr>
              <w:pStyle w:val="TableText"/>
              <w:widowControl w:val="0"/>
              <w:jc w:val="center"/>
            </w:pPr>
            <w:r w:rsidRPr="00244FB2">
              <w:t>2.6956</w:t>
            </w:r>
          </w:p>
        </w:tc>
        <w:tc>
          <w:tcPr>
            <w:tcW w:w="1435" w:type="pct"/>
            <w:vAlign w:val="center"/>
          </w:tcPr>
          <w:p w14:paraId="4EE8D9A3" w14:textId="77777777" w:rsidR="00FA7B8D" w:rsidRPr="00244FB2" w:rsidRDefault="00FA7B8D" w:rsidP="00B50AED">
            <w:pPr>
              <w:pStyle w:val="TableText"/>
              <w:widowControl w:val="0"/>
              <w:jc w:val="center"/>
            </w:pPr>
            <w:r w:rsidRPr="00244FB2">
              <w:t>0.0789</w:t>
            </w:r>
          </w:p>
        </w:tc>
      </w:tr>
      <w:tr w:rsidR="00FA7B8D" w:rsidRPr="00244FB2" w14:paraId="3FB8CC2B" w14:textId="77777777" w:rsidTr="00D15288">
        <w:tc>
          <w:tcPr>
            <w:tcW w:w="3565" w:type="pct"/>
            <w:gridSpan w:val="3"/>
          </w:tcPr>
          <w:p w14:paraId="462D9F9C" w14:textId="77777777" w:rsidR="00FA7B8D" w:rsidRPr="00244FB2" w:rsidRDefault="00FA7B8D" w:rsidP="00312840">
            <w:pPr>
              <w:pStyle w:val="TableText"/>
              <w:widowControl w:val="0"/>
              <w:jc w:val="right"/>
              <w:rPr>
                <w:b/>
              </w:rPr>
            </w:pPr>
            <w:r w:rsidRPr="00244FB2">
              <w:rPr>
                <w:b/>
              </w:rPr>
              <w:t>Cost per LY gained</w:t>
            </w:r>
          </w:p>
        </w:tc>
        <w:tc>
          <w:tcPr>
            <w:tcW w:w="1435" w:type="pct"/>
            <w:vAlign w:val="center"/>
          </w:tcPr>
          <w:p w14:paraId="5F50F44B" w14:textId="77777777" w:rsidR="00FA7B8D" w:rsidRPr="00244FB2" w:rsidRDefault="005266FC" w:rsidP="00B50AED">
            <w:pPr>
              <w:pStyle w:val="TableText"/>
              <w:widowControl w:val="0"/>
              <w:jc w:val="center"/>
            </w:pPr>
            <w:r>
              <w:rPr>
                <w:noProof/>
                <w:color w:val="000000"/>
                <w:highlight w:val="black"/>
              </w:rPr>
              <w:t>'''''''''''''''''''''''''''''</w:t>
            </w:r>
            <w:r w:rsidR="00FF39FD" w:rsidRPr="00FF39FD">
              <w:rPr>
                <w:vertAlign w:val="superscript"/>
              </w:rPr>
              <w:t>1</w:t>
            </w:r>
          </w:p>
        </w:tc>
      </w:tr>
      <w:tr w:rsidR="00FA7B8D" w:rsidRPr="00244FB2" w14:paraId="7A1EFE37" w14:textId="77777777" w:rsidTr="00D15288">
        <w:tc>
          <w:tcPr>
            <w:tcW w:w="5000" w:type="pct"/>
            <w:gridSpan w:val="4"/>
          </w:tcPr>
          <w:p w14:paraId="2F7D6F2E" w14:textId="77777777" w:rsidR="00FA7B8D" w:rsidRPr="00244FB2" w:rsidRDefault="00FA7B8D" w:rsidP="00312840">
            <w:pPr>
              <w:pStyle w:val="TableText"/>
              <w:widowControl w:val="0"/>
              <w:rPr>
                <w:b/>
              </w:rPr>
            </w:pPr>
            <w:r w:rsidRPr="00244FB2">
              <w:rPr>
                <w:b/>
              </w:rPr>
              <w:t xml:space="preserve">Step 3b: Modelled efficacy – </w:t>
            </w:r>
            <w:r w:rsidRPr="00244FB2">
              <w:rPr>
                <w:b/>
                <w:u w:val="single"/>
              </w:rPr>
              <w:t>lifetime time horizon</w:t>
            </w:r>
            <w:r w:rsidRPr="00244FB2">
              <w:rPr>
                <w:b/>
              </w:rPr>
              <w:t xml:space="preserve">, drug, administration and relapse costs, allow </w:t>
            </w:r>
            <w:proofErr w:type="spellStart"/>
            <w:r w:rsidRPr="00244FB2">
              <w:rPr>
                <w:b/>
              </w:rPr>
              <w:t>eculizumab</w:t>
            </w:r>
            <w:proofErr w:type="spellEnd"/>
            <w:r w:rsidRPr="00244FB2">
              <w:rPr>
                <w:b/>
              </w:rPr>
              <w:t xml:space="preserve"> discontinuations, include fatal relapse events</w:t>
            </w:r>
          </w:p>
        </w:tc>
      </w:tr>
      <w:tr w:rsidR="00FA7B8D" w:rsidRPr="00244FB2" w14:paraId="00C952AF" w14:textId="77777777" w:rsidTr="00D15288">
        <w:tc>
          <w:tcPr>
            <w:tcW w:w="1406" w:type="pct"/>
          </w:tcPr>
          <w:p w14:paraId="120B8144" w14:textId="77777777" w:rsidR="00FA7B8D" w:rsidRPr="00244FB2" w:rsidRDefault="00FA7B8D" w:rsidP="00312840">
            <w:pPr>
              <w:pStyle w:val="TableText"/>
              <w:widowControl w:val="0"/>
            </w:pPr>
            <w:r w:rsidRPr="00244FB2">
              <w:t>Costs</w:t>
            </w:r>
          </w:p>
        </w:tc>
        <w:tc>
          <w:tcPr>
            <w:tcW w:w="1079" w:type="pct"/>
            <w:vAlign w:val="bottom"/>
          </w:tcPr>
          <w:p w14:paraId="5E6AB5CA" w14:textId="77777777" w:rsidR="00FA7B8D" w:rsidRPr="005266FC" w:rsidRDefault="005266FC" w:rsidP="00B50AED">
            <w:pPr>
              <w:pStyle w:val="TableText"/>
              <w:widowControl w:val="0"/>
              <w:jc w:val="center"/>
              <w:rPr>
                <w:highlight w:val="black"/>
              </w:rPr>
            </w:pPr>
            <w:r>
              <w:rPr>
                <w:noProof/>
                <w:color w:val="000000"/>
                <w:highlight w:val="black"/>
              </w:rPr>
              <w:t>'''''''''''''''''''''''''''</w:t>
            </w:r>
          </w:p>
        </w:tc>
        <w:tc>
          <w:tcPr>
            <w:tcW w:w="1080" w:type="pct"/>
            <w:vAlign w:val="bottom"/>
          </w:tcPr>
          <w:p w14:paraId="3ECCE70A" w14:textId="77777777" w:rsidR="00FA7B8D" w:rsidRPr="00244FB2" w:rsidRDefault="00FA7B8D" w:rsidP="00B50AED">
            <w:pPr>
              <w:pStyle w:val="TableText"/>
              <w:widowControl w:val="0"/>
              <w:jc w:val="center"/>
            </w:pPr>
            <w:r w:rsidRPr="00244FB2">
              <w:t>$40,996</w:t>
            </w:r>
          </w:p>
        </w:tc>
        <w:tc>
          <w:tcPr>
            <w:tcW w:w="1435" w:type="pct"/>
            <w:vAlign w:val="center"/>
          </w:tcPr>
          <w:p w14:paraId="55C8509C" w14:textId="77777777" w:rsidR="00FA7B8D" w:rsidRPr="005266FC" w:rsidRDefault="005266FC" w:rsidP="00B50AED">
            <w:pPr>
              <w:pStyle w:val="TableText"/>
              <w:widowControl w:val="0"/>
              <w:jc w:val="center"/>
              <w:rPr>
                <w:highlight w:val="black"/>
              </w:rPr>
            </w:pPr>
            <w:r>
              <w:rPr>
                <w:noProof/>
                <w:color w:val="000000"/>
                <w:highlight w:val="black"/>
              </w:rPr>
              <w:t>'''''''''''''''''''''''''''''</w:t>
            </w:r>
          </w:p>
        </w:tc>
      </w:tr>
      <w:tr w:rsidR="00FA7B8D" w:rsidRPr="00244FB2" w14:paraId="0E17EA5C" w14:textId="77777777" w:rsidTr="00D15288">
        <w:tc>
          <w:tcPr>
            <w:tcW w:w="1406" w:type="pct"/>
          </w:tcPr>
          <w:p w14:paraId="4675A72A" w14:textId="77777777" w:rsidR="00FA7B8D" w:rsidRPr="00244FB2" w:rsidRDefault="00FA7B8D" w:rsidP="00312840">
            <w:pPr>
              <w:pStyle w:val="TableText"/>
              <w:widowControl w:val="0"/>
            </w:pPr>
            <w:r w:rsidRPr="00244FB2">
              <w:t>LYs</w:t>
            </w:r>
          </w:p>
        </w:tc>
        <w:tc>
          <w:tcPr>
            <w:tcW w:w="1079" w:type="pct"/>
            <w:vAlign w:val="bottom"/>
          </w:tcPr>
          <w:p w14:paraId="2A9ADAD0" w14:textId="77777777" w:rsidR="00FA7B8D" w:rsidRPr="00244FB2" w:rsidRDefault="00FA7B8D" w:rsidP="00B50AED">
            <w:pPr>
              <w:pStyle w:val="TableText"/>
              <w:widowControl w:val="0"/>
              <w:jc w:val="center"/>
            </w:pPr>
            <w:r w:rsidRPr="00244FB2">
              <w:t>8.4077</w:t>
            </w:r>
          </w:p>
        </w:tc>
        <w:tc>
          <w:tcPr>
            <w:tcW w:w="1080" w:type="pct"/>
            <w:vAlign w:val="bottom"/>
          </w:tcPr>
          <w:p w14:paraId="11C939BA" w14:textId="77777777" w:rsidR="00FA7B8D" w:rsidRPr="00244FB2" w:rsidRDefault="00FA7B8D" w:rsidP="00B50AED">
            <w:pPr>
              <w:pStyle w:val="TableText"/>
              <w:widowControl w:val="0"/>
              <w:jc w:val="center"/>
            </w:pPr>
            <w:r w:rsidRPr="00244FB2">
              <w:t>7.3796</w:t>
            </w:r>
          </w:p>
        </w:tc>
        <w:tc>
          <w:tcPr>
            <w:tcW w:w="1435" w:type="pct"/>
            <w:vAlign w:val="center"/>
          </w:tcPr>
          <w:p w14:paraId="6FB85814" w14:textId="77777777" w:rsidR="00FA7B8D" w:rsidRPr="00244FB2" w:rsidRDefault="00FA7B8D" w:rsidP="00B50AED">
            <w:pPr>
              <w:pStyle w:val="TableText"/>
              <w:widowControl w:val="0"/>
              <w:jc w:val="center"/>
            </w:pPr>
            <w:r w:rsidRPr="00244FB2">
              <w:t>1.0280</w:t>
            </w:r>
          </w:p>
        </w:tc>
      </w:tr>
      <w:tr w:rsidR="00FA7B8D" w:rsidRPr="00244FB2" w14:paraId="2CB7FD76" w14:textId="77777777" w:rsidTr="00D15288">
        <w:tc>
          <w:tcPr>
            <w:tcW w:w="3565" w:type="pct"/>
            <w:gridSpan w:val="3"/>
          </w:tcPr>
          <w:p w14:paraId="46867EE6" w14:textId="77777777" w:rsidR="00FA7B8D" w:rsidRPr="00244FB2" w:rsidRDefault="00FA7B8D" w:rsidP="00312840">
            <w:pPr>
              <w:pStyle w:val="TableText"/>
              <w:widowControl w:val="0"/>
              <w:jc w:val="right"/>
              <w:rPr>
                <w:b/>
              </w:rPr>
            </w:pPr>
            <w:r w:rsidRPr="00244FB2">
              <w:rPr>
                <w:b/>
              </w:rPr>
              <w:t>Cost per LY gained</w:t>
            </w:r>
          </w:p>
        </w:tc>
        <w:tc>
          <w:tcPr>
            <w:tcW w:w="1435" w:type="pct"/>
            <w:vAlign w:val="center"/>
          </w:tcPr>
          <w:p w14:paraId="30BF0F3A" w14:textId="77777777" w:rsidR="00FA7B8D" w:rsidRPr="00244FB2" w:rsidRDefault="005266FC" w:rsidP="00B50AED">
            <w:pPr>
              <w:pStyle w:val="TableText"/>
              <w:widowControl w:val="0"/>
              <w:jc w:val="center"/>
            </w:pPr>
            <w:r>
              <w:rPr>
                <w:noProof/>
                <w:color w:val="000000"/>
                <w:highlight w:val="black"/>
              </w:rPr>
              <w:t>'''''''''''''''''''''''''''</w:t>
            </w:r>
            <w:r w:rsidR="00FF39FD" w:rsidRPr="00FF39FD">
              <w:rPr>
                <w:vertAlign w:val="superscript"/>
              </w:rPr>
              <w:t>1</w:t>
            </w:r>
          </w:p>
        </w:tc>
      </w:tr>
      <w:tr w:rsidR="00FA7B8D" w:rsidRPr="00244FB2" w14:paraId="30F07279" w14:textId="77777777" w:rsidTr="00D15288">
        <w:tc>
          <w:tcPr>
            <w:tcW w:w="5000" w:type="pct"/>
            <w:gridSpan w:val="4"/>
          </w:tcPr>
          <w:p w14:paraId="29836618" w14:textId="77777777" w:rsidR="00FA7B8D" w:rsidRPr="00244FB2" w:rsidRDefault="00FA7B8D" w:rsidP="00312840">
            <w:pPr>
              <w:pStyle w:val="TableText"/>
              <w:widowControl w:val="0"/>
              <w:rPr>
                <w:b/>
              </w:rPr>
            </w:pPr>
            <w:r w:rsidRPr="00244FB2">
              <w:rPr>
                <w:b/>
              </w:rPr>
              <w:t xml:space="preserve">Step 4a: Modelled efficacy – lifetime time horizon, drug, administration and relapse costs, allow </w:t>
            </w:r>
            <w:proofErr w:type="spellStart"/>
            <w:r w:rsidRPr="00244FB2">
              <w:rPr>
                <w:b/>
              </w:rPr>
              <w:t>eculizumab</w:t>
            </w:r>
            <w:proofErr w:type="spellEnd"/>
            <w:r w:rsidRPr="00244FB2">
              <w:rPr>
                <w:b/>
              </w:rPr>
              <w:t xml:space="preserve"> discontinuations, include fatal relapse events; </w:t>
            </w:r>
            <w:r w:rsidRPr="00244FB2">
              <w:rPr>
                <w:b/>
                <w:u w:val="single"/>
              </w:rPr>
              <w:t>apply utility estimates for relapses and EDSS health states</w:t>
            </w:r>
          </w:p>
        </w:tc>
      </w:tr>
      <w:tr w:rsidR="00FA7B8D" w:rsidRPr="00244FB2" w14:paraId="4F84DB0E" w14:textId="77777777" w:rsidTr="00D15288">
        <w:tc>
          <w:tcPr>
            <w:tcW w:w="1406" w:type="pct"/>
          </w:tcPr>
          <w:p w14:paraId="136457F0" w14:textId="77777777" w:rsidR="00FA7B8D" w:rsidRPr="00244FB2" w:rsidRDefault="00FA7B8D" w:rsidP="00312840">
            <w:pPr>
              <w:pStyle w:val="TableText"/>
              <w:widowControl w:val="0"/>
            </w:pPr>
            <w:r w:rsidRPr="00244FB2">
              <w:t>Costs</w:t>
            </w:r>
          </w:p>
        </w:tc>
        <w:tc>
          <w:tcPr>
            <w:tcW w:w="1079" w:type="pct"/>
            <w:vAlign w:val="bottom"/>
          </w:tcPr>
          <w:p w14:paraId="0B8E4CB6" w14:textId="77777777" w:rsidR="00FA7B8D" w:rsidRPr="005266FC" w:rsidRDefault="005266FC" w:rsidP="00B50AED">
            <w:pPr>
              <w:pStyle w:val="TableText"/>
              <w:widowControl w:val="0"/>
              <w:jc w:val="center"/>
              <w:rPr>
                <w:highlight w:val="black"/>
              </w:rPr>
            </w:pPr>
            <w:r>
              <w:rPr>
                <w:noProof/>
                <w:color w:val="000000"/>
                <w:highlight w:val="black"/>
              </w:rPr>
              <w:t>'''''''''''''''''''''''''''''</w:t>
            </w:r>
          </w:p>
        </w:tc>
        <w:tc>
          <w:tcPr>
            <w:tcW w:w="1080" w:type="pct"/>
            <w:vAlign w:val="bottom"/>
          </w:tcPr>
          <w:p w14:paraId="6D219045" w14:textId="77777777" w:rsidR="00FA7B8D" w:rsidRPr="00244FB2" w:rsidRDefault="00FA7B8D" w:rsidP="00B50AED">
            <w:pPr>
              <w:pStyle w:val="TableText"/>
              <w:widowControl w:val="0"/>
              <w:jc w:val="center"/>
            </w:pPr>
            <w:r w:rsidRPr="00244FB2">
              <w:t>$40,996</w:t>
            </w:r>
          </w:p>
        </w:tc>
        <w:tc>
          <w:tcPr>
            <w:tcW w:w="1435" w:type="pct"/>
            <w:vAlign w:val="center"/>
          </w:tcPr>
          <w:p w14:paraId="3BA8A313" w14:textId="77777777" w:rsidR="00FA7B8D" w:rsidRPr="005266FC" w:rsidRDefault="005266FC" w:rsidP="00B50AED">
            <w:pPr>
              <w:pStyle w:val="TableText"/>
              <w:widowControl w:val="0"/>
              <w:jc w:val="center"/>
              <w:rPr>
                <w:highlight w:val="black"/>
              </w:rPr>
            </w:pPr>
            <w:r>
              <w:rPr>
                <w:noProof/>
                <w:color w:val="000000"/>
                <w:highlight w:val="black"/>
              </w:rPr>
              <w:t>'''''''''''''''''''''''''''''</w:t>
            </w:r>
          </w:p>
        </w:tc>
      </w:tr>
      <w:tr w:rsidR="00FA7B8D" w:rsidRPr="00244FB2" w14:paraId="45E8A83E" w14:textId="77777777" w:rsidTr="00D15288">
        <w:tc>
          <w:tcPr>
            <w:tcW w:w="1406" w:type="pct"/>
          </w:tcPr>
          <w:p w14:paraId="36D4890B" w14:textId="77777777" w:rsidR="00FA7B8D" w:rsidRPr="00244FB2" w:rsidRDefault="00FA7B8D" w:rsidP="00312840">
            <w:pPr>
              <w:pStyle w:val="TableText"/>
              <w:widowControl w:val="0"/>
            </w:pPr>
            <w:r w:rsidRPr="00244FB2">
              <w:t>QALYs</w:t>
            </w:r>
          </w:p>
        </w:tc>
        <w:tc>
          <w:tcPr>
            <w:tcW w:w="1079" w:type="pct"/>
            <w:vAlign w:val="bottom"/>
          </w:tcPr>
          <w:p w14:paraId="129A467D" w14:textId="77777777" w:rsidR="00FA7B8D" w:rsidRPr="00244FB2" w:rsidRDefault="00FA7B8D" w:rsidP="00B50AED">
            <w:pPr>
              <w:pStyle w:val="TableText"/>
              <w:widowControl w:val="0"/>
              <w:jc w:val="center"/>
            </w:pPr>
            <w:r w:rsidRPr="00244FB2">
              <w:t>8.3615</w:t>
            </w:r>
          </w:p>
        </w:tc>
        <w:tc>
          <w:tcPr>
            <w:tcW w:w="1080" w:type="pct"/>
            <w:vAlign w:val="bottom"/>
          </w:tcPr>
          <w:p w14:paraId="438ED492" w14:textId="77777777" w:rsidR="00FA7B8D" w:rsidRPr="00244FB2" w:rsidRDefault="00FA7B8D" w:rsidP="00B50AED">
            <w:pPr>
              <w:pStyle w:val="TableText"/>
              <w:widowControl w:val="0"/>
              <w:jc w:val="center"/>
            </w:pPr>
            <w:r w:rsidRPr="00244FB2">
              <w:t>7.3063</w:t>
            </w:r>
          </w:p>
        </w:tc>
        <w:tc>
          <w:tcPr>
            <w:tcW w:w="1435" w:type="pct"/>
            <w:vAlign w:val="center"/>
          </w:tcPr>
          <w:p w14:paraId="597DB07E" w14:textId="77777777" w:rsidR="00FA7B8D" w:rsidRPr="00244FB2" w:rsidRDefault="00FA7B8D" w:rsidP="00B50AED">
            <w:pPr>
              <w:pStyle w:val="TableText"/>
              <w:widowControl w:val="0"/>
              <w:jc w:val="center"/>
            </w:pPr>
            <w:r w:rsidRPr="00244FB2">
              <w:t>1.0552</w:t>
            </w:r>
          </w:p>
        </w:tc>
      </w:tr>
      <w:tr w:rsidR="00FA7B8D" w:rsidRPr="00244FB2" w14:paraId="33C8248B" w14:textId="77777777" w:rsidTr="00D15288">
        <w:tc>
          <w:tcPr>
            <w:tcW w:w="3565" w:type="pct"/>
            <w:gridSpan w:val="3"/>
          </w:tcPr>
          <w:p w14:paraId="098B1D88" w14:textId="77777777" w:rsidR="00FA7B8D" w:rsidRPr="00244FB2" w:rsidRDefault="00FA7B8D" w:rsidP="00312840">
            <w:pPr>
              <w:pStyle w:val="TableText"/>
              <w:keepNext w:val="0"/>
              <w:widowControl w:val="0"/>
              <w:jc w:val="right"/>
              <w:rPr>
                <w:b/>
              </w:rPr>
            </w:pPr>
            <w:r w:rsidRPr="00244FB2">
              <w:rPr>
                <w:b/>
              </w:rPr>
              <w:t>Cost per QALY gained</w:t>
            </w:r>
          </w:p>
        </w:tc>
        <w:tc>
          <w:tcPr>
            <w:tcW w:w="1435" w:type="pct"/>
            <w:vAlign w:val="center"/>
          </w:tcPr>
          <w:p w14:paraId="38F89710" w14:textId="77777777" w:rsidR="00FA7B8D" w:rsidRPr="00244FB2" w:rsidRDefault="005266FC" w:rsidP="00D15288">
            <w:pPr>
              <w:pStyle w:val="TableText"/>
              <w:keepNext w:val="0"/>
              <w:widowControl w:val="0"/>
              <w:jc w:val="center"/>
            </w:pPr>
            <w:r>
              <w:rPr>
                <w:noProof/>
                <w:color w:val="000000"/>
                <w:highlight w:val="black"/>
              </w:rPr>
              <w:t>'''''''''''''''''''''''''''</w:t>
            </w:r>
            <w:r w:rsidR="00FF39FD" w:rsidRPr="00FF39FD">
              <w:rPr>
                <w:vertAlign w:val="superscript"/>
              </w:rPr>
              <w:t>1</w:t>
            </w:r>
          </w:p>
        </w:tc>
      </w:tr>
      <w:tr w:rsidR="00FA7B8D" w:rsidRPr="00244FB2" w14:paraId="3B865E90" w14:textId="77777777" w:rsidTr="00D15288">
        <w:tc>
          <w:tcPr>
            <w:tcW w:w="5000" w:type="pct"/>
            <w:gridSpan w:val="4"/>
          </w:tcPr>
          <w:p w14:paraId="202EB945" w14:textId="77777777" w:rsidR="00FA7B8D" w:rsidRPr="00244FB2" w:rsidRDefault="00FA7B8D" w:rsidP="00312840">
            <w:pPr>
              <w:pStyle w:val="TableText"/>
              <w:keepNext w:val="0"/>
              <w:widowControl w:val="0"/>
              <w:rPr>
                <w:b/>
              </w:rPr>
            </w:pPr>
            <w:r w:rsidRPr="00244FB2">
              <w:rPr>
                <w:b/>
              </w:rPr>
              <w:t xml:space="preserve">Step 4b: Modelled efficacy – lifetime time horizon, drug, administration and relapse costs, allow </w:t>
            </w:r>
            <w:proofErr w:type="spellStart"/>
            <w:r w:rsidRPr="00244FB2">
              <w:rPr>
                <w:b/>
              </w:rPr>
              <w:t>eculizumab</w:t>
            </w:r>
            <w:proofErr w:type="spellEnd"/>
            <w:r w:rsidRPr="00244FB2">
              <w:rPr>
                <w:b/>
              </w:rPr>
              <w:t xml:space="preserve"> discontinuations, include fatal relapse events; </w:t>
            </w:r>
            <w:r w:rsidRPr="00244FB2">
              <w:rPr>
                <w:b/>
                <w:u w:val="single"/>
              </w:rPr>
              <w:t>include risk of disability progression with relapse</w:t>
            </w:r>
            <w:r w:rsidRPr="00244FB2">
              <w:rPr>
                <w:b/>
              </w:rPr>
              <w:t>; apply utility estimates for relapses and EDSS health states</w:t>
            </w:r>
          </w:p>
        </w:tc>
      </w:tr>
      <w:tr w:rsidR="00FA7B8D" w:rsidRPr="00244FB2" w14:paraId="20290FF5" w14:textId="77777777" w:rsidTr="00D15288">
        <w:tc>
          <w:tcPr>
            <w:tcW w:w="1406" w:type="pct"/>
          </w:tcPr>
          <w:p w14:paraId="2CE693A1" w14:textId="77777777" w:rsidR="00FA7B8D" w:rsidRPr="00244FB2" w:rsidRDefault="00FA7B8D" w:rsidP="00312840">
            <w:pPr>
              <w:pStyle w:val="TableText"/>
              <w:keepNext w:val="0"/>
              <w:widowControl w:val="0"/>
            </w:pPr>
            <w:r w:rsidRPr="00244FB2">
              <w:t>Costs</w:t>
            </w:r>
          </w:p>
        </w:tc>
        <w:tc>
          <w:tcPr>
            <w:tcW w:w="1079" w:type="pct"/>
            <w:vAlign w:val="bottom"/>
          </w:tcPr>
          <w:p w14:paraId="24BA4EBF" w14:textId="77777777" w:rsidR="00FA7B8D" w:rsidRPr="005266FC" w:rsidRDefault="005266FC" w:rsidP="00D15288">
            <w:pPr>
              <w:pStyle w:val="TableText"/>
              <w:keepNext w:val="0"/>
              <w:widowControl w:val="0"/>
              <w:jc w:val="center"/>
              <w:rPr>
                <w:highlight w:val="black"/>
              </w:rPr>
            </w:pPr>
            <w:r>
              <w:rPr>
                <w:noProof/>
                <w:color w:val="000000"/>
                <w:highlight w:val="black"/>
              </w:rPr>
              <w:t>'''''''''''''''''''''''''''''</w:t>
            </w:r>
          </w:p>
        </w:tc>
        <w:tc>
          <w:tcPr>
            <w:tcW w:w="1080" w:type="pct"/>
            <w:vAlign w:val="bottom"/>
          </w:tcPr>
          <w:p w14:paraId="1A6BC543" w14:textId="77777777" w:rsidR="00FA7B8D" w:rsidRPr="00244FB2" w:rsidRDefault="00FA7B8D" w:rsidP="00D15288">
            <w:pPr>
              <w:pStyle w:val="TableText"/>
              <w:keepNext w:val="0"/>
              <w:widowControl w:val="0"/>
              <w:jc w:val="center"/>
            </w:pPr>
            <w:r w:rsidRPr="00244FB2">
              <w:t>$40,996</w:t>
            </w:r>
          </w:p>
        </w:tc>
        <w:tc>
          <w:tcPr>
            <w:tcW w:w="1435" w:type="pct"/>
            <w:vAlign w:val="center"/>
          </w:tcPr>
          <w:p w14:paraId="337B66F2" w14:textId="77777777" w:rsidR="00FA7B8D" w:rsidRPr="005266FC" w:rsidRDefault="005266FC" w:rsidP="00D15288">
            <w:pPr>
              <w:pStyle w:val="TableText"/>
              <w:keepNext w:val="0"/>
              <w:widowControl w:val="0"/>
              <w:jc w:val="center"/>
              <w:rPr>
                <w:highlight w:val="black"/>
              </w:rPr>
            </w:pPr>
            <w:r>
              <w:rPr>
                <w:noProof/>
                <w:color w:val="000000"/>
                <w:highlight w:val="black"/>
              </w:rPr>
              <w:t>'''''''''''''''''''''''''</w:t>
            </w:r>
          </w:p>
        </w:tc>
      </w:tr>
      <w:tr w:rsidR="00FA7B8D" w:rsidRPr="00244FB2" w14:paraId="31963C64" w14:textId="77777777" w:rsidTr="00D15288">
        <w:tc>
          <w:tcPr>
            <w:tcW w:w="1406" w:type="pct"/>
          </w:tcPr>
          <w:p w14:paraId="6255ECC3" w14:textId="77777777" w:rsidR="00FA7B8D" w:rsidRPr="00244FB2" w:rsidRDefault="00FA7B8D" w:rsidP="00312840">
            <w:pPr>
              <w:pStyle w:val="TableText"/>
              <w:keepNext w:val="0"/>
              <w:widowControl w:val="0"/>
            </w:pPr>
            <w:r w:rsidRPr="00244FB2">
              <w:t>QALYs</w:t>
            </w:r>
          </w:p>
        </w:tc>
        <w:tc>
          <w:tcPr>
            <w:tcW w:w="1079" w:type="pct"/>
            <w:vAlign w:val="bottom"/>
          </w:tcPr>
          <w:p w14:paraId="1568EEFA" w14:textId="77777777" w:rsidR="00FA7B8D" w:rsidRPr="00244FB2" w:rsidRDefault="00FA7B8D" w:rsidP="00D15288">
            <w:pPr>
              <w:pStyle w:val="TableText"/>
              <w:keepNext w:val="0"/>
              <w:widowControl w:val="0"/>
              <w:jc w:val="center"/>
            </w:pPr>
            <w:r w:rsidRPr="00244FB2">
              <w:t>7.1480</w:t>
            </w:r>
          </w:p>
        </w:tc>
        <w:tc>
          <w:tcPr>
            <w:tcW w:w="1080" w:type="pct"/>
            <w:vAlign w:val="bottom"/>
          </w:tcPr>
          <w:p w14:paraId="75A4A324" w14:textId="77777777" w:rsidR="00FA7B8D" w:rsidRPr="00244FB2" w:rsidRDefault="00FA7B8D" w:rsidP="00D15288">
            <w:pPr>
              <w:pStyle w:val="TableText"/>
              <w:keepNext w:val="0"/>
              <w:widowControl w:val="0"/>
              <w:jc w:val="center"/>
            </w:pPr>
            <w:r w:rsidRPr="00244FB2">
              <w:t>5.2822</w:t>
            </w:r>
          </w:p>
        </w:tc>
        <w:tc>
          <w:tcPr>
            <w:tcW w:w="1435" w:type="pct"/>
            <w:vAlign w:val="center"/>
          </w:tcPr>
          <w:p w14:paraId="4813905E" w14:textId="77777777" w:rsidR="00FA7B8D" w:rsidRPr="00244FB2" w:rsidRDefault="00FA7B8D" w:rsidP="00D15288">
            <w:pPr>
              <w:pStyle w:val="TableText"/>
              <w:keepNext w:val="0"/>
              <w:widowControl w:val="0"/>
              <w:jc w:val="center"/>
            </w:pPr>
            <w:r w:rsidRPr="00244FB2">
              <w:t>1.8658</w:t>
            </w:r>
          </w:p>
        </w:tc>
      </w:tr>
      <w:tr w:rsidR="00FA7B8D" w:rsidRPr="00244FB2" w14:paraId="2B5219E3" w14:textId="77777777" w:rsidTr="00D15288">
        <w:tc>
          <w:tcPr>
            <w:tcW w:w="3565" w:type="pct"/>
            <w:gridSpan w:val="3"/>
          </w:tcPr>
          <w:p w14:paraId="6B97A4CA" w14:textId="77777777" w:rsidR="00FA7B8D" w:rsidRPr="00244FB2" w:rsidRDefault="00FA7B8D" w:rsidP="00312840">
            <w:pPr>
              <w:pStyle w:val="TableText"/>
              <w:keepNext w:val="0"/>
              <w:widowControl w:val="0"/>
              <w:jc w:val="right"/>
              <w:rPr>
                <w:b/>
              </w:rPr>
            </w:pPr>
            <w:r w:rsidRPr="00244FB2">
              <w:rPr>
                <w:b/>
              </w:rPr>
              <w:t>Cost per QALY gained</w:t>
            </w:r>
          </w:p>
        </w:tc>
        <w:tc>
          <w:tcPr>
            <w:tcW w:w="1435" w:type="pct"/>
            <w:vAlign w:val="center"/>
          </w:tcPr>
          <w:p w14:paraId="3399B8C5" w14:textId="77777777" w:rsidR="00FA7B8D" w:rsidRPr="00244FB2" w:rsidRDefault="005266FC" w:rsidP="00D15288">
            <w:pPr>
              <w:pStyle w:val="TableText"/>
              <w:keepNext w:val="0"/>
              <w:widowControl w:val="0"/>
              <w:jc w:val="center"/>
            </w:pPr>
            <w:r>
              <w:rPr>
                <w:noProof/>
                <w:color w:val="000000"/>
                <w:highlight w:val="black"/>
              </w:rPr>
              <w:t>'''''''''''''''''''''''''</w:t>
            </w:r>
            <w:r w:rsidR="00FF39FD" w:rsidRPr="00FF39FD">
              <w:rPr>
                <w:vertAlign w:val="superscript"/>
              </w:rPr>
              <w:t>1</w:t>
            </w:r>
          </w:p>
        </w:tc>
      </w:tr>
      <w:tr w:rsidR="00FA7B8D" w:rsidRPr="00244FB2" w14:paraId="3282DC9C" w14:textId="77777777" w:rsidTr="00D15288">
        <w:tc>
          <w:tcPr>
            <w:tcW w:w="5000" w:type="pct"/>
            <w:gridSpan w:val="4"/>
          </w:tcPr>
          <w:p w14:paraId="07B7D569" w14:textId="77777777" w:rsidR="00FA7B8D" w:rsidRPr="00244FB2" w:rsidRDefault="00FA7B8D" w:rsidP="00312840">
            <w:pPr>
              <w:pStyle w:val="TableText"/>
              <w:keepNext w:val="0"/>
              <w:widowControl w:val="0"/>
              <w:rPr>
                <w:b/>
              </w:rPr>
            </w:pPr>
            <w:r w:rsidRPr="00244FB2">
              <w:rPr>
                <w:b/>
              </w:rPr>
              <w:t xml:space="preserve">Step 5: Modelled efficacy – lifetime time horizon, drug, administration, relapse and </w:t>
            </w:r>
            <w:r w:rsidRPr="00244FB2">
              <w:rPr>
                <w:b/>
                <w:u w:val="single"/>
              </w:rPr>
              <w:t>EDSS health state costs</w:t>
            </w:r>
            <w:r w:rsidRPr="00244FB2">
              <w:rPr>
                <w:b/>
              </w:rPr>
              <w:t xml:space="preserve">, allow </w:t>
            </w:r>
            <w:proofErr w:type="spellStart"/>
            <w:r w:rsidRPr="00244FB2">
              <w:rPr>
                <w:b/>
              </w:rPr>
              <w:t>eculizumab</w:t>
            </w:r>
            <w:proofErr w:type="spellEnd"/>
            <w:r w:rsidRPr="00244FB2">
              <w:rPr>
                <w:b/>
              </w:rPr>
              <w:t xml:space="preserve"> discontinuations, include fatal relapse events; include risk of disability progression with relapse; </w:t>
            </w:r>
            <w:r w:rsidRPr="00244FB2">
              <w:rPr>
                <w:b/>
              </w:rPr>
              <w:lastRenderedPageBreak/>
              <w:t>apply utility estimates for relapses and EDSS health states</w:t>
            </w:r>
          </w:p>
        </w:tc>
      </w:tr>
      <w:tr w:rsidR="00FA7B8D" w:rsidRPr="00244FB2" w14:paraId="1CA7AD50" w14:textId="77777777" w:rsidTr="00D15288">
        <w:tc>
          <w:tcPr>
            <w:tcW w:w="1406" w:type="pct"/>
          </w:tcPr>
          <w:p w14:paraId="615620BD" w14:textId="77777777" w:rsidR="00FA7B8D" w:rsidRPr="00244FB2" w:rsidRDefault="00FA7B8D" w:rsidP="00312840">
            <w:pPr>
              <w:pStyle w:val="TableText"/>
              <w:keepNext w:val="0"/>
              <w:widowControl w:val="0"/>
            </w:pPr>
            <w:r w:rsidRPr="00244FB2">
              <w:lastRenderedPageBreak/>
              <w:t>Costs</w:t>
            </w:r>
          </w:p>
        </w:tc>
        <w:tc>
          <w:tcPr>
            <w:tcW w:w="1079" w:type="pct"/>
            <w:vAlign w:val="bottom"/>
          </w:tcPr>
          <w:p w14:paraId="4032EB38" w14:textId="77777777" w:rsidR="00FA7B8D" w:rsidRPr="005266FC" w:rsidRDefault="005266FC" w:rsidP="00D15288">
            <w:pPr>
              <w:pStyle w:val="TableText"/>
              <w:keepNext w:val="0"/>
              <w:widowControl w:val="0"/>
              <w:jc w:val="center"/>
              <w:rPr>
                <w:highlight w:val="black"/>
              </w:rPr>
            </w:pPr>
            <w:r>
              <w:rPr>
                <w:noProof/>
                <w:color w:val="000000"/>
                <w:highlight w:val="black"/>
              </w:rPr>
              <w:t>'''''''''''''''''''''''''</w:t>
            </w:r>
          </w:p>
        </w:tc>
        <w:tc>
          <w:tcPr>
            <w:tcW w:w="1080" w:type="pct"/>
            <w:vAlign w:val="bottom"/>
          </w:tcPr>
          <w:p w14:paraId="7C76A725" w14:textId="77777777" w:rsidR="00FA7B8D" w:rsidRPr="00244FB2" w:rsidRDefault="00FA7B8D" w:rsidP="00D15288">
            <w:pPr>
              <w:pStyle w:val="TableText"/>
              <w:keepNext w:val="0"/>
              <w:widowControl w:val="0"/>
              <w:jc w:val="center"/>
            </w:pPr>
            <w:r w:rsidRPr="00244FB2">
              <w:t>$177,188</w:t>
            </w:r>
          </w:p>
        </w:tc>
        <w:tc>
          <w:tcPr>
            <w:tcW w:w="1435" w:type="pct"/>
            <w:vAlign w:val="center"/>
          </w:tcPr>
          <w:p w14:paraId="6EF7348B" w14:textId="77777777" w:rsidR="00FA7B8D" w:rsidRPr="005266FC" w:rsidRDefault="005266FC" w:rsidP="00D15288">
            <w:pPr>
              <w:pStyle w:val="TableText"/>
              <w:keepNext w:val="0"/>
              <w:widowControl w:val="0"/>
              <w:jc w:val="center"/>
              <w:rPr>
                <w:highlight w:val="black"/>
              </w:rPr>
            </w:pPr>
            <w:r>
              <w:rPr>
                <w:noProof/>
                <w:color w:val="000000"/>
                <w:highlight w:val="black"/>
              </w:rPr>
              <w:t>'''''''''''''''''''''''''''''</w:t>
            </w:r>
          </w:p>
        </w:tc>
      </w:tr>
      <w:tr w:rsidR="00FA7B8D" w:rsidRPr="00244FB2" w14:paraId="16DB642F" w14:textId="77777777" w:rsidTr="00D15288">
        <w:tc>
          <w:tcPr>
            <w:tcW w:w="1406" w:type="pct"/>
          </w:tcPr>
          <w:p w14:paraId="67B0906E" w14:textId="77777777" w:rsidR="00FA7B8D" w:rsidRPr="00244FB2" w:rsidRDefault="00FA7B8D" w:rsidP="00312840">
            <w:pPr>
              <w:pStyle w:val="TableText"/>
              <w:keepNext w:val="0"/>
              <w:widowControl w:val="0"/>
            </w:pPr>
            <w:r w:rsidRPr="00244FB2">
              <w:t>QALYs</w:t>
            </w:r>
          </w:p>
        </w:tc>
        <w:tc>
          <w:tcPr>
            <w:tcW w:w="1079" w:type="pct"/>
            <w:vAlign w:val="bottom"/>
          </w:tcPr>
          <w:p w14:paraId="7BA1B8E7" w14:textId="77777777" w:rsidR="00FA7B8D" w:rsidRPr="00244FB2" w:rsidRDefault="00FA7B8D" w:rsidP="00D15288">
            <w:pPr>
              <w:pStyle w:val="TableText"/>
              <w:keepNext w:val="0"/>
              <w:widowControl w:val="0"/>
              <w:jc w:val="center"/>
            </w:pPr>
            <w:r w:rsidRPr="00244FB2">
              <w:t>7.1480</w:t>
            </w:r>
          </w:p>
        </w:tc>
        <w:tc>
          <w:tcPr>
            <w:tcW w:w="1080" w:type="pct"/>
            <w:vAlign w:val="bottom"/>
          </w:tcPr>
          <w:p w14:paraId="063F7A2C" w14:textId="77777777" w:rsidR="00FA7B8D" w:rsidRPr="00244FB2" w:rsidRDefault="00FA7B8D" w:rsidP="00D15288">
            <w:pPr>
              <w:pStyle w:val="TableText"/>
              <w:keepNext w:val="0"/>
              <w:widowControl w:val="0"/>
              <w:jc w:val="center"/>
            </w:pPr>
            <w:r w:rsidRPr="00244FB2">
              <w:t>5.2822</w:t>
            </w:r>
          </w:p>
        </w:tc>
        <w:tc>
          <w:tcPr>
            <w:tcW w:w="1435" w:type="pct"/>
            <w:vAlign w:val="center"/>
          </w:tcPr>
          <w:p w14:paraId="4C3E8E06" w14:textId="77777777" w:rsidR="00FA7B8D" w:rsidRPr="00244FB2" w:rsidRDefault="00FA7B8D" w:rsidP="00D15288">
            <w:pPr>
              <w:pStyle w:val="TableText"/>
              <w:keepNext w:val="0"/>
              <w:widowControl w:val="0"/>
              <w:jc w:val="center"/>
            </w:pPr>
            <w:r w:rsidRPr="00244FB2">
              <w:t>1.8658</w:t>
            </w:r>
          </w:p>
        </w:tc>
      </w:tr>
      <w:tr w:rsidR="00FA7B8D" w:rsidRPr="00244FB2" w14:paraId="3520082C" w14:textId="77777777" w:rsidTr="00D15288">
        <w:tc>
          <w:tcPr>
            <w:tcW w:w="3565" w:type="pct"/>
            <w:gridSpan w:val="3"/>
          </w:tcPr>
          <w:p w14:paraId="799F170B" w14:textId="77777777" w:rsidR="00FA7B8D" w:rsidRPr="00244FB2" w:rsidRDefault="00FA7B8D" w:rsidP="00312840">
            <w:pPr>
              <w:pStyle w:val="TableText"/>
              <w:keepNext w:val="0"/>
              <w:widowControl w:val="0"/>
              <w:jc w:val="right"/>
              <w:rPr>
                <w:b/>
              </w:rPr>
            </w:pPr>
            <w:r w:rsidRPr="00244FB2">
              <w:rPr>
                <w:b/>
              </w:rPr>
              <w:t>Cost per QALY gained</w:t>
            </w:r>
          </w:p>
        </w:tc>
        <w:tc>
          <w:tcPr>
            <w:tcW w:w="1435" w:type="pct"/>
            <w:vAlign w:val="center"/>
          </w:tcPr>
          <w:p w14:paraId="6743F522" w14:textId="77777777" w:rsidR="00FA7B8D" w:rsidRPr="00244FB2" w:rsidRDefault="005266FC" w:rsidP="00D15288">
            <w:pPr>
              <w:pStyle w:val="TableText"/>
              <w:keepNext w:val="0"/>
              <w:widowControl w:val="0"/>
              <w:jc w:val="center"/>
              <w:rPr>
                <w:b/>
              </w:rPr>
            </w:pPr>
            <w:r>
              <w:rPr>
                <w:b/>
                <w:noProof/>
                <w:color w:val="000000"/>
                <w:highlight w:val="black"/>
              </w:rPr>
              <w:t>'''''''''''''''''''''</w:t>
            </w:r>
            <w:r w:rsidR="00FF39FD" w:rsidRPr="00FF39FD">
              <w:rPr>
                <w:vertAlign w:val="superscript"/>
              </w:rPr>
              <w:t>1</w:t>
            </w:r>
          </w:p>
        </w:tc>
      </w:tr>
    </w:tbl>
    <w:p w14:paraId="28E64C43" w14:textId="77777777" w:rsidR="00FA7B8D" w:rsidRPr="00244FB2" w:rsidRDefault="00FA7B8D" w:rsidP="00FA7B8D">
      <w:pPr>
        <w:pStyle w:val="TableFooter"/>
      </w:pPr>
      <w:r w:rsidRPr="00244FB2">
        <w:t>Source: Table 3-21 (p 154) of the submission</w:t>
      </w:r>
    </w:p>
    <w:p w14:paraId="26087CBC" w14:textId="77777777" w:rsidR="00FA7B8D" w:rsidRDefault="000378C8" w:rsidP="00FA7B8D">
      <w:pPr>
        <w:pStyle w:val="TableFooter"/>
        <w:spacing w:after="120"/>
      </w:pPr>
      <w:r w:rsidRPr="00244FB2">
        <w:t>EDSS = Expanded</w:t>
      </w:r>
      <w:r w:rsidR="00C67CF3" w:rsidRPr="00244FB2">
        <w:t xml:space="preserve"> Disability Status Scale</w:t>
      </w:r>
      <w:r w:rsidRPr="00244FB2">
        <w:t xml:space="preserve">; LY = life year; </w:t>
      </w:r>
      <w:r w:rsidR="00FA7B8D" w:rsidRPr="00244FB2">
        <w:t>QALY</w:t>
      </w:r>
      <w:r w:rsidRPr="00244FB2">
        <w:t xml:space="preserve"> =</w:t>
      </w:r>
      <w:r w:rsidR="00FA7B8D" w:rsidRPr="00244FB2">
        <w:t xml:space="preserve"> quality-adjusted life year</w:t>
      </w:r>
    </w:p>
    <w:p w14:paraId="2EA5FC55" w14:textId="77777777" w:rsidR="00FF39FD" w:rsidRPr="009868C4" w:rsidRDefault="00FF39FD" w:rsidP="00FF39FD">
      <w:pPr>
        <w:pStyle w:val="TableFigureFooter"/>
        <w:spacing w:after="0"/>
        <w:contextualSpacing w:val="0"/>
      </w:pPr>
      <w:r w:rsidRPr="009868C4">
        <w:rPr>
          <w:i/>
        </w:rPr>
        <w:t>The redacted values correspond to the following ranges</w:t>
      </w:r>
      <w:r>
        <w:rPr>
          <w:i/>
        </w:rPr>
        <w:t xml:space="preserve">: </w:t>
      </w:r>
    </w:p>
    <w:p w14:paraId="30CE2006" w14:textId="77777777" w:rsidR="00FF39FD" w:rsidRPr="00FF39FD" w:rsidRDefault="00FF39FD" w:rsidP="00FA7B8D">
      <w:pPr>
        <w:pStyle w:val="TableFooter"/>
        <w:spacing w:after="120"/>
        <w:rPr>
          <w:i/>
          <w:u w:val="single"/>
        </w:rPr>
      </w:pPr>
      <w:r>
        <w:rPr>
          <w:i/>
          <w:u w:val="single"/>
          <w:vertAlign w:val="superscript"/>
        </w:rPr>
        <w:t>1</w:t>
      </w:r>
      <w:r>
        <w:rPr>
          <w:i/>
          <w:u w:val="single"/>
        </w:rPr>
        <w:t xml:space="preserve"> </w:t>
      </w:r>
      <w:r w:rsidRPr="00FF39FD">
        <w:rPr>
          <w:i/>
          <w:u w:val="single"/>
        </w:rPr>
        <w:t>&gt; $1,055,000</w:t>
      </w:r>
    </w:p>
    <w:p w14:paraId="6EAF432B" w14:textId="77777777" w:rsidR="00E751A7" w:rsidRPr="00244FB2" w:rsidRDefault="00E751A7" w:rsidP="00E751A7">
      <w:pPr>
        <w:pStyle w:val="ExecSumBodyText"/>
      </w:pPr>
      <w:r w:rsidRPr="00244FB2">
        <w:t>The extrapolation of treatment benefits beyond the clinical trial data had the largest impact on the stepped economic evaluation. The introduction of fatal relapse events and disability progression with relapse also had substantial impacts on the economic evaluation.</w:t>
      </w:r>
    </w:p>
    <w:p w14:paraId="54B0C347" w14:textId="77777777" w:rsidR="00E751A7" w:rsidRPr="00244FB2" w:rsidRDefault="00E751A7" w:rsidP="007D5B32">
      <w:pPr>
        <w:pStyle w:val="ExecSumBodyText"/>
        <w:rPr>
          <w:iCs/>
        </w:rPr>
      </w:pPr>
      <w:r w:rsidRPr="00244FB2">
        <w:t xml:space="preserve">Based on the economic model, treatment with </w:t>
      </w:r>
      <w:proofErr w:type="spellStart"/>
      <w:r w:rsidRPr="00244FB2">
        <w:t>eculizumab</w:t>
      </w:r>
      <w:proofErr w:type="spellEnd"/>
      <w:r w:rsidRPr="00244FB2">
        <w:t xml:space="preserve"> was associated with a cost per </w:t>
      </w:r>
      <w:r w:rsidR="00C67CF3" w:rsidRPr="00244FB2">
        <w:t>quality adjusted life year (</w:t>
      </w:r>
      <w:r w:rsidRPr="00244FB2">
        <w:t>QALY</w:t>
      </w:r>
      <w:r w:rsidR="00C67CF3" w:rsidRPr="00244FB2">
        <w:t>)</w:t>
      </w:r>
      <w:r w:rsidRPr="00244FB2">
        <w:t xml:space="preserve"> gained of </w:t>
      </w:r>
      <w:r w:rsidR="007D5B32" w:rsidRPr="007D5B32">
        <w:t>&gt; $1,055,000</w:t>
      </w:r>
      <w:r w:rsidRPr="00244FB2">
        <w:t xml:space="preserve"> compared to best supportive care for the treatment of NMOSD</w:t>
      </w:r>
      <w:r w:rsidR="00436D0B" w:rsidRPr="00244FB2">
        <w:t xml:space="preserve"> patients with frequent relapses</w:t>
      </w:r>
      <w:r w:rsidRPr="00244FB2">
        <w:t>.</w:t>
      </w:r>
      <w:r w:rsidR="00436D0B" w:rsidRPr="00244FB2">
        <w:t xml:space="preserve"> </w:t>
      </w:r>
      <w:r w:rsidR="00436D0B" w:rsidRPr="00244FB2">
        <w:rPr>
          <w:iCs/>
        </w:rPr>
        <w:t xml:space="preserve">The cost effectiveness of </w:t>
      </w:r>
      <w:proofErr w:type="spellStart"/>
      <w:r w:rsidR="00436D0B" w:rsidRPr="00244FB2">
        <w:rPr>
          <w:iCs/>
        </w:rPr>
        <w:t>eculizumab</w:t>
      </w:r>
      <w:proofErr w:type="spellEnd"/>
      <w:r w:rsidR="00436D0B" w:rsidRPr="00244FB2">
        <w:rPr>
          <w:iCs/>
        </w:rPr>
        <w:t xml:space="preserve"> for the treatment of NMOSD patients with a prior </w:t>
      </w:r>
      <w:r w:rsidR="006A6BF9" w:rsidRPr="00244FB2">
        <w:rPr>
          <w:iCs/>
        </w:rPr>
        <w:t>immunosuppressive</w:t>
      </w:r>
      <w:r w:rsidR="00436D0B" w:rsidRPr="00244FB2">
        <w:rPr>
          <w:iCs/>
        </w:rPr>
        <w:t xml:space="preserve"> event is unknown.</w:t>
      </w:r>
    </w:p>
    <w:p w14:paraId="1C4061F9" w14:textId="77777777" w:rsidR="00E751A7" w:rsidRPr="00244FB2" w:rsidRDefault="00E751A7" w:rsidP="00E751A7">
      <w:pPr>
        <w:pStyle w:val="ExecSumBodyText"/>
      </w:pPr>
      <w:r w:rsidRPr="00244FB2">
        <w:t xml:space="preserve">The PBAC has previously considered </w:t>
      </w:r>
      <w:r w:rsidR="00C67CF3" w:rsidRPr="00244FB2">
        <w:t>incremental cost effectiveness ratios (</w:t>
      </w:r>
      <w:r w:rsidRPr="00244FB2">
        <w:t>ICERs</w:t>
      </w:r>
      <w:r w:rsidR="00C67CF3" w:rsidRPr="00244FB2">
        <w:t>)</w:t>
      </w:r>
      <w:r w:rsidRPr="00244FB2">
        <w:t xml:space="preserve"> of approximately $100,000 to $300,000 per QALY gained for other r</w:t>
      </w:r>
      <w:r w:rsidR="001E4053" w:rsidRPr="00244FB2">
        <w:t>are diseases (</w:t>
      </w:r>
      <w:r w:rsidR="00DC4118" w:rsidRPr="00244FB2">
        <w:t xml:space="preserve">paragraph </w:t>
      </w:r>
      <w:r w:rsidR="001E4053" w:rsidRPr="00244FB2">
        <w:t xml:space="preserve">6.94 </w:t>
      </w:r>
      <w:proofErr w:type="spellStart"/>
      <w:r w:rsidR="001E4053" w:rsidRPr="00244FB2">
        <w:t>ravulizu</w:t>
      </w:r>
      <w:r w:rsidRPr="00244FB2">
        <w:t>mab</w:t>
      </w:r>
      <w:proofErr w:type="spellEnd"/>
      <w:r w:rsidRPr="00244FB2">
        <w:t xml:space="preserve"> July 2020 PBAC </w:t>
      </w:r>
      <w:r w:rsidR="00612EFA">
        <w:t>Public Summary Document (PSD)</w:t>
      </w:r>
      <w:r w:rsidRPr="00244FB2">
        <w:t xml:space="preserve">). </w:t>
      </w:r>
      <w:r w:rsidR="00FA59AA" w:rsidRPr="00244FB2">
        <w:t>The ESC noted that d</w:t>
      </w:r>
      <w:r w:rsidRPr="00244FB2">
        <w:t xml:space="preserve">uring the evaluation, threshold analyses were conducted to determine the price reduction required for </w:t>
      </w:r>
      <w:proofErr w:type="spellStart"/>
      <w:r w:rsidRPr="00244FB2">
        <w:t>eculizumab</w:t>
      </w:r>
      <w:proofErr w:type="spellEnd"/>
      <w:r w:rsidRPr="00244FB2">
        <w:t xml:space="preserve"> to achieve an ICER of $</w:t>
      </w:r>
      <w:r w:rsidRPr="007E20E4">
        <w:t>100,000 (95.1% reduction), $200,000 (90.4% reduction) or $300,000 (85.7%</w:t>
      </w:r>
      <w:r w:rsidRPr="00244FB2">
        <w:t xml:space="preserve"> reduction) per QALY gained.</w:t>
      </w:r>
      <w:r w:rsidR="00FA59AA" w:rsidRPr="00244FB2">
        <w:t xml:space="preserve"> </w:t>
      </w:r>
    </w:p>
    <w:p w14:paraId="6CFB4580" w14:textId="77777777" w:rsidR="00974CDF" w:rsidRPr="00244FB2" w:rsidRDefault="00974CDF" w:rsidP="00E751A7">
      <w:pPr>
        <w:pStyle w:val="ExecSumBodyText"/>
      </w:pPr>
      <w:r w:rsidRPr="00244FB2">
        <w:t xml:space="preserve">The ESC noted the disaggregated health outcomes which estimated that patients treated with </w:t>
      </w:r>
      <w:proofErr w:type="spellStart"/>
      <w:r w:rsidRPr="00244FB2">
        <w:t>eculizumab</w:t>
      </w:r>
      <w:proofErr w:type="spellEnd"/>
      <w:r w:rsidRPr="00244FB2">
        <w:t xml:space="preserve"> had, on average, 1.612 fewer relapses than patients treated with best supportive care</w:t>
      </w:r>
      <w:r w:rsidR="00DC4118" w:rsidRPr="00244FB2">
        <w:t xml:space="preserve"> over the 53</w:t>
      </w:r>
      <w:r w:rsidR="00107BF8">
        <w:t xml:space="preserve"> year</w:t>
      </w:r>
      <w:r w:rsidR="00DC4118" w:rsidRPr="00244FB2">
        <w:t xml:space="preserve"> time horizon of the model</w:t>
      </w:r>
      <w:r w:rsidR="00DE67C9" w:rsidRPr="00244FB2">
        <w:t xml:space="preserve"> (with an average of 6.6 relapses per patient in the </w:t>
      </w:r>
      <w:proofErr w:type="spellStart"/>
      <w:r w:rsidR="00DE67C9" w:rsidRPr="00244FB2">
        <w:t>eculizumab</w:t>
      </w:r>
      <w:proofErr w:type="spellEnd"/>
      <w:r w:rsidR="00DE67C9" w:rsidRPr="00244FB2">
        <w:t xml:space="preserve"> arm, and 8.2 in the best supportive care arm)</w:t>
      </w:r>
      <w:r w:rsidRPr="00244FB2">
        <w:t>.</w:t>
      </w:r>
      <w:r w:rsidR="005F431B" w:rsidRPr="00244FB2">
        <w:t xml:space="preserve"> The ESC considered that th</w:t>
      </w:r>
      <w:r w:rsidR="00C1654D" w:rsidRPr="00244FB2">
        <w:t>e</w:t>
      </w:r>
      <w:r w:rsidR="007D3E50" w:rsidRPr="00244FB2">
        <w:t>se</w:t>
      </w:r>
      <w:r w:rsidR="00C1654D" w:rsidRPr="00244FB2">
        <w:t xml:space="preserve"> modelled clinical gains were </w:t>
      </w:r>
      <w:r w:rsidR="005F431B" w:rsidRPr="00244FB2">
        <w:t>small considering the cost of the medication</w:t>
      </w:r>
      <w:r w:rsidR="00DE67C9" w:rsidRPr="00244FB2">
        <w:t xml:space="preserve"> </w:t>
      </w:r>
      <w:r w:rsidR="00384C59" w:rsidRPr="00244FB2">
        <w:t xml:space="preserve">and the long-term nature of treatment </w:t>
      </w:r>
      <w:r w:rsidR="00DE67C9" w:rsidRPr="00244FB2">
        <w:t xml:space="preserve">(the model </w:t>
      </w:r>
      <w:r w:rsidR="005524AB" w:rsidRPr="00244FB2">
        <w:t xml:space="preserve">estimated that the </w:t>
      </w:r>
      <w:r w:rsidR="00DE67C9" w:rsidRPr="00244FB2">
        <w:t xml:space="preserve">average </w:t>
      </w:r>
      <w:proofErr w:type="spellStart"/>
      <w:r w:rsidR="005524AB" w:rsidRPr="00244FB2">
        <w:t>eculizumab</w:t>
      </w:r>
      <w:proofErr w:type="spellEnd"/>
      <w:r w:rsidR="005524AB" w:rsidRPr="00244FB2">
        <w:t xml:space="preserve"> drug costs were</w:t>
      </w:r>
      <w:r w:rsidR="00DE67C9" w:rsidRPr="00244FB2">
        <w:t xml:space="preserve"> $</w:t>
      </w:r>
      <w:r w:rsidR="005266FC">
        <w:rPr>
          <w:noProof/>
          <w:color w:val="000000"/>
          <w:highlight w:val="black"/>
        </w:rPr>
        <w:t>'''''' '''''''''''''</w:t>
      </w:r>
      <w:r w:rsidR="00DE67C9" w:rsidRPr="00244FB2">
        <w:t xml:space="preserve"> per patient, for an average time on treatment (undiscounted) of 9.9 years</w:t>
      </w:r>
      <w:r w:rsidR="005524AB" w:rsidRPr="00244FB2">
        <w:t>)</w:t>
      </w:r>
      <w:r w:rsidR="005F431B" w:rsidRPr="00244FB2">
        <w:t>.</w:t>
      </w:r>
    </w:p>
    <w:p w14:paraId="7EA63A9B" w14:textId="77777777" w:rsidR="005524AB" w:rsidRPr="00244FB2" w:rsidRDefault="005524AB" w:rsidP="005524AB">
      <w:pPr>
        <w:pStyle w:val="ExecSumBodyText"/>
      </w:pPr>
      <w:r w:rsidRPr="00244FB2">
        <w:t xml:space="preserve">The ESC also noted that the model estimated an average of 4.6 life years gained (undiscounted) in the </w:t>
      </w:r>
      <w:proofErr w:type="spellStart"/>
      <w:r w:rsidRPr="00244FB2">
        <w:t>eculizumab</w:t>
      </w:r>
      <w:proofErr w:type="spellEnd"/>
      <w:r w:rsidRPr="00244FB2">
        <w:t xml:space="preserve"> arm </w:t>
      </w:r>
      <w:r w:rsidR="007D3E50" w:rsidRPr="00244FB2">
        <w:t xml:space="preserve">compared to best supportive care </w:t>
      </w:r>
      <w:r w:rsidRPr="00244FB2">
        <w:t xml:space="preserve">(with an average of 30.0 life years per patient in the </w:t>
      </w:r>
      <w:proofErr w:type="spellStart"/>
      <w:r w:rsidRPr="00244FB2">
        <w:t>eculizumab</w:t>
      </w:r>
      <w:proofErr w:type="spellEnd"/>
      <w:r w:rsidRPr="00244FB2">
        <w:t xml:space="preserve"> arm, and 25.4 in the best supportive care arm), which the ESC considered was uncertain given the lack of evidence of a survival benefit.</w:t>
      </w:r>
    </w:p>
    <w:p w14:paraId="4A2336EE" w14:textId="77777777" w:rsidR="005F431B" w:rsidRPr="00244FB2" w:rsidRDefault="005F431B" w:rsidP="00513453">
      <w:pPr>
        <w:pStyle w:val="ExecSumBodyText"/>
      </w:pPr>
      <w:r w:rsidRPr="00244FB2">
        <w:t xml:space="preserve">The ESC considered that the highly complex structure of the model, long time horizon in which the majority of incremental benefits occurred in the extrapolated period and </w:t>
      </w:r>
      <w:r w:rsidR="00107BF8">
        <w:t xml:space="preserve">the </w:t>
      </w:r>
      <w:r w:rsidRPr="00244FB2">
        <w:t xml:space="preserve">use of non-trial based inputs, such as for NMOSD mortality, meant the outcomes were highly uncertain in terms of estimating the cost-effectiveness of </w:t>
      </w:r>
      <w:proofErr w:type="spellStart"/>
      <w:r w:rsidRPr="00244FB2">
        <w:t>eculizumab</w:t>
      </w:r>
      <w:proofErr w:type="spellEnd"/>
      <w:r w:rsidRPr="00244FB2">
        <w:t>.</w:t>
      </w:r>
      <w:r w:rsidR="00FA59AA" w:rsidRPr="00244FB2">
        <w:t xml:space="preserve"> </w:t>
      </w:r>
      <w:r w:rsidR="007632A1" w:rsidRPr="00244FB2">
        <w:lastRenderedPageBreak/>
        <w:t xml:space="preserve">Noting the recommendation by the CADTH, </w:t>
      </w:r>
      <w:r w:rsidR="007632A1" w:rsidRPr="003350FE">
        <w:t>t</w:t>
      </w:r>
      <w:r w:rsidR="00FA59AA" w:rsidRPr="003350FE">
        <w:t xml:space="preserve">he ESC considered that a </w:t>
      </w:r>
      <w:r w:rsidR="007632A1" w:rsidRPr="003350FE">
        <w:t xml:space="preserve">similar substantial </w:t>
      </w:r>
      <w:r w:rsidR="00FA59AA" w:rsidRPr="003350FE">
        <w:t xml:space="preserve">price reduction would be required to mitigate the uncertainties in the model </w:t>
      </w:r>
      <w:r w:rsidR="007D3E50" w:rsidRPr="003350FE">
        <w:t>to achieve an ICER approaching a more acceptable value</w:t>
      </w:r>
      <w:r w:rsidR="00FA59AA" w:rsidRPr="003350FE">
        <w:t>.</w:t>
      </w:r>
    </w:p>
    <w:p w14:paraId="43FF3495" w14:textId="77777777" w:rsidR="00A9167A" w:rsidRPr="00244FB2" w:rsidRDefault="00A9167A" w:rsidP="006C0EAB">
      <w:pPr>
        <w:pStyle w:val="ExecSumBodyText"/>
        <w:rPr>
          <w:i/>
          <w:iCs/>
        </w:rPr>
      </w:pPr>
      <w:r w:rsidRPr="00244FB2">
        <w:t>The submission presented the results of a validation exercise comparing modelled severe disability or death in the best supportive care arm with estimates from an NMOSD risk prediction tool (Palace 2019). During the evaluation an alternative validation cohort was specified based on alternative assumptions around patient ethnicity, gender and age of onset. The results of the evaluation’s validation exercise suggest that the base case analysis substantially overestimated the risk of severe disability or death compared to values derived from an external risk prediction model with Australian NMOSD patient characteristics. The results of the model can be calibrated to the match the risk of the alternative validation cohort by removing relapse mortality and reducing disability progression by 35% (tested in sensitivity analyses below).</w:t>
      </w:r>
    </w:p>
    <w:p w14:paraId="30911617" w14:textId="77777777" w:rsidR="00E751A7" w:rsidRPr="00244FB2" w:rsidRDefault="00E751A7" w:rsidP="00E751A7">
      <w:pPr>
        <w:pStyle w:val="ExecSumBodyText"/>
      </w:pPr>
      <w:r w:rsidRPr="00244FB2">
        <w:t>The results of key sensitivity analyses are summarised below</w:t>
      </w:r>
      <w:r w:rsidR="00356794" w:rsidRPr="00244FB2">
        <w:t>.</w:t>
      </w:r>
    </w:p>
    <w:p w14:paraId="490941A7" w14:textId="77777777" w:rsidR="00D15288" w:rsidRPr="00244FB2" w:rsidRDefault="00D15288" w:rsidP="007E3C13">
      <w:pPr>
        <w:pStyle w:val="Tableheadingrow"/>
        <w:rPr>
          <w:rStyle w:val="CommentReference"/>
          <w:b/>
          <w:szCs w:val="20"/>
          <w:lang w:val="en-AU"/>
        </w:rPr>
      </w:pPr>
      <w:r w:rsidRPr="00244FB2">
        <w:rPr>
          <w:rStyle w:val="CommentReference"/>
          <w:b/>
          <w:szCs w:val="20"/>
          <w:lang w:val="en-AU"/>
        </w:rPr>
        <w:lastRenderedPageBreak/>
        <w:t xml:space="preserve">Table </w:t>
      </w:r>
      <w:r w:rsidR="0030088C" w:rsidRPr="00244FB2">
        <w:rPr>
          <w:rStyle w:val="CommentReference"/>
          <w:b/>
          <w:szCs w:val="20"/>
          <w:lang w:val="en-AU"/>
        </w:rPr>
        <w:t>10</w:t>
      </w:r>
      <w:r w:rsidRPr="00244FB2">
        <w:rPr>
          <w:rStyle w:val="CommentReference"/>
          <w:b/>
          <w:szCs w:val="20"/>
          <w:lang w:val="en-AU"/>
        </w:rPr>
        <w:t xml:space="preserve">:  Results of 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3"/>
        <w:gridCol w:w="1550"/>
        <w:gridCol w:w="1688"/>
        <w:gridCol w:w="1188"/>
      </w:tblGrid>
      <w:tr w:rsidR="00D15288" w:rsidRPr="00244FB2" w14:paraId="33570A42" w14:textId="77777777" w:rsidTr="00D91CDF">
        <w:trPr>
          <w:tblHeader/>
        </w:trPr>
        <w:tc>
          <w:tcPr>
            <w:tcW w:w="4678" w:type="dxa"/>
            <w:tcMar>
              <w:top w:w="0" w:type="dxa"/>
              <w:left w:w="108" w:type="dxa"/>
              <w:bottom w:w="0" w:type="dxa"/>
              <w:right w:w="108" w:type="dxa"/>
            </w:tcMar>
            <w:hideMark/>
          </w:tcPr>
          <w:p w14:paraId="03288095" w14:textId="77777777" w:rsidR="00D15288" w:rsidRPr="00244FB2" w:rsidRDefault="00D15288" w:rsidP="007E3C13">
            <w:pPr>
              <w:pStyle w:val="Tabletext0"/>
              <w:keepNext/>
              <w:rPr>
                <w:szCs w:val="20"/>
              </w:rPr>
            </w:pPr>
            <w:r w:rsidRPr="00244FB2">
              <w:rPr>
                <w:b/>
                <w:bCs/>
                <w:szCs w:val="20"/>
              </w:rPr>
              <w:t>Analys</w:t>
            </w:r>
            <w:r w:rsidR="00D53B79" w:rsidRPr="00244FB2">
              <w:rPr>
                <w:b/>
                <w:bCs/>
                <w:szCs w:val="20"/>
              </w:rPr>
              <w:t>i</w:t>
            </w:r>
            <w:r w:rsidRPr="00244FB2">
              <w:rPr>
                <w:b/>
                <w:bCs/>
                <w:szCs w:val="20"/>
              </w:rPr>
              <w:t>s</w:t>
            </w:r>
          </w:p>
        </w:tc>
        <w:tc>
          <w:tcPr>
            <w:tcW w:w="1559" w:type="dxa"/>
            <w:tcMar>
              <w:top w:w="0" w:type="dxa"/>
              <w:left w:w="108" w:type="dxa"/>
              <w:bottom w:w="0" w:type="dxa"/>
              <w:right w:w="108" w:type="dxa"/>
            </w:tcMar>
            <w:hideMark/>
          </w:tcPr>
          <w:p w14:paraId="43D99099" w14:textId="77777777" w:rsidR="00D15288" w:rsidRPr="00244FB2" w:rsidRDefault="00D15288" w:rsidP="007E3C13">
            <w:pPr>
              <w:pStyle w:val="Tabletext0"/>
              <w:keepNext/>
              <w:jc w:val="center"/>
              <w:rPr>
                <w:b/>
                <w:bCs/>
                <w:szCs w:val="20"/>
              </w:rPr>
            </w:pPr>
            <w:r w:rsidRPr="00244FB2">
              <w:rPr>
                <w:b/>
                <w:bCs/>
                <w:szCs w:val="20"/>
              </w:rPr>
              <w:t>Incremental cost</w:t>
            </w:r>
          </w:p>
        </w:tc>
        <w:tc>
          <w:tcPr>
            <w:tcW w:w="1701" w:type="dxa"/>
            <w:tcMar>
              <w:top w:w="0" w:type="dxa"/>
              <w:left w:w="108" w:type="dxa"/>
              <w:bottom w:w="0" w:type="dxa"/>
              <w:right w:w="108" w:type="dxa"/>
            </w:tcMar>
            <w:hideMark/>
          </w:tcPr>
          <w:p w14:paraId="0C8D0778" w14:textId="77777777" w:rsidR="00D15288" w:rsidRPr="00244FB2" w:rsidRDefault="00D15288" w:rsidP="007E3C13">
            <w:pPr>
              <w:pStyle w:val="Tabletext0"/>
              <w:keepNext/>
              <w:jc w:val="center"/>
              <w:rPr>
                <w:b/>
                <w:bCs/>
                <w:szCs w:val="20"/>
              </w:rPr>
            </w:pPr>
            <w:r w:rsidRPr="00244FB2">
              <w:rPr>
                <w:b/>
                <w:bCs/>
                <w:szCs w:val="20"/>
              </w:rPr>
              <w:t>Incremental QALY</w:t>
            </w:r>
          </w:p>
        </w:tc>
        <w:tc>
          <w:tcPr>
            <w:tcW w:w="1091" w:type="dxa"/>
            <w:tcMar>
              <w:top w:w="0" w:type="dxa"/>
              <w:left w:w="108" w:type="dxa"/>
              <w:bottom w:w="0" w:type="dxa"/>
              <w:right w:w="108" w:type="dxa"/>
            </w:tcMar>
            <w:hideMark/>
          </w:tcPr>
          <w:p w14:paraId="19642E75" w14:textId="77777777" w:rsidR="00D15288" w:rsidRPr="00244FB2" w:rsidRDefault="00D15288" w:rsidP="007E3C13">
            <w:pPr>
              <w:pStyle w:val="Tabletext0"/>
              <w:keepNext/>
              <w:jc w:val="center"/>
              <w:rPr>
                <w:b/>
                <w:bCs/>
                <w:szCs w:val="20"/>
              </w:rPr>
            </w:pPr>
            <w:r w:rsidRPr="00244FB2">
              <w:rPr>
                <w:b/>
                <w:bCs/>
                <w:szCs w:val="20"/>
              </w:rPr>
              <w:t>ICER</w:t>
            </w:r>
          </w:p>
        </w:tc>
      </w:tr>
      <w:tr w:rsidR="00D15288" w:rsidRPr="00244FB2" w14:paraId="1394FC11" w14:textId="77777777" w:rsidTr="00D91CDF">
        <w:tc>
          <w:tcPr>
            <w:tcW w:w="4678" w:type="dxa"/>
            <w:tcMar>
              <w:top w:w="0" w:type="dxa"/>
              <w:left w:w="108" w:type="dxa"/>
              <w:bottom w:w="0" w:type="dxa"/>
              <w:right w:w="108" w:type="dxa"/>
            </w:tcMar>
            <w:hideMark/>
          </w:tcPr>
          <w:p w14:paraId="2D3151F5" w14:textId="77777777" w:rsidR="00D15288" w:rsidRPr="00244FB2" w:rsidRDefault="00D15288" w:rsidP="007E3C13">
            <w:pPr>
              <w:pStyle w:val="Tabletext0"/>
              <w:keepNext/>
              <w:rPr>
                <w:b/>
                <w:bCs/>
                <w:szCs w:val="20"/>
                <w:vertAlign w:val="superscript"/>
              </w:rPr>
            </w:pPr>
            <w:r w:rsidRPr="00244FB2">
              <w:rPr>
                <w:b/>
                <w:bCs/>
                <w:szCs w:val="20"/>
              </w:rPr>
              <w:t>Base case</w:t>
            </w:r>
          </w:p>
        </w:tc>
        <w:tc>
          <w:tcPr>
            <w:tcW w:w="1559" w:type="dxa"/>
            <w:tcMar>
              <w:top w:w="0" w:type="dxa"/>
              <w:left w:w="108" w:type="dxa"/>
              <w:bottom w:w="0" w:type="dxa"/>
              <w:right w:w="108" w:type="dxa"/>
            </w:tcMar>
            <w:hideMark/>
          </w:tcPr>
          <w:p w14:paraId="5821DE86" w14:textId="77777777" w:rsidR="00D15288" w:rsidRPr="005266FC" w:rsidRDefault="005266FC" w:rsidP="007E3C13">
            <w:pPr>
              <w:pStyle w:val="Tabletext0"/>
              <w:keepNext/>
              <w:jc w:val="center"/>
              <w:rPr>
                <w:szCs w:val="20"/>
                <w:highlight w:val="black"/>
              </w:rPr>
            </w:pPr>
            <w:r>
              <w:rPr>
                <w:noProof/>
                <w:color w:val="000000"/>
                <w:szCs w:val="20"/>
                <w:highlight w:val="black"/>
              </w:rPr>
              <w:t>'''''''''''''''''''''''''''''</w:t>
            </w:r>
          </w:p>
        </w:tc>
        <w:tc>
          <w:tcPr>
            <w:tcW w:w="1701" w:type="dxa"/>
            <w:tcMar>
              <w:top w:w="0" w:type="dxa"/>
              <w:left w:w="108" w:type="dxa"/>
              <w:bottom w:w="0" w:type="dxa"/>
              <w:right w:w="108" w:type="dxa"/>
            </w:tcMar>
            <w:hideMark/>
          </w:tcPr>
          <w:p w14:paraId="26628F33" w14:textId="77777777" w:rsidR="00D15288" w:rsidRPr="00244FB2" w:rsidRDefault="00D15288" w:rsidP="007E3C13">
            <w:pPr>
              <w:pStyle w:val="Tabletext0"/>
              <w:keepNext/>
              <w:jc w:val="center"/>
              <w:rPr>
                <w:szCs w:val="20"/>
              </w:rPr>
            </w:pPr>
            <w:r w:rsidRPr="00244FB2">
              <w:rPr>
                <w:szCs w:val="20"/>
              </w:rPr>
              <w:t>1.8658</w:t>
            </w:r>
          </w:p>
        </w:tc>
        <w:tc>
          <w:tcPr>
            <w:tcW w:w="1091" w:type="dxa"/>
            <w:tcMar>
              <w:top w:w="0" w:type="dxa"/>
              <w:left w:w="108" w:type="dxa"/>
              <w:bottom w:w="0" w:type="dxa"/>
              <w:right w:w="108" w:type="dxa"/>
            </w:tcMar>
            <w:hideMark/>
          </w:tcPr>
          <w:p w14:paraId="2E1C6D2C" w14:textId="77777777" w:rsidR="00D15288" w:rsidRPr="007D5B32" w:rsidRDefault="005266FC" w:rsidP="007E3C13">
            <w:pPr>
              <w:pStyle w:val="Tabletext0"/>
              <w:keepNext/>
              <w:jc w:val="center"/>
              <w:rPr>
                <w:szCs w:val="20"/>
                <w:vertAlign w:val="superscript"/>
              </w:rPr>
            </w:pPr>
            <w:r>
              <w:rPr>
                <w:noProof/>
                <w:color w:val="000000"/>
                <w:szCs w:val="20"/>
                <w:highlight w:val="black"/>
              </w:rPr>
              <w:t>''''''''''''''''''''''''''</w:t>
            </w:r>
            <w:r w:rsidR="007D5B32" w:rsidRPr="007D5B32">
              <w:rPr>
                <w:szCs w:val="20"/>
                <w:vertAlign w:val="superscript"/>
              </w:rPr>
              <w:t>1</w:t>
            </w:r>
          </w:p>
        </w:tc>
      </w:tr>
      <w:tr w:rsidR="00D15288" w:rsidRPr="00244FB2" w14:paraId="15155716" w14:textId="77777777" w:rsidTr="00D15288">
        <w:tc>
          <w:tcPr>
            <w:tcW w:w="9029" w:type="dxa"/>
            <w:gridSpan w:val="4"/>
            <w:tcMar>
              <w:top w:w="0" w:type="dxa"/>
              <w:left w:w="108" w:type="dxa"/>
              <w:bottom w:w="0" w:type="dxa"/>
              <w:right w:w="108" w:type="dxa"/>
            </w:tcMar>
            <w:hideMark/>
          </w:tcPr>
          <w:p w14:paraId="5596CBCD" w14:textId="77777777" w:rsidR="00D15288" w:rsidRPr="00244FB2" w:rsidRDefault="00D15288" w:rsidP="007E3C13">
            <w:pPr>
              <w:pStyle w:val="Tabletext0"/>
              <w:keepNext/>
              <w:rPr>
                <w:szCs w:val="20"/>
              </w:rPr>
            </w:pPr>
            <w:r w:rsidRPr="00244FB2">
              <w:rPr>
                <w:b/>
                <w:bCs/>
                <w:szCs w:val="20"/>
              </w:rPr>
              <w:t>Time horizon (base case: 53 years)</w:t>
            </w:r>
          </w:p>
        </w:tc>
      </w:tr>
      <w:tr w:rsidR="00D15288" w:rsidRPr="00244FB2" w14:paraId="417DEFA5" w14:textId="77777777" w:rsidTr="00D91CDF">
        <w:tc>
          <w:tcPr>
            <w:tcW w:w="4678" w:type="dxa"/>
            <w:tcMar>
              <w:top w:w="0" w:type="dxa"/>
              <w:left w:w="108" w:type="dxa"/>
              <w:bottom w:w="0" w:type="dxa"/>
              <w:right w:w="108" w:type="dxa"/>
            </w:tcMar>
            <w:hideMark/>
          </w:tcPr>
          <w:p w14:paraId="6EBA91C6" w14:textId="77777777" w:rsidR="00D15288" w:rsidRPr="00244FB2" w:rsidRDefault="00D15288" w:rsidP="007E3C13">
            <w:pPr>
              <w:pStyle w:val="Tabletext0"/>
              <w:keepNext/>
              <w:rPr>
                <w:szCs w:val="20"/>
              </w:rPr>
            </w:pPr>
            <w:r w:rsidRPr="00244FB2">
              <w:rPr>
                <w:szCs w:val="20"/>
              </w:rPr>
              <w:t>30 years</w:t>
            </w:r>
          </w:p>
        </w:tc>
        <w:tc>
          <w:tcPr>
            <w:tcW w:w="1559" w:type="dxa"/>
            <w:tcMar>
              <w:top w:w="0" w:type="dxa"/>
              <w:left w:w="108" w:type="dxa"/>
              <w:bottom w:w="0" w:type="dxa"/>
              <w:right w:w="108" w:type="dxa"/>
            </w:tcMar>
            <w:hideMark/>
          </w:tcPr>
          <w:p w14:paraId="06774E45" w14:textId="77777777" w:rsidR="00D15288" w:rsidRPr="005266FC" w:rsidRDefault="005266FC" w:rsidP="007E3C13">
            <w:pPr>
              <w:pStyle w:val="Tabletext0"/>
              <w:keepNext/>
              <w:jc w:val="center"/>
              <w:rPr>
                <w:szCs w:val="20"/>
                <w:highlight w:val="black"/>
              </w:rPr>
            </w:pPr>
            <w:r>
              <w:rPr>
                <w:noProof/>
                <w:color w:val="000000"/>
                <w:szCs w:val="20"/>
                <w:highlight w:val="black"/>
              </w:rPr>
              <w:t>''''''''''''''''''''''''''''</w:t>
            </w:r>
          </w:p>
        </w:tc>
        <w:tc>
          <w:tcPr>
            <w:tcW w:w="1701" w:type="dxa"/>
            <w:tcMar>
              <w:top w:w="0" w:type="dxa"/>
              <w:left w:w="108" w:type="dxa"/>
              <w:bottom w:w="0" w:type="dxa"/>
              <w:right w:w="108" w:type="dxa"/>
            </w:tcMar>
            <w:hideMark/>
          </w:tcPr>
          <w:p w14:paraId="2A0271ED" w14:textId="77777777" w:rsidR="00D15288" w:rsidRPr="00244FB2" w:rsidRDefault="00D15288" w:rsidP="007E3C13">
            <w:pPr>
              <w:pStyle w:val="Tabletext0"/>
              <w:keepNext/>
              <w:jc w:val="center"/>
              <w:rPr>
                <w:szCs w:val="20"/>
              </w:rPr>
            </w:pPr>
            <w:r w:rsidRPr="00244FB2">
              <w:rPr>
                <w:szCs w:val="20"/>
              </w:rPr>
              <w:t>1.7226</w:t>
            </w:r>
          </w:p>
        </w:tc>
        <w:tc>
          <w:tcPr>
            <w:tcW w:w="1091" w:type="dxa"/>
            <w:tcMar>
              <w:top w:w="0" w:type="dxa"/>
              <w:left w:w="108" w:type="dxa"/>
              <w:bottom w:w="0" w:type="dxa"/>
              <w:right w:w="108" w:type="dxa"/>
            </w:tcMar>
            <w:hideMark/>
          </w:tcPr>
          <w:p w14:paraId="3AD9682A" w14:textId="77777777" w:rsidR="00D15288" w:rsidRPr="005266FC" w:rsidRDefault="005266FC" w:rsidP="007E3C13">
            <w:pPr>
              <w:pStyle w:val="Tabletext0"/>
              <w:keepNext/>
              <w:jc w:val="center"/>
              <w:rPr>
                <w:szCs w:val="20"/>
              </w:rPr>
            </w:pPr>
            <w:r>
              <w:rPr>
                <w:noProof/>
                <w:color w:val="000000"/>
                <w:szCs w:val="20"/>
                <w:highlight w:val="black"/>
              </w:rPr>
              <w:t>'''''''''''''''''''''''''</w:t>
            </w:r>
            <w:r w:rsidR="007D5B32" w:rsidRPr="007D5B32">
              <w:rPr>
                <w:szCs w:val="20"/>
                <w:vertAlign w:val="superscript"/>
              </w:rPr>
              <w:t>1</w:t>
            </w:r>
          </w:p>
        </w:tc>
      </w:tr>
      <w:tr w:rsidR="00D15288" w:rsidRPr="00244FB2" w14:paraId="16A1B3F9" w14:textId="77777777" w:rsidTr="00D91CDF">
        <w:tc>
          <w:tcPr>
            <w:tcW w:w="4678" w:type="dxa"/>
            <w:tcMar>
              <w:top w:w="0" w:type="dxa"/>
              <w:left w:w="108" w:type="dxa"/>
              <w:bottom w:w="0" w:type="dxa"/>
              <w:right w:w="108" w:type="dxa"/>
            </w:tcMar>
            <w:hideMark/>
          </w:tcPr>
          <w:p w14:paraId="175F655C" w14:textId="77777777" w:rsidR="00D15288" w:rsidRPr="00244FB2" w:rsidRDefault="00D15288" w:rsidP="007E3C13">
            <w:pPr>
              <w:pStyle w:val="Tabletext0"/>
              <w:keepNext/>
              <w:rPr>
                <w:szCs w:val="20"/>
              </w:rPr>
            </w:pPr>
            <w:r w:rsidRPr="00244FB2">
              <w:rPr>
                <w:szCs w:val="20"/>
              </w:rPr>
              <w:t>20 years</w:t>
            </w:r>
          </w:p>
        </w:tc>
        <w:tc>
          <w:tcPr>
            <w:tcW w:w="1559" w:type="dxa"/>
            <w:tcMar>
              <w:top w:w="0" w:type="dxa"/>
              <w:left w:w="108" w:type="dxa"/>
              <w:bottom w:w="0" w:type="dxa"/>
              <w:right w:w="108" w:type="dxa"/>
            </w:tcMar>
            <w:hideMark/>
          </w:tcPr>
          <w:p w14:paraId="41C03AC9" w14:textId="77777777" w:rsidR="00D15288" w:rsidRPr="005266FC" w:rsidRDefault="005266FC" w:rsidP="007E3C13">
            <w:pPr>
              <w:pStyle w:val="Tabletext0"/>
              <w:keepNext/>
              <w:jc w:val="center"/>
              <w:rPr>
                <w:szCs w:val="20"/>
                <w:highlight w:val="black"/>
              </w:rPr>
            </w:pPr>
            <w:r>
              <w:rPr>
                <w:noProof/>
                <w:color w:val="000000"/>
                <w:szCs w:val="20"/>
                <w:highlight w:val="black"/>
              </w:rPr>
              <w:t>''''''''''''''''''''''''</w:t>
            </w:r>
          </w:p>
        </w:tc>
        <w:tc>
          <w:tcPr>
            <w:tcW w:w="1701" w:type="dxa"/>
            <w:tcMar>
              <w:top w:w="0" w:type="dxa"/>
              <w:left w:w="108" w:type="dxa"/>
              <w:bottom w:w="0" w:type="dxa"/>
              <w:right w:w="108" w:type="dxa"/>
            </w:tcMar>
            <w:hideMark/>
          </w:tcPr>
          <w:p w14:paraId="069C0BFC" w14:textId="77777777" w:rsidR="00D15288" w:rsidRPr="00244FB2" w:rsidRDefault="00D15288" w:rsidP="007E3C13">
            <w:pPr>
              <w:pStyle w:val="Tabletext0"/>
              <w:keepNext/>
              <w:jc w:val="center"/>
              <w:rPr>
                <w:szCs w:val="20"/>
              </w:rPr>
            </w:pPr>
            <w:r w:rsidRPr="00244FB2">
              <w:rPr>
                <w:szCs w:val="20"/>
              </w:rPr>
              <w:t>1.3753</w:t>
            </w:r>
          </w:p>
        </w:tc>
        <w:tc>
          <w:tcPr>
            <w:tcW w:w="1091" w:type="dxa"/>
            <w:tcMar>
              <w:top w:w="0" w:type="dxa"/>
              <w:left w:w="108" w:type="dxa"/>
              <w:bottom w:w="0" w:type="dxa"/>
              <w:right w:w="108" w:type="dxa"/>
            </w:tcMar>
            <w:hideMark/>
          </w:tcPr>
          <w:p w14:paraId="2B8489A8" w14:textId="77777777" w:rsidR="00D15288" w:rsidRPr="005266FC" w:rsidRDefault="005266FC" w:rsidP="007E3C13">
            <w:pPr>
              <w:pStyle w:val="Tabletext0"/>
              <w:keepNext/>
              <w:jc w:val="center"/>
              <w:rPr>
                <w:szCs w:val="20"/>
              </w:rPr>
            </w:pPr>
            <w:r>
              <w:rPr>
                <w:noProof/>
                <w:color w:val="000000"/>
                <w:szCs w:val="20"/>
                <w:highlight w:val="black"/>
              </w:rPr>
              <w:t>'''''''''''''''''''''''''''</w:t>
            </w:r>
            <w:r w:rsidR="007D5B32" w:rsidRPr="007D5B32">
              <w:rPr>
                <w:szCs w:val="20"/>
                <w:vertAlign w:val="superscript"/>
              </w:rPr>
              <w:t>1</w:t>
            </w:r>
          </w:p>
        </w:tc>
      </w:tr>
      <w:tr w:rsidR="00D15288" w:rsidRPr="00244FB2" w14:paraId="1C02174D" w14:textId="77777777" w:rsidTr="00D91CDF">
        <w:tc>
          <w:tcPr>
            <w:tcW w:w="4678" w:type="dxa"/>
            <w:tcMar>
              <w:top w:w="0" w:type="dxa"/>
              <w:left w:w="108" w:type="dxa"/>
              <w:bottom w:w="0" w:type="dxa"/>
              <w:right w:w="108" w:type="dxa"/>
            </w:tcMar>
            <w:hideMark/>
          </w:tcPr>
          <w:p w14:paraId="548204F0" w14:textId="77777777" w:rsidR="00D15288" w:rsidRPr="00244FB2" w:rsidRDefault="00D15288" w:rsidP="007E3C13">
            <w:pPr>
              <w:pStyle w:val="Tabletext0"/>
              <w:keepNext/>
              <w:rPr>
                <w:szCs w:val="20"/>
              </w:rPr>
            </w:pPr>
            <w:r w:rsidRPr="00244FB2">
              <w:rPr>
                <w:szCs w:val="20"/>
              </w:rPr>
              <w:t>10 years</w:t>
            </w:r>
          </w:p>
        </w:tc>
        <w:tc>
          <w:tcPr>
            <w:tcW w:w="1559" w:type="dxa"/>
            <w:tcMar>
              <w:top w:w="0" w:type="dxa"/>
              <w:left w:w="108" w:type="dxa"/>
              <w:bottom w:w="0" w:type="dxa"/>
              <w:right w:w="108" w:type="dxa"/>
            </w:tcMar>
            <w:hideMark/>
          </w:tcPr>
          <w:p w14:paraId="1B044ED8" w14:textId="77777777" w:rsidR="00D15288" w:rsidRPr="005266FC" w:rsidRDefault="005266FC" w:rsidP="007E3C13">
            <w:pPr>
              <w:pStyle w:val="Tabletext0"/>
              <w:keepNext/>
              <w:jc w:val="center"/>
              <w:rPr>
                <w:szCs w:val="20"/>
                <w:highlight w:val="black"/>
              </w:rPr>
            </w:pPr>
            <w:r>
              <w:rPr>
                <w:noProof/>
                <w:color w:val="000000"/>
                <w:szCs w:val="20"/>
                <w:highlight w:val="black"/>
              </w:rPr>
              <w:t>'''''''''''''''''''''''''''</w:t>
            </w:r>
          </w:p>
        </w:tc>
        <w:tc>
          <w:tcPr>
            <w:tcW w:w="1701" w:type="dxa"/>
            <w:tcMar>
              <w:top w:w="0" w:type="dxa"/>
              <w:left w:w="108" w:type="dxa"/>
              <w:bottom w:w="0" w:type="dxa"/>
              <w:right w:w="108" w:type="dxa"/>
            </w:tcMar>
            <w:hideMark/>
          </w:tcPr>
          <w:p w14:paraId="0F517E47" w14:textId="77777777" w:rsidR="00D15288" w:rsidRPr="00244FB2" w:rsidRDefault="00D15288" w:rsidP="007E3C13">
            <w:pPr>
              <w:pStyle w:val="Tabletext0"/>
              <w:keepNext/>
              <w:jc w:val="center"/>
              <w:rPr>
                <w:szCs w:val="20"/>
              </w:rPr>
            </w:pPr>
            <w:r w:rsidRPr="00244FB2">
              <w:rPr>
                <w:szCs w:val="20"/>
              </w:rPr>
              <w:t>0.6836</w:t>
            </w:r>
          </w:p>
        </w:tc>
        <w:tc>
          <w:tcPr>
            <w:tcW w:w="1091" w:type="dxa"/>
            <w:tcMar>
              <w:top w:w="0" w:type="dxa"/>
              <w:left w:w="108" w:type="dxa"/>
              <w:bottom w:w="0" w:type="dxa"/>
              <w:right w:w="108" w:type="dxa"/>
            </w:tcMar>
            <w:hideMark/>
          </w:tcPr>
          <w:p w14:paraId="44661A0C" w14:textId="77777777" w:rsidR="00D15288" w:rsidRPr="005266FC" w:rsidRDefault="005266FC" w:rsidP="007E3C13">
            <w:pPr>
              <w:pStyle w:val="Tabletext0"/>
              <w:keepNext/>
              <w:jc w:val="center"/>
              <w:rPr>
                <w:szCs w:val="20"/>
              </w:rPr>
            </w:pPr>
            <w:r>
              <w:rPr>
                <w:noProof/>
                <w:color w:val="000000"/>
                <w:szCs w:val="20"/>
                <w:highlight w:val="black"/>
              </w:rPr>
              <w:t>''''''''''''''''''''''''''</w:t>
            </w:r>
            <w:r w:rsidR="007D5B32" w:rsidRPr="007D5B32">
              <w:rPr>
                <w:szCs w:val="20"/>
                <w:vertAlign w:val="superscript"/>
              </w:rPr>
              <w:t>1</w:t>
            </w:r>
          </w:p>
        </w:tc>
      </w:tr>
      <w:tr w:rsidR="00D15288" w:rsidRPr="00244FB2" w14:paraId="41173D3B" w14:textId="77777777" w:rsidTr="00D15288">
        <w:tc>
          <w:tcPr>
            <w:tcW w:w="9029" w:type="dxa"/>
            <w:gridSpan w:val="4"/>
            <w:tcMar>
              <w:top w:w="0" w:type="dxa"/>
              <w:left w:w="108" w:type="dxa"/>
              <w:bottom w:w="0" w:type="dxa"/>
              <w:right w:w="108" w:type="dxa"/>
            </w:tcMar>
            <w:hideMark/>
          </w:tcPr>
          <w:p w14:paraId="1744AFC1" w14:textId="77777777" w:rsidR="00D15288" w:rsidRPr="00244FB2" w:rsidRDefault="00D15288" w:rsidP="007E3C13">
            <w:pPr>
              <w:pStyle w:val="Tabletext0"/>
              <w:keepNext/>
              <w:rPr>
                <w:iCs/>
                <w:szCs w:val="20"/>
              </w:rPr>
            </w:pPr>
            <w:r w:rsidRPr="00244FB2">
              <w:rPr>
                <w:b/>
                <w:bCs/>
                <w:szCs w:val="20"/>
              </w:rPr>
              <w:t>Annualised relapse rate in best supportive care arm (base case: 0.350 based on adjudicated relapses in the placebo arm of the PREVENT trial)</w:t>
            </w:r>
          </w:p>
        </w:tc>
      </w:tr>
      <w:tr w:rsidR="00D15288" w:rsidRPr="00244FB2" w14:paraId="0B5D8B42" w14:textId="77777777" w:rsidTr="00D91CDF">
        <w:tc>
          <w:tcPr>
            <w:tcW w:w="4678" w:type="dxa"/>
            <w:tcMar>
              <w:top w:w="0" w:type="dxa"/>
              <w:left w:w="108" w:type="dxa"/>
              <w:bottom w:w="0" w:type="dxa"/>
              <w:right w:w="108" w:type="dxa"/>
            </w:tcMar>
            <w:hideMark/>
          </w:tcPr>
          <w:p w14:paraId="3394CA2A" w14:textId="77777777" w:rsidR="00D15288" w:rsidRPr="00244FB2" w:rsidRDefault="00D15288" w:rsidP="007E3C13">
            <w:pPr>
              <w:pStyle w:val="Tabletext0"/>
              <w:keepNext/>
              <w:rPr>
                <w:szCs w:val="20"/>
              </w:rPr>
            </w:pPr>
            <w:r w:rsidRPr="00244FB2">
              <w:rPr>
                <w:szCs w:val="20"/>
              </w:rPr>
              <w:t>ARR based on adjudicated relapses upper 95% CI (0.616)</w:t>
            </w:r>
          </w:p>
        </w:tc>
        <w:tc>
          <w:tcPr>
            <w:tcW w:w="1559" w:type="dxa"/>
            <w:tcMar>
              <w:top w:w="0" w:type="dxa"/>
              <w:left w:w="108" w:type="dxa"/>
              <w:bottom w:w="0" w:type="dxa"/>
              <w:right w:w="108" w:type="dxa"/>
            </w:tcMar>
            <w:hideMark/>
          </w:tcPr>
          <w:p w14:paraId="6E1C7CE7" w14:textId="77777777" w:rsidR="00D15288" w:rsidRPr="005266FC" w:rsidRDefault="005266FC" w:rsidP="007E3C13">
            <w:pPr>
              <w:pStyle w:val="Tabletext0"/>
              <w:keepNext/>
              <w:jc w:val="center"/>
              <w:rPr>
                <w:szCs w:val="20"/>
                <w:highlight w:val="black"/>
              </w:rPr>
            </w:pPr>
            <w:r>
              <w:rPr>
                <w:noProof/>
                <w:color w:val="000000"/>
                <w:szCs w:val="20"/>
                <w:highlight w:val="black"/>
              </w:rPr>
              <w:t>''''''''''''''''''''''''''</w:t>
            </w:r>
          </w:p>
        </w:tc>
        <w:tc>
          <w:tcPr>
            <w:tcW w:w="1701" w:type="dxa"/>
            <w:tcMar>
              <w:top w:w="0" w:type="dxa"/>
              <w:left w:w="108" w:type="dxa"/>
              <w:bottom w:w="0" w:type="dxa"/>
              <w:right w:w="108" w:type="dxa"/>
            </w:tcMar>
            <w:hideMark/>
          </w:tcPr>
          <w:p w14:paraId="55F0AD57" w14:textId="77777777" w:rsidR="00D15288" w:rsidRPr="00244FB2" w:rsidRDefault="00D15288" w:rsidP="007E3C13">
            <w:pPr>
              <w:pStyle w:val="Tabletext0"/>
              <w:keepNext/>
              <w:jc w:val="center"/>
              <w:rPr>
                <w:szCs w:val="20"/>
              </w:rPr>
            </w:pPr>
            <w:r w:rsidRPr="00244FB2">
              <w:rPr>
                <w:szCs w:val="20"/>
              </w:rPr>
              <w:t>2.3749</w:t>
            </w:r>
          </w:p>
        </w:tc>
        <w:tc>
          <w:tcPr>
            <w:tcW w:w="1091" w:type="dxa"/>
            <w:tcMar>
              <w:top w:w="0" w:type="dxa"/>
              <w:left w:w="108" w:type="dxa"/>
              <w:bottom w:w="0" w:type="dxa"/>
              <w:right w:w="108" w:type="dxa"/>
            </w:tcMar>
            <w:hideMark/>
          </w:tcPr>
          <w:p w14:paraId="0D36D387" w14:textId="77777777" w:rsidR="00D15288" w:rsidRPr="005266FC" w:rsidRDefault="005266FC" w:rsidP="007E3C13">
            <w:pPr>
              <w:pStyle w:val="Tabletext0"/>
              <w:keepNext/>
              <w:jc w:val="center"/>
              <w:rPr>
                <w:szCs w:val="20"/>
              </w:rPr>
            </w:pPr>
            <w:r>
              <w:rPr>
                <w:noProof/>
                <w:color w:val="000000"/>
                <w:szCs w:val="20"/>
                <w:highlight w:val="black"/>
              </w:rPr>
              <w:t>''''''''''''''''''''''''''''</w:t>
            </w:r>
            <w:r w:rsidR="007D5B32" w:rsidRPr="007D5B32">
              <w:rPr>
                <w:szCs w:val="20"/>
                <w:vertAlign w:val="superscript"/>
              </w:rPr>
              <w:t>1</w:t>
            </w:r>
          </w:p>
        </w:tc>
      </w:tr>
      <w:tr w:rsidR="00D15288" w:rsidRPr="00244FB2" w14:paraId="437C1ED2" w14:textId="77777777" w:rsidTr="00D91CDF">
        <w:tc>
          <w:tcPr>
            <w:tcW w:w="4678" w:type="dxa"/>
            <w:tcMar>
              <w:top w:w="0" w:type="dxa"/>
              <w:left w:w="108" w:type="dxa"/>
              <w:bottom w:w="0" w:type="dxa"/>
              <w:right w:w="108" w:type="dxa"/>
            </w:tcMar>
            <w:hideMark/>
          </w:tcPr>
          <w:p w14:paraId="1EB412B5" w14:textId="77777777" w:rsidR="00D15288" w:rsidRPr="00244FB2" w:rsidRDefault="00D15288" w:rsidP="007E3C13">
            <w:pPr>
              <w:pStyle w:val="Tabletext0"/>
              <w:keepNext/>
              <w:rPr>
                <w:szCs w:val="20"/>
              </w:rPr>
            </w:pPr>
            <w:r w:rsidRPr="00244FB2">
              <w:rPr>
                <w:szCs w:val="20"/>
              </w:rPr>
              <w:t>ARR based on adjudicated relapses lower 95% CI (0.199)</w:t>
            </w:r>
          </w:p>
        </w:tc>
        <w:tc>
          <w:tcPr>
            <w:tcW w:w="1559" w:type="dxa"/>
            <w:tcMar>
              <w:top w:w="0" w:type="dxa"/>
              <w:left w:w="108" w:type="dxa"/>
              <w:bottom w:w="0" w:type="dxa"/>
              <w:right w:w="108" w:type="dxa"/>
            </w:tcMar>
            <w:hideMark/>
          </w:tcPr>
          <w:p w14:paraId="7D3E7846" w14:textId="77777777" w:rsidR="00D15288" w:rsidRPr="005266FC" w:rsidRDefault="005266FC" w:rsidP="007E3C13">
            <w:pPr>
              <w:pStyle w:val="Tabletext0"/>
              <w:keepNext/>
              <w:jc w:val="center"/>
              <w:rPr>
                <w:szCs w:val="20"/>
                <w:highlight w:val="black"/>
              </w:rPr>
            </w:pPr>
            <w:r>
              <w:rPr>
                <w:noProof/>
                <w:color w:val="000000"/>
                <w:szCs w:val="20"/>
                <w:highlight w:val="black"/>
              </w:rPr>
              <w:t>'''''''''''''''''''''''''''</w:t>
            </w:r>
          </w:p>
        </w:tc>
        <w:tc>
          <w:tcPr>
            <w:tcW w:w="1701" w:type="dxa"/>
            <w:tcMar>
              <w:top w:w="0" w:type="dxa"/>
              <w:left w:w="108" w:type="dxa"/>
              <w:bottom w:w="0" w:type="dxa"/>
              <w:right w:w="108" w:type="dxa"/>
            </w:tcMar>
            <w:hideMark/>
          </w:tcPr>
          <w:p w14:paraId="6099236B" w14:textId="77777777" w:rsidR="00D15288" w:rsidRPr="00244FB2" w:rsidRDefault="00D15288" w:rsidP="007E3C13">
            <w:pPr>
              <w:pStyle w:val="Tabletext0"/>
              <w:keepNext/>
              <w:jc w:val="center"/>
              <w:rPr>
                <w:szCs w:val="20"/>
              </w:rPr>
            </w:pPr>
            <w:r w:rsidRPr="00244FB2">
              <w:rPr>
                <w:szCs w:val="20"/>
              </w:rPr>
              <w:t>1.3221</w:t>
            </w:r>
          </w:p>
        </w:tc>
        <w:tc>
          <w:tcPr>
            <w:tcW w:w="1091" w:type="dxa"/>
            <w:tcMar>
              <w:top w:w="0" w:type="dxa"/>
              <w:left w:w="108" w:type="dxa"/>
              <w:bottom w:w="0" w:type="dxa"/>
              <w:right w:w="108" w:type="dxa"/>
            </w:tcMar>
            <w:hideMark/>
          </w:tcPr>
          <w:p w14:paraId="6DF0A1CD" w14:textId="77777777" w:rsidR="00D15288" w:rsidRPr="005266FC" w:rsidRDefault="005266FC" w:rsidP="007E3C13">
            <w:pPr>
              <w:pStyle w:val="Tabletext0"/>
              <w:keepNext/>
              <w:jc w:val="center"/>
              <w:rPr>
                <w:szCs w:val="20"/>
              </w:rPr>
            </w:pPr>
            <w:r>
              <w:rPr>
                <w:noProof/>
                <w:color w:val="000000"/>
                <w:szCs w:val="20"/>
                <w:highlight w:val="black"/>
              </w:rPr>
              <w:t>''''''''''''''''''''''''</w:t>
            </w:r>
            <w:r w:rsidR="007D5B32" w:rsidRPr="007D5B32">
              <w:rPr>
                <w:szCs w:val="20"/>
                <w:vertAlign w:val="superscript"/>
              </w:rPr>
              <w:t>1</w:t>
            </w:r>
          </w:p>
        </w:tc>
      </w:tr>
      <w:tr w:rsidR="00D15288" w:rsidRPr="00244FB2" w14:paraId="42C6AA70" w14:textId="77777777" w:rsidTr="00D91CDF">
        <w:tc>
          <w:tcPr>
            <w:tcW w:w="4678" w:type="dxa"/>
            <w:tcMar>
              <w:top w:w="0" w:type="dxa"/>
              <w:left w:w="108" w:type="dxa"/>
              <w:bottom w:w="0" w:type="dxa"/>
              <w:right w:w="108" w:type="dxa"/>
            </w:tcMar>
            <w:hideMark/>
          </w:tcPr>
          <w:p w14:paraId="0BB7471E" w14:textId="77777777" w:rsidR="00D15288" w:rsidRPr="00244FB2" w:rsidRDefault="00D15288" w:rsidP="007E3C13">
            <w:pPr>
              <w:pStyle w:val="Tabletext0"/>
              <w:keepNext/>
              <w:rPr>
                <w:szCs w:val="20"/>
              </w:rPr>
            </w:pPr>
            <w:r w:rsidRPr="00244FB2">
              <w:rPr>
                <w:iCs/>
                <w:szCs w:val="20"/>
              </w:rPr>
              <w:t>ARR based on on-trial relapses (0.446)</w:t>
            </w:r>
          </w:p>
        </w:tc>
        <w:tc>
          <w:tcPr>
            <w:tcW w:w="1559" w:type="dxa"/>
            <w:tcMar>
              <w:top w:w="0" w:type="dxa"/>
              <w:left w:w="108" w:type="dxa"/>
              <w:bottom w:w="0" w:type="dxa"/>
              <w:right w:w="108" w:type="dxa"/>
            </w:tcMar>
          </w:tcPr>
          <w:p w14:paraId="113001CC" w14:textId="77777777" w:rsidR="00D15288" w:rsidRPr="005266FC" w:rsidRDefault="005266FC" w:rsidP="007E3C13">
            <w:pPr>
              <w:pStyle w:val="Tabletext0"/>
              <w:keepNext/>
              <w:jc w:val="center"/>
              <w:rPr>
                <w:szCs w:val="20"/>
                <w:highlight w:val="black"/>
              </w:rPr>
            </w:pPr>
            <w:r>
              <w:rPr>
                <w:noProof/>
                <w:color w:val="000000"/>
                <w:highlight w:val="black"/>
              </w:rPr>
              <w:t>'''''''''''''''''''''''''''</w:t>
            </w:r>
          </w:p>
        </w:tc>
        <w:tc>
          <w:tcPr>
            <w:tcW w:w="1701" w:type="dxa"/>
            <w:tcMar>
              <w:top w:w="0" w:type="dxa"/>
              <w:left w:w="108" w:type="dxa"/>
              <w:bottom w:w="0" w:type="dxa"/>
              <w:right w:w="108" w:type="dxa"/>
            </w:tcMar>
          </w:tcPr>
          <w:p w14:paraId="79C1B5EA" w14:textId="77777777" w:rsidR="00D15288" w:rsidRPr="00244FB2" w:rsidRDefault="00D15288" w:rsidP="007E3C13">
            <w:pPr>
              <w:pStyle w:val="Tabletext0"/>
              <w:keepNext/>
              <w:jc w:val="center"/>
              <w:rPr>
                <w:szCs w:val="20"/>
              </w:rPr>
            </w:pPr>
            <w:r w:rsidRPr="00244FB2">
              <w:t>2.0966</w:t>
            </w:r>
          </w:p>
        </w:tc>
        <w:tc>
          <w:tcPr>
            <w:tcW w:w="1091" w:type="dxa"/>
            <w:tcMar>
              <w:top w:w="0" w:type="dxa"/>
              <w:left w:w="108" w:type="dxa"/>
              <w:bottom w:w="0" w:type="dxa"/>
              <w:right w:w="108" w:type="dxa"/>
            </w:tcMar>
          </w:tcPr>
          <w:p w14:paraId="176CC4CD" w14:textId="77777777" w:rsidR="00D15288" w:rsidRPr="005266FC" w:rsidRDefault="005266FC" w:rsidP="007E3C13">
            <w:pPr>
              <w:pStyle w:val="Tabletext0"/>
              <w:keepNext/>
              <w:jc w:val="center"/>
              <w:rPr>
                <w:szCs w:val="20"/>
              </w:rPr>
            </w:pPr>
            <w:r>
              <w:rPr>
                <w:noProof/>
                <w:color w:val="000000"/>
                <w:highlight w:val="black"/>
              </w:rPr>
              <w:t>'''''''''''''''''''''''''''''</w:t>
            </w:r>
            <w:r w:rsidR="007D5B32" w:rsidRPr="007D5B32">
              <w:rPr>
                <w:szCs w:val="20"/>
                <w:vertAlign w:val="superscript"/>
              </w:rPr>
              <w:t>1</w:t>
            </w:r>
          </w:p>
        </w:tc>
      </w:tr>
      <w:tr w:rsidR="00D15288" w:rsidRPr="00244FB2" w14:paraId="0ECB13E0" w14:textId="77777777" w:rsidTr="00D91CDF">
        <w:tc>
          <w:tcPr>
            <w:tcW w:w="4678" w:type="dxa"/>
            <w:tcMar>
              <w:top w:w="0" w:type="dxa"/>
              <w:left w:w="108" w:type="dxa"/>
              <w:bottom w:w="0" w:type="dxa"/>
              <w:right w:w="108" w:type="dxa"/>
            </w:tcMar>
            <w:hideMark/>
          </w:tcPr>
          <w:p w14:paraId="5A856CD8" w14:textId="77777777" w:rsidR="00D15288" w:rsidRPr="00244FB2" w:rsidRDefault="00D15288" w:rsidP="007E3C13">
            <w:pPr>
              <w:pStyle w:val="Tabletext0"/>
              <w:keepNext/>
              <w:rPr>
                <w:iCs/>
                <w:szCs w:val="20"/>
              </w:rPr>
            </w:pPr>
            <w:r w:rsidRPr="00244FB2">
              <w:rPr>
                <w:iCs/>
                <w:szCs w:val="20"/>
              </w:rPr>
              <w:t>Decreasing risk of relapses over time (-1.76% per cycle)</w:t>
            </w:r>
          </w:p>
        </w:tc>
        <w:tc>
          <w:tcPr>
            <w:tcW w:w="1559" w:type="dxa"/>
            <w:tcMar>
              <w:top w:w="0" w:type="dxa"/>
              <w:left w:w="108" w:type="dxa"/>
              <w:bottom w:w="0" w:type="dxa"/>
              <w:right w:w="108" w:type="dxa"/>
            </w:tcMar>
          </w:tcPr>
          <w:p w14:paraId="4BAD725C" w14:textId="77777777" w:rsidR="00D15288" w:rsidRPr="005266FC" w:rsidRDefault="005266FC" w:rsidP="007E3C13">
            <w:pPr>
              <w:pStyle w:val="Tabletext0"/>
              <w:keepNext/>
              <w:jc w:val="center"/>
              <w:rPr>
                <w:iCs/>
                <w:szCs w:val="20"/>
                <w:highlight w:val="black"/>
              </w:rPr>
            </w:pPr>
            <w:r>
              <w:rPr>
                <w:iCs/>
                <w:noProof/>
                <w:color w:val="000000"/>
                <w:szCs w:val="20"/>
                <w:highlight w:val="black"/>
              </w:rPr>
              <w:t>'''''''''''''''''''''''''</w:t>
            </w:r>
          </w:p>
        </w:tc>
        <w:tc>
          <w:tcPr>
            <w:tcW w:w="1701" w:type="dxa"/>
            <w:tcMar>
              <w:top w:w="0" w:type="dxa"/>
              <w:left w:w="108" w:type="dxa"/>
              <w:bottom w:w="0" w:type="dxa"/>
              <w:right w:w="108" w:type="dxa"/>
            </w:tcMar>
          </w:tcPr>
          <w:p w14:paraId="58090FBB" w14:textId="77777777" w:rsidR="00D15288" w:rsidRPr="00244FB2" w:rsidRDefault="00D15288" w:rsidP="007E3C13">
            <w:pPr>
              <w:pStyle w:val="Tabletext0"/>
              <w:keepNext/>
              <w:jc w:val="center"/>
              <w:rPr>
                <w:iCs/>
                <w:szCs w:val="20"/>
              </w:rPr>
            </w:pPr>
            <w:r w:rsidRPr="00244FB2">
              <w:rPr>
                <w:iCs/>
                <w:szCs w:val="20"/>
              </w:rPr>
              <w:t>1.8152</w:t>
            </w:r>
          </w:p>
        </w:tc>
        <w:tc>
          <w:tcPr>
            <w:tcW w:w="1091" w:type="dxa"/>
            <w:tcMar>
              <w:top w:w="0" w:type="dxa"/>
              <w:left w:w="108" w:type="dxa"/>
              <w:bottom w:w="0" w:type="dxa"/>
              <w:right w:w="108" w:type="dxa"/>
            </w:tcMar>
          </w:tcPr>
          <w:p w14:paraId="6EAD70BE" w14:textId="77777777" w:rsidR="00D15288" w:rsidRPr="005266FC" w:rsidRDefault="005266FC" w:rsidP="007E3C13">
            <w:pPr>
              <w:pStyle w:val="Tabletext0"/>
              <w:keepNext/>
              <w:jc w:val="center"/>
              <w:rPr>
                <w:iCs/>
                <w:szCs w:val="20"/>
              </w:rPr>
            </w:pPr>
            <w:r>
              <w:rPr>
                <w:iCs/>
                <w:noProof/>
                <w:color w:val="000000"/>
                <w:szCs w:val="20"/>
                <w:highlight w:val="black"/>
              </w:rPr>
              <w:t>''''''''''''''''''''''''''''</w:t>
            </w:r>
            <w:r w:rsidR="007D5B32" w:rsidRPr="007D5B32">
              <w:rPr>
                <w:szCs w:val="20"/>
                <w:vertAlign w:val="superscript"/>
              </w:rPr>
              <w:t>1</w:t>
            </w:r>
          </w:p>
        </w:tc>
      </w:tr>
      <w:tr w:rsidR="00D15288" w:rsidRPr="00244FB2" w14:paraId="10AF9A52" w14:textId="77777777" w:rsidTr="00D15288">
        <w:tc>
          <w:tcPr>
            <w:tcW w:w="9029" w:type="dxa"/>
            <w:gridSpan w:val="4"/>
            <w:tcMar>
              <w:top w:w="0" w:type="dxa"/>
              <w:left w:w="108" w:type="dxa"/>
              <w:bottom w:w="0" w:type="dxa"/>
              <w:right w:w="108" w:type="dxa"/>
            </w:tcMar>
            <w:hideMark/>
          </w:tcPr>
          <w:p w14:paraId="1FC62CC1" w14:textId="77777777" w:rsidR="00D15288" w:rsidRPr="00244FB2" w:rsidRDefault="00D15288" w:rsidP="007E3C13">
            <w:pPr>
              <w:pStyle w:val="Tabletext0"/>
              <w:keepNext/>
              <w:rPr>
                <w:b/>
                <w:bCs/>
                <w:szCs w:val="20"/>
              </w:rPr>
            </w:pPr>
            <w:r w:rsidRPr="00244FB2">
              <w:rPr>
                <w:b/>
                <w:bCs/>
                <w:szCs w:val="20"/>
              </w:rPr>
              <w:t xml:space="preserve">Treatment effect of </w:t>
            </w:r>
            <w:proofErr w:type="spellStart"/>
            <w:r w:rsidRPr="00244FB2">
              <w:rPr>
                <w:b/>
                <w:bCs/>
                <w:szCs w:val="20"/>
              </w:rPr>
              <w:t>eculizumab</w:t>
            </w:r>
            <w:proofErr w:type="spellEnd"/>
            <w:r w:rsidRPr="00244FB2">
              <w:rPr>
                <w:b/>
                <w:bCs/>
                <w:szCs w:val="20"/>
              </w:rPr>
              <w:t xml:space="preserve"> (base case: 0.058 based on HR from time to adjudicated relapse in the PREVENT trial)</w:t>
            </w:r>
          </w:p>
        </w:tc>
      </w:tr>
      <w:tr w:rsidR="00D15288" w:rsidRPr="00244FB2" w14:paraId="0F09728B" w14:textId="77777777" w:rsidTr="00D91CDF">
        <w:tc>
          <w:tcPr>
            <w:tcW w:w="4678" w:type="dxa"/>
            <w:tcMar>
              <w:top w:w="0" w:type="dxa"/>
              <w:left w:w="108" w:type="dxa"/>
              <w:bottom w:w="0" w:type="dxa"/>
              <w:right w:w="108" w:type="dxa"/>
            </w:tcMar>
            <w:hideMark/>
          </w:tcPr>
          <w:p w14:paraId="3BBFE3BA" w14:textId="77777777" w:rsidR="00D15288" w:rsidRPr="00244FB2" w:rsidRDefault="00D15288" w:rsidP="007E3C13">
            <w:pPr>
              <w:pStyle w:val="Tabletext0"/>
              <w:keepNext/>
              <w:rPr>
                <w:iCs/>
                <w:szCs w:val="20"/>
              </w:rPr>
            </w:pPr>
            <w:r w:rsidRPr="00244FB2">
              <w:rPr>
                <w:iCs/>
                <w:szCs w:val="20"/>
              </w:rPr>
              <w:t>RR based on adjudicated relapses (0.045)</w:t>
            </w:r>
          </w:p>
        </w:tc>
        <w:tc>
          <w:tcPr>
            <w:tcW w:w="1559" w:type="dxa"/>
            <w:tcMar>
              <w:top w:w="0" w:type="dxa"/>
              <w:left w:w="108" w:type="dxa"/>
              <w:bottom w:w="0" w:type="dxa"/>
              <w:right w:w="108" w:type="dxa"/>
            </w:tcMar>
          </w:tcPr>
          <w:p w14:paraId="4B90294A" w14:textId="77777777" w:rsidR="00D15288" w:rsidRPr="005266FC" w:rsidRDefault="005266FC" w:rsidP="007E3C13">
            <w:pPr>
              <w:pStyle w:val="Tabletext0"/>
              <w:keepNext/>
              <w:jc w:val="center"/>
              <w:rPr>
                <w:iCs/>
                <w:szCs w:val="20"/>
                <w:highlight w:val="black"/>
              </w:rPr>
            </w:pPr>
            <w:r>
              <w:rPr>
                <w:iCs/>
                <w:noProof/>
                <w:color w:val="000000"/>
                <w:szCs w:val="20"/>
                <w:highlight w:val="black"/>
              </w:rPr>
              <w:t>'''''''''''''''''''''''''''</w:t>
            </w:r>
          </w:p>
        </w:tc>
        <w:tc>
          <w:tcPr>
            <w:tcW w:w="1701" w:type="dxa"/>
            <w:tcMar>
              <w:top w:w="0" w:type="dxa"/>
              <w:left w:w="108" w:type="dxa"/>
              <w:bottom w:w="0" w:type="dxa"/>
              <w:right w:w="108" w:type="dxa"/>
            </w:tcMar>
          </w:tcPr>
          <w:p w14:paraId="748CEA19" w14:textId="77777777" w:rsidR="00D15288" w:rsidRPr="00244FB2" w:rsidRDefault="00D15288" w:rsidP="007E3C13">
            <w:pPr>
              <w:pStyle w:val="Tabletext0"/>
              <w:keepNext/>
              <w:jc w:val="center"/>
              <w:rPr>
                <w:iCs/>
                <w:szCs w:val="20"/>
              </w:rPr>
            </w:pPr>
            <w:r w:rsidRPr="00244FB2">
              <w:rPr>
                <w:iCs/>
                <w:szCs w:val="20"/>
              </w:rPr>
              <w:t>1.8984</w:t>
            </w:r>
          </w:p>
        </w:tc>
        <w:tc>
          <w:tcPr>
            <w:tcW w:w="1091" w:type="dxa"/>
            <w:tcMar>
              <w:top w:w="0" w:type="dxa"/>
              <w:left w:w="108" w:type="dxa"/>
              <w:bottom w:w="0" w:type="dxa"/>
              <w:right w:w="108" w:type="dxa"/>
            </w:tcMar>
          </w:tcPr>
          <w:p w14:paraId="5CFDC8B3" w14:textId="77777777" w:rsidR="00D15288" w:rsidRPr="005266FC" w:rsidRDefault="005266FC" w:rsidP="007E3C13">
            <w:pPr>
              <w:pStyle w:val="Tabletext0"/>
              <w:keepNext/>
              <w:jc w:val="center"/>
              <w:rPr>
                <w:iCs/>
                <w:szCs w:val="20"/>
              </w:rPr>
            </w:pPr>
            <w:r>
              <w:rPr>
                <w:iCs/>
                <w:noProof/>
                <w:color w:val="000000"/>
                <w:szCs w:val="20"/>
                <w:highlight w:val="black"/>
              </w:rPr>
              <w:t>''''''''''''''''''''''''''''</w:t>
            </w:r>
            <w:r w:rsidR="007D5B32" w:rsidRPr="007D5B32">
              <w:rPr>
                <w:szCs w:val="20"/>
                <w:vertAlign w:val="superscript"/>
              </w:rPr>
              <w:t>1</w:t>
            </w:r>
          </w:p>
        </w:tc>
      </w:tr>
      <w:tr w:rsidR="00D15288" w:rsidRPr="00244FB2" w14:paraId="1CAC775F" w14:textId="77777777" w:rsidTr="00D91CDF">
        <w:tc>
          <w:tcPr>
            <w:tcW w:w="4678" w:type="dxa"/>
            <w:tcMar>
              <w:top w:w="0" w:type="dxa"/>
              <w:left w:w="108" w:type="dxa"/>
              <w:bottom w:w="0" w:type="dxa"/>
              <w:right w:w="108" w:type="dxa"/>
            </w:tcMar>
            <w:hideMark/>
          </w:tcPr>
          <w:p w14:paraId="787BE71B" w14:textId="77777777" w:rsidR="00D15288" w:rsidRPr="00244FB2" w:rsidRDefault="00D15288" w:rsidP="007E3C13">
            <w:pPr>
              <w:pStyle w:val="Tabletext0"/>
              <w:keepNext/>
              <w:rPr>
                <w:iCs/>
                <w:szCs w:val="20"/>
              </w:rPr>
            </w:pPr>
            <w:r w:rsidRPr="00244FB2">
              <w:rPr>
                <w:iCs/>
                <w:szCs w:val="20"/>
              </w:rPr>
              <w:t>RR based on on-trial relapses (0.147)</w:t>
            </w:r>
          </w:p>
        </w:tc>
        <w:tc>
          <w:tcPr>
            <w:tcW w:w="1559"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14:paraId="445DE1E2" w14:textId="77777777" w:rsidR="00D15288" w:rsidRPr="005266FC" w:rsidRDefault="005266FC" w:rsidP="007E3C13">
            <w:pPr>
              <w:pStyle w:val="Tabletext0"/>
              <w:keepNext/>
              <w:jc w:val="center"/>
              <w:rPr>
                <w:iCs/>
                <w:szCs w:val="20"/>
                <w:highlight w:val="black"/>
              </w:rPr>
            </w:pPr>
            <w:r>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AF644E" w14:textId="77777777" w:rsidR="00D15288" w:rsidRPr="00244FB2" w:rsidRDefault="00D15288" w:rsidP="007E3C13">
            <w:pPr>
              <w:pStyle w:val="Tabletext0"/>
              <w:keepNext/>
              <w:jc w:val="center"/>
              <w:rPr>
                <w:iCs/>
                <w:szCs w:val="20"/>
              </w:rPr>
            </w:pPr>
            <w:r w:rsidRPr="00244FB2">
              <w:t>1.6491</w:t>
            </w:r>
          </w:p>
        </w:tc>
        <w:tc>
          <w:tcPr>
            <w:tcW w:w="10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A7EFEF" w14:textId="77777777" w:rsidR="00D15288" w:rsidRPr="005266FC" w:rsidRDefault="005266FC" w:rsidP="007E3C13">
            <w:pPr>
              <w:pStyle w:val="Tabletext0"/>
              <w:keepNext/>
              <w:jc w:val="center"/>
              <w:rPr>
                <w:iCs/>
                <w:szCs w:val="20"/>
              </w:rPr>
            </w:pPr>
            <w:r>
              <w:rPr>
                <w:noProof/>
                <w:color w:val="000000"/>
                <w:highlight w:val="black"/>
              </w:rPr>
              <w:t>''''''''''''''''''''''''''</w:t>
            </w:r>
            <w:r w:rsidR="007D5B32" w:rsidRPr="007D5B32">
              <w:rPr>
                <w:szCs w:val="20"/>
                <w:vertAlign w:val="superscript"/>
              </w:rPr>
              <w:t>1</w:t>
            </w:r>
          </w:p>
        </w:tc>
      </w:tr>
      <w:tr w:rsidR="00D15288" w:rsidRPr="00244FB2" w14:paraId="16C4FA8A" w14:textId="77777777" w:rsidTr="00D15288">
        <w:tc>
          <w:tcPr>
            <w:tcW w:w="9029" w:type="dxa"/>
            <w:gridSpan w:val="4"/>
            <w:tcMar>
              <w:top w:w="0" w:type="dxa"/>
              <w:left w:w="108" w:type="dxa"/>
              <w:bottom w:w="0" w:type="dxa"/>
              <w:right w:w="108" w:type="dxa"/>
            </w:tcMar>
            <w:hideMark/>
          </w:tcPr>
          <w:p w14:paraId="1F6C3F4C" w14:textId="77777777" w:rsidR="00D15288" w:rsidRPr="00244FB2" w:rsidRDefault="00D15288" w:rsidP="007E3C13">
            <w:pPr>
              <w:pStyle w:val="Tabletext0"/>
              <w:keepNext/>
              <w:rPr>
                <w:b/>
                <w:bCs/>
                <w:szCs w:val="20"/>
              </w:rPr>
            </w:pPr>
            <w:r w:rsidRPr="00244FB2">
              <w:rPr>
                <w:b/>
                <w:bCs/>
                <w:szCs w:val="20"/>
              </w:rPr>
              <w:t>Probability of disability progression (base case: 0.435 based on a post-hoc analysis of the PREVENT trial, assumed single step EDSS progression, patients cannot progress from EDSS 9 to EDSS 10 - death)</w:t>
            </w:r>
          </w:p>
        </w:tc>
      </w:tr>
      <w:tr w:rsidR="00D15288" w:rsidRPr="00244FB2" w14:paraId="5CB934CF" w14:textId="77777777" w:rsidTr="00D91CDF">
        <w:tc>
          <w:tcPr>
            <w:tcW w:w="4678" w:type="dxa"/>
            <w:tcMar>
              <w:top w:w="0" w:type="dxa"/>
              <w:left w:w="108" w:type="dxa"/>
              <w:bottom w:w="0" w:type="dxa"/>
              <w:right w:w="108" w:type="dxa"/>
            </w:tcMar>
            <w:hideMark/>
          </w:tcPr>
          <w:p w14:paraId="1DCC2EE4" w14:textId="77777777" w:rsidR="00D15288" w:rsidRPr="00244FB2" w:rsidRDefault="00D15288" w:rsidP="007E3C13">
            <w:pPr>
              <w:pStyle w:val="Tabletext0"/>
              <w:keepNext/>
              <w:rPr>
                <w:iCs/>
                <w:szCs w:val="20"/>
              </w:rPr>
            </w:pPr>
            <w:r w:rsidRPr="00244FB2">
              <w:rPr>
                <w:iCs/>
                <w:szCs w:val="20"/>
              </w:rPr>
              <w:t>Decrease probability by 20% (0.3480)</w:t>
            </w:r>
          </w:p>
        </w:tc>
        <w:tc>
          <w:tcPr>
            <w:tcW w:w="1559" w:type="dxa"/>
            <w:tcMar>
              <w:top w:w="0" w:type="dxa"/>
              <w:left w:w="108" w:type="dxa"/>
              <w:bottom w:w="0" w:type="dxa"/>
              <w:right w:w="108" w:type="dxa"/>
            </w:tcMar>
          </w:tcPr>
          <w:p w14:paraId="3D2FA17E" w14:textId="77777777" w:rsidR="00D15288" w:rsidRPr="005266FC" w:rsidRDefault="005266FC" w:rsidP="007E3C13">
            <w:pPr>
              <w:pStyle w:val="Tabletext0"/>
              <w:keepNext/>
              <w:jc w:val="center"/>
              <w:rPr>
                <w:iCs/>
                <w:szCs w:val="20"/>
                <w:highlight w:val="black"/>
              </w:rPr>
            </w:pPr>
            <w:r>
              <w:rPr>
                <w:iCs/>
                <w:noProof/>
                <w:color w:val="000000"/>
                <w:szCs w:val="20"/>
                <w:highlight w:val="black"/>
              </w:rPr>
              <w:t>'''''''''''''''''''''''''''''</w:t>
            </w:r>
          </w:p>
        </w:tc>
        <w:tc>
          <w:tcPr>
            <w:tcW w:w="1701" w:type="dxa"/>
            <w:tcMar>
              <w:top w:w="0" w:type="dxa"/>
              <w:left w:w="108" w:type="dxa"/>
              <w:bottom w:w="0" w:type="dxa"/>
              <w:right w:w="108" w:type="dxa"/>
            </w:tcMar>
          </w:tcPr>
          <w:p w14:paraId="67532F3F" w14:textId="77777777" w:rsidR="00D15288" w:rsidRPr="00244FB2" w:rsidRDefault="00D15288" w:rsidP="007E3C13">
            <w:pPr>
              <w:pStyle w:val="Tabletext0"/>
              <w:keepNext/>
              <w:jc w:val="center"/>
              <w:rPr>
                <w:iCs/>
                <w:szCs w:val="20"/>
              </w:rPr>
            </w:pPr>
            <w:r w:rsidRPr="00244FB2">
              <w:rPr>
                <w:iCs/>
                <w:szCs w:val="20"/>
              </w:rPr>
              <w:t>1.7278</w:t>
            </w:r>
          </w:p>
        </w:tc>
        <w:tc>
          <w:tcPr>
            <w:tcW w:w="1091" w:type="dxa"/>
            <w:tcMar>
              <w:top w:w="0" w:type="dxa"/>
              <w:left w:w="108" w:type="dxa"/>
              <w:bottom w:w="0" w:type="dxa"/>
              <w:right w:w="108" w:type="dxa"/>
            </w:tcMar>
          </w:tcPr>
          <w:p w14:paraId="7D4860DF" w14:textId="77777777" w:rsidR="00D15288" w:rsidRPr="005266FC" w:rsidRDefault="005266FC" w:rsidP="007E3C13">
            <w:pPr>
              <w:pStyle w:val="Tabletext0"/>
              <w:keepNext/>
              <w:jc w:val="center"/>
              <w:rPr>
                <w:iCs/>
                <w:szCs w:val="20"/>
              </w:rPr>
            </w:pPr>
            <w:r>
              <w:rPr>
                <w:iCs/>
                <w:noProof/>
                <w:color w:val="000000"/>
                <w:szCs w:val="20"/>
                <w:highlight w:val="black"/>
              </w:rPr>
              <w:t>''''''''''''''''''''''''''''</w:t>
            </w:r>
            <w:r w:rsidR="007D5B32" w:rsidRPr="007D5B32">
              <w:rPr>
                <w:szCs w:val="20"/>
                <w:vertAlign w:val="superscript"/>
              </w:rPr>
              <w:t>1</w:t>
            </w:r>
          </w:p>
        </w:tc>
      </w:tr>
      <w:tr w:rsidR="00D15288" w:rsidRPr="00244FB2" w14:paraId="6D5EA26E" w14:textId="77777777" w:rsidTr="00D91CDF">
        <w:tc>
          <w:tcPr>
            <w:tcW w:w="4678" w:type="dxa"/>
            <w:tcMar>
              <w:top w:w="0" w:type="dxa"/>
              <w:left w:w="108" w:type="dxa"/>
              <w:bottom w:w="0" w:type="dxa"/>
              <w:right w:w="108" w:type="dxa"/>
            </w:tcMar>
          </w:tcPr>
          <w:p w14:paraId="482BD552" w14:textId="77777777" w:rsidR="00D15288" w:rsidRPr="00244FB2" w:rsidRDefault="00D15288" w:rsidP="007E3C13">
            <w:pPr>
              <w:pStyle w:val="Tabletext0"/>
              <w:keepNext/>
              <w:rPr>
                <w:iCs/>
                <w:szCs w:val="20"/>
              </w:rPr>
            </w:pPr>
            <w:r w:rsidRPr="00244FB2">
              <w:rPr>
                <w:iCs/>
                <w:szCs w:val="20"/>
              </w:rPr>
              <w:t xml:space="preserve">Decrease probability by 35% (0.2828) </w:t>
            </w:r>
          </w:p>
          <w:p w14:paraId="54A388C0" w14:textId="77777777" w:rsidR="00D15288" w:rsidRPr="00244FB2" w:rsidRDefault="00D15288" w:rsidP="007E3C13">
            <w:pPr>
              <w:pStyle w:val="Tabletext0"/>
              <w:keepNext/>
              <w:rPr>
                <w:iCs/>
                <w:szCs w:val="20"/>
              </w:rPr>
            </w:pPr>
            <w:r w:rsidRPr="00244FB2">
              <w:rPr>
                <w:iCs/>
                <w:szCs w:val="20"/>
              </w:rPr>
              <w:t>[consistent with external validation]</w:t>
            </w:r>
          </w:p>
        </w:tc>
        <w:tc>
          <w:tcPr>
            <w:tcW w:w="1559" w:type="dxa"/>
            <w:tcMar>
              <w:top w:w="0" w:type="dxa"/>
              <w:left w:w="108" w:type="dxa"/>
              <w:bottom w:w="0" w:type="dxa"/>
              <w:right w:w="108" w:type="dxa"/>
            </w:tcMar>
            <w:vAlign w:val="center"/>
          </w:tcPr>
          <w:p w14:paraId="20C1FF0D" w14:textId="77777777" w:rsidR="00D15288" w:rsidRPr="005266FC" w:rsidRDefault="005266FC" w:rsidP="007E3C13">
            <w:pPr>
              <w:pStyle w:val="Tabletext0"/>
              <w:keepNext/>
              <w:jc w:val="center"/>
              <w:rPr>
                <w:iCs/>
                <w:szCs w:val="20"/>
                <w:highlight w:val="black"/>
              </w:rPr>
            </w:pPr>
            <w:r>
              <w:rPr>
                <w:iCs/>
                <w:noProof/>
                <w:color w:val="000000"/>
                <w:szCs w:val="20"/>
                <w:highlight w:val="black"/>
              </w:rPr>
              <w:t>''''''''''''''''''''''''''''</w:t>
            </w:r>
          </w:p>
        </w:tc>
        <w:tc>
          <w:tcPr>
            <w:tcW w:w="1701" w:type="dxa"/>
            <w:tcMar>
              <w:top w:w="0" w:type="dxa"/>
              <w:left w:w="108" w:type="dxa"/>
              <w:bottom w:w="0" w:type="dxa"/>
              <w:right w:w="108" w:type="dxa"/>
            </w:tcMar>
            <w:vAlign w:val="center"/>
          </w:tcPr>
          <w:p w14:paraId="4D624C45" w14:textId="77777777" w:rsidR="00D15288" w:rsidRPr="00244FB2" w:rsidRDefault="00264ABC" w:rsidP="007E3C13">
            <w:pPr>
              <w:pStyle w:val="Tabletext0"/>
              <w:keepNext/>
              <w:jc w:val="center"/>
              <w:rPr>
                <w:iCs/>
                <w:szCs w:val="20"/>
                <w:highlight w:val="yellow"/>
              </w:rPr>
            </w:pPr>
            <w:r w:rsidRPr="00244FB2">
              <w:rPr>
                <w:iCs/>
                <w:szCs w:val="20"/>
              </w:rPr>
              <w:t>1.6160</w:t>
            </w:r>
          </w:p>
        </w:tc>
        <w:tc>
          <w:tcPr>
            <w:tcW w:w="1091" w:type="dxa"/>
            <w:tcMar>
              <w:top w:w="0" w:type="dxa"/>
              <w:left w:w="108" w:type="dxa"/>
              <w:bottom w:w="0" w:type="dxa"/>
              <w:right w:w="108" w:type="dxa"/>
            </w:tcMar>
            <w:vAlign w:val="center"/>
          </w:tcPr>
          <w:p w14:paraId="4F14D5E5" w14:textId="77777777" w:rsidR="00D15288" w:rsidRPr="005266FC" w:rsidRDefault="005266FC" w:rsidP="007E3C13">
            <w:pPr>
              <w:pStyle w:val="Tabletext0"/>
              <w:keepNext/>
              <w:jc w:val="center"/>
              <w:rPr>
                <w:iCs/>
                <w:szCs w:val="20"/>
                <w:highlight w:val="yellow"/>
              </w:rPr>
            </w:pPr>
            <w:r>
              <w:rPr>
                <w:iCs/>
                <w:noProof/>
                <w:color w:val="000000"/>
                <w:szCs w:val="20"/>
                <w:highlight w:val="black"/>
              </w:rPr>
              <w:t>'''''''''''''''''''''''''''</w:t>
            </w:r>
            <w:r w:rsidR="007D5B32" w:rsidRPr="007D5B32">
              <w:rPr>
                <w:szCs w:val="20"/>
                <w:vertAlign w:val="superscript"/>
              </w:rPr>
              <w:t>1</w:t>
            </w:r>
          </w:p>
        </w:tc>
      </w:tr>
      <w:tr w:rsidR="00D15288" w:rsidRPr="00244FB2" w14:paraId="70A81489" w14:textId="77777777" w:rsidTr="00D15288">
        <w:tc>
          <w:tcPr>
            <w:tcW w:w="9029" w:type="dxa"/>
            <w:gridSpan w:val="4"/>
            <w:tcMar>
              <w:top w:w="0" w:type="dxa"/>
              <w:left w:w="108" w:type="dxa"/>
              <w:bottom w:w="0" w:type="dxa"/>
              <w:right w:w="108" w:type="dxa"/>
            </w:tcMar>
            <w:hideMark/>
          </w:tcPr>
          <w:p w14:paraId="628A59E8" w14:textId="77777777" w:rsidR="00D15288" w:rsidRPr="00244FB2" w:rsidRDefault="00D15288" w:rsidP="007E3C13">
            <w:pPr>
              <w:pStyle w:val="Tabletext0"/>
              <w:keepNext/>
              <w:rPr>
                <w:b/>
                <w:bCs/>
                <w:szCs w:val="20"/>
              </w:rPr>
            </w:pPr>
            <w:r w:rsidRPr="00244FB2">
              <w:rPr>
                <w:b/>
                <w:bCs/>
                <w:szCs w:val="20"/>
              </w:rPr>
              <w:t>Probability of fatal relapse (base case: 0.070 based on Mealy 2018 publication)</w:t>
            </w:r>
          </w:p>
        </w:tc>
      </w:tr>
      <w:tr w:rsidR="00D15288" w:rsidRPr="00244FB2" w14:paraId="2DE3C6DE" w14:textId="77777777" w:rsidTr="00D91CDF">
        <w:tc>
          <w:tcPr>
            <w:tcW w:w="4678" w:type="dxa"/>
            <w:tcMar>
              <w:top w:w="0" w:type="dxa"/>
              <w:left w:w="108" w:type="dxa"/>
              <w:bottom w:w="0" w:type="dxa"/>
              <w:right w:w="108" w:type="dxa"/>
            </w:tcMar>
            <w:hideMark/>
          </w:tcPr>
          <w:p w14:paraId="7B28C440" w14:textId="77777777" w:rsidR="00D15288" w:rsidRPr="00244FB2" w:rsidRDefault="00D15288" w:rsidP="007E3C13">
            <w:pPr>
              <w:pStyle w:val="Tabletext0"/>
              <w:keepNext/>
              <w:rPr>
                <w:szCs w:val="20"/>
              </w:rPr>
            </w:pPr>
            <w:r w:rsidRPr="00244FB2">
              <w:rPr>
                <w:szCs w:val="20"/>
              </w:rPr>
              <w:t>No risk of fatal relapse</w:t>
            </w:r>
          </w:p>
        </w:tc>
        <w:tc>
          <w:tcPr>
            <w:tcW w:w="1559" w:type="dxa"/>
            <w:tcMar>
              <w:top w:w="0" w:type="dxa"/>
              <w:left w:w="108" w:type="dxa"/>
              <w:bottom w:w="0" w:type="dxa"/>
              <w:right w:w="108" w:type="dxa"/>
            </w:tcMar>
            <w:hideMark/>
          </w:tcPr>
          <w:p w14:paraId="65FDCE73" w14:textId="77777777" w:rsidR="00D15288" w:rsidRPr="005266FC" w:rsidRDefault="005266FC" w:rsidP="007E3C13">
            <w:pPr>
              <w:pStyle w:val="Tabletext0"/>
              <w:keepNext/>
              <w:jc w:val="center"/>
              <w:rPr>
                <w:szCs w:val="20"/>
                <w:highlight w:val="black"/>
              </w:rPr>
            </w:pPr>
            <w:r>
              <w:rPr>
                <w:noProof/>
                <w:color w:val="000000"/>
                <w:szCs w:val="20"/>
                <w:highlight w:val="black"/>
              </w:rPr>
              <w:t>'''''''''''''''''''''''''''</w:t>
            </w:r>
          </w:p>
        </w:tc>
        <w:tc>
          <w:tcPr>
            <w:tcW w:w="1701" w:type="dxa"/>
            <w:tcMar>
              <w:top w:w="0" w:type="dxa"/>
              <w:left w:w="108" w:type="dxa"/>
              <w:bottom w:w="0" w:type="dxa"/>
              <w:right w:w="108" w:type="dxa"/>
            </w:tcMar>
            <w:hideMark/>
          </w:tcPr>
          <w:p w14:paraId="54E5EDB7" w14:textId="77777777" w:rsidR="00D15288" w:rsidRPr="00244FB2" w:rsidRDefault="00D15288" w:rsidP="007E3C13">
            <w:pPr>
              <w:pStyle w:val="Tabletext0"/>
              <w:keepNext/>
              <w:jc w:val="center"/>
              <w:rPr>
                <w:szCs w:val="20"/>
              </w:rPr>
            </w:pPr>
            <w:r w:rsidRPr="00244FB2">
              <w:rPr>
                <w:szCs w:val="20"/>
              </w:rPr>
              <w:t>1.4699</w:t>
            </w:r>
          </w:p>
        </w:tc>
        <w:tc>
          <w:tcPr>
            <w:tcW w:w="1091" w:type="dxa"/>
            <w:tcMar>
              <w:top w:w="0" w:type="dxa"/>
              <w:left w:w="108" w:type="dxa"/>
              <w:bottom w:w="0" w:type="dxa"/>
              <w:right w:w="108" w:type="dxa"/>
            </w:tcMar>
            <w:hideMark/>
          </w:tcPr>
          <w:p w14:paraId="13DD5A74" w14:textId="77777777" w:rsidR="00D15288" w:rsidRPr="005266FC" w:rsidRDefault="005266FC" w:rsidP="007E3C13">
            <w:pPr>
              <w:pStyle w:val="Tabletext0"/>
              <w:keepNext/>
              <w:jc w:val="center"/>
              <w:rPr>
                <w:szCs w:val="20"/>
              </w:rPr>
            </w:pPr>
            <w:r>
              <w:rPr>
                <w:noProof/>
                <w:color w:val="000000"/>
                <w:szCs w:val="20"/>
                <w:highlight w:val="black"/>
              </w:rPr>
              <w:t>''''''''''''''''''''''''</w:t>
            </w:r>
            <w:r w:rsidR="007D5B32" w:rsidRPr="007D5B32">
              <w:rPr>
                <w:szCs w:val="20"/>
                <w:vertAlign w:val="superscript"/>
              </w:rPr>
              <w:t>1</w:t>
            </w:r>
          </w:p>
        </w:tc>
      </w:tr>
      <w:tr w:rsidR="00D15288" w:rsidRPr="00244FB2" w14:paraId="3E2DCB06" w14:textId="77777777" w:rsidTr="00D15288">
        <w:tc>
          <w:tcPr>
            <w:tcW w:w="9029" w:type="dxa"/>
            <w:gridSpan w:val="4"/>
            <w:tcMar>
              <w:top w:w="0" w:type="dxa"/>
              <w:left w:w="108" w:type="dxa"/>
              <w:bottom w:w="0" w:type="dxa"/>
              <w:right w:w="108" w:type="dxa"/>
            </w:tcMar>
            <w:hideMark/>
          </w:tcPr>
          <w:p w14:paraId="16510B5E" w14:textId="77777777" w:rsidR="00D15288" w:rsidRPr="00244FB2" w:rsidRDefault="00D15288" w:rsidP="007E3C13">
            <w:pPr>
              <w:pStyle w:val="Tabletext0"/>
              <w:keepNext/>
              <w:rPr>
                <w:b/>
                <w:bCs/>
                <w:szCs w:val="20"/>
              </w:rPr>
            </w:pPr>
            <w:r w:rsidRPr="00244FB2">
              <w:rPr>
                <w:b/>
                <w:bCs/>
                <w:szCs w:val="20"/>
              </w:rPr>
              <w:t>Probability of treatment discontinuation (base case: 0.0465 based on the PREVENT trial)</w:t>
            </w:r>
          </w:p>
        </w:tc>
      </w:tr>
      <w:tr w:rsidR="00D15288" w:rsidRPr="00244FB2" w14:paraId="04E2F808" w14:textId="77777777" w:rsidTr="00D91CDF">
        <w:tc>
          <w:tcPr>
            <w:tcW w:w="4678" w:type="dxa"/>
            <w:tcMar>
              <w:top w:w="0" w:type="dxa"/>
              <w:left w:w="108" w:type="dxa"/>
              <w:bottom w:w="0" w:type="dxa"/>
              <w:right w:w="108" w:type="dxa"/>
            </w:tcMar>
            <w:hideMark/>
          </w:tcPr>
          <w:p w14:paraId="7DD26FA8" w14:textId="77777777" w:rsidR="00D15288" w:rsidRPr="00244FB2" w:rsidRDefault="00D15288" w:rsidP="007E3C13">
            <w:pPr>
              <w:pStyle w:val="Tabletext0"/>
              <w:keepNext/>
              <w:rPr>
                <w:szCs w:val="20"/>
              </w:rPr>
            </w:pPr>
            <w:r w:rsidRPr="00244FB2">
              <w:rPr>
                <w:szCs w:val="20"/>
              </w:rPr>
              <w:t>Increase probability by 50% (0.0698)</w:t>
            </w:r>
          </w:p>
        </w:tc>
        <w:tc>
          <w:tcPr>
            <w:tcW w:w="1559" w:type="dxa"/>
            <w:tcMar>
              <w:top w:w="0" w:type="dxa"/>
              <w:left w:w="108" w:type="dxa"/>
              <w:bottom w:w="0" w:type="dxa"/>
              <w:right w:w="108" w:type="dxa"/>
            </w:tcMar>
            <w:hideMark/>
          </w:tcPr>
          <w:p w14:paraId="0D126F01" w14:textId="77777777" w:rsidR="00D15288" w:rsidRPr="005266FC" w:rsidRDefault="005266FC" w:rsidP="007E3C13">
            <w:pPr>
              <w:pStyle w:val="Tabletext0"/>
              <w:keepNext/>
              <w:jc w:val="center"/>
              <w:rPr>
                <w:szCs w:val="20"/>
                <w:highlight w:val="black"/>
              </w:rPr>
            </w:pPr>
            <w:r>
              <w:rPr>
                <w:noProof/>
                <w:color w:val="000000"/>
                <w:szCs w:val="20"/>
                <w:highlight w:val="black"/>
              </w:rPr>
              <w:t>'''''''''''''''''''''''''''''</w:t>
            </w:r>
          </w:p>
        </w:tc>
        <w:tc>
          <w:tcPr>
            <w:tcW w:w="1701" w:type="dxa"/>
            <w:tcMar>
              <w:top w:w="0" w:type="dxa"/>
              <w:left w:w="108" w:type="dxa"/>
              <w:bottom w:w="0" w:type="dxa"/>
              <w:right w:w="108" w:type="dxa"/>
            </w:tcMar>
            <w:hideMark/>
          </w:tcPr>
          <w:p w14:paraId="17392D4B" w14:textId="77777777" w:rsidR="00D15288" w:rsidRPr="00244FB2" w:rsidRDefault="00D15288" w:rsidP="007E3C13">
            <w:pPr>
              <w:pStyle w:val="Tabletext0"/>
              <w:keepNext/>
              <w:jc w:val="center"/>
              <w:rPr>
                <w:szCs w:val="20"/>
              </w:rPr>
            </w:pPr>
            <w:r w:rsidRPr="00244FB2">
              <w:rPr>
                <w:szCs w:val="20"/>
              </w:rPr>
              <w:t>1.4416</w:t>
            </w:r>
          </w:p>
        </w:tc>
        <w:tc>
          <w:tcPr>
            <w:tcW w:w="1091" w:type="dxa"/>
            <w:tcMar>
              <w:top w:w="0" w:type="dxa"/>
              <w:left w:w="108" w:type="dxa"/>
              <w:bottom w:w="0" w:type="dxa"/>
              <w:right w:w="108" w:type="dxa"/>
            </w:tcMar>
            <w:hideMark/>
          </w:tcPr>
          <w:p w14:paraId="078B4501" w14:textId="77777777" w:rsidR="00D15288" w:rsidRPr="005266FC" w:rsidRDefault="005266FC" w:rsidP="007E3C13">
            <w:pPr>
              <w:pStyle w:val="Tabletext0"/>
              <w:keepNext/>
              <w:jc w:val="center"/>
              <w:rPr>
                <w:szCs w:val="20"/>
              </w:rPr>
            </w:pPr>
            <w:r>
              <w:rPr>
                <w:noProof/>
                <w:color w:val="000000"/>
                <w:szCs w:val="20"/>
                <w:highlight w:val="black"/>
              </w:rPr>
              <w:t>'''''''''''''''''''''''''''''</w:t>
            </w:r>
            <w:r w:rsidR="007D5B32" w:rsidRPr="007D5B32">
              <w:rPr>
                <w:szCs w:val="20"/>
                <w:vertAlign w:val="superscript"/>
              </w:rPr>
              <w:t>1</w:t>
            </w:r>
          </w:p>
        </w:tc>
      </w:tr>
      <w:tr w:rsidR="00D15288" w:rsidRPr="00244FB2" w14:paraId="03554196" w14:textId="77777777" w:rsidTr="00D91CDF">
        <w:tc>
          <w:tcPr>
            <w:tcW w:w="4678" w:type="dxa"/>
            <w:tcMar>
              <w:top w:w="0" w:type="dxa"/>
              <w:left w:w="108" w:type="dxa"/>
              <w:bottom w:w="0" w:type="dxa"/>
              <w:right w:w="108" w:type="dxa"/>
            </w:tcMar>
            <w:hideMark/>
          </w:tcPr>
          <w:p w14:paraId="1251F505" w14:textId="77777777" w:rsidR="00D15288" w:rsidRPr="00244FB2" w:rsidRDefault="00D15288" w:rsidP="007E3C13">
            <w:pPr>
              <w:pStyle w:val="Tabletext0"/>
              <w:keepNext/>
              <w:rPr>
                <w:szCs w:val="20"/>
              </w:rPr>
            </w:pPr>
            <w:r w:rsidRPr="00244FB2">
              <w:rPr>
                <w:szCs w:val="20"/>
              </w:rPr>
              <w:t>Decrease probability by 50% (0.0233)</w:t>
            </w:r>
          </w:p>
        </w:tc>
        <w:tc>
          <w:tcPr>
            <w:tcW w:w="1559" w:type="dxa"/>
            <w:tcMar>
              <w:top w:w="0" w:type="dxa"/>
              <w:left w:w="108" w:type="dxa"/>
              <w:bottom w:w="0" w:type="dxa"/>
              <w:right w:w="108" w:type="dxa"/>
            </w:tcMar>
            <w:hideMark/>
          </w:tcPr>
          <w:p w14:paraId="6D317770" w14:textId="77777777" w:rsidR="00D15288" w:rsidRPr="005266FC" w:rsidRDefault="005266FC" w:rsidP="007E3C13">
            <w:pPr>
              <w:pStyle w:val="Tabletext0"/>
              <w:keepNext/>
              <w:jc w:val="center"/>
              <w:rPr>
                <w:szCs w:val="20"/>
                <w:highlight w:val="black"/>
              </w:rPr>
            </w:pPr>
            <w:r>
              <w:rPr>
                <w:noProof/>
                <w:color w:val="000000"/>
                <w:szCs w:val="20"/>
                <w:highlight w:val="black"/>
              </w:rPr>
              <w:t>''''''''''''''''''''''''''''</w:t>
            </w:r>
          </w:p>
        </w:tc>
        <w:tc>
          <w:tcPr>
            <w:tcW w:w="1701" w:type="dxa"/>
            <w:tcMar>
              <w:top w:w="0" w:type="dxa"/>
              <w:left w:w="108" w:type="dxa"/>
              <w:bottom w:w="0" w:type="dxa"/>
              <w:right w:w="108" w:type="dxa"/>
            </w:tcMar>
            <w:hideMark/>
          </w:tcPr>
          <w:p w14:paraId="1DBFED7D" w14:textId="77777777" w:rsidR="00D15288" w:rsidRPr="00244FB2" w:rsidRDefault="00D15288" w:rsidP="007E3C13">
            <w:pPr>
              <w:pStyle w:val="Tabletext0"/>
              <w:keepNext/>
              <w:jc w:val="center"/>
              <w:rPr>
                <w:szCs w:val="20"/>
              </w:rPr>
            </w:pPr>
            <w:r w:rsidRPr="00244FB2">
              <w:rPr>
                <w:szCs w:val="20"/>
              </w:rPr>
              <w:t>2.6078</w:t>
            </w:r>
          </w:p>
        </w:tc>
        <w:tc>
          <w:tcPr>
            <w:tcW w:w="1091" w:type="dxa"/>
            <w:tcMar>
              <w:top w:w="0" w:type="dxa"/>
              <w:left w:w="108" w:type="dxa"/>
              <w:bottom w:w="0" w:type="dxa"/>
              <w:right w:w="108" w:type="dxa"/>
            </w:tcMar>
            <w:hideMark/>
          </w:tcPr>
          <w:p w14:paraId="67069A2B" w14:textId="77777777" w:rsidR="00D15288" w:rsidRPr="005266FC" w:rsidRDefault="005266FC" w:rsidP="007E3C13">
            <w:pPr>
              <w:pStyle w:val="Tabletext0"/>
              <w:keepNext/>
              <w:jc w:val="center"/>
              <w:rPr>
                <w:szCs w:val="20"/>
              </w:rPr>
            </w:pPr>
            <w:r>
              <w:rPr>
                <w:noProof/>
                <w:color w:val="000000"/>
                <w:szCs w:val="20"/>
                <w:highlight w:val="black"/>
              </w:rPr>
              <w:t>'''''''''''''''''''''''''''''</w:t>
            </w:r>
            <w:r w:rsidR="007D5B32" w:rsidRPr="007D5B32">
              <w:rPr>
                <w:szCs w:val="20"/>
                <w:vertAlign w:val="superscript"/>
              </w:rPr>
              <w:t>1</w:t>
            </w:r>
          </w:p>
        </w:tc>
      </w:tr>
      <w:tr w:rsidR="00D15288" w:rsidRPr="00244FB2" w14:paraId="3C4CAC83" w14:textId="77777777" w:rsidTr="00D15288">
        <w:tc>
          <w:tcPr>
            <w:tcW w:w="9029" w:type="dxa"/>
            <w:gridSpan w:val="4"/>
            <w:tcMar>
              <w:top w:w="0" w:type="dxa"/>
              <w:left w:w="108" w:type="dxa"/>
              <w:bottom w:w="0" w:type="dxa"/>
              <w:right w:w="108" w:type="dxa"/>
            </w:tcMar>
            <w:hideMark/>
          </w:tcPr>
          <w:p w14:paraId="78C1C26C" w14:textId="77777777" w:rsidR="00D15288" w:rsidRPr="00244FB2" w:rsidRDefault="00D15288" w:rsidP="007E3C13">
            <w:pPr>
              <w:pStyle w:val="Tabletext0"/>
              <w:keepNext/>
              <w:rPr>
                <w:b/>
                <w:bCs/>
                <w:szCs w:val="20"/>
              </w:rPr>
            </w:pPr>
            <w:r w:rsidRPr="00244FB2">
              <w:rPr>
                <w:b/>
                <w:bCs/>
                <w:szCs w:val="20"/>
              </w:rPr>
              <w:t>Disability health state utility values (base case: based on raw scores with UK weights from a post-hoc analysis of the PREVENT trial)</w:t>
            </w:r>
          </w:p>
        </w:tc>
      </w:tr>
      <w:tr w:rsidR="00D15288" w:rsidRPr="00244FB2" w14:paraId="28C6E683" w14:textId="77777777" w:rsidTr="00D91CDF">
        <w:tc>
          <w:tcPr>
            <w:tcW w:w="4678" w:type="dxa"/>
            <w:tcMar>
              <w:top w:w="0" w:type="dxa"/>
              <w:left w:w="108" w:type="dxa"/>
              <w:bottom w:w="0" w:type="dxa"/>
              <w:right w:w="108" w:type="dxa"/>
            </w:tcMar>
            <w:hideMark/>
          </w:tcPr>
          <w:p w14:paraId="6482F122" w14:textId="77777777" w:rsidR="00D15288" w:rsidRPr="00244FB2" w:rsidRDefault="00D15288" w:rsidP="007E3C13">
            <w:pPr>
              <w:pStyle w:val="Tabletext0"/>
              <w:keepNext/>
              <w:rPr>
                <w:iCs/>
                <w:szCs w:val="20"/>
              </w:rPr>
            </w:pPr>
            <w:r w:rsidRPr="00244FB2">
              <w:rPr>
                <w:iCs/>
                <w:szCs w:val="20"/>
              </w:rPr>
              <w:t>Utilities based on linear regression with UK weights from the PREVENT trial</w:t>
            </w:r>
          </w:p>
        </w:tc>
        <w:tc>
          <w:tcPr>
            <w:tcW w:w="1559" w:type="dxa"/>
            <w:tcMar>
              <w:top w:w="0" w:type="dxa"/>
              <w:left w:w="108" w:type="dxa"/>
              <w:bottom w:w="0" w:type="dxa"/>
              <w:right w:w="108" w:type="dxa"/>
            </w:tcMar>
            <w:vAlign w:val="center"/>
          </w:tcPr>
          <w:p w14:paraId="0E699380" w14:textId="77777777" w:rsidR="00D15288" w:rsidRPr="005266FC" w:rsidRDefault="005266FC" w:rsidP="007E3C13">
            <w:pPr>
              <w:pStyle w:val="Tabletext0"/>
              <w:keepNext/>
              <w:jc w:val="center"/>
              <w:rPr>
                <w:iCs/>
                <w:szCs w:val="20"/>
                <w:highlight w:val="black"/>
              </w:rPr>
            </w:pPr>
            <w:r>
              <w:rPr>
                <w:iCs/>
                <w:noProof/>
                <w:color w:val="000000"/>
                <w:szCs w:val="20"/>
                <w:highlight w:val="black"/>
              </w:rPr>
              <w:t>''''''''''''''''''''''''''</w:t>
            </w:r>
          </w:p>
        </w:tc>
        <w:tc>
          <w:tcPr>
            <w:tcW w:w="1701" w:type="dxa"/>
            <w:tcMar>
              <w:top w:w="0" w:type="dxa"/>
              <w:left w:w="108" w:type="dxa"/>
              <w:bottom w:w="0" w:type="dxa"/>
              <w:right w:w="108" w:type="dxa"/>
            </w:tcMar>
            <w:vAlign w:val="center"/>
          </w:tcPr>
          <w:p w14:paraId="034C496E" w14:textId="77777777" w:rsidR="00D15288" w:rsidRPr="00244FB2" w:rsidRDefault="00D15288" w:rsidP="007E3C13">
            <w:pPr>
              <w:pStyle w:val="Tabletext0"/>
              <w:keepNext/>
              <w:jc w:val="center"/>
              <w:rPr>
                <w:iCs/>
                <w:szCs w:val="20"/>
              </w:rPr>
            </w:pPr>
            <w:r w:rsidRPr="00244FB2">
              <w:rPr>
                <w:iCs/>
                <w:szCs w:val="20"/>
              </w:rPr>
              <w:t>1.4578</w:t>
            </w:r>
          </w:p>
        </w:tc>
        <w:tc>
          <w:tcPr>
            <w:tcW w:w="1091" w:type="dxa"/>
            <w:tcMar>
              <w:top w:w="0" w:type="dxa"/>
              <w:left w:w="108" w:type="dxa"/>
              <w:bottom w:w="0" w:type="dxa"/>
              <w:right w:w="108" w:type="dxa"/>
            </w:tcMar>
            <w:vAlign w:val="center"/>
          </w:tcPr>
          <w:p w14:paraId="20A9AFB8" w14:textId="77777777" w:rsidR="00D15288" w:rsidRPr="005266FC" w:rsidRDefault="005266FC" w:rsidP="007E3C13">
            <w:pPr>
              <w:pStyle w:val="Tabletext0"/>
              <w:keepNext/>
              <w:jc w:val="center"/>
              <w:rPr>
                <w:iCs/>
                <w:szCs w:val="20"/>
              </w:rPr>
            </w:pPr>
            <w:r>
              <w:rPr>
                <w:iCs/>
                <w:noProof/>
                <w:color w:val="000000"/>
                <w:szCs w:val="20"/>
                <w:highlight w:val="black"/>
              </w:rPr>
              <w:t>''''''''''''''''''''''''''</w:t>
            </w:r>
            <w:r w:rsidR="007D5B32" w:rsidRPr="007D5B32">
              <w:rPr>
                <w:szCs w:val="20"/>
                <w:vertAlign w:val="superscript"/>
              </w:rPr>
              <w:t>1</w:t>
            </w:r>
          </w:p>
        </w:tc>
      </w:tr>
      <w:tr w:rsidR="00D15288" w:rsidRPr="00244FB2" w14:paraId="65F7A3E2" w14:textId="77777777" w:rsidTr="00D91CDF">
        <w:tc>
          <w:tcPr>
            <w:tcW w:w="4678" w:type="dxa"/>
            <w:tcMar>
              <w:top w:w="0" w:type="dxa"/>
              <w:left w:w="108" w:type="dxa"/>
              <w:bottom w:w="0" w:type="dxa"/>
              <w:right w:w="108" w:type="dxa"/>
            </w:tcMar>
          </w:tcPr>
          <w:p w14:paraId="7185F0B3" w14:textId="77777777" w:rsidR="00D15288" w:rsidRPr="00244FB2" w:rsidRDefault="00D15288" w:rsidP="007E3C13">
            <w:pPr>
              <w:pStyle w:val="Tabletext0"/>
              <w:keepNext/>
              <w:rPr>
                <w:iCs/>
                <w:szCs w:val="20"/>
              </w:rPr>
            </w:pPr>
            <w:r w:rsidRPr="00244FB2">
              <w:rPr>
                <w:iCs/>
                <w:szCs w:val="20"/>
              </w:rPr>
              <w:t xml:space="preserve">Utilities based on linear regression with UK weights from the PREVENT trial but with </w:t>
            </w:r>
            <w:r w:rsidR="00D91CDF" w:rsidRPr="00244FB2">
              <w:rPr>
                <w:iCs/>
                <w:szCs w:val="20"/>
              </w:rPr>
              <w:t xml:space="preserve">utility of </w:t>
            </w:r>
            <w:r w:rsidRPr="00244FB2">
              <w:rPr>
                <w:iCs/>
                <w:szCs w:val="20"/>
              </w:rPr>
              <w:t>0 for EDSS levels of 8+</w:t>
            </w:r>
          </w:p>
        </w:tc>
        <w:tc>
          <w:tcPr>
            <w:tcW w:w="1559" w:type="dxa"/>
            <w:tcMar>
              <w:top w:w="0" w:type="dxa"/>
              <w:left w:w="108" w:type="dxa"/>
              <w:bottom w:w="0" w:type="dxa"/>
              <w:right w:w="108" w:type="dxa"/>
            </w:tcMar>
            <w:vAlign w:val="center"/>
          </w:tcPr>
          <w:p w14:paraId="3A6FFD50" w14:textId="77777777" w:rsidR="00D15288" w:rsidRPr="005266FC" w:rsidRDefault="005266FC" w:rsidP="007E3C13">
            <w:pPr>
              <w:pStyle w:val="Tabletext0"/>
              <w:keepNext/>
              <w:jc w:val="center"/>
              <w:rPr>
                <w:iCs/>
                <w:szCs w:val="20"/>
                <w:highlight w:val="black"/>
              </w:rPr>
            </w:pPr>
            <w:r>
              <w:rPr>
                <w:iCs/>
                <w:noProof/>
                <w:color w:val="000000"/>
                <w:szCs w:val="20"/>
                <w:highlight w:val="black"/>
              </w:rPr>
              <w:t>'''''''''''''''''''''''''''''</w:t>
            </w:r>
          </w:p>
        </w:tc>
        <w:tc>
          <w:tcPr>
            <w:tcW w:w="1701" w:type="dxa"/>
            <w:tcMar>
              <w:top w:w="0" w:type="dxa"/>
              <w:left w:w="108" w:type="dxa"/>
              <w:bottom w:w="0" w:type="dxa"/>
              <w:right w:w="108" w:type="dxa"/>
            </w:tcMar>
            <w:vAlign w:val="center"/>
          </w:tcPr>
          <w:p w14:paraId="7555AA52" w14:textId="77777777" w:rsidR="00D15288" w:rsidRPr="00244FB2" w:rsidRDefault="00D15288" w:rsidP="007E3C13">
            <w:pPr>
              <w:pStyle w:val="Tabletext0"/>
              <w:keepNext/>
              <w:jc w:val="center"/>
              <w:rPr>
                <w:iCs/>
                <w:szCs w:val="20"/>
              </w:rPr>
            </w:pPr>
            <w:r w:rsidRPr="00244FB2">
              <w:rPr>
                <w:iCs/>
                <w:szCs w:val="20"/>
              </w:rPr>
              <w:t>1.7405</w:t>
            </w:r>
          </w:p>
        </w:tc>
        <w:tc>
          <w:tcPr>
            <w:tcW w:w="1091" w:type="dxa"/>
            <w:tcMar>
              <w:top w:w="0" w:type="dxa"/>
              <w:left w:w="108" w:type="dxa"/>
              <w:bottom w:w="0" w:type="dxa"/>
              <w:right w:w="108" w:type="dxa"/>
            </w:tcMar>
            <w:vAlign w:val="center"/>
          </w:tcPr>
          <w:p w14:paraId="7273F7D5" w14:textId="77777777" w:rsidR="00D15288" w:rsidRPr="005266FC" w:rsidRDefault="005266FC" w:rsidP="007E3C13">
            <w:pPr>
              <w:pStyle w:val="Tabletext0"/>
              <w:keepNext/>
              <w:jc w:val="center"/>
              <w:rPr>
                <w:iCs/>
                <w:szCs w:val="20"/>
              </w:rPr>
            </w:pPr>
            <w:r>
              <w:rPr>
                <w:iCs/>
                <w:noProof/>
                <w:color w:val="000000"/>
                <w:szCs w:val="20"/>
                <w:highlight w:val="black"/>
              </w:rPr>
              <w:t>''''''''''''''''''''''''''</w:t>
            </w:r>
            <w:r w:rsidR="007D5B32" w:rsidRPr="007D5B32">
              <w:rPr>
                <w:szCs w:val="20"/>
                <w:vertAlign w:val="superscript"/>
              </w:rPr>
              <w:t>1</w:t>
            </w:r>
          </w:p>
        </w:tc>
      </w:tr>
      <w:tr w:rsidR="00D15288" w:rsidRPr="00244FB2" w14:paraId="087EE78F" w14:textId="77777777" w:rsidTr="00D91CDF">
        <w:tc>
          <w:tcPr>
            <w:tcW w:w="4678" w:type="dxa"/>
            <w:tcMar>
              <w:top w:w="0" w:type="dxa"/>
              <w:left w:w="108" w:type="dxa"/>
              <w:bottom w:w="0" w:type="dxa"/>
              <w:right w:w="108" w:type="dxa"/>
            </w:tcMar>
          </w:tcPr>
          <w:p w14:paraId="6856F887" w14:textId="77777777" w:rsidR="00D15288" w:rsidRPr="00244FB2" w:rsidRDefault="00D15288" w:rsidP="007E3C13">
            <w:pPr>
              <w:pStyle w:val="Tabletext0"/>
              <w:keepNext/>
              <w:rPr>
                <w:iCs/>
                <w:szCs w:val="20"/>
              </w:rPr>
            </w:pPr>
            <w:r w:rsidRPr="00244FB2">
              <w:rPr>
                <w:iCs/>
                <w:szCs w:val="20"/>
              </w:rPr>
              <w:t>Utilities based on linear regression with UK weights from the PREVENT trial but with utility of 0.1 for EDSS levels of 8+</w:t>
            </w:r>
          </w:p>
        </w:tc>
        <w:tc>
          <w:tcPr>
            <w:tcW w:w="1559" w:type="dxa"/>
            <w:tcMar>
              <w:top w:w="0" w:type="dxa"/>
              <w:left w:w="108" w:type="dxa"/>
              <w:bottom w:w="0" w:type="dxa"/>
              <w:right w:w="108" w:type="dxa"/>
            </w:tcMar>
            <w:vAlign w:val="center"/>
          </w:tcPr>
          <w:p w14:paraId="6B8954AB" w14:textId="77777777" w:rsidR="00D15288" w:rsidRPr="005266FC" w:rsidRDefault="005266FC" w:rsidP="007E3C13">
            <w:pPr>
              <w:pStyle w:val="Tabletext0"/>
              <w:keepNext/>
              <w:jc w:val="center"/>
              <w:rPr>
                <w:iCs/>
                <w:szCs w:val="20"/>
                <w:highlight w:val="black"/>
              </w:rPr>
            </w:pPr>
            <w:r>
              <w:rPr>
                <w:iCs/>
                <w:noProof/>
                <w:color w:val="000000"/>
                <w:szCs w:val="20"/>
                <w:highlight w:val="black"/>
              </w:rPr>
              <w:t>'''''''''''''''''''''''''''''</w:t>
            </w:r>
          </w:p>
        </w:tc>
        <w:tc>
          <w:tcPr>
            <w:tcW w:w="1701" w:type="dxa"/>
            <w:tcMar>
              <w:top w:w="0" w:type="dxa"/>
              <w:left w:w="108" w:type="dxa"/>
              <w:bottom w:w="0" w:type="dxa"/>
              <w:right w:w="108" w:type="dxa"/>
            </w:tcMar>
            <w:vAlign w:val="center"/>
          </w:tcPr>
          <w:p w14:paraId="0E82071B" w14:textId="77777777" w:rsidR="00D15288" w:rsidRPr="00244FB2" w:rsidRDefault="00D15288" w:rsidP="007E3C13">
            <w:pPr>
              <w:pStyle w:val="Tabletext0"/>
              <w:keepNext/>
              <w:jc w:val="center"/>
              <w:rPr>
                <w:iCs/>
                <w:szCs w:val="20"/>
              </w:rPr>
            </w:pPr>
            <w:r w:rsidRPr="00244FB2">
              <w:rPr>
                <w:iCs/>
                <w:szCs w:val="20"/>
              </w:rPr>
              <w:t>1.6581</w:t>
            </w:r>
          </w:p>
        </w:tc>
        <w:tc>
          <w:tcPr>
            <w:tcW w:w="1091" w:type="dxa"/>
            <w:tcMar>
              <w:top w:w="0" w:type="dxa"/>
              <w:left w:w="108" w:type="dxa"/>
              <w:bottom w:w="0" w:type="dxa"/>
              <w:right w:w="108" w:type="dxa"/>
            </w:tcMar>
            <w:vAlign w:val="center"/>
          </w:tcPr>
          <w:p w14:paraId="2D574856" w14:textId="77777777" w:rsidR="00D15288" w:rsidRPr="005266FC" w:rsidRDefault="005266FC" w:rsidP="007E3C13">
            <w:pPr>
              <w:pStyle w:val="Tabletext0"/>
              <w:keepNext/>
              <w:jc w:val="center"/>
              <w:rPr>
                <w:iCs/>
                <w:szCs w:val="20"/>
              </w:rPr>
            </w:pPr>
            <w:r>
              <w:rPr>
                <w:iCs/>
                <w:noProof/>
                <w:color w:val="000000"/>
                <w:szCs w:val="20"/>
                <w:highlight w:val="black"/>
              </w:rPr>
              <w:t>'''''''''''''''''''''''''</w:t>
            </w:r>
            <w:r w:rsidR="007D5B32" w:rsidRPr="007D5B32">
              <w:rPr>
                <w:szCs w:val="20"/>
                <w:vertAlign w:val="superscript"/>
              </w:rPr>
              <w:t>1</w:t>
            </w:r>
          </w:p>
        </w:tc>
      </w:tr>
      <w:tr w:rsidR="009D4F25" w:rsidRPr="00244FB2" w14:paraId="3B5591C1" w14:textId="77777777" w:rsidTr="006A6BF9">
        <w:tc>
          <w:tcPr>
            <w:tcW w:w="9029" w:type="dxa"/>
            <w:gridSpan w:val="4"/>
            <w:tcMar>
              <w:top w:w="0" w:type="dxa"/>
              <w:left w:w="108" w:type="dxa"/>
              <w:bottom w:w="0" w:type="dxa"/>
              <w:right w:w="108" w:type="dxa"/>
            </w:tcMar>
            <w:hideMark/>
          </w:tcPr>
          <w:p w14:paraId="07860409" w14:textId="77777777" w:rsidR="009D4F25" w:rsidRPr="00244FB2" w:rsidRDefault="009D4F25" w:rsidP="007E3C13">
            <w:pPr>
              <w:pStyle w:val="Tabletext0"/>
              <w:keepNext/>
              <w:rPr>
                <w:b/>
                <w:bCs/>
                <w:szCs w:val="20"/>
              </w:rPr>
            </w:pPr>
            <w:r w:rsidRPr="00244FB2">
              <w:rPr>
                <w:b/>
                <w:bCs/>
                <w:szCs w:val="20"/>
              </w:rPr>
              <w:t xml:space="preserve">Relapse costs (base case: $9,926.65 per event based on </w:t>
            </w:r>
            <w:proofErr w:type="spellStart"/>
            <w:r w:rsidRPr="00244FB2">
              <w:rPr>
                <w:b/>
                <w:bCs/>
                <w:szCs w:val="20"/>
              </w:rPr>
              <w:t>Stafkey-Mailey</w:t>
            </w:r>
            <w:proofErr w:type="spellEnd"/>
            <w:r w:rsidRPr="00244FB2">
              <w:rPr>
                <w:b/>
                <w:bCs/>
                <w:szCs w:val="20"/>
              </w:rPr>
              <w:t xml:space="preserve"> 2016; no supplementary </w:t>
            </w:r>
            <w:proofErr w:type="spellStart"/>
            <w:r w:rsidRPr="00244FB2">
              <w:rPr>
                <w:b/>
                <w:bCs/>
                <w:szCs w:val="20"/>
              </w:rPr>
              <w:t>eculizumab</w:t>
            </w:r>
            <w:proofErr w:type="spellEnd"/>
            <w:r w:rsidRPr="00244FB2">
              <w:rPr>
                <w:b/>
                <w:bCs/>
                <w:szCs w:val="20"/>
              </w:rPr>
              <w:t xml:space="preserve"> dosing)</w:t>
            </w:r>
          </w:p>
        </w:tc>
      </w:tr>
      <w:tr w:rsidR="009D4F25" w:rsidRPr="00244FB2" w14:paraId="498FBD97" w14:textId="77777777" w:rsidTr="007E3C13">
        <w:tc>
          <w:tcPr>
            <w:tcW w:w="4678" w:type="dxa"/>
            <w:tcMar>
              <w:top w:w="0" w:type="dxa"/>
              <w:left w:w="108" w:type="dxa"/>
              <w:bottom w:w="0" w:type="dxa"/>
              <w:right w:w="108" w:type="dxa"/>
            </w:tcMar>
            <w:hideMark/>
          </w:tcPr>
          <w:p w14:paraId="5CC573B3" w14:textId="77777777" w:rsidR="009D4F25" w:rsidRPr="00244FB2" w:rsidRDefault="009D4F25" w:rsidP="007E3C13">
            <w:pPr>
              <w:pStyle w:val="Tabletext0"/>
              <w:keepNext/>
              <w:rPr>
                <w:iCs/>
                <w:szCs w:val="20"/>
              </w:rPr>
            </w:pPr>
            <w:r w:rsidRPr="00244FB2">
              <w:rPr>
                <w:iCs/>
                <w:szCs w:val="20"/>
              </w:rPr>
              <w:t xml:space="preserve">Include supplementary </w:t>
            </w:r>
            <w:proofErr w:type="spellStart"/>
            <w:r w:rsidRPr="00244FB2">
              <w:rPr>
                <w:iCs/>
                <w:szCs w:val="20"/>
              </w:rPr>
              <w:t>eculizumab</w:t>
            </w:r>
            <w:proofErr w:type="spellEnd"/>
            <w:r w:rsidRPr="00244FB2">
              <w:rPr>
                <w:iCs/>
                <w:szCs w:val="20"/>
              </w:rPr>
              <w:t xml:space="preserve"> dosing</w:t>
            </w:r>
          </w:p>
        </w:tc>
        <w:tc>
          <w:tcPr>
            <w:tcW w:w="1559" w:type="dxa"/>
            <w:tcMar>
              <w:top w:w="0" w:type="dxa"/>
              <w:left w:w="108" w:type="dxa"/>
              <w:bottom w:w="0" w:type="dxa"/>
              <w:right w:w="108" w:type="dxa"/>
            </w:tcMar>
          </w:tcPr>
          <w:p w14:paraId="1DF48B06" w14:textId="77777777" w:rsidR="009D4F25" w:rsidRPr="005266FC" w:rsidRDefault="005266FC" w:rsidP="007E3C13">
            <w:pPr>
              <w:pStyle w:val="Tabletext0"/>
              <w:keepNext/>
              <w:jc w:val="center"/>
              <w:rPr>
                <w:iCs/>
                <w:szCs w:val="20"/>
                <w:highlight w:val="black"/>
              </w:rPr>
            </w:pPr>
            <w:r>
              <w:rPr>
                <w:iCs/>
                <w:noProof/>
                <w:color w:val="000000"/>
                <w:szCs w:val="20"/>
                <w:highlight w:val="black"/>
              </w:rPr>
              <w:t>''''''''''''''''''''''''''''</w:t>
            </w:r>
          </w:p>
        </w:tc>
        <w:tc>
          <w:tcPr>
            <w:tcW w:w="1701" w:type="dxa"/>
            <w:tcMar>
              <w:top w:w="0" w:type="dxa"/>
              <w:left w:w="108" w:type="dxa"/>
              <w:bottom w:w="0" w:type="dxa"/>
              <w:right w:w="108" w:type="dxa"/>
            </w:tcMar>
          </w:tcPr>
          <w:p w14:paraId="4986155C" w14:textId="77777777" w:rsidR="009D4F25" w:rsidRPr="00244FB2" w:rsidRDefault="00DA1B7F" w:rsidP="007E3C13">
            <w:pPr>
              <w:pStyle w:val="Tabletext0"/>
              <w:keepNext/>
              <w:jc w:val="center"/>
              <w:rPr>
                <w:iCs/>
                <w:szCs w:val="20"/>
              </w:rPr>
            </w:pPr>
            <w:r w:rsidRPr="00244FB2">
              <w:rPr>
                <w:iCs/>
                <w:szCs w:val="20"/>
              </w:rPr>
              <w:t>1.8658</w:t>
            </w:r>
          </w:p>
        </w:tc>
        <w:tc>
          <w:tcPr>
            <w:tcW w:w="1091" w:type="dxa"/>
            <w:tcMar>
              <w:top w:w="0" w:type="dxa"/>
              <w:left w:w="108" w:type="dxa"/>
              <w:bottom w:w="0" w:type="dxa"/>
              <w:right w:w="108" w:type="dxa"/>
            </w:tcMar>
          </w:tcPr>
          <w:p w14:paraId="37EE3C65" w14:textId="77777777" w:rsidR="009D4F25" w:rsidRPr="00244FB2" w:rsidRDefault="005266FC" w:rsidP="007E3C13">
            <w:pPr>
              <w:pStyle w:val="Tabletext0"/>
              <w:keepNext/>
              <w:jc w:val="center"/>
              <w:rPr>
                <w:iCs/>
                <w:szCs w:val="20"/>
              </w:rPr>
            </w:pPr>
            <w:r>
              <w:rPr>
                <w:iCs/>
                <w:noProof/>
                <w:color w:val="000000"/>
                <w:szCs w:val="20"/>
                <w:highlight w:val="black"/>
              </w:rPr>
              <w:t>''''''''''''''''''''''''''''</w:t>
            </w:r>
            <w:r w:rsidR="007D5B32" w:rsidRPr="007D5B32">
              <w:rPr>
                <w:szCs w:val="20"/>
                <w:vertAlign w:val="superscript"/>
              </w:rPr>
              <w:t>1</w:t>
            </w:r>
          </w:p>
        </w:tc>
      </w:tr>
    </w:tbl>
    <w:p w14:paraId="2A692DF6" w14:textId="77777777" w:rsidR="00D15288" w:rsidRPr="00244FB2" w:rsidRDefault="00D15288" w:rsidP="000378C8">
      <w:pPr>
        <w:pStyle w:val="TableFooter"/>
      </w:pPr>
      <w:r w:rsidRPr="00244FB2">
        <w:t>Source: 3-28 (p 160-162) of the submission</w:t>
      </w:r>
    </w:p>
    <w:p w14:paraId="2015039F" w14:textId="77777777" w:rsidR="000378C8" w:rsidRDefault="00115570" w:rsidP="007D5B32">
      <w:pPr>
        <w:pStyle w:val="TableFooter"/>
      </w:pPr>
      <w:r w:rsidRPr="00244FB2">
        <w:t>ARR = annualised relapse rate; EDSS = E</w:t>
      </w:r>
      <w:r w:rsidR="00C67CF3" w:rsidRPr="00244FB2">
        <w:t>xpanded Disability Status Scale</w:t>
      </w:r>
      <w:r w:rsidRPr="00244FB2">
        <w:t xml:space="preserve">; HR = hazard ratio; ICER = incremental cost effectiveness ratio; MS = multiple sclerosis; QALY = quality adjusted life year; RR = </w:t>
      </w:r>
      <w:r w:rsidR="00C67CF3" w:rsidRPr="00244FB2">
        <w:t>rate ratio</w:t>
      </w:r>
      <w:r w:rsidRPr="00244FB2">
        <w:t>; UK = United Kingdom</w:t>
      </w:r>
    </w:p>
    <w:p w14:paraId="6138A8A7" w14:textId="77777777" w:rsidR="007D5B32" w:rsidRPr="009868C4" w:rsidRDefault="007D5B32" w:rsidP="007D5B32">
      <w:pPr>
        <w:pStyle w:val="TableFigureFooter"/>
        <w:spacing w:after="0"/>
        <w:contextualSpacing w:val="0"/>
      </w:pPr>
      <w:r w:rsidRPr="009868C4">
        <w:rPr>
          <w:i/>
        </w:rPr>
        <w:t>The redacted values correspond to the following ranges</w:t>
      </w:r>
      <w:r>
        <w:rPr>
          <w:i/>
        </w:rPr>
        <w:t xml:space="preserve">: </w:t>
      </w:r>
    </w:p>
    <w:p w14:paraId="55AAE9DB" w14:textId="77777777" w:rsidR="007D5B32" w:rsidRPr="00FF39FD" w:rsidRDefault="007D5B32" w:rsidP="007D5B32">
      <w:pPr>
        <w:pStyle w:val="TableFooter"/>
        <w:spacing w:after="120"/>
        <w:rPr>
          <w:i/>
          <w:u w:val="single"/>
        </w:rPr>
      </w:pPr>
      <w:r>
        <w:rPr>
          <w:i/>
          <w:u w:val="single"/>
          <w:vertAlign w:val="superscript"/>
        </w:rPr>
        <w:t>1</w:t>
      </w:r>
      <w:r>
        <w:rPr>
          <w:i/>
          <w:u w:val="single"/>
        </w:rPr>
        <w:t xml:space="preserve"> </w:t>
      </w:r>
      <w:r w:rsidRPr="00FF39FD">
        <w:rPr>
          <w:i/>
          <w:u w:val="single"/>
        </w:rPr>
        <w:t>&gt; $1,055,000</w:t>
      </w:r>
    </w:p>
    <w:p w14:paraId="18DA5293" w14:textId="77777777" w:rsidR="00D15288" w:rsidRPr="00244FB2" w:rsidRDefault="00D15288" w:rsidP="00D15288">
      <w:pPr>
        <w:pStyle w:val="ExecSumBodyText"/>
      </w:pPr>
      <w:r w:rsidRPr="00244FB2">
        <w:t xml:space="preserve">The results of the sensitivity analyses indicated that the model was most sensitive to time horizon, annualised relapse rate in the best supportive care arm, </w:t>
      </w:r>
      <w:proofErr w:type="spellStart"/>
      <w:r w:rsidRPr="00244FB2">
        <w:t>eculizumab</w:t>
      </w:r>
      <w:proofErr w:type="spellEnd"/>
      <w:r w:rsidRPr="00244FB2">
        <w:t xml:space="preserve"> treatment effects, risk of fatal relapse, risk of disability progression and utility values for severe disability health states.</w:t>
      </w:r>
    </w:p>
    <w:p w14:paraId="0A9E86FB" w14:textId="77777777" w:rsidR="00037A56" w:rsidRPr="00244FB2" w:rsidRDefault="00037A56" w:rsidP="00DA405B">
      <w:pPr>
        <w:pStyle w:val="ExecSumBodyText"/>
      </w:pPr>
      <w:r w:rsidRPr="00244FB2">
        <w:t xml:space="preserve">A </w:t>
      </w:r>
      <w:r w:rsidR="00F91AFF" w:rsidRPr="00244FB2">
        <w:t>multivariate sensitivity analysi</w:t>
      </w:r>
      <w:r w:rsidRPr="00244FB2">
        <w:t>s was conducted during the evaluation including the use of on-trial relapse rate and treatment effect, decreasing relapse rate over time</w:t>
      </w:r>
      <w:r w:rsidR="00F91AFF" w:rsidRPr="00244FB2">
        <w:t xml:space="preserve"> (</w:t>
      </w:r>
      <w:r w:rsidR="00356794" w:rsidRPr="00244FB2">
        <w:noBreakHyphen/>
      </w:r>
      <w:r w:rsidR="00F91AFF" w:rsidRPr="00244FB2">
        <w:t>1.76% per cycle)</w:t>
      </w:r>
      <w:r w:rsidRPr="00244FB2">
        <w:t xml:space="preserve">, no relapse mortality, 35% reduced disability progression </w:t>
      </w:r>
      <w:r w:rsidRPr="00244FB2">
        <w:lastRenderedPageBreak/>
        <w:t xml:space="preserve">(consistent with external validation data) and supplementary </w:t>
      </w:r>
      <w:proofErr w:type="spellStart"/>
      <w:r w:rsidRPr="00244FB2">
        <w:t>eculizumab</w:t>
      </w:r>
      <w:proofErr w:type="spellEnd"/>
      <w:r w:rsidRPr="00244FB2">
        <w:t xml:space="preserve"> dosing. The results of this analysis are summarised below.</w:t>
      </w:r>
    </w:p>
    <w:p w14:paraId="7EACF9C9" w14:textId="77777777" w:rsidR="00037A56" w:rsidRPr="00244FB2" w:rsidRDefault="00D4220C" w:rsidP="00037A56">
      <w:pPr>
        <w:pStyle w:val="Tableheadingrow"/>
        <w:rPr>
          <w:rStyle w:val="CommentReference"/>
          <w:b/>
          <w:lang w:val="en-AU"/>
        </w:rPr>
      </w:pPr>
      <w:r w:rsidRPr="00244FB2">
        <w:rPr>
          <w:rStyle w:val="CommentReference"/>
          <w:b/>
          <w:lang w:val="en-AU"/>
        </w:rPr>
        <w:t>Table 1</w:t>
      </w:r>
      <w:r w:rsidR="0030088C" w:rsidRPr="00244FB2">
        <w:rPr>
          <w:rStyle w:val="CommentReference"/>
          <w:b/>
          <w:lang w:val="en-AU"/>
        </w:rPr>
        <w:t>1</w:t>
      </w:r>
      <w:r w:rsidR="00037A56" w:rsidRPr="00244FB2">
        <w:rPr>
          <w:rStyle w:val="CommentReference"/>
          <w:b/>
          <w:lang w:val="en-AU"/>
        </w:rPr>
        <w:t xml:space="preserve">:  Results of multivariate 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0"/>
        <w:gridCol w:w="1658"/>
        <w:gridCol w:w="1659"/>
        <w:gridCol w:w="1232"/>
      </w:tblGrid>
      <w:tr w:rsidR="00037A56" w:rsidRPr="00244FB2" w14:paraId="4FBB26D2" w14:textId="77777777" w:rsidTr="00D74C98">
        <w:trPr>
          <w:tblHeader/>
        </w:trPr>
        <w:tc>
          <w:tcPr>
            <w:tcW w:w="4480" w:type="dxa"/>
          </w:tcPr>
          <w:p w14:paraId="4CF79379" w14:textId="77777777" w:rsidR="00037A56" w:rsidRPr="00244FB2" w:rsidRDefault="00037A56" w:rsidP="00D53B79">
            <w:pPr>
              <w:pStyle w:val="Tabletext0"/>
              <w:tabs>
                <w:tab w:val="left" w:pos="142"/>
              </w:tabs>
              <w:rPr>
                <w:b/>
              </w:rPr>
            </w:pPr>
            <w:r w:rsidRPr="00244FB2">
              <w:rPr>
                <w:b/>
              </w:rPr>
              <w:t>Analys</w:t>
            </w:r>
            <w:r w:rsidR="00D53B79" w:rsidRPr="00244FB2">
              <w:rPr>
                <w:b/>
              </w:rPr>
              <w:t>i</w:t>
            </w:r>
            <w:r w:rsidRPr="00244FB2">
              <w:rPr>
                <w:b/>
              </w:rPr>
              <w:t>s</w:t>
            </w:r>
          </w:p>
        </w:tc>
        <w:tc>
          <w:tcPr>
            <w:tcW w:w="1658" w:type="dxa"/>
          </w:tcPr>
          <w:p w14:paraId="50E161BF" w14:textId="77777777" w:rsidR="00037A56" w:rsidRPr="00244FB2" w:rsidRDefault="00037A56" w:rsidP="00D74C98">
            <w:pPr>
              <w:pStyle w:val="Tabletext0"/>
              <w:jc w:val="center"/>
              <w:rPr>
                <w:b/>
              </w:rPr>
            </w:pPr>
            <w:r w:rsidRPr="00244FB2">
              <w:rPr>
                <w:b/>
              </w:rPr>
              <w:t>Incremental cost</w:t>
            </w:r>
          </w:p>
        </w:tc>
        <w:tc>
          <w:tcPr>
            <w:tcW w:w="1659" w:type="dxa"/>
          </w:tcPr>
          <w:p w14:paraId="716FBF97" w14:textId="77777777" w:rsidR="00037A56" w:rsidRPr="00244FB2" w:rsidRDefault="00037A56" w:rsidP="00D74C98">
            <w:pPr>
              <w:pStyle w:val="Tabletext0"/>
              <w:jc w:val="center"/>
              <w:rPr>
                <w:b/>
              </w:rPr>
            </w:pPr>
            <w:r w:rsidRPr="00244FB2">
              <w:rPr>
                <w:b/>
              </w:rPr>
              <w:t>Incremental QALY</w:t>
            </w:r>
          </w:p>
        </w:tc>
        <w:tc>
          <w:tcPr>
            <w:tcW w:w="1232" w:type="dxa"/>
          </w:tcPr>
          <w:p w14:paraId="6715F093" w14:textId="77777777" w:rsidR="00037A56" w:rsidRPr="00244FB2" w:rsidRDefault="00037A56" w:rsidP="00D74C98">
            <w:pPr>
              <w:pStyle w:val="Tabletext0"/>
              <w:jc w:val="center"/>
              <w:rPr>
                <w:b/>
              </w:rPr>
            </w:pPr>
            <w:r w:rsidRPr="00244FB2">
              <w:rPr>
                <w:b/>
              </w:rPr>
              <w:t>ICER</w:t>
            </w:r>
          </w:p>
        </w:tc>
      </w:tr>
      <w:tr w:rsidR="00037A56" w:rsidRPr="00244FB2" w14:paraId="7763B874" w14:textId="77777777" w:rsidTr="00D74C98">
        <w:tc>
          <w:tcPr>
            <w:tcW w:w="4480" w:type="dxa"/>
          </w:tcPr>
          <w:p w14:paraId="59CD23F3" w14:textId="77777777" w:rsidR="00037A56" w:rsidRPr="00244FB2" w:rsidRDefault="00F91AFF" w:rsidP="00D74C98">
            <w:pPr>
              <w:pStyle w:val="Tabletext0"/>
              <w:tabs>
                <w:tab w:val="left" w:pos="142"/>
              </w:tabs>
              <w:rPr>
                <w:b/>
                <w:vertAlign w:val="superscript"/>
              </w:rPr>
            </w:pPr>
            <w:r w:rsidRPr="00244FB2">
              <w:rPr>
                <w:b/>
              </w:rPr>
              <w:t>O</w:t>
            </w:r>
            <w:r w:rsidR="00037A56" w:rsidRPr="00244FB2">
              <w:rPr>
                <w:b/>
              </w:rPr>
              <w:t xml:space="preserve">n-trial relapse rate </w:t>
            </w:r>
            <w:r w:rsidR="00DA405B" w:rsidRPr="00244FB2">
              <w:rPr>
                <w:b/>
              </w:rPr>
              <w:t xml:space="preserve">(0.446) </w:t>
            </w:r>
            <w:r w:rsidR="00037A56" w:rsidRPr="00244FB2">
              <w:rPr>
                <w:b/>
              </w:rPr>
              <w:t>and treatment effect</w:t>
            </w:r>
            <w:r w:rsidR="00DA405B" w:rsidRPr="00244FB2">
              <w:rPr>
                <w:b/>
              </w:rPr>
              <w:t xml:space="preserve"> (0.147)</w:t>
            </w:r>
            <w:r w:rsidR="00037A56" w:rsidRPr="00244FB2">
              <w:rPr>
                <w:b/>
              </w:rPr>
              <w:t>, decreasing relapse rate over time</w:t>
            </w:r>
            <w:r w:rsidRPr="00244FB2">
              <w:rPr>
                <w:b/>
              </w:rPr>
              <w:t xml:space="preserve"> (-1.76% per cycle)</w:t>
            </w:r>
            <w:r w:rsidR="00037A56" w:rsidRPr="00244FB2">
              <w:rPr>
                <w:b/>
              </w:rPr>
              <w:t xml:space="preserve">, no relapse mortality, 35% reduced disability progression and supplementary </w:t>
            </w:r>
            <w:proofErr w:type="spellStart"/>
            <w:r w:rsidR="00037A56" w:rsidRPr="00244FB2">
              <w:rPr>
                <w:b/>
              </w:rPr>
              <w:t>eculizumab</w:t>
            </w:r>
            <w:proofErr w:type="spellEnd"/>
            <w:r w:rsidR="00037A56" w:rsidRPr="00244FB2">
              <w:rPr>
                <w:b/>
              </w:rPr>
              <w:t xml:space="preserve"> dosing</w:t>
            </w:r>
          </w:p>
        </w:tc>
        <w:tc>
          <w:tcPr>
            <w:tcW w:w="1658" w:type="dxa"/>
            <w:vAlign w:val="center"/>
          </w:tcPr>
          <w:p w14:paraId="2DE8FD11" w14:textId="77777777" w:rsidR="00037A56" w:rsidRPr="005266FC" w:rsidRDefault="005266FC" w:rsidP="00D74C98">
            <w:pPr>
              <w:pStyle w:val="Tabletext0"/>
              <w:jc w:val="center"/>
              <w:rPr>
                <w:highlight w:val="black"/>
              </w:rPr>
            </w:pPr>
            <w:r>
              <w:rPr>
                <w:noProof/>
                <w:color w:val="000000"/>
                <w:highlight w:val="black"/>
              </w:rPr>
              <w:t>'''''''''''''''''''''''''''</w:t>
            </w:r>
          </w:p>
        </w:tc>
        <w:tc>
          <w:tcPr>
            <w:tcW w:w="1659" w:type="dxa"/>
            <w:vAlign w:val="center"/>
          </w:tcPr>
          <w:p w14:paraId="5E413C35" w14:textId="77777777" w:rsidR="00037A56" w:rsidRPr="00244FB2" w:rsidRDefault="00037A56" w:rsidP="00D74C98">
            <w:pPr>
              <w:pStyle w:val="Tabletext0"/>
              <w:jc w:val="center"/>
            </w:pPr>
            <w:r w:rsidRPr="00244FB2">
              <w:t>1.0065</w:t>
            </w:r>
          </w:p>
        </w:tc>
        <w:tc>
          <w:tcPr>
            <w:tcW w:w="1232" w:type="dxa"/>
            <w:vAlign w:val="center"/>
          </w:tcPr>
          <w:p w14:paraId="07AF9E97" w14:textId="77777777" w:rsidR="00037A56" w:rsidRPr="00244FB2" w:rsidRDefault="005266FC" w:rsidP="00D74C98">
            <w:pPr>
              <w:pStyle w:val="Tabletext0"/>
              <w:jc w:val="center"/>
            </w:pPr>
            <w:r>
              <w:rPr>
                <w:noProof/>
                <w:color w:val="000000"/>
                <w:highlight w:val="black"/>
              </w:rPr>
              <w:t>''''''''''''''''''''''''''''</w:t>
            </w:r>
            <w:r w:rsidR="007D5B32" w:rsidRPr="007D5B32">
              <w:rPr>
                <w:szCs w:val="20"/>
                <w:vertAlign w:val="superscript"/>
              </w:rPr>
              <w:t>1</w:t>
            </w:r>
          </w:p>
        </w:tc>
      </w:tr>
    </w:tbl>
    <w:p w14:paraId="47A843C9" w14:textId="77777777" w:rsidR="00037A56" w:rsidRPr="00244FB2" w:rsidRDefault="00037A56" w:rsidP="00115570">
      <w:pPr>
        <w:pStyle w:val="TableFooter"/>
      </w:pPr>
      <w:r w:rsidRPr="00244FB2">
        <w:t xml:space="preserve">Source: Constructed during the evaluation based on the ECU_Section3_CUA </w:t>
      </w:r>
      <w:proofErr w:type="spellStart"/>
      <w:r w:rsidRPr="00244FB2">
        <w:t>TreeAge</w:t>
      </w:r>
      <w:proofErr w:type="spellEnd"/>
      <w:r w:rsidRPr="00244FB2">
        <w:t xml:space="preserve"> model</w:t>
      </w:r>
    </w:p>
    <w:p w14:paraId="1D3D436C" w14:textId="77777777" w:rsidR="00115570" w:rsidRDefault="00115570" w:rsidP="007D5B32">
      <w:pPr>
        <w:pStyle w:val="TableFooter"/>
      </w:pPr>
      <w:r w:rsidRPr="00244FB2">
        <w:t>ICER = incremental cost effectiveness ratio; QALY = quality adjusted life year</w:t>
      </w:r>
    </w:p>
    <w:p w14:paraId="52505210" w14:textId="77777777" w:rsidR="007D5B32" w:rsidRPr="009868C4" w:rsidRDefault="007D5B32" w:rsidP="007D5B32">
      <w:pPr>
        <w:pStyle w:val="TableFigureFooter"/>
        <w:spacing w:after="0"/>
        <w:contextualSpacing w:val="0"/>
      </w:pPr>
      <w:r w:rsidRPr="009868C4">
        <w:rPr>
          <w:i/>
        </w:rPr>
        <w:t>The redacted values correspond to the following ranges</w:t>
      </w:r>
      <w:r>
        <w:rPr>
          <w:i/>
        </w:rPr>
        <w:t xml:space="preserve">: </w:t>
      </w:r>
    </w:p>
    <w:p w14:paraId="6E6902C1" w14:textId="77777777" w:rsidR="007D5B32" w:rsidRPr="007D5B32" w:rsidRDefault="007D5B32" w:rsidP="00037A56">
      <w:pPr>
        <w:pStyle w:val="TableFooter"/>
        <w:spacing w:after="120"/>
        <w:rPr>
          <w:i/>
          <w:u w:val="single"/>
        </w:rPr>
      </w:pPr>
      <w:r>
        <w:rPr>
          <w:i/>
          <w:u w:val="single"/>
          <w:vertAlign w:val="superscript"/>
        </w:rPr>
        <w:t>1</w:t>
      </w:r>
      <w:r>
        <w:rPr>
          <w:i/>
          <w:u w:val="single"/>
        </w:rPr>
        <w:t xml:space="preserve"> </w:t>
      </w:r>
      <w:r w:rsidRPr="00FF39FD">
        <w:rPr>
          <w:i/>
          <w:u w:val="single"/>
        </w:rPr>
        <w:t>&gt; $1,055,000</w:t>
      </w:r>
    </w:p>
    <w:p w14:paraId="4D9BA93D" w14:textId="77777777" w:rsidR="00037A56" w:rsidRPr="00244FB2" w:rsidRDefault="00037A56" w:rsidP="007D5B32">
      <w:pPr>
        <w:pStyle w:val="ExecSumBodyText"/>
      </w:pPr>
      <w:r w:rsidRPr="00244FB2">
        <w:t xml:space="preserve">Treatment with </w:t>
      </w:r>
      <w:proofErr w:type="spellStart"/>
      <w:r w:rsidRPr="00244FB2">
        <w:t>eculizumab</w:t>
      </w:r>
      <w:proofErr w:type="spellEnd"/>
      <w:r w:rsidRPr="00244FB2">
        <w:t xml:space="preserve"> was associated w</w:t>
      </w:r>
      <w:r w:rsidR="001A753A" w:rsidRPr="00244FB2">
        <w:t xml:space="preserve">ith a cost per QALY gained of </w:t>
      </w:r>
      <w:r w:rsidR="007D5B32" w:rsidRPr="007D5B32">
        <w:t>&gt; $1,055,000</w:t>
      </w:r>
      <w:r w:rsidR="007D5B32">
        <w:t xml:space="preserve"> </w:t>
      </w:r>
      <w:r w:rsidRPr="00244FB2">
        <w:t xml:space="preserve">compared to best supportive </w:t>
      </w:r>
      <w:r w:rsidR="00F91AFF" w:rsidRPr="00244FB2">
        <w:t>care under the multivariate analysis</w:t>
      </w:r>
      <w:r w:rsidRPr="00244FB2">
        <w:t xml:space="preserve">. </w:t>
      </w:r>
    </w:p>
    <w:p w14:paraId="67B85E34" w14:textId="77777777" w:rsidR="00037A56" w:rsidRPr="00244FB2" w:rsidRDefault="00DE67C9" w:rsidP="00037A56">
      <w:pPr>
        <w:pStyle w:val="ExecSumBodyText"/>
      </w:pPr>
      <w:r w:rsidRPr="00244FB2">
        <w:t>Based on this multivariate sensitivity analysis, t</w:t>
      </w:r>
      <w:r w:rsidR="00037A56" w:rsidRPr="00244FB2">
        <w:t xml:space="preserve">hreshold analyses were conducted during the evaluation to determine the price reduction required for </w:t>
      </w:r>
      <w:proofErr w:type="spellStart"/>
      <w:r w:rsidR="00037A56" w:rsidRPr="00244FB2">
        <w:t>eculizumab</w:t>
      </w:r>
      <w:proofErr w:type="spellEnd"/>
      <w:r w:rsidR="00037A56" w:rsidRPr="00244FB2">
        <w:t xml:space="preserve"> to achieve an ICER of $100,</w:t>
      </w:r>
      <w:r w:rsidR="00037A56" w:rsidRPr="0006604F">
        <w:t>000 (96.9% reduction), $200,000 (94.4% reduction) or $300,000 (91.9% reduction) per QALY</w:t>
      </w:r>
      <w:r w:rsidR="00037A56" w:rsidRPr="00244FB2">
        <w:t xml:space="preserve"> gained in the </w:t>
      </w:r>
      <w:r w:rsidR="00F91AFF" w:rsidRPr="00244FB2">
        <w:t>multivariate analysis</w:t>
      </w:r>
      <w:r w:rsidR="00037A56" w:rsidRPr="00244FB2">
        <w:t xml:space="preserve">. </w:t>
      </w:r>
    </w:p>
    <w:p w14:paraId="2702D0F3" w14:textId="77777777" w:rsidR="00037A56" w:rsidRPr="00244FB2" w:rsidRDefault="00C25D9C" w:rsidP="00037A56">
      <w:pPr>
        <w:pStyle w:val="3-SubsectionHeading"/>
      </w:pPr>
      <w:bookmarkStart w:id="19" w:name="_Toc22897646"/>
      <w:bookmarkStart w:id="20" w:name="_Toc50974502"/>
      <w:r w:rsidRPr="00244FB2">
        <w:t>Drug</w:t>
      </w:r>
      <w:r w:rsidR="00037A56" w:rsidRPr="00244FB2">
        <w:t xml:space="preserve"> cost/patient/</w:t>
      </w:r>
      <w:r w:rsidRPr="00244FB2">
        <w:t>year</w:t>
      </w:r>
      <w:bookmarkEnd w:id="19"/>
      <w:bookmarkEnd w:id="20"/>
    </w:p>
    <w:p w14:paraId="3216CEDF" w14:textId="77777777" w:rsidR="00037A56" w:rsidRPr="00244FB2" w:rsidRDefault="00037A56" w:rsidP="00037A56">
      <w:pPr>
        <w:pStyle w:val="ExecSumBodyText"/>
        <w:rPr>
          <w:snapToGrid/>
        </w:rPr>
      </w:pPr>
      <w:r w:rsidRPr="00244FB2">
        <w:rPr>
          <w:snapToGrid/>
        </w:rPr>
        <w:t xml:space="preserve">The estimated drug cost for </w:t>
      </w:r>
      <w:proofErr w:type="spellStart"/>
      <w:r w:rsidRPr="00244FB2">
        <w:rPr>
          <w:snapToGrid/>
        </w:rPr>
        <w:t>eculizumab</w:t>
      </w:r>
      <w:proofErr w:type="spellEnd"/>
      <w:r w:rsidRPr="00244FB2">
        <w:rPr>
          <w:snapToGrid/>
        </w:rPr>
        <w:t xml:space="preserve"> in </w:t>
      </w:r>
      <w:r w:rsidRPr="003350FE">
        <w:rPr>
          <w:snapToGrid/>
        </w:rPr>
        <w:t>the initial month of treatment was $</w:t>
      </w:r>
      <w:r w:rsidR="005266FC">
        <w:rPr>
          <w:noProof/>
          <w:snapToGrid/>
          <w:color w:val="000000"/>
          <w:highlight w:val="black"/>
        </w:rPr>
        <w:t>''''''''''''''</w:t>
      </w:r>
      <w:r w:rsidRPr="003350FE">
        <w:rPr>
          <w:snapToGrid/>
        </w:rPr>
        <w:t xml:space="preserve"> (based on 3 vials x 4 weeks using a weighted public/private </w:t>
      </w:r>
      <w:r w:rsidR="00C67CF3" w:rsidRPr="003350FE">
        <w:rPr>
          <w:snapToGrid/>
        </w:rPr>
        <w:t>dispensed price per maximum quantity (</w:t>
      </w:r>
      <w:r w:rsidRPr="003350FE">
        <w:rPr>
          <w:snapToGrid/>
        </w:rPr>
        <w:t>DPMQ</w:t>
      </w:r>
      <w:r w:rsidR="00C67CF3" w:rsidRPr="003350FE">
        <w:rPr>
          <w:snapToGrid/>
        </w:rPr>
        <w:t>)</w:t>
      </w:r>
      <w:r w:rsidRPr="003350FE">
        <w:rPr>
          <w:snapToGrid/>
        </w:rPr>
        <w:t xml:space="preserve"> of $</w:t>
      </w:r>
      <w:r w:rsidR="005266FC">
        <w:rPr>
          <w:noProof/>
          <w:snapToGrid/>
          <w:color w:val="000000"/>
          <w:highlight w:val="black"/>
        </w:rPr>
        <w:t>''''''''''''''''</w:t>
      </w:r>
      <w:r w:rsidRPr="003350FE">
        <w:rPr>
          <w:snapToGrid/>
        </w:rPr>
        <w:t xml:space="preserve">). The estimated drug cost per patient per year for </w:t>
      </w:r>
      <w:proofErr w:type="spellStart"/>
      <w:r w:rsidRPr="003350FE">
        <w:rPr>
          <w:snapToGrid/>
        </w:rPr>
        <w:t>eculizumab</w:t>
      </w:r>
      <w:proofErr w:type="spellEnd"/>
      <w:r w:rsidRPr="003350FE">
        <w:rPr>
          <w:snapToGrid/>
        </w:rPr>
        <w:t xml:space="preserve"> in the continuation phase was $</w:t>
      </w:r>
      <w:r w:rsidR="005266FC">
        <w:rPr>
          <w:noProof/>
          <w:snapToGrid/>
          <w:color w:val="000000"/>
          <w:highlight w:val="black"/>
        </w:rPr>
        <w:t xml:space="preserve">''''''''''''''' </w:t>
      </w:r>
      <w:r w:rsidRPr="003350FE">
        <w:rPr>
          <w:snapToGrid/>
        </w:rPr>
        <w:t>(based on 4 vials x 26 fortnights using a weighted public/private DPMQ of $</w:t>
      </w:r>
      <w:r w:rsidR="005266FC">
        <w:rPr>
          <w:noProof/>
          <w:snapToGrid/>
          <w:color w:val="000000"/>
          <w:highlight w:val="black"/>
        </w:rPr>
        <w:t>''''''''''''''''</w:t>
      </w:r>
      <w:r w:rsidRPr="003350FE">
        <w:rPr>
          <w:snapToGrid/>
        </w:rPr>
        <w:t>). The estimated drug costs</w:t>
      </w:r>
      <w:r w:rsidR="00691F78" w:rsidRPr="003350FE">
        <w:rPr>
          <w:snapToGrid/>
        </w:rPr>
        <w:t xml:space="preserve"> (based on vial price, dosing regimen and duration of use)</w:t>
      </w:r>
      <w:r w:rsidRPr="003350FE">
        <w:rPr>
          <w:snapToGrid/>
        </w:rPr>
        <w:t xml:space="preserve"> were consistent</w:t>
      </w:r>
      <w:r w:rsidRPr="00244FB2">
        <w:rPr>
          <w:snapToGrid/>
        </w:rPr>
        <w:t xml:space="preserve"> across all sections of the </w:t>
      </w:r>
      <w:r w:rsidRPr="003350FE">
        <w:rPr>
          <w:snapToGrid/>
        </w:rPr>
        <w:t>submission.</w:t>
      </w:r>
      <w:r w:rsidR="00C01113" w:rsidRPr="003350FE">
        <w:rPr>
          <w:snapToGrid/>
        </w:rPr>
        <w:t xml:space="preserve"> The vial price for </w:t>
      </w:r>
      <w:proofErr w:type="spellStart"/>
      <w:r w:rsidR="00C01113" w:rsidRPr="003350FE">
        <w:rPr>
          <w:snapToGrid/>
        </w:rPr>
        <w:t>eculizumab</w:t>
      </w:r>
      <w:proofErr w:type="spellEnd"/>
      <w:r w:rsidR="00C01113" w:rsidRPr="003350FE">
        <w:rPr>
          <w:snapToGrid/>
        </w:rPr>
        <w:t xml:space="preserve"> </w:t>
      </w:r>
      <w:r w:rsidR="00D53B79" w:rsidRPr="003350FE">
        <w:rPr>
          <w:snapToGrid/>
        </w:rPr>
        <w:t>is</w:t>
      </w:r>
      <w:r w:rsidR="00C01113" w:rsidRPr="003350FE">
        <w:rPr>
          <w:snapToGrid/>
        </w:rPr>
        <w:t xml:space="preserve"> consistent with its other </w:t>
      </w:r>
      <w:r w:rsidR="003350FE" w:rsidRPr="003350FE">
        <w:rPr>
          <w:snapToGrid/>
        </w:rPr>
        <w:t xml:space="preserve">PBS </w:t>
      </w:r>
      <w:r w:rsidR="00C01113" w:rsidRPr="003350FE">
        <w:rPr>
          <w:snapToGrid/>
        </w:rPr>
        <w:t>subsidi</w:t>
      </w:r>
      <w:r w:rsidR="00D53B79" w:rsidRPr="003350FE">
        <w:rPr>
          <w:snapToGrid/>
        </w:rPr>
        <w:t>s</w:t>
      </w:r>
      <w:r w:rsidR="00C01113" w:rsidRPr="003350FE">
        <w:rPr>
          <w:snapToGrid/>
        </w:rPr>
        <w:t>ed indications.</w:t>
      </w:r>
    </w:p>
    <w:p w14:paraId="300B1DA0" w14:textId="77777777" w:rsidR="00037A56" w:rsidRPr="00244FB2" w:rsidRDefault="00037A56" w:rsidP="00037A56">
      <w:pPr>
        <w:pStyle w:val="ExecSumBodyText"/>
        <w:rPr>
          <w:snapToGrid/>
        </w:rPr>
      </w:pPr>
      <w:r w:rsidRPr="00244FB2">
        <w:rPr>
          <w:snapToGrid/>
        </w:rPr>
        <w:t>The submission did not estimate the drug costs associated with best supportive care.</w:t>
      </w:r>
    </w:p>
    <w:p w14:paraId="357C4A15" w14:textId="77777777" w:rsidR="00B60939" w:rsidRPr="00244FB2" w:rsidRDefault="00B60939" w:rsidP="002B05A1">
      <w:pPr>
        <w:pStyle w:val="3-SubsectionHeading"/>
      </w:pPr>
      <w:bookmarkStart w:id="21" w:name="_Toc22897647"/>
      <w:bookmarkStart w:id="22" w:name="_Toc50974503"/>
      <w:r w:rsidRPr="00244FB2">
        <w:t>Estimated PBS usage &amp; financial implications</w:t>
      </w:r>
      <w:bookmarkEnd w:id="21"/>
      <w:bookmarkEnd w:id="22"/>
    </w:p>
    <w:p w14:paraId="7C32E1FD" w14:textId="77777777" w:rsidR="001B72D4" w:rsidRPr="00244FB2" w:rsidRDefault="001B72D4" w:rsidP="001B72D4">
      <w:pPr>
        <w:pStyle w:val="ExecSumBodyText"/>
        <w:numPr>
          <w:ilvl w:val="1"/>
          <w:numId w:val="1"/>
        </w:numPr>
        <w:rPr>
          <w:i/>
          <w:color w:val="0066FF"/>
        </w:rPr>
      </w:pPr>
      <w:r w:rsidRPr="00244FB2">
        <w:t>This submission was considered by DUSC</w:t>
      </w:r>
      <w:r w:rsidRPr="00244FB2">
        <w:rPr>
          <w:color w:val="0070C0"/>
        </w:rPr>
        <w:t xml:space="preserve">. </w:t>
      </w:r>
    </w:p>
    <w:p w14:paraId="4714A95C" w14:textId="77777777" w:rsidR="001B72D4" w:rsidRPr="00244FB2" w:rsidRDefault="001B72D4" w:rsidP="001B72D4">
      <w:pPr>
        <w:pStyle w:val="ExecSumBodyText"/>
        <w:numPr>
          <w:ilvl w:val="1"/>
          <w:numId w:val="1"/>
        </w:numPr>
        <w:rPr>
          <w:color w:val="0066FF"/>
        </w:rPr>
      </w:pPr>
      <w:r w:rsidRPr="00244FB2">
        <w:t xml:space="preserve">The submission used an epidemiological approach to estimate the utilisation and financial impact of </w:t>
      </w:r>
      <w:proofErr w:type="spellStart"/>
      <w:r w:rsidRPr="00244FB2">
        <w:t>eculizumab</w:t>
      </w:r>
      <w:proofErr w:type="spellEnd"/>
      <w:r w:rsidRPr="00244FB2">
        <w:t>. The incident cohort-based approach used to estimate the size of the treated population was difficult to interpret alongside the approach used to estimate the size of the eligible population (based on prevalence). In particular, it was difficult to reconcile eligibility assumptions in the estimates of use (ongoing eligibility in the mixed incident cohort) with eligibility patterns in the prevalent pool of patients (increasing pool of frequently relapsing patients, constant proportion of patients with prior immunosuppressive event).</w:t>
      </w:r>
    </w:p>
    <w:p w14:paraId="7EB21166" w14:textId="77777777" w:rsidR="00B917F4" w:rsidRPr="00244FB2" w:rsidRDefault="00B917F4" w:rsidP="00492B9E">
      <w:pPr>
        <w:pStyle w:val="ExecSumBodyText"/>
        <w:numPr>
          <w:ilvl w:val="1"/>
          <w:numId w:val="1"/>
        </w:numPr>
        <w:rPr>
          <w:color w:val="0066FF"/>
        </w:rPr>
      </w:pPr>
      <w:r w:rsidRPr="00244FB2">
        <w:t xml:space="preserve">The PSCR proposed altering the estimates to include a prevalence approach to estimate the eligible and treated patients. The PSCR stated that the incident-cohort </w:t>
      </w:r>
      <w:r w:rsidRPr="00244FB2">
        <w:lastRenderedPageBreak/>
        <w:t>approach was taken because the source (Palace 2019) only provided information on the proportion of the AQP4</w:t>
      </w:r>
      <w:r w:rsidR="00721EDE" w:rsidRPr="00244FB2">
        <w:t xml:space="preserve"> positive</w:t>
      </w:r>
      <w:r w:rsidRPr="00244FB2">
        <w:t xml:space="preserve"> NMOSD population who would be eligible for treatment at a single point in time</w:t>
      </w:r>
      <w:r w:rsidR="00A74D33" w:rsidRPr="00244FB2">
        <w:t xml:space="preserve">, </w:t>
      </w:r>
      <w:r w:rsidRPr="00244FB2">
        <w:t>that those patients who did not qualify at that single point in time remained ‘at risk’ of becoming eligible and the incident cohort approach reflected</w:t>
      </w:r>
      <w:r w:rsidR="00A74D33" w:rsidRPr="00244FB2">
        <w:t xml:space="preserve"> this, and that, </w:t>
      </w:r>
      <w:r w:rsidRPr="00244FB2">
        <w:t xml:space="preserve">for simplicity, </w:t>
      </w:r>
      <w:r w:rsidR="00A74D33" w:rsidRPr="00244FB2">
        <w:t>the</w:t>
      </w:r>
      <w:r w:rsidRPr="00244FB2">
        <w:t xml:space="preserve"> response provide</w:t>
      </w:r>
      <w:r w:rsidR="00A74D33" w:rsidRPr="00244FB2">
        <w:t>d</w:t>
      </w:r>
      <w:r w:rsidRPr="00244FB2">
        <w:t xml:space="preserve"> a prevalence only approach to estimating the patient population size and expected financial impact. </w:t>
      </w:r>
      <w:r w:rsidR="00A74D33" w:rsidRPr="00244FB2">
        <w:t xml:space="preserve">The </w:t>
      </w:r>
      <w:r w:rsidRPr="00244FB2">
        <w:t xml:space="preserve">DUSC </w:t>
      </w:r>
      <w:r w:rsidR="00A74D33" w:rsidRPr="00244FB2">
        <w:t xml:space="preserve">noted </w:t>
      </w:r>
      <w:r w:rsidRPr="00244FB2">
        <w:t>that the updated estimates of use included with the PSCR appl</w:t>
      </w:r>
      <w:r w:rsidR="00A74D33" w:rsidRPr="00244FB2">
        <w:t>ied</w:t>
      </w:r>
      <w:r w:rsidRPr="00244FB2">
        <w:t xml:space="preserve"> a constant proportion to estimate the </w:t>
      </w:r>
      <w:r w:rsidR="00721EDE" w:rsidRPr="00244FB2">
        <w:t>number of patients who are AQP4 positive</w:t>
      </w:r>
      <w:r w:rsidRPr="00244FB2">
        <w:t xml:space="preserve"> and frequently relapsing. However, the updated estimates continue</w:t>
      </w:r>
      <w:r w:rsidR="00A74D33" w:rsidRPr="00244FB2">
        <w:t>d</w:t>
      </w:r>
      <w:r w:rsidRPr="00244FB2">
        <w:t xml:space="preserve"> to use the incident cohort-based approach to estimate the size of the treated population, although the</w:t>
      </w:r>
      <w:r w:rsidR="00A74D33" w:rsidRPr="00244FB2">
        <w:t xml:space="preserve"> number of patients treated in Year 1 wa</w:t>
      </w:r>
      <w:r w:rsidRPr="00244FB2">
        <w:t>s higher, and the number of newly el</w:t>
      </w:r>
      <w:r w:rsidR="00A74D33" w:rsidRPr="00244FB2">
        <w:t>igible patients in later years wa</w:t>
      </w:r>
      <w:r w:rsidRPr="00244FB2">
        <w:t xml:space="preserve">s lower, than in the submission. </w:t>
      </w:r>
      <w:r w:rsidR="0058412C" w:rsidRPr="00244FB2">
        <w:t xml:space="preserve">The pre-PBAC response </w:t>
      </w:r>
      <w:r w:rsidR="007F614E">
        <w:t xml:space="preserve">clarified that for </w:t>
      </w:r>
      <w:r w:rsidR="0058412C" w:rsidRPr="00244FB2">
        <w:t>the</w:t>
      </w:r>
      <w:r w:rsidR="007F614E">
        <w:t xml:space="preserve"> estimates provided in the PSCR, the prevalence of NMOSD was applied to the Australian Bureau of Statistics population projection to </w:t>
      </w:r>
      <w:r w:rsidR="0058412C" w:rsidRPr="00244FB2">
        <w:t>calculate the size of the treated population.</w:t>
      </w:r>
      <w:r w:rsidR="001600C1">
        <w:t xml:space="preserve"> </w:t>
      </w:r>
      <w:r w:rsidR="001600C1" w:rsidRPr="001600C1">
        <w:t xml:space="preserve"> </w:t>
      </w:r>
      <w:r w:rsidR="001600C1">
        <w:t>T</w:t>
      </w:r>
      <w:r w:rsidR="001600C1" w:rsidRPr="00244FB2">
        <w:t>he PBAC considered the prevalence estimate</w:t>
      </w:r>
      <w:r w:rsidR="007F614E">
        <w:t xml:space="preserve"> </w:t>
      </w:r>
      <w:r w:rsidR="001600C1" w:rsidRPr="00244FB2">
        <w:t xml:space="preserve">applied in the PSCR </w:t>
      </w:r>
      <w:r w:rsidR="001600C1">
        <w:t xml:space="preserve">revised </w:t>
      </w:r>
      <w:r w:rsidR="001600C1" w:rsidRPr="000358FF">
        <w:t xml:space="preserve">estimates </w:t>
      </w:r>
      <w:r w:rsidR="007F614E" w:rsidRPr="000358FF">
        <w:t xml:space="preserve">(0.001%) </w:t>
      </w:r>
      <w:r w:rsidR="001600C1" w:rsidRPr="000358FF">
        <w:t>and</w:t>
      </w:r>
      <w:r w:rsidR="001600C1" w:rsidRPr="00244FB2">
        <w:t xml:space="preserve"> the submission </w:t>
      </w:r>
      <w:r w:rsidR="007F614E">
        <w:t xml:space="preserve">(0.0007%) </w:t>
      </w:r>
      <w:r w:rsidR="001600C1" w:rsidRPr="00244FB2">
        <w:t>were unreliable and likely underestimated</w:t>
      </w:r>
      <w:r w:rsidR="007F614E">
        <w:t xml:space="preserve"> (see paragraphs 6.55 and 6.57)</w:t>
      </w:r>
      <w:r w:rsidR="001600C1" w:rsidRPr="00244FB2">
        <w:t>.</w:t>
      </w:r>
    </w:p>
    <w:p w14:paraId="1052743D" w14:textId="77777777" w:rsidR="001B72D4" w:rsidRPr="00244FB2" w:rsidRDefault="001B72D4" w:rsidP="0058412C">
      <w:pPr>
        <w:pStyle w:val="ExecSumBodyText"/>
        <w:numPr>
          <w:ilvl w:val="1"/>
          <w:numId w:val="1"/>
        </w:numPr>
        <w:rPr>
          <w:color w:val="0066FF"/>
        </w:rPr>
      </w:pPr>
      <w:r w:rsidRPr="00244FB2">
        <w:t>Key inputs are summarised in the table below.</w:t>
      </w:r>
    </w:p>
    <w:p w14:paraId="4641F724" w14:textId="77777777" w:rsidR="001B72D4" w:rsidRPr="00244FB2" w:rsidRDefault="00FD7E18" w:rsidP="0058412C">
      <w:pPr>
        <w:pStyle w:val="TableFigureCaption"/>
        <w:keepNext w:val="0"/>
      </w:pPr>
      <w:r>
        <w:t>Table 12</w:t>
      </w:r>
      <w:r w:rsidR="001B72D4" w:rsidRPr="00244FB2">
        <w:t>: Key inputs for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3"/>
        <w:gridCol w:w="980"/>
        <w:gridCol w:w="3290"/>
        <w:gridCol w:w="3627"/>
      </w:tblGrid>
      <w:tr w:rsidR="001B72D4" w:rsidRPr="00244FB2" w14:paraId="3F565A69" w14:textId="77777777" w:rsidTr="001B72D4">
        <w:trPr>
          <w:cantSplit/>
          <w:tblHeader/>
        </w:trPr>
        <w:tc>
          <w:tcPr>
            <w:tcW w:w="1283" w:type="dxa"/>
            <w:vAlign w:val="center"/>
          </w:tcPr>
          <w:p w14:paraId="6BB2F5A5" w14:textId="77777777" w:rsidR="001B72D4" w:rsidRPr="00244FB2" w:rsidRDefault="001B72D4" w:rsidP="0058412C">
            <w:pPr>
              <w:pStyle w:val="Tableheadingrow"/>
              <w:keepNext w:val="0"/>
              <w:widowControl w:val="0"/>
              <w:jc w:val="center"/>
              <w:rPr>
                <w:lang w:val="en-AU"/>
              </w:rPr>
            </w:pPr>
            <w:r w:rsidRPr="00244FB2">
              <w:rPr>
                <w:lang w:val="en-AU"/>
              </w:rPr>
              <w:t>Data</w:t>
            </w:r>
          </w:p>
        </w:tc>
        <w:tc>
          <w:tcPr>
            <w:tcW w:w="980" w:type="dxa"/>
            <w:vAlign w:val="center"/>
          </w:tcPr>
          <w:p w14:paraId="4B86A56A" w14:textId="77777777" w:rsidR="001B72D4" w:rsidRPr="00244FB2" w:rsidRDefault="001B72D4" w:rsidP="0058412C">
            <w:pPr>
              <w:pStyle w:val="Tableheadingrow"/>
              <w:keepNext w:val="0"/>
              <w:widowControl w:val="0"/>
              <w:jc w:val="center"/>
              <w:rPr>
                <w:lang w:val="en-AU"/>
              </w:rPr>
            </w:pPr>
            <w:r w:rsidRPr="00244FB2">
              <w:rPr>
                <w:lang w:val="en-AU"/>
              </w:rPr>
              <w:t>Value</w:t>
            </w:r>
          </w:p>
        </w:tc>
        <w:tc>
          <w:tcPr>
            <w:tcW w:w="3290" w:type="dxa"/>
            <w:vAlign w:val="center"/>
          </w:tcPr>
          <w:p w14:paraId="0784B1B2" w14:textId="77777777" w:rsidR="001B72D4" w:rsidRPr="00244FB2" w:rsidRDefault="001B72D4" w:rsidP="0058412C">
            <w:pPr>
              <w:pStyle w:val="Tableheadingrow"/>
              <w:keepNext w:val="0"/>
              <w:widowControl w:val="0"/>
              <w:jc w:val="center"/>
              <w:rPr>
                <w:lang w:val="en-AU"/>
              </w:rPr>
            </w:pPr>
            <w:r w:rsidRPr="00244FB2">
              <w:rPr>
                <w:lang w:val="en-AU"/>
              </w:rPr>
              <w:t>Source</w:t>
            </w:r>
          </w:p>
        </w:tc>
        <w:tc>
          <w:tcPr>
            <w:tcW w:w="3627" w:type="dxa"/>
            <w:vAlign w:val="center"/>
          </w:tcPr>
          <w:p w14:paraId="08A1B982" w14:textId="77777777" w:rsidR="001B72D4" w:rsidRPr="00244FB2" w:rsidRDefault="001B72D4" w:rsidP="0058412C">
            <w:pPr>
              <w:pStyle w:val="Tableheadingrow"/>
              <w:keepNext w:val="0"/>
              <w:widowControl w:val="0"/>
              <w:jc w:val="center"/>
              <w:rPr>
                <w:lang w:val="en-AU"/>
              </w:rPr>
            </w:pPr>
            <w:r w:rsidRPr="00244FB2">
              <w:rPr>
                <w:lang w:val="en-AU"/>
              </w:rPr>
              <w:t>Comment</w:t>
            </w:r>
          </w:p>
        </w:tc>
      </w:tr>
      <w:tr w:rsidR="001B72D4" w:rsidRPr="00244FB2" w14:paraId="55756EC2" w14:textId="77777777" w:rsidTr="001B72D4">
        <w:trPr>
          <w:cantSplit/>
        </w:trPr>
        <w:tc>
          <w:tcPr>
            <w:tcW w:w="9180" w:type="dxa"/>
            <w:gridSpan w:val="4"/>
            <w:vAlign w:val="center"/>
          </w:tcPr>
          <w:p w14:paraId="6ED75219" w14:textId="77777777" w:rsidR="001B72D4" w:rsidRPr="00244FB2" w:rsidRDefault="001B72D4" w:rsidP="0058412C">
            <w:pPr>
              <w:pStyle w:val="Tableheadingrow"/>
              <w:keepNext w:val="0"/>
              <w:widowControl w:val="0"/>
              <w:rPr>
                <w:lang w:val="en-AU"/>
              </w:rPr>
            </w:pPr>
            <w:r w:rsidRPr="00244FB2">
              <w:rPr>
                <w:lang w:val="en-AU"/>
              </w:rPr>
              <w:t>Eligible population</w:t>
            </w:r>
          </w:p>
        </w:tc>
      </w:tr>
      <w:tr w:rsidR="001B72D4" w:rsidRPr="00244FB2" w14:paraId="10855751" w14:textId="77777777" w:rsidTr="006424D7">
        <w:trPr>
          <w:trHeight w:val="148"/>
        </w:trPr>
        <w:tc>
          <w:tcPr>
            <w:tcW w:w="1283" w:type="dxa"/>
            <w:vAlign w:val="center"/>
          </w:tcPr>
          <w:p w14:paraId="1526F50D" w14:textId="77777777" w:rsidR="001B72D4" w:rsidRPr="00244FB2" w:rsidRDefault="001B72D4" w:rsidP="0058412C">
            <w:pPr>
              <w:pStyle w:val="TableText"/>
              <w:keepNext w:val="0"/>
              <w:widowControl w:val="0"/>
            </w:pPr>
            <w:r w:rsidRPr="00244FB2">
              <w:t>Prevalence of NMOSD</w:t>
            </w:r>
          </w:p>
        </w:tc>
        <w:tc>
          <w:tcPr>
            <w:tcW w:w="980" w:type="dxa"/>
            <w:vAlign w:val="center"/>
          </w:tcPr>
          <w:p w14:paraId="1293AEC5" w14:textId="77777777" w:rsidR="001B72D4" w:rsidRPr="00244FB2" w:rsidRDefault="001B72D4" w:rsidP="0058412C">
            <w:pPr>
              <w:pStyle w:val="TableText"/>
              <w:keepNext w:val="0"/>
              <w:widowControl w:val="0"/>
            </w:pPr>
            <w:r w:rsidRPr="00244FB2">
              <w:t>0.0007%</w:t>
            </w:r>
          </w:p>
          <w:p w14:paraId="46A47423" w14:textId="77777777" w:rsidR="00010C37" w:rsidRPr="00244FB2" w:rsidRDefault="00010C37" w:rsidP="00010C37">
            <w:pPr>
              <w:pStyle w:val="TableText"/>
              <w:keepNext w:val="0"/>
              <w:widowControl w:val="0"/>
            </w:pPr>
            <w:r w:rsidRPr="00244FB2">
              <w:t>(</w:t>
            </w:r>
            <w:r w:rsidRPr="00476EE7">
              <w:t xml:space="preserve">revised to </w:t>
            </w:r>
            <w:r w:rsidRPr="00476EE7">
              <w:rPr>
                <w:szCs w:val="20"/>
              </w:rPr>
              <w:t>0.001%</w:t>
            </w:r>
            <w:r w:rsidRPr="00244FB2">
              <w:rPr>
                <w:szCs w:val="20"/>
              </w:rPr>
              <w:t xml:space="preserve"> in PSCR) </w:t>
            </w:r>
          </w:p>
        </w:tc>
        <w:tc>
          <w:tcPr>
            <w:tcW w:w="3290" w:type="dxa"/>
            <w:vAlign w:val="center"/>
          </w:tcPr>
          <w:p w14:paraId="2E0841E0" w14:textId="77777777" w:rsidR="001B72D4" w:rsidRPr="00244FB2" w:rsidRDefault="001B72D4" w:rsidP="0058412C">
            <w:pPr>
              <w:pStyle w:val="TableText"/>
              <w:keepNext w:val="0"/>
              <w:widowControl w:val="0"/>
            </w:pPr>
            <w:r w:rsidRPr="00244FB2">
              <w:t xml:space="preserve">Bukhari (2017). Based on data across the Australian and New Zealand network of 23 specialist clinics for demyelinating diseases collected over 3 years from 2011 to 2013. Data were based on patients who fulfilled the </w:t>
            </w:r>
            <w:proofErr w:type="spellStart"/>
            <w:r w:rsidRPr="00244FB2">
              <w:t>Wingerchuk</w:t>
            </w:r>
            <w:proofErr w:type="spellEnd"/>
            <w:r w:rsidRPr="00244FB2">
              <w:t xml:space="preserve"> 2015 NMOSD diagnostic criteria. To facilitate a capture-recapture methodology, four laboratories</w:t>
            </w:r>
            <w:r w:rsidR="0002082A" w:rsidRPr="00244FB2">
              <w:t xml:space="preserve"> </w:t>
            </w:r>
            <w:r w:rsidRPr="00244FB2">
              <w:t xml:space="preserve">in Australia that offer routine AQP4-antibody testing provided details of positive cases detected in their laboratories for the same time period. </w:t>
            </w:r>
          </w:p>
          <w:p w14:paraId="0DD3FC14" w14:textId="77777777" w:rsidR="001B72D4" w:rsidRPr="00244FB2" w:rsidRDefault="001B72D4" w:rsidP="0058412C">
            <w:pPr>
              <w:pStyle w:val="TableText"/>
              <w:keepNext w:val="0"/>
              <w:widowControl w:val="0"/>
            </w:pPr>
          </w:p>
          <w:p w14:paraId="187A4C9B" w14:textId="77777777" w:rsidR="001B72D4" w:rsidRPr="00244FB2" w:rsidRDefault="001B72D4" w:rsidP="0058412C">
            <w:pPr>
              <w:pStyle w:val="TableText"/>
              <w:keepNext w:val="0"/>
              <w:widowControl w:val="0"/>
            </w:pPr>
            <w:r w:rsidRPr="00244FB2">
              <w:t xml:space="preserve">Crude point prevalence rates were calculated for the prevalence date of 1 July 2013 based on 147 cases: 0.53 (95% CI 0.45 to 0.62) per 100,000. After adjustments using capture-recapture analysis, the estimated total number of NMOSD cases was 193 which results in a prevalence estimate for NMOSD of 0.70 (95% CI 0.61 to 0.78) per 100 000. </w:t>
            </w:r>
          </w:p>
          <w:p w14:paraId="26D998C6" w14:textId="77777777" w:rsidR="00010C37" w:rsidRPr="00244FB2" w:rsidRDefault="00010C37" w:rsidP="0058412C">
            <w:pPr>
              <w:pStyle w:val="TableText"/>
              <w:keepNext w:val="0"/>
              <w:widowControl w:val="0"/>
            </w:pPr>
          </w:p>
          <w:p w14:paraId="04C69BD5" w14:textId="77777777" w:rsidR="00010C37" w:rsidRPr="00244FB2" w:rsidRDefault="00010C37" w:rsidP="0058412C">
            <w:pPr>
              <w:pStyle w:val="TableText"/>
              <w:keepNext w:val="0"/>
              <w:widowControl w:val="0"/>
            </w:pPr>
            <w:r w:rsidRPr="00244FB2">
              <w:t xml:space="preserve">PSCR estimate was </w:t>
            </w:r>
            <w:r w:rsidRPr="00244FB2">
              <w:rPr>
                <w:szCs w:val="20"/>
              </w:rPr>
              <w:t>based on the opinion of 6 experts.</w:t>
            </w:r>
          </w:p>
        </w:tc>
        <w:tc>
          <w:tcPr>
            <w:tcW w:w="3627" w:type="dxa"/>
            <w:vAlign w:val="center"/>
          </w:tcPr>
          <w:p w14:paraId="5254DAD2" w14:textId="77777777" w:rsidR="001B72D4" w:rsidRPr="00244FB2" w:rsidRDefault="001B72D4" w:rsidP="0058412C">
            <w:pPr>
              <w:pStyle w:val="TableText"/>
              <w:keepNext w:val="0"/>
              <w:widowControl w:val="0"/>
              <w:rPr>
                <w:szCs w:val="20"/>
              </w:rPr>
            </w:pPr>
            <w:r w:rsidRPr="00244FB2">
              <w:rPr>
                <w:szCs w:val="20"/>
              </w:rPr>
              <w:t xml:space="preserve">The authors of the study acknowledged that the prevalence rate may be an underestimate as cases were only based on currently or recently active cases who were either seen in the specialist clinics or had undergone AQP4 antibody testing within the 3-year study period. Results from the study suggest approximately half of the cases comprised of positive laboratory-based tests that were not captured in the clinical records of the specialist clinics. This suggests a potential prevalent pool of patients with historical diagnosis that may not be captured in this study. </w:t>
            </w:r>
            <w:r w:rsidR="00010C37" w:rsidRPr="00244FB2">
              <w:rPr>
                <w:szCs w:val="20"/>
              </w:rPr>
              <w:t>The authors of the study also acknowledged they may have underestimated cases, and that their results were lower than other published estimates. The worldwide prevalence estimates range from approximately 0.5 to 4 patients per 100,000 population. However, these estimates are highly variable given observed racial associations (higher in African and Asian, particularly Japanese, populations) and evolving diagnostic criteria.</w:t>
            </w:r>
            <w:r w:rsidRPr="00244FB2">
              <w:rPr>
                <w:szCs w:val="20"/>
              </w:rPr>
              <w:t xml:space="preserve"> </w:t>
            </w:r>
          </w:p>
          <w:p w14:paraId="1C5B9D15" w14:textId="77777777" w:rsidR="00E47D69" w:rsidRPr="00244FB2" w:rsidRDefault="00E47D69" w:rsidP="0058412C">
            <w:pPr>
              <w:pStyle w:val="TableText"/>
              <w:keepNext w:val="0"/>
              <w:widowControl w:val="0"/>
              <w:rPr>
                <w:szCs w:val="20"/>
              </w:rPr>
            </w:pPr>
          </w:p>
          <w:p w14:paraId="01A5EC99" w14:textId="77777777" w:rsidR="001B72D4" w:rsidRPr="00244FB2" w:rsidRDefault="001B72D4" w:rsidP="0058412C">
            <w:pPr>
              <w:pStyle w:val="TableText"/>
              <w:keepNext w:val="0"/>
              <w:widowControl w:val="0"/>
              <w:rPr>
                <w:szCs w:val="20"/>
              </w:rPr>
            </w:pPr>
            <w:r w:rsidRPr="00244FB2">
              <w:rPr>
                <w:szCs w:val="20"/>
              </w:rPr>
              <w:t xml:space="preserve">There is a current application for MBS listing of a new test to detect AQP4 antibodies for diagnosis of NMO (MSAC application 1582). The PICO </w:t>
            </w:r>
            <w:r w:rsidRPr="00244FB2">
              <w:rPr>
                <w:szCs w:val="20"/>
              </w:rPr>
              <w:lastRenderedPageBreak/>
              <w:t xml:space="preserve">Advisory Sub-committee advised that a survey of laboratories be conducted to determine how many tests are currently being done. Data sourced from Queensland Health (public sector) suggest 235 positive tests over a 5-year period (2015-2019). The estimated number of prevalent patients in Australia is relatively low compared to estimates from Queensland Health alone. </w:t>
            </w:r>
          </w:p>
          <w:p w14:paraId="55726560" w14:textId="77777777" w:rsidR="00D63950" w:rsidRPr="00244FB2" w:rsidRDefault="00D63950" w:rsidP="0058412C">
            <w:pPr>
              <w:pStyle w:val="TableText"/>
              <w:keepNext w:val="0"/>
              <w:widowControl w:val="0"/>
              <w:rPr>
                <w:szCs w:val="20"/>
              </w:rPr>
            </w:pPr>
          </w:p>
          <w:p w14:paraId="20A7EBC5" w14:textId="77777777" w:rsidR="00D63950" w:rsidRPr="00244FB2" w:rsidRDefault="00E47D69" w:rsidP="0058412C">
            <w:pPr>
              <w:pStyle w:val="TableText"/>
              <w:keepNext w:val="0"/>
              <w:widowControl w:val="0"/>
              <w:rPr>
                <w:szCs w:val="20"/>
              </w:rPr>
            </w:pPr>
            <w:r w:rsidRPr="00244FB2">
              <w:rPr>
                <w:szCs w:val="20"/>
              </w:rPr>
              <w:t xml:space="preserve">The PSCR acknowledged that the prevalence rate from Bukhari (2017) was likely an underestimate and provided updated financial estimates in which the prevalence was </w:t>
            </w:r>
            <w:r w:rsidRPr="000358FF">
              <w:rPr>
                <w:szCs w:val="20"/>
              </w:rPr>
              <w:t>0.001%, which</w:t>
            </w:r>
            <w:r w:rsidRPr="00244FB2">
              <w:rPr>
                <w:szCs w:val="20"/>
              </w:rPr>
              <w:t xml:space="preserve"> was based on the opinion of 6 experts. DUSC noted that the PSCR did not provide details about the 6 clinical experts, the questions they were asked, or the method of collecting the data</w:t>
            </w:r>
            <w:r w:rsidR="00E949E0" w:rsidRPr="00244FB2">
              <w:rPr>
                <w:szCs w:val="20"/>
              </w:rPr>
              <w:t>.</w:t>
            </w:r>
          </w:p>
          <w:p w14:paraId="650CA5FA" w14:textId="77777777" w:rsidR="00E949E0" w:rsidRPr="00244FB2" w:rsidRDefault="00E949E0" w:rsidP="0058412C">
            <w:pPr>
              <w:pStyle w:val="TableText"/>
              <w:keepNext w:val="0"/>
              <w:widowControl w:val="0"/>
              <w:rPr>
                <w:szCs w:val="20"/>
              </w:rPr>
            </w:pPr>
          </w:p>
          <w:p w14:paraId="3148579D" w14:textId="77777777" w:rsidR="00E949E0" w:rsidRPr="00244FB2" w:rsidRDefault="00E949E0" w:rsidP="0058412C">
            <w:pPr>
              <w:jc w:val="left"/>
              <w:rPr>
                <w:rFonts w:ascii="Arial Narrow" w:hAnsi="Arial Narrow"/>
                <w:sz w:val="20"/>
                <w:szCs w:val="20"/>
              </w:rPr>
            </w:pPr>
            <w:r w:rsidRPr="00244FB2">
              <w:rPr>
                <w:rFonts w:ascii="Arial Narrow" w:hAnsi="Arial Narrow"/>
                <w:sz w:val="20"/>
                <w:szCs w:val="20"/>
              </w:rPr>
              <w:t xml:space="preserve">DUSC noted that the number of test samples processed in Queensland includes test samples from Victoria, but NSW, WA, and SA have separate laboratories, and that separate laboratories exist for private testing in Queensland, and commented the prevalence could be up to five times higher than that the prevalence proposed by the PSCR. DUSC noted the claim in the PSCR that diagnosed patients may be tested up to four times a year, as the test may act as a biomarker for disease severity, and commented that a prevalence of 0.005% would depend on no duplication of testing for patients. DUSC also noted that it had been established that ‘reverse seroconversion’ was not thought to be a useful marker of disease prognosis, and therefore repeated testing appeared unlikely to be widespread. </w:t>
            </w:r>
          </w:p>
          <w:p w14:paraId="3F55FC2D" w14:textId="77777777" w:rsidR="00E949E0" w:rsidRPr="00244FB2" w:rsidRDefault="00E949E0" w:rsidP="0058412C">
            <w:pPr>
              <w:jc w:val="left"/>
              <w:rPr>
                <w:rFonts w:ascii="Arial Narrow" w:hAnsi="Arial Narrow"/>
                <w:sz w:val="20"/>
                <w:szCs w:val="20"/>
              </w:rPr>
            </w:pPr>
          </w:p>
          <w:p w14:paraId="60B81187" w14:textId="77777777" w:rsidR="00E949E0" w:rsidRPr="00244FB2" w:rsidRDefault="00E949E0" w:rsidP="0058412C">
            <w:pPr>
              <w:jc w:val="left"/>
              <w:rPr>
                <w:rFonts w:ascii="Arial Narrow" w:hAnsi="Arial Narrow"/>
                <w:sz w:val="20"/>
                <w:szCs w:val="20"/>
              </w:rPr>
            </w:pPr>
            <w:r w:rsidRPr="00244FB2">
              <w:rPr>
                <w:rFonts w:ascii="Arial Narrow" w:hAnsi="Arial Narrow"/>
                <w:sz w:val="20"/>
                <w:szCs w:val="20"/>
              </w:rPr>
              <w:t>DUSC commented that prevalence usually accounts for all patients affected by a disease; however, DUSC agreed with the commentary that in this case there may be historical diagnosed asymptomatic patients not included in the prevalence estimate, due to the relapsing nature of NMOSD. Additionally, DUSC considered that NMOSD is a relatively newly recognised disease and diagnosis rates may increase in future years, particularly once treatments are PBS listed.</w:t>
            </w:r>
          </w:p>
        </w:tc>
      </w:tr>
      <w:tr w:rsidR="001B72D4" w:rsidRPr="00244FB2" w14:paraId="10FC6A38" w14:textId="77777777" w:rsidTr="001B72D4">
        <w:trPr>
          <w:cantSplit/>
        </w:trPr>
        <w:tc>
          <w:tcPr>
            <w:tcW w:w="1283" w:type="dxa"/>
            <w:vAlign w:val="center"/>
          </w:tcPr>
          <w:p w14:paraId="667367C9" w14:textId="77777777" w:rsidR="001B72D4" w:rsidRPr="00244FB2" w:rsidRDefault="001B72D4" w:rsidP="0058412C">
            <w:pPr>
              <w:pStyle w:val="TableText"/>
              <w:keepNext w:val="0"/>
              <w:widowControl w:val="0"/>
            </w:pPr>
            <w:r w:rsidRPr="00244FB2">
              <w:lastRenderedPageBreak/>
              <w:t>Proportion of patients who are AQP4 antibody positive</w:t>
            </w:r>
          </w:p>
        </w:tc>
        <w:tc>
          <w:tcPr>
            <w:tcW w:w="980" w:type="dxa"/>
            <w:vAlign w:val="center"/>
          </w:tcPr>
          <w:p w14:paraId="74616E0C" w14:textId="77777777" w:rsidR="001B72D4" w:rsidRPr="00244FB2" w:rsidRDefault="001B72D4" w:rsidP="0058412C">
            <w:pPr>
              <w:pStyle w:val="TableText"/>
              <w:keepNext w:val="0"/>
              <w:widowControl w:val="0"/>
            </w:pPr>
            <w:r w:rsidRPr="00244FB2">
              <w:t>90.1%</w:t>
            </w:r>
          </w:p>
        </w:tc>
        <w:tc>
          <w:tcPr>
            <w:tcW w:w="3290" w:type="dxa"/>
            <w:vAlign w:val="center"/>
          </w:tcPr>
          <w:p w14:paraId="58C7AF01" w14:textId="77777777" w:rsidR="001B72D4" w:rsidRPr="00244FB2" w:rsidRDefault="001B72D4" w:rsidP="0058412C">
            <w:pPr>
              <w:pStyle w:val="TableText"/>
              <w:keepNext w:val="0"/>
              <w:widowControl w:val="0"/>
            </w:pPr>
            <w:r w:rsidRPr="00244FB2">
              <w:t xml:space="preserve">Bukhari (2017). Based on the proportion of diagnosed NMOSD cases that were seropositive (73 of 81 cases, 90.1%). </w:t>
            </w:r>
          </w:p>
        </w:tc>
        <w:tc>
          <w:tcPr>
            <w:tcW w:w="3627" w:type="dxa"/>
            <w:vAlign w:val="center"/>
          </w:tcPr>
          <w:p w14:paraId="7F91A1E2" w14:textId="77777777" w:rsidR="001B72D4" w:rsidRPr="00244FB2" w:rsidRDefault="00E949E0" w:rsidP="0058412C">
            <w:pPr>
              <w:pStyle w:val="TableText"/>
              <w:keepNext w:val="0"/>
              <w:widowControl w:val="0"/>
            </w:pPr>
            <w:r w:rsidRPr="00244FB2">
              <w:t>DUSC considered that t</w:t>
            </w:r>
            <w:r w:rsidR="001B72D4" w:rsidRPr="00244FB2">
              <w:t>he estimate appeared reasonable. Other studies cited in the submission suggest that AQP4 antibodies are present in approximately 73 to 90% of cases (</w:t>
            </w:r>
            <w:proofErr w:type="spellStart"/>
            <w:r w:rsidR="001B72D4" w:rsidRPr="00244FB2">
              <w:t>Jarius</w:t>
            </w:r>
            <w:proofErr w:type="spellEnd"/>
            <w:r w:rsidR="001B72D4" w:rsidRPr="00244FB2">
              <w:t xml:space="preserve"> 2012, Kessler 2016, </w:t>
            </w:r>
            <w:proofErr w:type="spellStart"/>
            <w:r w:rsidR="001B72D4" w:rsidRPr="00244FB2">
              <w:t>Wingerchuk</w:t>
            </w:r>
            <w:proofErr w:type="spellEnd"/>
            <w:r w:rsidR="001B72D4" w:rsidRPr="00244FB2">
              <w:t xml:space="preserve"> 2015, </w:t>
            </w:r>
            <w:proofErr w:type="gramStart"/>
            <w:r w:rsidR="001B72D4" w:rsidRPr="00244FB2">
              <w:t>Papp</w:t>
            </w:r>
            <w:proofErr w:type="gramEnd"/>
            <w:r w:rsidR="001B72D4" w:rsidRPr="00244FB2">
              <w:t xml:space="preserve"> 2018). </w:t>
            </w:r>
          </w:p>
        </w:tc>
      </w:tr>
      <w:tr w:rsidR="001B72D4" w:rsidRPr="00244FB2" w14:paraId="51594168" w14:textId="77777777" w:rsidTr="001B72D4">
        <w:trPr>
          <w:cantSplit/>
        </w:trPr>
        <w:tc>
          <w:tcPr>
            <w:tcW w:w="1283" w:type="dxa"/>
            <w:vAlign w:val="center"/>
          </w:tcPr>
          <w:p w14:paraId="3E83976C" w14:textId="77777777" w:rsidR="001B72D4" w:rsidRPr="00244FB2" w:rsidRDefault="001B72D4" w:rsidP="0058412C">
            <w:pPr>
              <w:pStyle w:val="TableText"/>
              <w:keepNext w:val="0"/>
              <w:widowControl w:val="0"/>
            </w:pPr>
            <w:r w:rsidRPr="00244FB2">
              <w:rPr>
                <w:lang w:eastAsia="en-US"/>
              </w:rPr>
              <w:t>Proportion with AQP4+ and frequent relapses</w:t>
            </w:r>
          </w:p>
        </w:tc>
        <w:tc>
          <w:tcPr>
            <w:tcW w:w="980" w:type="dxa"/>
            <w:vAlign w:val="center"/>
          </w:tcPr>
          <w:p w14:paraId="5954E319" w14:textId="77777777" w:rsidR="00BB45EC" w:rsidRPr="000358FF" w:rsidRDefault="00BB45EC" w:rsidP="0058412C">
            <w:pPr>
              <w:pStyle w:val="TableText"/>
              <w:keepNext w:val="0"/>
              <w:widowControl w:val="0"/>
            </w:pPr>
            <w:r w:rsidRPr="000358FF">
              <w:t>Submission:</w:t>
            </w:r>
          </w:p>
          <w:p w14:paraId="28992042" w14:textId="77777777" w:rsidR="001B72D4" w:rsidRPr="000358FF" w:rsidRDefault="001B72D4" w:rsidP="0058412C">
            <w:pPr>
              <w:pStyle w:val="TableText"/>
              <w:keepNext w:val="0"/>
              <w:widowControl w:val="0"/>
            </w:pPr>
            <w:r w:rsidRPr="000358FF">
              <w:t>Yr 1: 17.6%</w:t>
            </w:r>
          </w:p>
          <w:p w14:paraId="15774637" w14:textId="77777777" w:rsidR="001B72D4" w:rsidRPr="000358FF" w:rsidRDefault="001B72D4" w:rsidP="0058412C">
            <w:pPr>
              <w:pStyle w:val="TableText"/>
              <w:keepNext w:val="0"/>
              <w:widowControl w:val="0"/>
            </w:pPr>
            <w:r w:rsidRPr="000358FF">
              <w:t>Yr 2: 27.7%</w:t>
            </w:r>
          </w:p>
          <w:p w14:paraId="1BCD7556" w14:textId="77777777" w:rsidR="001B72D4" w:rsidRPr="000358FF" w:rsidRDefault="001B72D4" w:rsidP="0058412C">
            <w:pPr>
              <w:pStyle w:val="TableText"/>
              <w:keepNext w:val="0"/>
              <w:widowControl w:val="0"/>
            </w:pPr>
            <w:r w:rsidRPr="000358FF">
              <w:t>Yr 3: 36.6%</w:t>
            </w:r>
          </w:p>
          <w:p w14:paraId="341B376A" w14:textId="77777777" w:rsidR="001B72D4" w:rsidRPr="000358FF" w:rsidRDefault="001B72D4" w:rsidP="0058412C">
            <w:pPr>
              <w:pStyle w:val="TableText"/>
              <w:keepNext w:val="0"/>
              <w:widowControl w:val="0"/>
            </w:pPr>
            <w:r w:rsidRPr="000358FF">
              <w:t>Yr 4: 44.3%</w:t>
            </w:r>
          </w:p>
          <w:p w14:paraId="1329A8D0" w14:textId="77777777" w:rsidR="001B72D4" w:rsidRPr="000358FF" w:rsidRDefault="001B72D4" w:rsidP="0058412C">
            <w:pPr>
              <w:pStyle w:val="TableText"/>
              <w:keepNext w:val="0"/>
              <w:widowControl w:val="0"/>
            </w:pPr>
            <w:r w:rsidRPr="000358FF">
              <w:t>Yr 5: 51.1%</w:t>
            </w:r>
          </w:p>
          <w:p w14:paraId="403DFC18" w14:textId="77777777" w:rsidR="001B72D4" w:rsidRPr="000358FF" w:rsidRDefault="001B72D4" w:rsidP="0058412C">
            <w:pPr>
              <w:pStyle w:val="TableText"/>
              <w:keepNext w:val="0"/>
              <w:widowControl w:val="0"/>
            </w:pPr>
            <w:r w:rsidRPr="000358FF">
              <w:t>Yr 6: 57.1%</w:t>
            </w:r>
          </w:p>
          <w:p w14:paraId="24FCF7F7" w14:textId="77777777" w:rsidR="00BB45EC" w:rsidRPr="000358FF" w:rsidRDefault="00BB45EC" w:rsidP="0058412C">
            <w:pPr>
              <w:pStyle w:val="TableText"/>
              <w:keepNext w:val="0"/>
              <w:widowControl w:val="0"/>
            </w:pPr>
          </w:p>
          <w:p w14:paraId="17C19101" w14:textId="77777777" w:rsidR="00BB45EC" w:rsidRPr="000358FF" w:rsidRDefault="00BB45EC" w:rsidP="0058412C">
            <w:pPr>
              <w:pStyle w:val="TableText"/>
              <w:keepNext w:val="0"/>
              <w:widowControl w:val="0"/>
            </w:pPr>
            <w:r w:rsidRPr="000358FF">
              <w:t>PSCR: 40.7%</w:t>
            </w:r>
          </w:p>
        </w:tc>
        <w:tc>
          <w:tcPr>
            <w:tcW w:w="3290" w:type="dxa"/>
            <w:vAlign w:val="center"/>
          </w:tcPr>
          <w:p w14:paraId="77E497C5" w14:textId="77777777" w:rsidR="001B72D4" w:rsidRPr="000358FF" w:rsidRDefault="001B72D4" w:rsidP="0058412C">
            <w:pPr>
              <w:pStyle w:val="TableText"/>
              <w:keepNext w:val="0"/>
              <w:widowControl w:val="0"/>
            </w:pPr>
            <w:r w:rsidRPr="000358FF">
              <w:t xml:space="preserve">Palace (2019). NMOSD outcomes prediction model based on 441 patients from five NMO specialist centres in the UK, USA, Japan and Martinique, who collectively experienced 1,976 attacks. The model predicts an average of 17.6% of patients will have at least 2 attacks in the preceding 2 years at any given time point. </w:t>
            </w:r>
          </w:p>
          <w:p w14:paraId="179F5A8D" w14:textId="77777777" w:rsidR="001B72D4" w:rsidRPr="000358FF" w:rsidRDefault="001B72D4" w:rsidP="0058412C">
            <w:pPr>
              <w:pStyle w:val="TableText"/>
              <w:keepNext w:val="0"/>
              <w:widowControl w:val="0"/>
            </w:pPr>
          </w:p>
          <w:p w14:paraId="5761A1F9" w14:textId="77777777" w:rsidR="001B72D4" w:rsidRPr="000358FF" w:rsidRDefault="001B72D4" w:rsidP="0058412C">
            <w:pPr>
              <w:pStyle w:val="TableText"/>
              <w:keepNext w:val="0"/>
              <w:widowControl w:val="0"/>
            </w:pPr>
            <w:r w:rsidRPr="000358FF">
              <w:t>The submission claimed that applying the 17.6% estimate to the prevalent pool will underestimate the number of eligible patients as it does not account for patients who might have 2 relapses in the future. The submission attempted to calculate a 2-year relapse rate using the adjudicated annualised relapse rate in the placebo arm of the PREVENT trial (calculated as 0.35 x 0.35 = 0.1225). This estimate was applied each year to the remaining cohort who were ineligible each year as an inflation factor.</w:t>
            </w:r>
          </w:p>
          <w:p w14:paraId="578FA3A0" w14:textId="77777777" w:rsidR="00BB45EC" w:rsidRPr="000358FF" w:rsidRDefault="00BB45EC" w:rsidP="0058412C">
            <w:pPr>
              <w:pStyle w:val="TableText"/>
              <w:keepNext w:val="0"/>
              <w:widowControl w:val="0"/>
            </w:pPr>
          </w:p>
          <w:p w14:paraId="3C85069E" w14:textId="77777777" w:rsidR="00BB45EC" w:rsidRPr="000358FF" w:rsidRDefault="00BB45EC" w:rsidP="00BB45EC">
            <w:pPr>
              <w:pStyle w:val="TableText"/>
              <w:keepNext w:val="0"/>
              <w:widowControl w:val="0"/>
            </w:pPr>
            <w:r w:rsidRPr="000358FF">
              <w:t xml:space="preserve">The PSCR instead applied 40.7% as a ‘steady state estimate’ for the prevalence of frequently relapsing patients, based on the risk of at least one relapse in 2 years in Palace (2019) </w:t>
            </w:r>
          </w:p>
        </w:tc>
        <w:tc>
          <w:tcPr>
            <w:tcW w:w="3627" w:type="dxa"/>
            <w:vAlign w:val="center"/>
          </w:tcPr>
          <w:p w14:paraId="565BBEE7" w14:textId="77777777" w:rsidR="001B72D4" w:rsidRPr="00244FB2" w:rsidRDefault="001B72D4" w:rsidP="0058412C">
            <w:pPr>
              <w:pStyle w:val="TableText"/>
              <w:keepNext w:val="0"/>
              <w:widowControl w:val="0"/>
            </w:pPr>
            <w:r w:rsidRPr="00244FB2">
              <w:t xml:space="preserve">The submission did not adequately justify the need for adjustments to the average estimate from the Palace study that is intended to represent the average proportion of patients fulfilling eligibility criteria over time. It may be more appropriate to apply the unadjusted estimate to the prevalent pool of patients in each year. </w:t>
            </w:r>
          </w:p>
          <w:p w14:paraId="18B78627" w14:textId="77777777" w:rsidR="001B72D4" w:rsidRPr="00244FB2" w:rsidRDefault="001B72D4" w:rsidP="0058412C">
            <w:pPr>
              <w:pStyle w:val="TableText"/>
              <w:keepNext w:val="0"/>
              <w:widowControl w:val="0"/>
            </w:pPr>
          </w:p>
          <w:p w14:paraId="53A23EAA" w14:textId="77777777" w:rsidR="001B72D4" w:rsidRPr="00244FB2" w:rsidRDefault="001B72D4" w:rsidP="0058412C">
            <w:pPr>
              <w:pStyle w:val="TableText"/>
              <w:keepNext w:val="0"/>
              <w:widowControl w:val="0"/>
            </w:pPr>
            <w:r w:rsidRPr="00244FB2">
              <w:t xml:space="preserve">The adjusted estimates used in the submission did not meet face validity, with a majority of prevalent patients qualifying for disease in Year 6, which will continue to grow over time. </w:t>
            </w:r>
          </w:p>
          <w:p w14:paraId="124AD7F4" w14:textId="77777777" w:rsidR="001B72D4" w:rsidRPr="00244FB2" w:rsidRDefault="001B72D4" w:rsidP="0058412C">
            <w:pPr>
              <w:pStyle w:val="TableText"/>
              <w:keepNext w:val="0"/>
              <w:widowControl w:val="0"/>
            </w:pPr>
          </w:p>
          <w:p w14:paraId="5C4B5719" w14:textId="77777777" w:rsidR="00BB45EC" w:rsidRPr="00244FB2" w:rsidRDefault="00BB45EC" w:rsidP="000110BE">
            <w:pPr>
              <w:pStyle w:val="TableText"/>
              <w:keepNext w:val="0"/>
              <w:widowControl w:val="0"/>
            </w:pPr>
            <w:r w:rsidRPr="00244FB2">
              <w:t xml:space="preserve">The PBAC </w:t>
            </w:r>
            <w:r w:rsidR="002F2D7F" w:rsidRPr="00244FB2">
              <w:t xml:space="preserve">considered the restriction should align with the eligibility criteria of the trial in terms </w:t>
            </w:r>
            <w:r w:rsidR="00221A38" w:rsidRPr="00244FB2">
              <w:t xml:space="preserve">of </w:t>
            </w:r>
            <w:r w:rsidR="002F2D7F" w:rsidRPr="00244FB2">
              <w:t>frequency and number of prior relapses, and thus considered the change</w:t>
            </w:r>
            <w:r w:rsidRPr="00244FB2">
              <w:t xml:space="preserve"> applied in the PSCR</w:t>
            </w:r>
            <w:r w:rsidR="00EB7EC8" w:rsidRPr="00244FB2">
              <w:t xml:space="preserve"> </w:t>
            </w:r>
            <w:r w:rsidR="00221A38" w:rsidRPr="00244FB2">
              <w:t>likely overestimated the eligible population</w:t>
            </w:r>
            <w:r w:rsidR="00244FB2">
              <w:t xml:space="preserve">. </w:t>
            </w:r>
          </w:p>
        </w:tc>
      </w:tr>
      <w:tr w:rsidR="001B72D4" w:rsidRPr="00244FB2" w14:paraId="3ADD4592" w14:textId="77777777" w:rsidTr="001B72D4">
        <w:trPr>
          <w:cantSplit/>
        </w:trPr>
        <w:tc>
          <w:tcPr>
            <w:tcW w:w="1283" w:type="dxa"/>
            <w:vAlign w:val="center"/>
          </w:tcPr>
          <w:p w14:paraId="682F1F20" w14:textId="77777777" w:rsidR="001B72D4" w:rsidRPr="000358FF" w:rsidRDefault="001B72D4" w:rsidP="0058412C">
            <w:pPr>
              <w:pStyle w:val="TableText"/>
              <w:keepNext w:val="0"/>
              <w:widowControl w:val="0"/>
              <w:rPr>
                <w:lang w:eastAsia="en-US"/>
              </w:rPr>
            </w:pPr>
            <w:r w:rsidRPr="000358FF">
              <w:rPr>
                <w:lang w:eastAsia="en-US"/>
              </w:rPr>
              <w:lastRenderedPageBreak/>
              <w:t>Proportion with AQP4+ and prior IST event</w:t>
            </w:r>
          </w:p>
        </w:tc>
        <w:tc>
          <w:tcPr>
            <w:tcW w:w="980" w:type="dxa"/>
            <w:vAlign w:val="center"/>
          </w:tcPr>
          <w:p w14:paraId="72CA017D" w14:textId="77777777" w:rsidR="001B72D4" w:rsidRPr="000358FF" w:rsidRDefault="001B72D4" w:rsidP="0058412C">
            <w:pPr>
              <w:pStyle w:val="TableText"/>
              <w:keepNext w:val="0"/>
              <w:widowControl w:val="0"/>
            </w:pPr>
            <w:r w:rsidRPr="000358FF">
              <w:t>11.8%</w:t>
            </w:r>
          </w:p>
        </w:tc>
        <w:tc>
          <w:tcPr>
            <w:tcW w:w="3290" w:type="dxa"/>
            <w:vAlign w:val="center"/>
          </w:tcPr>
          <w:p w14:paraId="4AA803B5" w14:textId="77777777" w:rsidR="001B72D4" w:rsidRPr="000358FF" w:rsidRDefault="001B72D4" w:rsidP="0058412C">
            <w:pPr>
              <w:pStyle w:val="TableText"/>
              <w:keepNext w:val="0"/>
              <w:widowControl w:val="0"/>
            </w:pPr>
            <w:proofErr w:type="spellStart"/>
            <w:r w:rsidRPr="000358FF">
              <w:t>Poupart</w:t>
            </w:r>
            <w:proofErr w:type="spellEnd"/>
            <w:r w:rsidRPr="000358FF">
              <w:t xml:space="preserve"> (2020). Retrospective cohort study involving 10 French university hospitals in the multiple sclerosis and NMOSD network. Medical records from 1993 to 2017 were retrieved for patients who were diagnosed with NMOSD based on </w:t>
            </w:r>
            <w:proofErr w:type="spellStart"/>
            <w:r w:rsidRPr="000358FF">
              <w:t>Wingerchuk</w:t>
            </w:r>
            <w:proofErr w:type="spellEnd"/>
            <w:r w:rsidRPr="000358FF">
              <w:t xml:space="preserve"> 2015 criteria, positive for AQP4 or anti-MOG antibodies, initiated IST treatment as first-line therapy within 3 years of disease onset and had at least 1 year of follow-up. The estimate was based on a subset of patients who received first-line therapy with rituximab, azathioprine or </w:t>
            </w:r>
            <w:proofErr w:type="spellStart"/>
            <w:r w:rsidRPr="000358FF">
              <w:t>mycophenolate</w:t>
            </w:r>
            <w:proofErr w:type="spellEnd"/>
            <w:r w:rsidRPr="000358FF">
              <w:t xml:space="preserve"> </w:t>
            </w:r>
            <w:proofErr w:type="spellStart"/>
            <w:r w:rsidRPr="000358FF">
              <w:t>mofetil</w:t>
            </w:r>
            <w:proofErr w:type="spellEnd"/>
            <w:r w:rsidRPr="000358FF">
              <w:t xml:space="preserve">. The submission assumed the proportion of patients with a documented serious infectious event (15/127, 11.8%) is representative of the proportion who experienced a prior IST event. </w:t>
            </w:r>
          </w:p>
        </w:tc>
        <w:tc>
          <w:tcPr>
            <w:tcW w:w="3627" w:type="dxa"/>
            <w:vAlign w:val="center"/>
          </w:tcPr>
          <w:p w14:paraId="2AA314CA" w14:textId="77777777" w:rsidR="001B72D4" w:rsidRPr="00244FB2" w:rsidRDefault="001B72D4" w:rsidP="0058412C">
            <w:pPr>
              <w:pStyle w:val="TableText"/>
              <w:keepNext w:val="0"/>
              <w:widowControl w:val="0"/>
            </w:pPr>
            <w:r w:rsidRPr="00244FB2">
              <w:t>There were significant concerns with the applicability of the estimated prevalence of patients with a prior immunosuppressive event including:</w:t>
            </w:r>
          </w:p>
          <w:p w14:paraId="4D6161A6" w14:textId="77777777" w:rsidR="001B72D4" w:rsidRPr="00244FB2" w:rsidRDefault="001B72D4" w:rsidP="0058412C">
            <w:pPr>
              <w:pStyle w:val="TableText"/>
              <w:keepNext w:val="0"/>
              <w:widowControl w:val="0"/>
            </w:pPr>
            <w:r w:rsidRPr="00244FB2">
              <w:t>- inadequately justified use of a selected retrospective analysis that may not reflect the broader literature;</w:t>
            </w:r>
          </w:p>
          <w:p w14:paraId="2BEBF619" w14:textId="77777777" w:rsidR="001B72D4" w:rsidRPr="00244FB2" w:rsidRDefault="001B72D4" w:rsidP="0058412C">
            <w:pPr>
              <w:pStyle w:val="TableText"/>
              <w:keepNext w:val="0"/>
              <w:widowControl w:val="0"/>
            </w:pPr>
            <w:r w:rsidRPr="00244FB2">
              <w:t>- potential incompleteness of safety data from the study;</w:t>
            </w:r>
          </w:p>
          <w:p w14:paraId="164CD9ED" w14:textId="77777777" w:rsidR="001B72D4" w:rsidRPr="00244FB2" w:rsidRDefault="001B72D4" w:rsidP="0058412C">
            <w:pPr>
              <w:pStyle w:val="TableText"/>
              <w:keepNext w:val="0"/>
              <w:widowControl w:val="0"/>
            </w:pPr>
            <w:r w:rsidRPr="00244FB2">
              <w:t xml:space="preserve">- unclear applicability of the study population who received other immunosuppressive therapies only (rituximab, </w:t>
            </w:r>
            <w:proofErr w:type="spellStart"/>
            <w:r w:rsidRPr="00244FB2">
              <w:t>mycophenolate</w:t>
            </w:r>
            <w:proofErr w:type="spellEnd"/>
            <w:r w:rsidRPr="00244FB2">
              <w:t xml:space="preserve"> </w:t>
            </w:r>
            <w:proofErr w:type="spellStart"/>
            <w:r w:rsidRPr="00244FB2">
              <w:t>mofetil</w:t>
            </w:r>
            <w:proofErr w:type="spellEnd"/>
            <w:r w:rsidRPr="00244FB2">
              <w:t>, azathioprine); and</w:t>
            </w:r>
          </w:p>
          <w:p w14:paraId="1D511F75" w14:textId="77777777" w:rsidR="001B72D4" w:rsidRPr="00244FB2" w:rsidRDefault="001B72D4" w:rsidP="0058412C">
            <w:pPr>
              <w:pStyle w:val="TableText"/>
              <w:keepNext w:val="0"/>
              <w:widowControl w:val="0"/>
            </w:pPr>
            <w:r w:rsidRPr="00244FB2">
              <w:t xml:space="preserve">- </w:t>
            </w:r>
            <w:proofErr w:type="gramStart"/>
            <w:r w:rsidRPr="00244FB2">
              <w:t>data</w:t>
            </w:r>
            <w:proofErr w:type="gramEnd"/>
            <w:r w:rsidRPr="00244FB2">
              <w:t xml:space="preserve"> from the </w:t>
            </w:r>
            <w:proofErr w:type="spellStart"/>
            <w:r w:rsidRPr="00244FB2">
              <w:t>Poupart</w:t>
            </w:r>
            <w:proofErr w:type="spellEnd"/>
            <w:r w:rsidRPr="00244FB2">
              <w:t xml:space="preserve"> study suggest a higher number of patients may also discontinue immunosuppressive therapy due to adverse events not directly related to infections. In practice, there may be potential for broader interpretation of the restriction due to concerns with long-term use of </w:t>
            </w:r>
            <w:proofErr w:type="spellStart"/>
            <w:r w:rsidRPr="00244FB2">
              <w:t>immunosuppressants</w:t>
            </w:r>
            <w:proofErr w:type="spellEnd"/>
            <w:r w:rsidRPr="00244FB2">
              <w:t>.</w:t>
            </w:r>
          </w:p>
          <w:p w14:paraId="4C30947C" w14:textId="77777777" w:rsidR="00E949E0" w:rsidRPr="00244FB2" w:rsidRDefault="00E949E0" w:rsidP="0058412C">
            <w:pPr>
              <w:pStyle w:val="TableText"/>
              <w:keepNext w:val="0"/>
              <w:widowControl w:val="0"/>
            </w:pPr>
          </w:p>
          <w:p w14:paraId="7EBD2FBC" w14:textId="77777777" w:rsidR="00E949E0" w:rsidRPr="00244FB2" w:rsidRDefault="00E949E0" w:rsidP="002F2D7F">
            <w:pPr>
              <w:pStyle w:val="TableText"/>
              <w:keepNext w:val="0"/>
              <w:widowControl w:val="0"/>
            </w:pPr>
            <w:r w:rsidRPr="00244FB2">
              <w:t>DUSC noted that this subgroup is a small contributor to the estimates and considered that the reasonableness of this estimate would depend on the final PBS restriction.</w:t>
            </w:r>
          </w:p>
        </w:tc>
      </w:tr>
      <w:tr w:rsidR="001B72D4" w:rsidRPr="00244FB2" w14:paraId="2A346985" w14:textId="77777777" w:rsidTr="001B72D4">
        <w:trPr>
          <w:cantSplit/>
        </w:trPr>
        <w:tc>
          <w:tcPr>
            <w:tcW w:w="9180" w:type="dxa"/>
            <w:gridSpan w:val="4"/>
            <w:vAlign w:val="center"/>
          </w:tcPr>
          <w:p w14:paraId="55C2B8B2" w14:textId="77777777" w:rsidR="001B72D4" w:rsidRPr="00244FB2" w:rsidRDefault="001B72D4" w:rsidP="0058412C">
            <w:pPr>
              <w:pStyle w:val="TableText"/>
              <w:keepNext w:val="0"/>
              <w:widowControl w:val="0"/>
              <w:rPr>
                <w:b/>
              </w:rPr>
            </w:pPr>
            <w:r w:rsidRPr="00244FB2">
              <w:rPr>
                <w:b/>
              </w:rPr>
              <w:t xml:space="preserve">Estimated population initiating treatment with </w:t>
            </w:r>
            <w:proofErr w:type="spellStart"/>
            <w:r w:rsidRPr="00244FB2">
              <w:rPr>
                <w:b/>
              </w:rPr>
              <w:t>eculizumab</w:t>
            </w:r>
            <w:proofErr w:type="spellEnd"/>
          </w:p>
        </w:tc>
      </w:tr>
      <w:tr w:rsidR="001B72D4" w:rsidRPr="00244FB2" w14:paraId="3647BB65" w14:textId="77777777" w:rsidTr="001B72D4">
        <w:trPr>
          <w:cantSplit/>
        </w:trPr>
        <w:tc>
          <w:tcPr>
            <w:tcW w:w="1283" w:type="dxa"/>
            <w:vAlign w:val="center"/>
          </w:tcPr>
          <w:p w14:paraId="37C0D986" w14:textId="77777777" w:rsidR="001B72D4" w:rsidRPr="006402E9" w:rsidRDefault="001B72D4" w:rsidP="0058412C">
            <w:pPr>
              <w:pStyle w:val="TableText"/>
              <w:keepNext w:val="0"/>
              <w:widowControl w:val="0"/>
            </w:pPr>
            <w:r w:rsidRPr="006402E9">
              <w:t>Total newly eligible patients (incident cohort)</w:t>
            </w:r>
          </w:p>
        </w:tc>
        <w:tc>
          <w:tcPr>
            <w:tcW w:w="980" w:type="dxa"/>
            <w:vAlign w:val="center"/>
          </w:tcPr>
          <w:p w14:paraId="7C65CB15" w14:textId="77777777" w:rsidR="001B72D4" w:rsidRPr="006402E9" w:rsidRDefault="001B72D4" w:rsidP="0058412C">
            <w:pPr>
              <w:pStyle w:val="TableText"/>
              <w:keepNext w:val="0"/>
              <w:widowControl w:val="0"/>
            </w:pPr>
            <w:r w:rsidRPr="006402E9">
              <w:t xml:space="preserve">Yr 1: </w:t>
            </w:r>
            <w:r w:rsidR="006402E9" w:rsidRPr="006402E9">
              <w:t>&lt; 500</w:t>
            </w:r>
          </w:p>
          <w:p w14:paraId="682CE9ED" w14:textId="77777777" w:rsidR="001B72D4" w:rsidRPr="006402E9" w:rsidRDefault="001B72D4" w:rsidP="0058412C">
            <w:pPr>
              <w:pStyle w:val="TableText"/>
              <w:keepNext w:val="0"/>
              <w:widowControl w:val="0"/>
            </w:pPr>
            <w:r w:rsidRPr="006402E9">
              <w:t xml:space="preserve">Yr 2: </w:t>
            </w:r>
            <w:r w:rsidR="006402E9" w:rsidRPr="006402E9">
              <w:t>&lt; 500</w:t>
            </w:r>
          </w:p>
          <w:p w14:paraId="1E170855" w14:textId="77777777" w:rsidR="001B72D4" w:rsidRPr="006402E9" w:rsidRDefault="001B72D4" w:rsidP="0058412C">
            <w:pPr>
              <w:pStyle w:val="TableText"/>
              <w:keepNext w:val="0"/>
              <w:widowControl w:val="0"/>
            </w:pPr>
            <w:r w:rsidRPr="006402E9">
              <w:t xml:space="preserve">Yr 3: </w:t>
            </w:r>
            <w:r w:rsidR="006402E9" w:rsidRPr="006402E9">
              <w:t>&lt; 500</w:t>
            </w:r>
          </w:p>
          <w:p w14:paraId="74A7798C" w14:textId="77777777" w:rsidR="001B72D4" w:rsidRPr="006402E9" w:rsidRDefault="001B72D4" w:rsidP="0058412C">
            <w:pPr>
              <w:pStyle w:val="TableText"/>
              <w:keepNext w:val="0"/>
              <w:widowControl w:val="0"/>
            </w:pPr>
            <w:r w:rsidRPr="006402E9">
              <w:t xml:space="preserve">Yr 4: </w:t>
            </w:r>
            <w:r w:rsidR="006402E9" w:rsidRPr="006402E9">
              <w:t>&lt; 500</w:t>
            </w:r>
          </w:p>
          <w:p w14:paraId="57EED370" w14:textId="77777777" w:rsidR="001B72D4" w:rsidRPr="006402E9" w:rsidRDefault="001B72D4" w:rsidP="0058412C">
            <w:pPr>
              <w:pStyle w:val="TableText"/>
              <w:keepNext w:val="0"/>
              <w:widowControl w:val="0"/>
            </w:pPr>
            <w:r w:rsidRPr="006402E9">
              <w:t xml:space="preserve">Yr 5: </w:t>
            </w:r>
            <w:r w:rsidR="006402E9" w:rsidRPr="006402E9">
              <w:t>&lt; 500</w:t>
            </w:r>
          </w:p>
          <w:p w14:paraId="003258F7" w14:textId="77777777" w:rsidR="001B72D4" w:rsidRPr="006402E9" w:rsidRDefault="001B72D4" w:rsidP="0058412C">
            <w:pPr>
              <w:pStyle w:val="TableText"/>
              <w:keepNext w:val="0"/>
              <w:widowControl w:val="0"/>
            </w:pPr>
            <w:r w:rsidRPr="006402E9">
              <w:t xml:space="preserve">Yr 6: </w:t>
            </w:r>
            <w:r w:rsidR="006402E9" w:rsidRPr="006402E9">
              <w:t>&lt; 500</w:t>
            </w:r>
          </w:p>
        </w:tc>
        <w:tc>
          <w:tcPr>
            <w:tcW w:w="3290" w:type="dxa"/>
            <w:vAlign w:val="center"/>
          </w:tcPr>
          <w:p w14:paraId="268BB713" w14:textId="77777777" w:rsidR="001B72D4" w:rsidRPr="00244FB2" w:rsidRDefault="001B72D4" w:rsidP="0058412C">
            <w:pPr>
              <w:pStyle w:val="TableText"/>
              <w:keepNext w:val="0"/>
              <w:widowControl w:val="0"/>
            </w:pPr>
            <w:r w:rsidRPr="00244FB2">
              <w:t xml:space="preserve">Based on estimated number of patients in each qualifying subgroup (AQP4+ and frequently relapsing; AQP4+ and </w:t>
            </w:r>
            <w:r w:rsidRPr="000358FF">
              <w:t>prior IST event). The submission assumed 100% are</w:t>
            </w:r>
            <w:r w:rsidRPr="00244FB2">
              <w:t xml:space="preserve"> newly qualifying patients in Year 1. In subsequent years, the incident cohort was estimated by subtracting patients from the previous year from patients in the following year</w:t>
            </w:r>
            <w:r w:rsidR="00244FB2">
              <w:t xml:space="preserve">. </w:t>
            </w:r>
          </w:p>
        </w:tc>
        <w:tc>
          <w:tcPr>
            <w:tcW w:w="3627" w:type="dxa"/>
            <w:vAlign w:val="center"/>
          </w:tcPr>
          <w:p w14:paraId="58FB2859" w14:textId="77777777" w:rsidR="001B72D4" w:rsidRPr="00244FB2" w:rsidRDefault="001B72D4" w:rsidP="0058412C">
            <w:pPr>
              <w:pStyle w:val="TableText"/>
              <w:keepNext w:val="0"/>
              <w:widowControl w:val="0"/>
            </w:pPr>
            <w:r w:rsidRPr="00244FB2">
              <w:t>See comments above.</w:t>
            </w:r>
          </w:p>
        </w:tc>
      </w:tr>
      <w:tr w:rsidR="001B72D4" w:rsidRPr="00244FB2" w14:paraId="179F8C26" w14:textId="77777777" w:rsidTr="001B72D4">
        <w:trPr>
          <w:cantSplit/>
        </w:trPr>
        <w:tc>
          <w:tcPr>
            <w:tcW w:w="1283" w:type="dxa"/>
            <w:vAlign w:val="center"/>
          </w:tcPr>
          <w:p w14:paraId="78ECDC18" w14:textId="77777777" w:rsidR="001B72D4" w:rsidRPr="000358FF" w:rsidRDefault="001B72D4" w:rsidP="0058412C">
            <w:pPr>
              <w:pStyle w:val="TableText"/>
              <w:keepNext w:val="0"/>
              <w:widowControl w:val="0"/>
            </w:pPr>
            <w:r w:rsidRPr="000358FF">
              <w:t>Uptake rates in newly eligible patients</w:t>
            </w:r>
          </w:p>
        </w:tc>
        <w:tc>
          <w:tcPr>
            <w:tcW w:w="980" w:type="dxa"/>
            <w:vAlign w:val="center"/>
          </w:tcPr>
          <w:p w14:paraId="31C46CB8" w14:textId="77777777" w:rsidR="001B72D4" w:rsidRPr="000358FF" w:rsidRDefault="001B72D4" w:rsidP="0058412C">
            <w:pPr>
              <w:pStyle w:val="TableText"/>
              <w:keepNext w:val="0"/>
              <w:widowControl w:val="0"/>
            </w:pPr>
            <w:r w:rsidRPr="000358FF">
              <w:t>Yr 1: 50%</w:t>
            </w:r>
          </w:p>
          <w:p w14:paraId="578BAD2D" w14:textId="77777777" w:rsidR="001B72D4" w:rsidRPr="000358FF" w:rsidRDefault="001B72D4" w:rsidP="0058412C">
            <w:pPr>
              <w:pStyle w:val="TableText"/>
              <w:keepNext w:val="0"/>
              <w:widowControl w:val="0"/>
            </w:pPr>
            <w:r w:rsidRPr="000358FF">
              <w:t>Yr 2: 55%</w:t>
            </w:r>
          </w:p>
          <w:p w14:paraId="247F8B7D" w14:textId="77777777" w:rsidR="001B72D4" w:rsidRPr="000358FF" w:rsidRDefault="001B72D4" w:rsidP="0058412C">
            <w:pPr>
              <w:pStyle w:val="TableText"/>
              <w:keepNext w:val="0"/>
              <w:widowControl w:val="0"/>
            </w:pPr>
            <w:r w:rsidRPr="000358FF">
              <w:t>Yr 3: 60%</w:t>
            </w:r>
          </w:p>
          <w:p w14:paraId="4C1702B7" w14:textId="77777777" w:rsidR="001B72D4" w:rsidRPr="000358FF" w:rsidRDefault="001B72D4" w:rsidP="0058412C">
            <w:pPr>
              <w:pStyle w:val="TableText"/>
              <w:keepNext w:val="0"/>
              <w:widowControl w:val="0"/>
            </w:pPr>
            <w:r w:rsidRPr="000358FF">
              <w:t>Yr 4: 65%</w:t>
            </w:r>
          </w:p>
          <w:p w14:paraId="29D00B30" w14:textId="77777777" w:rsidR="001B72D4" w:rsidRPr="000358FF" w:rsidRDefault="001B72D4" w:rsidP="0058412C">
            <w:pPr>
              <w:pStyle w:val="TableText"/>
              <w:keepNext w:val="0"/>
              <w:widowControl w:val="0"/>
            </w:pPr>
            <w:r w:rsidRPr="000358FF">
              <w:t>Yr 5: 65%</w:t>
            </w:r>
          </w:p>
          <w:p w14:paraId="2D49E8B6" w14:textId="77777777" w:rsidR="001B72D4" w:rsidRPr="000358FF" w:rsidRDefault="001B72D4" w:rsidP="0058412C">
            <w:pPr>
              <w:pStyle w:val="TableText"/>
              <w:keepNext w:val="0"/>
              <w:widowControl w:val="0"/>
            </w:pPr>
            <w:r w:rsidRPr="000358FF">
              <w:t>Yr 6: 65%</w:t>
            </w:r>
          </w:p>
        </w:tc>
        <w:tc>
          <w:tcPr>
            <w:tcW w:w="3290" w:type="dxa"/>
            <w:vAlign w:val="center"/>
          </w:tcPr>
          <w:p w14:paraId="07715168" w14:textId="77777777" w:rsidR="001B72D4" w:rsidRPr="000358FF" w:rsidRDefault="001B72D4" w:rsidP="0058412C">
            <w:pPr>
              <w:pStyle w:val="TableText"/>
              <w:keepNext w:val="0"/>
              <w:widowControl w:val="0"/>
            </w:pPr>
            <w:r w:rsidRPr="000358FF">
              <w:t>Assumed</w:t>
            </w:r>
          </w:p>
        </w:tc>
        <w:tc>
          <w:tcPr>
            <w:tcW w:w="3627" w:type="dxa"/>
            <w:vAlign w:val="center"/>
          </w:tcPr>
          <w:p w14:paraId="214CBA9B" w14:textId="77777777" w:rsidR="001B72D4" w:rsidRPr="00244FB2" w:rsidRDefault="001B72D4" w:rsidP="00080554">
            <w:pPr>
              <w:pStyle w:val="TableText"/>
              <w:keepNext w:val="0"/>
              <w:widowControl w:val="0"/>
            </w:pPr>
            <w:r w:rsidRPr="00244FB2">
              <w:t xml:space="preserve">There were no data provided in support of the assumption. </w:t>
            </w:r>
            <w:r w:rsidR="00E949E0" w:rsidRPr="00244FB2">
              <w:t>DUSC considered that these uptake rates were possibly underestimated as there is an unmet clinical need for NMOSD treatments.</w:t>
            </w:r>
          </w:p>
        </w:tc>
      </w:tr>
      <w:tr w:rsidR="001B72D4" w:rsidRPr="00244FB2" w14:paraId="5F9422F7" w14:textId="77777777" w:rsidTr="001B72D4">
        <w:trPr>
          <w:cantSplit/>
        </w:trPr>
        <w:tc>
          <w:tcPr>
            <w:tcW w:w="1283" w:type="dxa"/>
            <w:vAlign w:val="center"/>
          </w:tcPr>
          <w:p w14:paraId="5ED05E5A" w14:textId="77777777" w:rsidR="001B72D4" w:rsidRPr="00244FB2" w:rsidRDefault="001B72D4" w:rsidP="0058412C">
            <w:pPr>
              <w:pStyle w:val="TableText"/>
              <w:keepNext w:val="0"/>
              <w:widowControl w:val="0"/>
            </w:pPr>
            <w:r w:rsidRPr="00244FB2">
              <w:t>Patients eligible in previous years who did not initiate treatment (incomplete uptake)</w:t>
            </w:r>
          </w:p>
        </w:tc>
        <w:tc>
          <w:tcPr>
            <w:tcW w:w="980" w:type="dxa"/>
            <w:vAlign w:val="center"/>
          </w:tcPr>
          <w:p w14:paraId="7AC086A5" w14:textId="77777777" w:rsidR="001B72D4" w:rsidRPr="006402E9" w:rsidRDefault="001B72D4" w:rsidP="0058412C">
            <w:pPr>
              <w:pStyle w:val="TableText"/>
              <w:keepNext w:val="0"/>
              <w:widowControl w:val="0"/>
            </w:pPr>
            <w:r w:rsidRPr="006402E9">
              <w:t xml:space="preserve">Yr 1: </w:t>
            </w:r>
            <w:r w:rsidR="006402E9" w:rsidRPr="006402E9">
              <w:t>&lt; 500</w:t>
            </w:r>
          </w:p>
          <w:p w14:paraId="46FA73FB" w14:textId="77777777" w:rsidR="001B72D4" w:rsidRPr="006402E9" w:rsidRDefault="001B72D4" w:rsidP="0058412C">
            <w:pPr>
              <w:pStyle w:val="TableText"/>
              <w:keepNext w:val="0"/>
              <w:widowControl w:val="0"/>
            </w:pPr>
            <w:r w:rsidRPr="006402E9">
              <w:t xml:space="preserve">Yr 2: </w:t>
            </w:r>
            <w:r w:rsidR="006402E9" w:rsidRPr="006402E9">
              <w:t>&lt; 500</w:t>
            </w:r>
          </w:p>
          <w:p w14:paraId="114050C2" w14:textId="77777777" w:rsidR="001B72D4" w:rsidRPr="006402E9" w:rsidRDefault="001B72D4" w:rsidP="0058412C">
            <w:pPr>
              <w:pStyle w:val="TableText"/>
              <w:keepNext w:val="0"/>
              <w:widowControl w:val="0"/>
            </w:pPr>
            <w:r w:rsidRPr="006402E9">
              <w:t xml:space="preserve">Yr 3: </w:t>
            </w:r>
            <w:r w:rsidR="006402E9" w:rsidRPr="006402E9">
              <w:t>&lt; 500</w:t>
            </w:r>
          </w:p>
          <w:p w14:paraId="6B66DD85" w14:textId="77777777" w:rsidR="001B72D4" w:rsidRPr="006402E9" w:rsidRDefault="001B72D4" w:rsidP="0058412C">
            <w:pPr>
              <w:pStyle w:val="TableText"/>
              <w:keepNext w:val="0"/>
              <w:widowControl w:val="0"/>
            </w:pPr>
            <w:r w:rsidRPr="006402E9">
              <w:t xml:space="preserve">Yr 4: </w:t>
            </w:r>
            <w:r w:rsidR="006402E9" w:rsidRPr="006402E9">
              <w:t>&lt; 500</w:t>
            </w:r>
          </w:p>
          <w:p w14:paraId="644D1640" w14:textId="77777777" w:rsidR="001B72D4" w:rsidRPr="006402E9" w:rsidRDefault="001B72D4" w:rsidP="0058412C">
            <w:pPr>
              <w:pStyle w:val="TableText"/>
              <w:keepNext w:val="0"/>
              <w:widowControl w:val="0"/>
            </w:pPr>
            <w:r w:rsidRPr="006402E9">
              <w:t xml:space="preserve">Yr 5: </w:t>
            </w:r>
            <w:r w:rsidR="006402E9" w:rsidRPr="006402E9">
              <w:t>&lt; 500</w:t>
            </w:r>
          </w:p>
          <w:p w14:paraId="7C5B747B" w14:textId="77777777" w:rsidR="001B72D4" w:rsidRPr="00244FB2" w:rsidRDefault="001B72D4" w:rsidP="0058412C">
            <w:pPr>
              <w:pStyle w:val="TableText"/>
              <w:keepNext w:val="0"/>
              <w:widowControl w:val="0"/>
            </w:pPr>
            <w:r w:rsidRPr="006402E9">
              <w:t xml:space="preserve">Yr 6: </w:t>
            </w:r>
            <w:r w:rsidR="006402E9" w:rsidRPr="006402E9">
              <w:t>&lt; 500</w:t>
            </w:r>
          </w:p>
        </w:tc>
        <w:tc>
          <w:tcPr>
            <w:tcW w:w="3290" w:type="dxa"/>
            <w:vAlign w:val="center"/>
          </w:tcPr>
          <w:p w14:paraId="5B908DB7" w14:textId="77777777" w:rsidR="001B72D4" w:rsidRPr="00244FB2" w:rsidRDefault="001B72D4" w:rsidP="0058412C">
            <w:pPr>
              <w:pStyle w:val="TableText"/>
              <w:keepNext w:val="0"/>
              <w:widowControl w:val="0"/>
            </w:pPr>
            <w:r w:rsidRPr="00244FB2">
              <w:t xml:space="preserve">The submission assumed that patients who were previously eligible and did not initiate treatment (due to incomplete uptake) could initiate treatment in subsequent years. </w:t>
            </w:r>
          </w:p>
        </w:tc>
        <w:tc>
          <w:tcPr>
            <w:tcW w:w="3627" w:type="dxa"/>
            <w:vAlign w:val="center"/>
          </w:tcPr>
          <w:p w14:paraId="53998936" w14:textId="77777777" w:rsidR="001B72D4" w:rsidRPr="00244FB2" w:rsidRDefault="001B72D4" w:rsidP="0058412C">
            <w:pPr>
              <w:pStyle w:val="TableText"/>
              <w:keepNext w:val="0"/>
              <w:widowControl w:val="0"/>
            </w:pPr>
            <w:r w:rsidRPr="00244FB2">
              <w:t xml:space="preserve">This subgroup of patients was poorly defined in the submission. The reasons for incomplete uptake in the first year and subsequent years was not described in the submission. </w:t>
            </w:r>
          </w:p>
          <w:p w14:paraId="4431AD64" w14:textId="77777777" w:rsidR="001B72D4" w:rsidRPr="00244FB2" w:rsidRDefault="001B72D4" w:rsidP="0058412C">
            <w:pPr>
              <w:pStyle w:val="TableText"/>
              <w:keepNext w:val="0"/>
              <w:widowControl w:val="0"/>
            </w:pPr>
          </w:p>
          <w:p w14:paraId="40D5A7D3" w14:textId="77777777" w:rsidR="001B72D4" w:rsidRPr="00244FB2" w:rsidRDefault="001B72D4" w:rsidP="0058412C">
            <w:pPr>
              <w:pStyle w:val="TableText"/>
              <w:keepNext w:val="0"/>
              <w:widowControl w:val="0"/>
            </w:pPr>
            <w:r w:rsidRPr="00244FB2">
              <w:t xml:space="preserve">While patients with a prior IST event never lose eligibility, patients qualifying as frequently relapsing may lose eligibility over time. Ongoing eligibility should be estimated separately for these subgroups. </w:t>
            </w:r>
          </w:p>
        </w:tc>
      </w:tr>
      <w:tr w:rsidR="001B72D4" w:rsidRPr="00244FB2" w14:paraId="7849FF82" w14:textId="77777777" w:rsidTr="001B72D4">
        <w:trPr>
          <w:cantSplit/>
        </w:trPr>
        <w:tc>
          <w:tcPr>
            <w:tcW w:w="1283" w:type="dxa"/>
            <w:vAlign w:val="center"/>
          </w:tcPr>
          <w:p w14:paraId="510E4B5A" w14:textId="77777777" w:rsidR="001B72D4" w:rsidRPr="00244FB2" w:rsidRDefault="001B72D4" w:rsidP="0058412C">
            <w:pPr>
              <w:pStyle w:val="TableText"/>
              <w:keepNext w:val="0"/>
              <w:widowControl w:val="0"/>
            </w:pPr>
            <w:r w:rsidRPr="00244FB2">
              <w:lastRenderedPageBreak/>
              <w:t>Uptake rates in previously eligible patients who did not initiate treatment</w:t>
            </w:r>
          </w:p>
        </w:tc>
        <w:tc>
          <w:tcPr>
            <w:tcW w:w="980" w:type="dxa"/>
            <w:vAlign w:val="center"/>
          </w:tcPr>
          <w:p w14:paraId="2C6D8B92" w14:textId="77777777" w:rsidR="001B72D4" w:rsidRPr="000358FF" w:rsidRDefault="001B72D4" w:rsidP="0058412C">
            <w:pPr>
              <w:pStyle w:val="TableText"/>
              <w:keepNext w:val="0"/>
              <w:widowControl w:val="0"/>
            </w:pPr>
            <w:r w:rsidRPr="000358FF">
              <w:t>Yr 1: 50%</w:t>
            </w:r>
          </w:p>
          <w:p w14:paraId="01902BA5" w14:textId="77777777" w:rsidR="001B72D4" w:rsidRPr="000358FF" w:rsidRDefault="001B72D4" w:rsidP="0058412C">
            <w:pPr>
              <w:pStyle w:val="TableText"/>
              <w:keepNext w:val="0"/>
              <w:widowControl w:val="0"/>
            </w:pPr>
            <w:r w:rsidRPr="000358FF">
              <w:t>Yr 2: 55%</w:t>
            </w:r>
          </w:p>
          <w:p w14:paraId="12E716FC" w14:textId="77777777" w:rsidR="001B72D4" w:rsidRPr="000358FF" w:rsidRDefault="001B72D4" w:rsidP="0058412C">
            <w:pPr>
              <w:pStyle w:val="TableText"/>
              <w:keepNext w:val="0"/>
              <w:widowControl w:val="0"/>
            </w:pPr>
            <w:r w:rsidRPr="000358FF">
              <w:t>Yr 3: 60%</w:t>
            </w:r>
          </w:p>
          <w:p w14:paraId="4669844F" w14:textId="77777777" w:rsidR="001B72D4" w:rsidRPr="000358FF" w:rsidRDefault="001B72D4" w:rsidP="0058412C">
            <w:pPr>
              <w:pStyle w:val="TableText"/>
              <w:keepNext w:val="0"/>
              <w:widowControl w:val="0"/>
            </w:pPr>
            <w:r w:rsidRPr="000358FF">
              <w:t>Yr 4: 65%</w:t>
            </w:r>
          </w:p>
          <w:p w14:paraId="5905A9F8" w14:textId="77777777" w:rsidR="001B72D4" w:rsidRPr="000358FF" w:rsidRDefault="001B72D4" w:rsidP="0058412C">
            <w:pPr>
              <w:pStyle w:val="TableText"/>
              <w:keepNext w:val="0"/>
              <w:widowControl w:val="0"/>
            </w:pPr>
            <w:r w:rsidRPr="000358FF">
              <w:t>Yr 5: 65%</w:t>
            </w:r>
          </w:p>
          <w:p w14:paraId="49567A64" w14:textId="77777777" w:rsidR="001B72D4" w:rsidRPr="00244FB2" w:rsidRDefault="001B72D4" w:rsidP="0058412C">
            <w:pPr>
              <w:pStyle w:val="TableText"/>
              <w:keepNext w:val="0"/>
              <w:widowControl w:val="0"/>
            </w:pPr>
            <w:r w:rsidRPr="000358FF">
              <w:t>Yr 6: 65%</w:t>
            </w:r>
          </w:p>
        </w:tc>
        <w:tc>
          <w:tcPr>
            <w:tcW w:w="3290" w:type="dxa"/>
            <w:vAlign w:val="center"/>
          </w:tcPr>
          <w:p w14:paraId="15A22C5E" w14:textId="77777777" w:rsidR="001B72D4" w:rsidRPr="00244FB2" w:rsidRDefault="001B72D4" w:rsidP="0058412C">
            <w:pPr>
              <w:pStyle w:val="TableText"/>
              <w:keepNext w:val="0"/>
              <w:widowControl w:val="0"/>
            </w:pPr>
            <w:r w:rsidRPr="00244FB2">
              <w:t xml:space="preserve">Assumed. Same as uptake rates in newly eligible patients. </w:t>
            </w:r>
          </w:p>
        </w:tc>
        <w:tc>
          <w:tcPr>
            <w:tcW w:w="3627" w:type="dxa"/>
            <w:vAlign w:val="center"/>
          </w:tcPr>
          <w:p w14:paraId="098CC40E" w14:textId="77777777" w:rsidR="001B72D4" w:rsidRPr="00244FB2" w:rsidRDefault="001B72D4" w:rsidP="0058412C">
            <w:pPr>
              <w:pStyle w:val="TableText"/>
              <w:keepNext w:val="0"/>
              <w:widowControl w:val="0"/>
            </w:pPr>
            <w:r w:rsidRPr="00244FB2">
              <w:t xml:space="preserve">There were no data provided in support of the assumption. </w:t>
            </w:r>
            <w:r w:rsidR="00EA6E41" w:rsidRPr="00244FB2">
              <w:t>DUSC considered that the application of uptake rates to patients who were eligible in previous years but did not initiate to initiate eventually, which may not align with the restriction. DUSC considered that it may have been more reasonable to assume a higher proportion of eligible patients would initiate in the year that they are diagnosed.</w:t>
            </w:r>
          </w:p>
        </w:tc>
      </w:tr>
      <w:tr w:rsidR="001B72D4" w:rsidRPr="00244FB2" w14:paraId="1DEF8378" w14:textId="77777777" w:rsidTr="001B72D4">
        <w:trPr>
          <w:cantSplit/>
        </w:trPr>
        <w:tc>
          <w:tcPr>
            <w:tcW w:w="9180" w:type="dxa"/>
            <w:gridSpan w:val="4"/>
            <w:vAlign w:val="center"/>
          </w:tcPr>
          <w:p w14:paraId="49DC27CB" w14:textId="77777777" w:rsidR="001B72D4" w:rsidRPr="00244FB2" w:rsidRDefault="001B72D4" w:rsidP="0058412C">
            <w:pPr>
              <w:pStyle w:val="TableText"/>
              <w:keepNext w:val="0"/>
              <w:widowControl w:val="0"/>
              <w:rPr>
                <w:b/>
              </w:rPr>
            </w:pPr>
            <w:r w:rsidRPr="00244FB2">
              <w:rPr>
                <w:b/>
              </w:rPr>
              <w:t xml:space="preserve">Estimated population continuing treatment with </w:t>
            </w:r>
            <w:proofErr w:type="spellStart"/>
            <w:r w:rsidRPr="00244FB2">
              <w:rPr>
                <w:b/>
              </w:rPr>
              <w:t>eculizumab</w:t>
            </w:r>
            <w:proofErr w:type="spellEnd"/>
          </w:p>
        </w:tc>
      </w:tr>
      <w:tr w:rsidR="001B72D4" w:rsidRPr="00244FB2" w14:paraId="7030A5B8" w14:textId="77777777" w:rsidTr="001B72D4">
        <w:trPr>
          <w:cantSplit/>
        </w:trPr>
        <w:tc>
          <w:tcPr>
            <w:tcW w:w="1283" w:type="dxa"/>
            <w:vAlign w:val="center"/>
          </w:tcPr>
          <w:p w14:paraId="08935B94" w14:textId="77777777" w:rsidR="001B72D4" w:rsidRPr="00244FB2" w:rsidRDefault="001B72D4" w:rsidP="0058412C">
            <w:pPr>
              <w:pStyle w:val="TableText"/>
              <w:keepNext w:val="0"/>
              <w:widowControl w:val="0"/>
            </w:pPr>
            <w:r w:rsidRPr="00244FB2">
              <w:t xml:space="preserve">Treatment persistence </w:t>
            </w:r>
          </w:p>
        </w:tc>
        <w:tc>
          <w:tcPr>
            <w:tcW w:w="980" w:type="dxa"/>
            <w:vAlign w:val="center"/>
          </w:tcPr>
          <w:p w14:paraId="182CED19" w14:textId="77777777" w:rsidR="001B72D4" w:rsidRPr="00244FB2" w:rsidRDefault="001B72D4" w:rsidP="0058412C">
            <w:pPr>
              <w:pStyle w:val="TableText"/>
              <w:keepNext w:val="0"/>
              <w:widowControl w:val="0"/>
            </w:pPr>
            <w:r w:rsidRPr="00244FB2">
              <w:t>89.7%</w:t>
            </w:r>
          </w:p>
        </w:tc>
        <w:tc>
          <w:tcPr>
            <w:tcW w:w="3290" w:type="dxa"/>
            <w:vAlign w:val="center"/>
          </w:tcPr>
          <w:p w14:paraId="0E9091A1" w14:textId="77777777" w:rsidR="001B72D4" w:rsidRPr="00244FB2" w:rsidRDefault="001B72D4" w:rsidP="0058412C">
            <w:pPr>
              <w:pStyle w:val="TableText"/>
              <w:keepNext w:val="0"/>
              <w:widowControl w:val="0"/>
            </w:pPr>
            <w:r w:rsidRPr="00244FB2">
              <w:t xml:space="preserve">Based on the discontinuation rate from the PREVENT trial (9.3 per 100 patient-years of follow-up). The submission assumed the rate of discontinuation remained constant over time. </w:t>
            </w:r>
          </w:p>
        </w:tc>
        <w:tc>
          <w:tcPr>
            <w:tcW w:w="3627" w:type="dxa"/>
            <w:vAlign w:val="center"/>
          </w:tcPr>
          <w:p w14:paraId="5B2F9425" w14:textId="77777777" w:rsidR="001B72D4" w:rsidRPr="00244FB2" w:rsidRDefault="001B72D4" w:rsidP="0058412C">
            <w:pPr>
              <w:pStyle w:val="TableText"/>
              <w:keepNext w:val="0"/>
              <w:widowControl w:val="0"/>
            </w:pPr>
            <w:r w:rsidRPr="00244FB2">
              <w:t xml:space="preserve">It was unclear whether discontinuation rates from the PREVENT trial (observed in a tightly regulated setting) would be representative of clinical practice. There are insufficient long-term data available to validate the assumption of a constant discontinuation rate over time. </w:t>
            </w:r>
          </w:p>
          <w:p w14:paraId="4B53344B" w14:textId="77777777" w:rsidR="001B72D4" w:rsidRPr="00244FB2" w:rsidRDefault="001B72D4" w:rsidP="0058412C">
            <w:pPr>
              <w:pStyle w:val="TableText"/>
              <w:keepNext w:val="0"/>
              <w:widowControl w:val="0"/>
            </w:pPr>
          </w:p>
          <w:p w14:paraId="520A0DD1" w14:textId="77777777" w:rsidR="001B72D4" w:rsidRPr="00244FB2" w:rsidRDefault="001B72D4" w:rsidP="0058412C">
            <w:pPr>
              <w:pStyle w:val="TableText"/>
              <w:keepNext w:val="0"/>
              <w:widowControl w:val="0"/>
            </w:pPr>
            <w:r w:rsidRPr="00244FB2">
              <w:t>Using the incident cohort approach, patients who discontinued were assumed to cease treatment permanently. In practice, some of these patients may reinitiate treatment following a future relapse</w:t>
            </w:r>
            <w:r w:rsidR="00244FB2">
              <w:t xml:space="preserve">. </w:t>
            </w:r>
          </w:p>
          <w:p w14:paraId="66C0EC55" w14:textId="77777777" w:rsidR="00EA6E41" w:rsidRPr="00244FB2" w:rsidRDefault="00EA6E41" w:rsidP="0058412C">
            <w:pPr>
              <w:pStyle w:val="TableText"/>
              <w:keepNext w:val="0"/>
              <w:widowControl w:val="0"/>
            </w:pPr>
          </w:p>
          <w:p w14:paraId="123757D1" w14:textId="77777777" w:rsidR="00EA6E41" w:rsidRPr="00244FB2" w:rsidRDefault="00EA6E41" w:rsidP="0058412C">
            <w:pPr>
              <w:pStyle w:val="TableText"/>
              <w:keepNext w:val="0"/>
              <w:widowControl w:val="0"/>
            </w:pPr>
            <w:r w:rsidRPr="00244FB2">
              <w:t>DUSC noted that without treatment NMOSD patients acquire increasing disability but are expected to have normal lifespans, especially in patients of non-African ethnicity (Mealy et al).</w:t>
            </w:r>
            <w:r w:rsidRPr="00244FB2">
              <w:rPr>
                <w:rStyle w:val="FootnoteReference"/>
              </w:rPr>
              <w:footnoteReference w:id="4"/>
            </w:r>
            <w:r w:rsidRPr="00244FB2">
              <w:t xml:space="preserve"> DUSC commented that given the lack of other therapeutic options patients are likely to continue if possible, however the addition of the continuation criteria to limit initial and continuing treatment in patients who have progressed disease may help limit treatment in patients with increasing disability.</w:t>
            </w:r>
          </w:p>
        </w:tc>
      </w:tr>
    </w:tbl>
    <w:p w14:paraId="155277E9" w14:textId="77777777" w:rsidR="001B72D4" w:rsidRPr="00244FB2" w:rsidRDefault="001B72D4" w:rsidP="001B72D4">
      <w:pPr>
        <w:pStyle w:val="TableFigureFooter"/>
      </w:pPr>
      <w:r w:rsidRPr="00244FB2">
        <w:t>Source: compiled during the evaluation</w:t>
      </w:r>
    </w:p>
    <w:p w14:paraId="17CEE70F" w14:textId="77777777" w:rsidR="001B72D4" w:rsidRPr="00244FB2" w:rsidRDefault="001B72D4" w:rsidP="001B72D4">
      <w:pPr>
        <w:pStyle w:val="TableFigureFooter"/>
      </w:pPr>
      <w:r w:rsidRPr="00244FB2">
        <w:t xml:space="preserve">AQP4+ = aquaporin-4 antibody positive; CI = confidence interval; </w:t>
      </w:r>
      <w:r w:rsidR="00492B9E" w:rsidRPr="00244FB2">
        <w:t xml:space="preserve">DUSC = Drug Utilisation Sub-Committee; </w:t>
      </w:r>
      <w:r w:rsidRPr="00244FB2">
        <w:t xml:space="preserve">IST = immunosuppressive therapy; MBS = Medical Benefits Schedule; MOG = myelin oligodendrocyte glycoprotein; MSAC = Medical Services Advisory Committee; NMO = </w:t>
      </w:r>
      <w:proofErr w:type="spellStart"/>
      <w:r w:rsidRPr="00244FB2">
        <w:t>neuromyelitis</w:t>
      </w:r>
      <w:proofErr w:type="spellEnd"/>
      <w:r w:rsidRPr="00244FB2">
        <w:t xml:space="preserve"> </w:t>
      </w:r>
      <w:proofErr w:type="spellStart"/>
      <w:r w:rsidRPr="00244FB2">
        <w:t>optica</w:t>
      </w:r>
      <w:proofErr w:type="spellEnd"/>
      <w:r w:rsidRPr="00244FB2">
        <w:t xml:space="preserve">; NMOSD = </w:t>
      </w:r>
      <w:proofErr w:type="spellStart"/>
      <w:r w:rsidRPr="00244FB2">
        <w:t>neuromyelitis</w:t>
      </w:r>
      <w:proofErr w:type="spellEnd"/>
      <w:r w:rsidRPr="00244FB2">
        <w:t xml:space="preserve"> </w:t>
      </w:r>
      <w:proofErr w:type="spellStart"/>
      <w:r w:rsidRPr="00244FB2">
        <w:t>optica</w:t>
      </w:r>
      <w:proofErr w:type="spellEnd"/>
      <w:r w:rsidRPr="00244FB2">
        <w:t xml:space="preserve"> spectrum disorder; </w:t>
      </w:r>
      <w:r w:rsidR="00492B9E" w:rsidRPr="00244FB2">
        <w:t xml:space="preserve">PBS = Pharmaceutical Benefits Scheme; </w:t>
      </w:r>
      <w:r w:rsidRPr="00244FB2">
        <w:t xml:space="preserve">PICO = population – intervention – comparator – outcome; </w:t>
      </w:r>
      <w:r w:rsidR="00492B9E" w:rsidRPr="00244FB2">
        <w:t xml:space="preserve">PSCR = pre-Sub-Committee response; </w:t>
      </w:r>
      <w:r w:rsidRPr="00244FB2">
        <w:t>UK = United Kingdom; USA = United States of America ; Yr = year</w:t>
      </w:r>
    </w:p>
    <w:p w14:paraId="7782F3E0" w14:textId="77777777" w:rsidR="001B72D4" w:rsidRPr="00244FB2" w:rsidRDefault="001B72D4" w:rsidP="00010C37">
      <w:pPr>
        <w:pStyle w:val="ExecSumBodyText"/>
        <w:numPr>
          <w:ilvl w:val="1"/>
          <w:numId w:val="1"/>
        </w:numPr>
      </w:pPr>
      <w:r w:rsidRPr="00244FB2">
        <w:t>The table</w:t>
      </w:r>
      <w:r w:rsidR="00C5371E" w:rsidRPr="00244FB2">
        <w:t>s</w:t>
      </w:r>
      <w:r w:rsidRPr="00244FB2">
        <w:t xml:space="preserve"> below present the estimated use and financial implications of </w:t>
      </w:r>
      <w:proofErr w:type="spellStart"/>
      <w:r w:rsidRPr="00244FB2">
        <w:t>eculizumab</w:t>
      </w:r>
      <w:proofErr w:type="spellEnd"/>
      <w:r w:rsidRPr="00244FB2">
        <w:t xml:space="preserve"> over</w:t>
      </w:r>
      <w:r w:rsidR="00C5371E" w:rsidRPr="00244FB2">
        <w:t xml:space="preserve"> the first</w:t>
      </w:r>
      <w:r w:rsidRPr="00244FB2">
        <w:t xml:space="preserve"> 6 years of listing</w:t>
      </w:r>
      <w:r w:rsidR="00FD7E18">
        <w:t xml:space="preserve"> (Table 13 – from the submission; Table 14</w:t>
      </w:r>
      <w:r w:rsidR="00C5371E" w:rsidRPr="00244FB2">
        <w:t xml:space="preserve"> - updated estimates from the PSCR)</w:t>
      </w:r>
      <w:r w:rsidRPr="00244FB2">
        <w:t>.</w:t>
      </w:r>
    </w:p>
    <w:p w14:paraId="75D2D8E0" w14:textId="77777777" w:rsidR="001B72D4" w:rsidRPr="00244FB2" w:rsidRDefault="00FD7E18" w:rsidP="001B72D4">
      <w:pPr>
        <w:pStyle w:val="TableFigureCaption"/>
      </w:pPr>
      <w:r>
        <w:lastRenderedPageBreak/>
        <w:t>Table 13</w:t>
      </w:r>
      <w:r w:rsidR="001B72D4" w:rsidRPr="00244FB2">
        <w:t>: Estimated use and financial implications</w:t>
      </w:r>
      <w:r w:rsidR="00A74D33" w:rsidRPr="00244FB2">
        <w:t xml:space="preserve"> presented in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1B72D4" w:rsidRPr="00244FB2" w14:paraId="4D6DDDC5" w14:textId="77777777" w:rsidTr="001B72D4">
        <w:trPr>
          <w:tblHeader/>
        </w:trPr>
        <w:tc>
          <w:tcPr>
            <w:tcW w:w="2263" w:type="dxa"/>
            <w:shd w:val="clear" w:color="auto" w:fill="auto"/>
            <w:vAlign w:val="center"/>
          </w:tcPr>
          <w:p w14:paraId="34D6F6FF" w14:textId="77777777" w:rsidR="001B72D4" w:rsidRPr="00244FB2" w:rsidRDefault="001B72D4" w:rsidP="001B72D4">
            <w:pPr>
              <w:pStyle w:val="TableText"/>
              <w:widowControl w:val="0"/>
              <w:rPr>
                <w:b/>
                <w:lang w:eastAsia="en-US"/>
              </w:rPr>
            </w:pPr>
          </w:p>
        </w:tc>
        <w:tc>
          <w:tcPr>
            <w:tcW w:w="1134" w:type="dxa"/>
            <w:shd w:val="clear" w:color="auto" w:fill="auto"/>
            <w:vAlign w:val="center"/>
          </w:tcPr>
          <w:p w14:paraId="35CE6496" w14:textId="77777777" w:rsidR="001B72D4" w:rsidRPr="00244FB2" w:rsidRDefault="001B72D4" w:rsidP="001B72D4">
            <w:pPr>
              <w:pStyle w:val="TableText"/>
              <w:widowControl w:val="0"/>
              <w:jc w:val="center"/>
              <w:rPr>
                <w:b/>
                <w:lang w:eastAsia="en-US"/>
              </w:rPr>
            </w:pPr>
            <w:r w:rsidRPr="00244FB2">
              <w:rPr>
                <w:b/>
                <w:lang w:eastAsia="en-US"/>
              </w:rPr>
              <w:t>Year 1</w:t>
            </w:r>
          </w:p>
        </w:tc>
        <w:tc>
          <w:tcPr>
            <w:tcW w:w="1134" w:type="dxa"/>
            <w:shd w:val="clear" w:color="auto" w:fill="auto"/>
            <w:vAlign w:val="center"/>
          </w:tcPr>
          <w:p w14:paraId="49F5A110" w14:textId="77777777" w:rsidR="001B72D4" w:rsidRPr="00244FB2" w:rsidRDefault="001B72D4" w:rsidP="001B72D4">
            <w:pPr>
              <w:pStyle w:val="TableText"/>
              <w:widowControl w:val="0"/>
              <w:jc w:val="center"/>
              <w:rPr>
                <w:b/>
                <w:lang w:eastAsia="en-US"/>
              </w:rPr>
            </w:pPr>
            <w:r w:rsidRPr="00244FB2">
              <w:rPr>
                <w:b/>
                <w:lang w:eastAsia="en-US"/>
              </w:rPr>
              <w:t>Year 2</w:t>
            </w:r>
          </w:p>
        </w:tc>
        <w:tc>
          <w:tcPr>
            <w:tcW w:w="1134" w:type="dxa"/>
            <w:shd w:val="clear" w:color="auto" w:fill="auto"/>
            <w:vAlign w:val="center"/>
          </w:tcPr>
          <w:p w14:paraId="6F30C318" w14:textId="77777777" w:rsidR="001B72D4" w:rsidRPr="00244FB2" w:rsidRDefault="001B72D4" w:rsidP="001B72D4">
            <w:pPr>
              <w:pStyle w:val="TableText"/>
              <w:widowControl w:val="0"/>
              <w:jc w:val="center"/>
              <w:rPr>
                <w:b/>
                <w:lang w:eastAsia="en-US"/>
              </w:rPr>
            </w:pPr>
            <w:r w:rsidRPr="00244FB2">
              <w:rPr>
                <w:b/>
                <w:lang w:eastAsia="en-US"/>
              </w:rPr>
              <w:t>Year 3</w:t>
            </w:r>
          </w:p>
        </w:tc>
        <w:tc>
          <w:tcPr>
            <w:tcW w:w="1134" w:type="dxa"/>
            <w:shd w:val="clear" w:color="auto" w:fill="auto"/>
            <w:vAlign w:val="center"/>
          </w:tcPr>
          <w:p w14:paraId="3CB95938" w14:textId="77777777" w:rsidR="001B72D4" w:rsidRPr="00244FB2" w:rsidRDefault="001B72D4" w:rsidP="001B72D4">
            <w:pPr>
              <w:pStyle w:val="TableText"/>
              <w:widowControl w:val="0"/>
              <w:jc w:val="center"/>
              <w:rPr>
                <w:b/>
                <w:lang w:eastAsia="en-US"/>
              </w:rPr>
            </w:pPr>
            <w:r w:rsidRPr="00244FB2">
              <w:rPr>
                <w:b/>
                <w:lang w:eastAsia="en-US"/>
              </w:rPr>
              <w:t>Year 4</w:t>
            </w:r>
          </w:p>
        </w:tc>
        <w:tc>
          <w:tcPr>
            <w:tcW w:w="1134" w:type="dxa"/>
            <w:shd w:val="clear" w:color="auto" w:fill="auto"/>
            <w:vAlign w:val="center"/>
          </w:tcPr>
          <w:p w14:paraId="2DA08998" w14:textId="77777777" w:rsidR="001B72D4" w:rsidRPr="00244FB2" w:rsidRDefault="001B72D4" w:rsidP="001B72D4">
            <w:pPr>
              <w:pStyle w:val="TableText"/>
              <w:widowControl w:val="0"/>
              <w:jc w:val="center"/>
              <w:rPr>
                <w:b/>
                <w:lang w:eastAsia="en-US"/>
              </w:rPr>
            </w:pPr>
            <w:r w:rsidRPr="00244FB2">
              <w:rPr>
                <w:b/>
                <w:lang w:eastAsia="en-US"/>
              </w:rPr>
              <w:t>Year 5</w:t>
            </w:r>
          </w:p>
        </w:tc>
        <w:tc>
          <w:tcPr>
            <w:tcW w:w="1134" w:type="dxa"/>
            <w:shd w:val="clear" w:color="auto" w:fill="auto"/>
            <w:vAlign w:val="center"/>
          </w:tcPr>
          <w:p w14:paraId="02CB544E" w14:textId="77777777" w:rsidR="001B72D4" w:rsidRPr="00244FB2" w:rsidRDefault="001B72D4" w:rsidP="001B72D4">
            <w:pPr>
              <w:pStyle w:val="TableText"/>
              <w:widowControl w:val="0"/>
              <w:jc w:val="center"/>
              <w:rPr>
                <w:b/>
                <w:lang w:eastAsia="en-US"/>
              </w:rPr>
            </w:pPr>
            <w:r w:rsidRPr="00244FB2">
              <w:rPr>
                <w:b/>
                <w:lang w:eastAsia="en-US"/>
              </w:rPr>
              <w:t>Year 6</w:t>
            </w:r>
          </w:p>
        </w:tc>
      </w:tr>
      <w:tr w:rsidR="001B72D4" w:rsidRPr="00244FB2" w14:paraId="1098C8D8" w14:textId="77777777" w:rsidTr="001B72D4">
        <w:tc>
          <w:tcPr>
            <w:tcW w:w="9067" w:type="dxa"/>
            <w:gridSpan w:val="7"/>
            <w:shd w:val="clear" w:color="auto" w:fill="auto"/>
            <w:vAlign w:val="center"/>
          </w:tcPr>
          <w:p w14:paraId="0AE1B992" w14:textId="77777777" w:rsidR="001B72D4" w:rsidRPr="00244FB2" w:rsidRDefault="001B72D4" w:rsidP="001B72D4">
            <w:pPr>
              <w:pStyle w:val="TableText"/>
              <w:widowControl w:val="0"/>
              <w:rPr>
                <w:b/>
              </w:rPr>
            </w:pPr>
            <w:r w:rsidRPr="00244FB2">
              <w:rPr>
                <w:b/>
              </w:rPr>
              <w:t>Estimated extent of use</w:t>
            </w:r>
          </w:p>
        </w:tc>
      </w:tr>
      <w:tr w:rsidR="001B72D4" w:rsidRPr="00244FB2" w14:paraId="77C8CC55" w14:textId="77777777" w:rsidTr="001B72D4">
        <w:tc>
          <w:tcPr>
            <w:tcW w:w="2263" w:type="dxa"/>
            <w:shd w:val="clear" w:color="auto" w:fill="auto"/>
            <w:vAlign w:val="center"/>
          </w:tcPr>
          <w:p w14:paraId="505DBFCA" w14:textId="77777777" w:rsidR="001B72D4" w:rsidRPr="00244FB2" w:rsidRDefault="001B72D4" w:rsidP="001B72D4">
            <w:pPr>
              <w:pStyle w:val="TableText"/>
              <w:widowControl w:val="0"/>
              <w:rPr>
                <w:lang w:eastAsia="en-US"/>
              </w:rPr>
            </w:pPr>
            <w:r w:rsidRPr="00244FB2">
              <w:rPr>
                <w:lang w:eastAsia="en-US"/>
              </w:rPr>
              <w:t xml:space="preserve">Patients initiating treatment </w:t>
            </w:r>
          </w:p>
        </w:tc>
        <w:tc>
          <w:tcPr>
            <w:tcW w:w="1134" w:type="dxa"/>
            <w:shd w:val="clear" w:color="auto" w:fill="auto"/>
            <w:vAlign w:val="center"/>
          </w:tcPr>
          <w:p w14:paraId="37938080" w14:textId="77777777" w:rsidR="001B72D4" w:rsidRPr="005266FC" w:rsidRDefault="005266FC" w:rsidP="001B72D4">
            <w:pPr>
              <w:pStyle w:val="TableText"/>
              <w:widowControl w:val="0"/>
              <w:jc w:val="center"/>
              <w:rPr>
                <w:vertAlign w:val="superscript"/>
              </w:rP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30B5795B"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3CFD5D25"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5EEB1A0C"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7C5334BE"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1F1B5CEE"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r>
      <w:tr w:rsidR="001B72D4" w:rsidRPr="00244FB2" w14:paraId="3C50C11C" w14:textId="77777777" w:rsidTr="001B72D4">
        <w:tc>
          <w:tcPr>
            <w:tcW w:w="2263" w:type="dxa"/>
            <w:shd w:val="clear" w:color="auto" w:fill="auto"/>
            <w:vAlign w:val="center"/>
          </w:tcPr>
          <w:p w14:paraId="6D53C9B8" w14:textId="77777777" w:rsidR="001B72D4" w:rsidRPr="00244FB2" w:rsidRDefault="001B72D4" w:rsidP="001B72D4">
            <w:pPr>
              <w:pStyle w:val="TableText"/>
              <w:widowControl w:val="0"/>
              <w:rPr>
                <w:lang w:eastAsia="en-US"/>
              </w:rPr>
            </w:pPr>
            <w:r w:rsidRPr="00244FB2">
              <w:rPr>
                <w:lang w:eastAsia="en-US"/>
              </w:rPr>
              <w:t xml:space="preserve">Patients continuing treatment </w:t>
            </w:r>
          </w:p>
        </w:tc>
        <w:tc>
          <w:tcPr>
            <w:tcW w:w="1134" w:type="dxa"/>
            <w:shd w:val="clear" w:color="auto" w:fill="auto"/>
            <w:vAlign w:val="center"/>
          </w:tcPr>
          <w:p w14:paraId="426E86F6"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253C7398"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1B2B5B19"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69528F7E"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1F57C492"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c>
          <w:tcPr>
            <w:tcW w:w="1134" w:type="dxa"/>
            <w:shd w:val="clear" w:color="auto" w:fill="auto"/>
            <w:vAlign w:val="center"/>
          </w:tcPr>
          <w:p w14:paraId="051CC8D2" w14:textId="77777777" w:rsidR="001B72D4" w:rsidRPr="005266FC" w:rsidRDefault="005266FC" w:rsidP="001B72D4">
            <w:pPr>
              <w:pStyle w:val="TableText"/>
              <w:widowControl w:val="0"/>
              <w:jc w:val="center"/>
            </w:pPr>
            <w:r>
              <w:rPr>
                <w:noProof/>
                <w:color w:val="000000"/>
                <w:highlight w:val="black"/>
                <w:lang w:eastAsia="en-US"/>
              </w:rPr>
              <w:t>''''''</w:t>
            </w:r>
            <w:r w:rsidR="00F968FB" w:rsidRPr="00F968FB">
              <w:rPr>
                <w:vertAlign w:val="superscript"/>
                <w:lang w:eastAsia="en-US"/>
              </w:rPr>
              <w:t>1</w:t>
            </w:r>
          </w:p>
        </w:tc>
      </w:tr>
      <w:tr w:rsidR="001B72D4" w:rsidRPr="00244FB2" w14:paraId="6E6186FD" w14:textId="77777777" w:rsidTr="001B72D4">
        <w:tc>
          <w:tcPr>
            <w:tcW w:w="9067" w:type="dxa"/>
            <w:gridSpan w:val="7"/>
            <w:shd w:val="clear" w:color="auto" w:fill="auto"/>
            <w:vAlign w:val="center"/>
          </w:tcPr>
          <w:p w14:paraId="010D1815" w14:textId="77777777" w:rsidR="001B72D4" w:rsidRPr="00244FB2" w:rsidRDefault="001B72D4" w:rsidP="001B72D4">
            <w:pPr>
              <w:pStyle w:val="TableText"/>
              <w:widowControl w:val="0"/>
              <w:rPr>
                <w:b/>
              </w:rPr>
            </w:pPr>
            <w:r w:rsidRPr="00244FB2">
              <w:rPr>
                <w:b/>
              </w:rPr>
              <w:t>Estimated financial implications</w:t>
            </w:r>
          </w:p>
        </w:tc>
      </w:tr>
      <w:tr w:rsidR="001B72D4" w:rsidRPr="00244FB2" w14:paraId="6C58D6E2" w14:textId="77777777" w:rsidTr="001B72D4">
        <w:tc>
          <w:tcPr>
            <w:tcW w:w="2263" w:type="dxa"/>
            <w:shd w:val="clear" w:color="auto" w:fill="auto"/>
            <w:vAlign w:val="center"/>
          </w:tcPr>
          <w:p w14:paraId="2E847BF1" w14:textId="77777777" w:rsidR="001B72D4" w:rsidRPr="00244FB2" w:rsidRDefault="001B72D4" w:rsidP="001B72D4">
            <w:pPr>
              <w:pStyle w:val="TableText"/>
              <w:widowControl w:val="0"/>
              <w:rPr>
                <w:lang w:eastAsia="en-US"/>
              </w:rPr>
            </w:pPr>
            <w:r w:rsidRPr="00244FB2">
              <w:rPr>
                <w:lang w:eastAsia="en-US"/>
              </w:rPr>
              <w:t xml:space="preserve">Initial year vials of </w:t>
            </w:r>
            <w:proofErr w:type="spellStart"/>
            <w:r w:rsidRPr="00244FB2">
              <w:rPr>
                <w:lang w:eastAsia="en-US"/>
              </w:rPr>
              <w:t>eculizumab</w:t>
            </w:r>
            <w:r w:rsidRPr="00244FB2">
              <w:rPr>
                <w:vertAlign w:val="superscript"/>
                <w:lang w:eastAsia="en-US"/>
              </w:rPr>
              <w:t>a</w:t>
            </w:r>
            <w:proofErr w:type="spellEnd"/>
          </w:p>
        </w:tc>
        <w:tc>
          <w:tcPr>
            <w:tcW w:w="1134" w:type="dxa"/>
            <w:shd w:val="clear" w:color="auto" w:fill="auto"/>
            <w:vAlign w:val="center"/>
          </w:tcPr>
          <w:p w14:paraId="2B939E73"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2</w:t>
            </w:r>
          </w:p>
        </w:tc>
        <w:tc>
          <w:tcPr>
            <w:tcW w:w="1134" w:type="dxa"/>
            <w:shd w:val="clear" w:color="auto" w:fill="auto"/>
            <w:vAlign w:val="center"/>
          </w:tcPr>
          <w:p w14:paraId="593269B5"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2</w:t>
            </w:r>
          </w:p>
        </w:tc>
        <w:tc>
          <w:tcPr>
            <w:tcW w:w="1134" w:type="dxa"/>
            <w:shd w:val="clear" w:color="auto" w:fill="auto"/>
            <w:vAlign w:val="center"/>
          </w:tcPr>
          <w:p w14:paraId="7E0E2CFA"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2</w:t>
            </w:r>
          </w:p>
        </w:tc>
        <w:tc>
          <w:tcPr>
            <w:tcW w:w="1134" w:type="dxa"/>
            <w:shd w:val="clear" w:color="auto" w:fill="auto"/>
            <w:vAlign w:val="center"/>
          </w:tcPr>
          <w:p w14:paraId="00E06610"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2</w:t>
            </w:r>
          </w:p>
        </w:tc>
        <w:tc>
          <w:tcPr>
            <w:tcW w:w="1134" w:type="dxa"/>
            <w:shd w:val="clear" w:color="auto" w:fill="auto"/>
            <w:vAlign w:val="center"/>
          </w:tcPr>
          <w:p w14:paraId="3BB83560"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2</w:t>
            </w:r>
          </w:p>
        </w:tc>
        <w:tc>
          <w:tcPr>
            <w:tcW w:w="1134" w:type="dxa"/>
            <w:shd w:val="clear" w:color="auto" w:fill="auto"/>
            <w:vAlign w:val="center"/>
          </w:tcPr>
          <w:p w14:paraId="24E47B3F"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2</w:t>
            </w:r>
          </w:p>
        </w:tc>
      </w:tr>
      <w:tr w:rsidR="001B72D4" w:rsidRPr="00244FB2" w14:paraId="36B8FA83" w14:textId="77777777" w:rsidTr="001B72D4">
        <w:tc>
          <w:tcPr>
            <w:tcW w:w="2263" w:type="dxa"/>
            <w:shd w:val="clear" w:color="auto" w:fill="auto"/>
            <w:vAlign w:val="center"/>
          </w:tcPr>
          <w:p w14:paraId="27388261" w14:textId="77777777" w:rsidR="001B72D4" w:rsidRPr="00244FB2" w:rsidRDefault="001B72D4" w:rsidP="001B72D4">
            <w:pPr>
              <w:pStyle w:val="TableText"/>
              <w:widowControl w:val="0"/>
              <w:rPr>
                <w:lang w:eastAsia="en-US"/>
              </w:rPr>
            </w:pPr>
            <w:r w:rsidRPr="00244FB2">
              <w:rPr>
                <w:lang w:eastAsia="en-US"/>
              </w:rPr>
              <w:t xml:space="preserve">Continuing year vials of </w:t>
            </w:r>
            <w:proofErr w:type="spellStart"/>
            <w:r w:rsidRPr="00244FB2">
              <w:rPr>
                <w:lang w:eastAsia="en-US"/>
              </w:rPr>
              <w:t>eculizumab</w:t>
            </w:r>
            <w:r w:rsidRPr="00244FB2">
              <w:rPr>
                <w:vertAlign w:val="superscript"/>
                <w:lang w:eastAsia="en-US"/>
              </w:rPr>
              <w:t>a</w:t>
            </w:r>
            <w:proofErr w:type="spellEnd"/>
          </w:p>
        </w:tc>
        <w:tc>
          <w:tcPr>
            <w:tcW w:w="1134" w:type="dxa"/>
            <w:shd w:val="clear" w:color="auto" w:fill="auto"/>
            <w:vAlign w:val="center"/>
          </w:tcPr>
          <w:p w14:paraId="3DEE9AD4" w14:textId="77777777" w:rsidR="001B72D4" w:rsidRPr="005266FC" w:rsidRDefault="001B72D4" w:rsidP="001B72D4">
            <w:pPr>
              <w:pStyle w:val="TableText"/>
              <w:widowControl w:val="0"/>
              <w:jc w:val="center"/>
            </w:pPr>
            <w:r w:rsidRPr="00F968FB">
              <w:t>0</w:t>
            </w:r>
          </w:p>
        </w:tc>
        <w:tc>
          <w:tcPr>
            <w:tcW w:w="1134" w:type="dxa"/>
            <w:shd w:val="clear" w:color="auto" w:fill="auto"/>
            <w:vAlign w:val="center"/>
          </w:tcPr>
          <w:p w14:paraId="05B69DD2"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2</w:t>
            </w:r>
          </w:p>
        </w:tc>
        <w:tc>
          <w:tcPr>
            <w:tcW w:w="1134" w:type="dxa"/>
            <w:shd w:val="clear" w:color="auto" w:fill="auto"/>
            <w:vAlign w:val="center"/>
          </w:tcPr>
          <w:p w14:paraId="49D13CDB"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2</w:t>
            </w:r>
          </w:p>
        </w:tc>
        <w:tc>
          <w:tcPr>
            <w:tcW w:w="1134" w:type="dxa"/>
            <w:shd w:val="clear" w:color="auto" w:fill="auto"/>
            <w:vAlign w:val="center"/>
          </w:tcPr>
          <w:p w14:paraId="7B1886E8" w14:textId="77777777" w:rsidR="001B72D4" w:rsidRPr="005266FC" w:rsidRDefault="005266FC" w:rsidP="001B72D4">
            <w:pPr>
              <w:pStyle w:val="TableText"/>
              <w:widowControl w:val="0"/>
              <w:jc w:val="center"/>
              <w:rPr>
                <w:vertAlign w:val="superscript"/>
              </w:rPr>
            </w:pPr>
            <w:r>
              <w:rPr>
                <w:noProof/>
                <w:color w:val="000000"/>
                <w:highlight w:val="black"/>
              </w:rPr>
              <w:t>'''''''''''''</w:t>
            </w:r>
            <w:r w:rsidR="00F968FB" w:rsidRPr="00F968FB">
              <w:rPr>
                <w:vertAlign w:val="superscript"/>
              </w:rPr>
              <w:t>3</w:t>
            </w:r>
          </w:p>
        </w:tc>
        <w:tc>
          <w:tcPr>
            <w:tcW w:w="1134" w:type="dxa"/>
            <w:shd w:val="clear" w:color="auto" w:fill="auto"/>
            <w:vAlign w:val="center"/>
          </w:tcPr>
          <w:p w14:paraId="76FC5AF4" w14:textId="77777777" w:rsidR="001B72D4" w:rsidRPr="005266FC" w:rsidRDefault="005266FC" w:rsidP="001B72D4">
            <w:pPr>
              <w:pStyle w:val="TableText"/>
              <w:widowControl w:val="0"/>
              <w:jc w:val="center"/>
            </w:pPr>
            <w:r>
              <w:rPr>
                <w:noProof/>
                <w:color w:val="000000"/>
                <w:highlight w:val="black"/>
              </w:rPr>
              <w:t>''''''''''''''</w:t>
            </w:r>
            <w:r w:rsidR="00F968FB" w:rsidRPr="00F968FB">
              <w:rPr>
                <w:vertAlign w:val="superscript"/>
              </w:rPr>
              <w:t>3</w:t>
            </w:r>
          </w:p>
        </w:tc>
        <w:tc>
          <w:tcPr>
            <w:tcW w:w="1134" w:type="dxa"/>
            <w:shd w:val="clear" w:color="auto" w:fill="auto"/>
            <w:vAlign w:val="center"/>
          </w:tcPr>
          <w:p w14:paraId="4A3A3967" w14:textId="77777777" w:rsidR="001B72D4" w:rsidRPr="005266FC" w:rsidRDefault="005266FC" w:rsidP="001B72D4">
            <w:pPr>
              <w:pStyle w:val="TableText"/>
              <w:widowControl w:val="0"/>
              <w:jc w:val="center"/>
            </w:pPr>
            <w:r>
              <w:rPr>
                <w:noProof/>
                <w:color w:val="000000"/>
                <w:highlight w:val="black"/>
              </w:rPr>
              <w:t>'''''''''''''</w:t>
            </w:r>
            <w:r w:rsidR="00F968FB" w:rsidRPr="00F968FB">
              <w:rPr>
                <w:vertAlign w:val="superscript"/>
              </w:rPr>
              <w:t>3</w:t>
            </w:r>
          </w:p>
        </w:tc>
      </w:tr>
      <w:tr w:rsidR="001B72D4" w:rsidRPr="00244FB2" w14:paraId="5EB65D6D" w14:textId="77777777" w:rsidTr="001B72D4">
        <w:tc>
          <w:tcPr>
            <w:tcW w:w="2263" w:type="dxa"/>
            <w:shd w:val="clear" w:color="auto" w:fill="auto"/>
            <w:vAlign w:val="center"/>
          </w:tcPr>
          <w:p w14:paraId="716F421D" w14:textId="77777777" w:rsidR="001B72D4" w:rsidRPr="00244FB2" w:rsidRDefault="001B72D4" w:rsidP="001B72D4">
            <w:pPr>
              <w:pStyle w:val="TableText"/>
              <w:widowControl w:val="0"/>
              <w:rPr>
                <w:lang w:eastAsia="en-US"/>
              </w:rPr>
            </w:pPr>
            <w:r w:rsidRPr="00244FB2">
              <w:rPr>
                <w:lang w:eastAsia="en-US"/>
              </w:rPr>
              <w:t xml:space="preserve">Total cost of </w:t>
            </w:r>
            <w:proofErr w:type="spellStart"/>
            <w:r w:rsidRPr="00244FB2">
              <w:rPr>
                <w:lang w:eastAsia="en-US"/>
              </w:rPr>
              <w:t>eculizumab</w:t>
            </w:r>
            <w:proofErr w:type="spellEnd"/>
          </w:p>
        </w:tc>
        <w:tc>
          <w:tcPr>
            <w:tcW w:w="1134" w:type="dxa"/>
            <w:shd w:val="clear" w:color="auto" w:fill="auto"/>
            <w:vAlign w:val="center"/>
          </w:tcPr>
          <w:p w14:paraId="54483A29"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4</w:t>
            </w:r>
          </w:p>
        </w:tc>
        <w:tc>
          <w:tcPr>
            <w:tcW w:w="1134" w:type="dxa"/>
            <w:shd w:val="clear" w:color="auto" w:fill="auto"/>
            <w:vAlign w:val="center"/>
          </w:tcPr>
          <w:p w14:paraId="71EC18D3"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5</w:t>
            </w:r>
          </w:p>
        </w:tc>
        <w:tc>
          <w:tcPr>
            <w:tcW w:w="1134" w:type="dxa"/>
            <w:shd w:val="clear" w:color="auto" w:fill="auto"/>
            <w:vAlign w:val="center"/>
          </w:tcPr>
          <w:p w14:paraId="09814001"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6</w:t>
            </w:r>
          </w:p>
        </w:tc>
        <w:tc>
          <w:tcPr>
            <w:tcW w:w="1134" w:type="dxa"/>
            <w:shd w:val="clear" w:color="auto" w:fill="auto"/>
            <w:vAlign w:val="center"/>
          </w:tcPr>
          <w:p w14:paraId="3E8128D3"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7</w:t>
            </w:r>
          </w:p>
        </w:tc>
        <w:tc>
          <w:tcPr>
            <w:tcW w:w="1134" w:type="dxa"/>
            <w:shd w:val="clear" w:color="auto" w:fill="auto"/>
            <w:vAlign w:val="center"/>
          </w:tcPr>
          <w:p w14:paraId="7C0804E9"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7</w:t>
            </w:r>
          </w:p>
        </w:tc>
        <w:tc>
          <w:tcPr>
            <w:tcW w:w="1134" w:type="dxa"/>
            <w:shd w:val="clear" w:color="auto" w:fill="auto"/>
            <w:vAlign w:val="center"/>
          </w:tcPr>
          <w:p w14:paraId="5AB14BD0" w14:textId="77777777" w:rsidR="001B72D4" w:rsidRPr="005266FC" w:rsidRDefault="005266FC" w:rsidP="001B72D4">
            <w:pPr>
              <w:pStyle w:val="TableText"/>
              <w:widowControl w:val="0"/>
              <w:jc w:val="center"/>
            </w:pPr>
            <w:r>
              <w:rPr>
                <w:noProof/>
                <w:color w:val="000000"/>
                <w:highlight w:val="black"/>
              </w:rPr>
              <w:t>''''''''''''''''''''''''''''</w:t>
            </w:r>
            <w:r w:rsidR="00F968FB">
              <w:rPr>
                <w:vertAlign w:val="superscript"/>
                <w:lang w:eastAsia="en-US"/>
              </w:rPr>
              <w:t>8</w:t>
            </w:r>
          </w:p>
        </w:tc>
      </w:tr>
      <w:tr w:rsidR="001B72D4" w:rsidRPr="00244FB2" w14:paraId="52658D24" w14:textId="77777777" w:rsidTr="001B72D4">
        <w:tc>
          <w:tcPr>
            <w:tcW w:w="2263" w:type="dxa"/>
            <w:shd w:val="clear" w:color="auto" w:fill="auto"/>
            <w:vAlign w:val="center"/>
          </w:tcPr>
          <w:p w14:paraId="152B09E6" w14:textId="77777777" w:rsidR="001B72D4" w:rsidRPr="00244FB2" w:rsidRDefault="001B72D4" w:rsidP="001B72D4">
            <w:pPr>
              <w:pStyle w:val="TableText"/>
              <w:widowControl w:val="0"/>
              <w:rPr>
                <w:lang w:eastAsia="en-US"/>
              </w:rPr>
            </w:pPr>
            <w:r w:rsidRPr="00244FB2">
              <w:rPr>
                <w:lang w:eastAsia="en-US"/>
              </w:rPr>
              <w:t>Patient co-pay</w:t>
            </w:r>
          </w:p>
        </w:tc>
        <w:tc>
          <w:tcPr>
            <w:tcW w:w="1134" w:type="dxa"/>
            <w:shd w:val="clear" w:color="auto" w:fill="auto"/>
            <w:vAlign w:val="center"/>
          </w:tcPr>
          <w:p w14:paraId="2F27743A"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17A2AD57"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56E09508"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00C2371E"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35C919E5"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7EF32F2B"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r>
      <w:tr w:rsidR="001B72D4" w:rsidRPr="00244FB2" w14:paraId="37009C4A" w14:textId="77777777" w:rsidTr="001B72D4">
        <w:tc>
          <w:tcPr>
            <w:tcW w:w="2263" w:type="dxa"/>
            <w:shd w:val="clear" w:color="auto" w:fill="auto"/>
            <w:vAlign w:val="center"/>
          </w:tcPr>
          <w:p w14:paraId="1CE4761F" w14:textId="77777777" w:rsidR="001B72D4" w:rsidRPr="00244FB2" w:rsidRDefault="001B72D4" w:rsidP="001B72D4">
            <w:pPr>
              <w:pStyle w:val="TableText"/>
              <w:widowControl w:val="0"/>
              <w:rPr>
                <w:b/>
                <w:lang w:eastAsia="en-US"/>
              </w:rPr>
            </w:pPr>
            <w:r w:rsidRPr="00244FB2">
              <w:rPr>
                <w:b/>
                <w:lang w:eastAsia="en-US"/>
              </w:rPr>
              <w:t xml:space="preserve">Net cost to PBS </w:t>
            </w:r>
          </w:p>
        </w:tc>
        <w:tc>
          <w:tcPr>
            <w:tcW w:w="1134" w:type="dxa"/>
            <w:shd w:val="clear" w:color="auto" w:fill="auto"/>
            <w:vAlign w:val="center"/>
          </w:tcPr>
          <w:p w14:paraId="03944727" w14:textId="77777777" w:rsidR="001B72D4" w:rsidRPr="005266FC" w:rsidRDefault="005266FC" w:rsidP="001B72D4">
            <w:pPr>
              <w:pStyle w:val="TableText"/>
              <w:widowControl w:val="0"/>
              <w:jc w:val="center"/>
              <w:rPr>
                <w:b/>
              </w:rPr>
            </w:pPr>
            <w:r>
              <w:rPr>
                <w:b/>
                <w:noProof/>
                <w:color w:val="000000"/>
                <w:highlight w:val="black"/>
              </w:rPr>
              <w:t>''''''''''''''''''''''</w:t>
            </w:r>
            <w:r w:rsidR="00F17321">
              <w:rPr>
                <w:vertAlign w:val="superscript"/>
                <w:lang w:eastAsia="en-US"/>
              </w:rPr>
              <w:t>4</w:t>
            </w:r>
          </w:p>
        </w:tc>
        <w:tc>
          <w:tcPr>
            <w:tcW w:w="1134" w:type="dxa"/>
            <w:shd w:val="clear" w:color="auto" w:fill="auto"/>
            <w:vAlign w:val="center"/>
          </w:tcPr>
          <w:p w14:paraId="6A7A4602" w14:textId="77777777" w:rsidR="001B72D4" w:rsidRPr="005266FC" w:rsidRDefault="005266FC" w:rsidP="001B72D4">
            <w:pPr>
              <w:pStyle w:val="TableText"/>
              <w:widowControl w:val="0"/>
              <w:jc w:val="center"/>
              <w:rPr>
                <w:b/>
              </w:rPr>
            </w:pPr>
            <w:r>
              <w:rPr>
                <w:b/>
                <w:noProof/>
                <w:color w:val="000000"/>
                <w:highlight w:val="black"/>
              </w:rPr>
              <w:t>''''''''''''''''''''''''</w:t>
            </w:r>
            <w:r w:rsidR="00F17321">
              <w:rPr>
                <w:vertAlign w:val="superscript"/>
                <w:lang w:eastAsia="en-US"/>
              </w:rPr>
              <w:t>5</w:t>
            </w:r>
          </w:p>
        </w:tc>
        <w:tc>
          <w:tcPr>
            <w:tcW w:w="1134" w:type="dxa"/>
            <w:shd w:val="clear" w:color="auto" w:fill="auto"/>
            <w:vAlign w:val="center"/>
          </w:tcPr>
          <w:p w14:paraId="6FDCA652" w14:textId="77777777" w:rsidR="001B72D4" w:rsidRPr="005266FC" w:rsidRDefault="005266FC" w:rsidP="001B72D4">
            <w:pPr>
              <w:pStyle w:val="TableText"/>
              <w:widowControl w:val="0"/>
              <w:jc w:val="center"/>
              <w:rPr>
                <w:b/>
              </w:rPr>
            </w:pPr>
            <w:r>
              <w:rPr>
                <w:b/>
                <w:noProof/>
                <w:color w:val="000000"/>
                <w:highlight w:val="black"/>
              </w:rPr>
              <w:t>''''''''''''''''''''''''''</w:t>
            </w:r>
            <w:r w:rsidR="00F17321">
              <w:rPr>
                <w:vertAlign w:val="superscript"/>
                <w:lang w:eastAsia="en-US"/>
              </w:rPr>
              <w:t>6</w:t>
            </w:r>
          </w:p>
        </w:tc>
        <w:tc>
          <w:tcPr>
            <w:tcW w:w="1134" w:type="dxa"/>
            <w:shd w:val="clear" w:color="auto" w:fill="auto"/>
            <w:vAlign w:val="center"/>
          </w:tcPr>
          <w:p w14:paraId="7EE591B2" w14:textId="77777777" w:rsidR="001B72D4" w:rsidRPr="005266FC" w:rsidRDefault="005266FC" w:rsidP="001B72D4">
            <w:pPr>
              <w:pStyle w:val="TableText"/>
              <w:widowControl w:val="0"/>
              <w:jc w:val="center"/>
              <w:rPr>
                <w:b/>
              </w:rPr>
            </w:pPr>
            <w:r>
              <w:rPr>
                <w:b/>
                <w:noProof/>
                <w:color w:val="000000"/>
                <w:highlight w:val="black"/>
              </w:rPr>
              <w:t>''''''''''''''''''''''''</w:t>
            </w:r>
            <w:r w:rsidR="00F17321">
              <w:rPr>
                <w:vertAlign w:val="superscript"/>
                <w:lang w:eastAsia="en-US"/>
              </w:rPr>
              <w:t>7</w:t>
            </w:r>
          </w:p>
        </w:tc>
        <w:tc>
          <w:tcPr>
            <w:tcW w:w="1134" w:type="dxa"/>
            <w:shd w:val="clear" w:color="auto" w:fill="auto"/>
            <w:vAlign w:val="center"/>
          </w:tcPr>
          <w:p w14:paraId="481347E2" w14:textId="77777777" w:rsidR="001B72D4" w:rsidRPr="005266FC" w:rsidRDefault="005266FC" w:rsidP="001B72D4">
            <w:pPr>
              <w:pStyle w:val="TableText"/>
              <w:widowControl w:val="0"/>
              <w:jc w:val="center"/>
              <w:rPr>
                <w:b/>
              </w:rPr>
            </w:pPr>
            <w:r>
              <w:rPr>
                <w:b/>
                <w:noProof/>
                <w:color w:val="000000"/>
                <w:highlight w:val="black"/>
              </w:rPr>
              <w:t>'''''''''''''''''''''''</w:t>
            </w:r>
            <w:r w:rsidR="00F17321">
              <w:rPr>
                <w:vertAlign w:val="superscript"/>
                <w:lang w:eastAsia="en-US"/>
              </w:rPr>
              <w:t>7</w:t>
            </w:r>
          </w:p>
        </w:tc>
        <w:tc>
          <w:tcPr>
            <w:tcW w:w="1134" w:type="dxa"/>
            <w:shd w:val="clear" w:color="auto" w:fill="auto"/>
            <w:vAlign w:val="center"/>
          </w:tcPr>
          <w:p w14:paraId="26B98A6F" w14:textId="77777777" w:rsidR="001B72D4" w:rsidRPr="005266FC" w:rsidRDefault="005266FC" w:rsidP="001B72D4">
            <w:pPr>
              <w:pStyle w:val="TableText"/>
              <w:widowControl w:val="0"/>
              <w:jc w:val="center"/>
              <w:rPr>
                <w:b/>
              </w:rPr>
            </w:pPr>
            <w:r>
              <w:rPr>
                <w:b/>
                <w:noProof/>
                <w:color w:val="000000"/>
                <w:highlight w:val="black"/>
              </w:rPr>
              <w:t>'''''''''''''''''''''''''</w:t>
            </w:r>
            <w:r w:rsidR="00F17321">
              <w:rPr>
                <w:vertAlign w:val="superscript"/>
                <w:lang w:eastAsia="en-US"/>
              </w:rPr>
              <w:t>8</w:t>
            </w:r>
          </w:p>
        </w:tc>
      </w:tr>
      <w:tr w:rsidR="001B72D4" w:rsidRPr="00244FB2" w14:paraId="2AAFA5C9" w14:textId="77777777" w:rsidTr="001B72D4">
        <w:tc>
          <w:tcPr>
            <w:tcW w:w="2263" w:type="dxa"/>
            <w:shd w:val="clear" w:color="auto" w:fill="auto"/>
            <w:vAlign w:val="center"/>
          </w:tcPr>
          <w:p w14:paraId="2D78A62A" w14:textId="77777777" w:rsidR="001B72D4" w:rsidRPr="00244FB2" w:rsidRDefault="001B72D4" w:rsidP="001B72D4">
            <w:pPr>
              <w:pStyle w:val="TableText"/>
              <w:widowControl w:val="0"/>
              <w:rPr>
                <w:lang w:eastAsia="en-US"/>
              </w:rPr>
            </w:pPr>
            <w:r w:rsidRPr="00244FB2">
              <w:rPr>
                <w:lang w:eastAsia="en-US"/>
              </w:rPr>
              <w:t xml:space="preserve">Cost to MBS </w:t>
            </w:r>
          </w:p>
        </w:tc>
        <w:tc>
          <w:tcPr>
            <w:tcW w:w="1134" w:type="dxa"/>
            <w:shd w:val="clear" w:color="auto" w:fill="auto"/>
            <w:vAlign w:val="center"/>
          </w:tcPr>
          <w:p w14:paraId="088B6696"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66EB4D59"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6C034CC2"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55A4B13A"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2A2FD690"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c>
          <w:tcPr>
            <w:tcW w:w="1134" w:type="dxa"/>
            <w:shd w:val="clear" w:color="auto" w:fill="auto"/>
            <w:vAlign w:val="center"/>
          </w:tcPr>
          <w:p w14:paraId="084719A6" w14:textId="77777777" w:rsidR="001B72D4" w:rsidRPr="005266FC" w:rsidRDefault="005266FC" w:rsidP="001B72D4">
            <w:pPr>
              <w:pStyle w:val="TableText"/>
              <w:widowControl w:val="0"/>
              <w:jc w:val="center"/>
            </w:pPr>
            <w:r>
              <w:rPr>
                <w:noProof/>
                <w:color w:val="000000"/>
                <w:highlight w:val="black"/>
              </w:rPr>
              <w:t>''''''''''''''''''''</w:t>
            </w:r>
            <w:r w:rsidR="00F17321">
              <w:rPr>
                <w:vertAlign w:val="superscript"/>
                <w:lang w:eastAsia="en-US"/>
              </w:rPr>
              <w:t>9</w:t>
            </w:r>
          </w:p>
        </w:tc>
      </w:tr>
      <w:tr w:rsidR="001B72D4" w:rsidRPr="00244FB2" w14:paraId="13F0C24C" w14:textId="77777777" w:rsidTr="001B72D4">
        <w:tc>
          <w:tcPr>
            <w:tcW w:w="2263" w:type="dxa"/>
            <w:shd w:val="clear" w:color="auto" w:fill="auto"/>
            <w:vAlign w:val="center"/>
          </w:tcPr>
          <w:p w14:paraId="2F77D781" w14:textId="77777777" w:rsidR="001B72D4" w:rsidRPr="00244FB2" w:rsidRDefault="001B72D4" w:rsidP="001B72D4">
            <w:pPr>
              <w:pStyle w:val="TableText"/>
              <w:widowControl w:val="0"/>
              <w:rPr>
                <w:lang w:eastAsia="en-US"/>
              </w:rPr>
            </w:pPr>
            <w:r w:rsidRPr="00244FB2">
              <w:rPr>
                <w:b/>
                <w:lang w:eastAsia="en-US"/>
              </w:rPr>
              <w:t>Net cost to Government</w:t>
            </w:r>
          </w:p>
        </w:tc>
        <w:tc>
          <w:tcPr>
            <w:tcW w:w="1134" w:type="dxa"/>
            <w:shd w:val="clear" w:color="auto" w:fill="auto"/>
            <w:vAlign w:val="center"/>
          </w:tcPr>
          <w:p w14:paraId="23932E48" w14:textId="77777777" w:rsidR="001B72D4" w:rsidRPr="005266FC" w:rsidRDefault="005266FC" w:rsidP="001B72D4">
            <w:pPr>
              <w:pStyle w:val="TableText"/>
              <w:widowControl w:val="0"/>
              <w:jc w:val="center"/>
            </w:pPr>
            <w:r>
              <w:rPr>
                <w:b/>
                <w:noProof/>
                <w:color w:val="000000"/>
                <w:highlight w:val="black"/>
              </w:rPr>
              <w:t>''''''''''''''''''''''''</w:t>
            </w:r>
            <w:r w:rsidR="00F17321">
              <w:rPr>
                <w:vertAlign w:val="superscript"/>
                <w:lang w:eastAsia="en-US"/>
              </w:rPr>
              <w:t>4</w:t>
            </w:r>
          </w:p>
        </w:tc>
        <w:tc>
          <w:tcPr>
            <w:tcW w:w="1134" w:type="dxa"/>
            <w:shd w:val="clear" w:color="auto" w:fill="auto"/>
            <w:vAlign w:val="center"/>
          </w:tcPr>
          <w:p w14:paraId="60633F65" w14:textId="77777777" w:rsidR="001B72D4" w:rsidRPr="005266FC" w:rsidRDefault="005266FC" w:rsidP="001B72D4">
            <w:pPr>
              <w:pStyle w:val="TableText"/>
              <w:widowControl w:val="0"/>
              <w:jc w:val="center"/>
            </w:pPr>
            <w:r>
              <w:rPr>
                <w:b/>
                <w:noProof/>
                <w:color w:val="000000"/>
                <w:highlight w:val="black"/>
              </w:rPr>
              <w:t>'''''''''''''''''''''''''</w:t>
            </w:r>
            <w:r w:rsidR="00F17321">
              <w:rPr>
                <w:vertAlign w:val="superscript"/>
                <w:lang w:eastAsia="en-US"/>
              </w:rPr>
              <w:t>5</w:t>
            </w:r>
          </w:p>
        </w:tc>
        <w:tc>
          <w:tcPr>
            <w:tcW w:w="1134" w:type="dxa"/>
            <w:shd w:val="clear" w:color="auto" w:fill="auto"/>
            <w:vAlign w:val="center"/>
          </w:tcPr>
          <w:p w14:paraId="5A83EB38" w14:textId="77777777" w:rsidR="001B72D4" w:rsidRPr="005266FC" w:rsidRDefault="005266FC" w:rsidP="001B72D4">
            <w:pPr>
              <w:pStyle w:val="TableText"/>
              <w:widowControl w:val="0"/>
              <w:jc w:val="center"/>
            </w:pPr>
            <w:r>
              <w:rPr>
                <w:b/>
                <w:noProof/>
                <w:color w:val="000000"/>
                <w:highlight w:val="black"/>
              </w:rPr>
              <w:t>''''''''''''''''''''''</w:t>
            </w:r>
            <w:r w:rsidR="00F17321">
              <w:rPr>
                <w:vertAlign w:val="superscript"/>
                <w:lang w:eastAsia="en-US"/>
              </w:rPr>
              <w:t>6</w:t>
            </w:r>
          </w:p>
        </w:tc>
        <w:tc>
          <w:tcPr>
            <w:tcW w:w="1134" w:type="dxa"/>
            <w:shd w:val="clear" w:color="auto" w:fill="auto"/>
            <w:vAlign w:val="center"/>
          </w:tcPr>
          <w:p w14:paraId="11E3A1E8" w14:textId="77777777" w:rsidR="001B72D4" w:rsidRPr="005266FC" w:rsidRDefault="005266FC" w:rsidP="001B72D4">
            <w:pPr>
              <w:pStyle w:val="TableText"/>
              <w:widowControl w:val="0"/>
              <w:jc w:val="center"/>
            </w:pPr>
            <w:r>
              <w:rPr>
                <w:b/>
                <w:noProof/>
                <w:color w:val="000000"/>
                <w:highlight w:val="black"/>
              </w:rPr>
              <w:t>'''''''''''''''''''''</w:t>
            </w:r>
            <w:r w:rsidR="00F17321">
              <w:rPr>
                <w:vertAlign w:val="superscript"/>
                <w:lang w:eastAsia="en-US"/>
              </w:rPr>
              <w:t>7</w:t>
            </w:r>
          </w:p>
        </w:tc>
        <w:tc>
          <w:tcPr>
            <w:tcW w:w="1134" w:type="dxa"/>
            <w:shd w:val="clear" w:color="auto" w:fill="auto"/>
            <w:vAlign w:val="center"/>
          </w:tcPr>
          <w:p w14:paraId="64C6FD99" w14:textId="77777777" w:rsidR="001B72D4" w:rsidRPr="005266FC" w:rsidRDefault="005266FC" w:rsidP="001B72D4">
            <w:pPr>
              <w:pStyle w:val="TableText"/>
              <w:widowControl w:val="0"/>
              <w:jc w:val="center"/>
            </w:pPr>
            <w:r>
              <w:rPr>
                <w:b/>
                <w:noProof/>
                <w:color w:val="000000"/>
                <w:highlight w:val="black"/>
              </w:rPr>
              <w:t>'''''''''''''''''''''''</w:t>
            </w:r>
            <w:r w:rsidR="00F17321">
              <w:rPr>
                <w:vertAlign w:val="superscript"/>
                <w:lang w:eastAsia="en-US"/>
              </w:rPr>
              <w:t>7</w:t>
            </w:r>
          </w:p>
        </w:tc>
        <w:tc>
          <w:tcPr>
            <w:tcW w:w="1134" w:type="dxa"/>
            <w:shd w:val="clear" w:color="auto" w:fill="auto"/>
            <w:vAlign w:val="center"/>
          </w:tcPr>
          <w:p w14:paraId="40FBB8E3" w14:textId="77777777" w:rsidR="001B72D4" w:rsidRPr="005266FC" w:rsidRDefault="005266FC" w:rsidP="001B72D4">
            <w:pPr>
              <w:pStyle w:val="TableText"/>
              <w:widowControl w:val="0"/>
              <w:jc w:val="center"/>
            </w:pPr>
            <w:r>
              <w:rPr>
                <w:b/>
                <w:noProof/>
                <w:color w:val="000000"/>
                <w:highlight w:val="black"/>
              </w:rPr>
              <w:t>''''''''''''''''''''''''''</w:t>
            </w:r>
            <w:r w:rsidR="00F17321">
              <w:rPr>
                <w:vertAlign w:val="superscript"/>
                <w:lang w:eastAsia="en-US"/>
              </w:rPr>
              <w:t>8</w:t>
            </w:r>
          </w:p>
        </w:tc>
      </w:tr>
    </w:tbl>
    <w:p w14:paraId="165A8B52" w14:textId="77777777" w:rsidR="001B72D4" w:rsidRPr="00244FB2" w:rsidRDefault="001B72D4" w:rsidP="001B72D4">
      <w:pPr>
        <w:widowControl w:val="0"/>
        <w:spacing w:after="120"/>
        <w:contextualSpacing/>
        <w:rPr>
          <w:rFonts w:ascii="Arial Narrow" w:hAnsi="Arial Narrow"/>
          <w:snapToGrid w:val="0"/>
          <w:sz w:val="18"/>
          <w:szCs w:val="22"/>
          <w:lang w:eastAsia="en-US"/>
        </w:rPr>
      </w:pPr>
      <w:r w:rsidRPr="00244FB2">
        <w:rPr>
          <w:rFonts w:ascii="Arial Narrow" w:hAnsi="Arial Narrow"/>
          <w:snapToGrid w:val="0"/>
          <w:sz w:val="18"/>
          <w:szCs w:val="22"/>
          <w:lang w:eastAsia="en-US"/>
        </w:rPr>
        <w:t>Source: Table 4-3 (p 166), Table 4-4 (p 168), Table 4-5 (p 168), Table 4-8 (p 171), Table 4-9 (p 173) of the submission; ‘ECU_Section4_BIM’ Excel workbook of the submission</w:t>
      </w:r>
    </w:p>
    <w:p w14:paraId="2A9F74A0" w14:textId="77777777" w:rsidR="001B72D4" w:rsidRPr="00244FB2" w:rsidRDefault="001B72D4" w:rsidP="001B72D4">
      <w:pPr>
        <w:widowControl w:val="0"/>
        <w:spacing w:after="120"/>
        <w:contextualSpacing/>
        <w:rPr>
          <w:rFonts w:ascii="Arial Narrow" w:hAnsi="Arial Narrow"/>
          <w:snapToGrid w:val="0"/>
          <w:sz w:val="18"/>
          <w:szCs w:val="22"/>
          <w:lang w:eastAsia="en-US"/>
        </w:rPr>
      </w:pPr>
      <w:r w:rsidRPr="00244FB2">
        <w:rPr>
          <w:rFonts w:ascii="Arial Narrow" w:hAnsi="Arial Narrow"/>
          <w:snapToGrid w:val="0"/>
          <w:sz w:val="18"/>
          <w:szCs w:val="22"/>
          <w:lang w:eastAsia="en-US"/>
        </w:rPr>
        <w:t>MBS = Medical Benefits Schedule; PBS = Pharmaceutical Benefits Scheme</w:t>
      </w:r>
    </w:p>
    <w:p w14:paraId="4249DB91" w14:textId="77777777" w:rsidR="001B72D4" w:rsidRPr="00244FB2" w:rsidRDefault="001B72D4" w:rsidP="00F968FB">
      <w:pPr>
        <w:widowControl w:val="0"/>
        <w:rPr>
          <w:rFonts w:ascii="Arial Narrow" w:hAnsi="Arial Narrow"/>
          <w:snapToGrid w:val="0"/>
          <w:sz w:val="18"/>
          <w:szCs w:val="22"/>
          <w:lang w:eastAsia="en-US"/>
        </w:rPr>
      </w:pPr>
      <w:proofErr w:type="gramStart"/>
      <w:r w:rsidRPr="00244FB2">
        <w:rPr>
          <w:rFonts w:ascii="Arial Narrow" w:hAnsi="Arial Narrow"/>
          <w:snapToGrid w:val="0"/>
          <w:sz w:val="18"/>
          <w:szCs w:val="22"/>
          <w:vertAlign w:val="superscript"/>
          <w:lang w:eastAsia="en-US"/>
        </w:rPr>
        <w:t>a</w:t>
      </w:r>
      <w:proofErr w:type="gramEnd"/>
      <w:r w:rsidRPr="00244FB2">
        <w:rPr>
          <w:rFonts w:ascii="Arial Narrow" w:hAnsi="Arial Narrow"/>
          <w:snapToGrid w:val="0"/>
          <w:sz w:val="18"/>
          <w:szCs w:val="22"/>
          <w:vertAlign w:val="superscript"/>
          <w:lang w:eastAsia="en-US"/>
        </w:rPr>
        <w:t xml:space="preserve"> </w:t>
      </w:r>
      <w:r w:rsidRPr="00244FB2">
        <w:rPr>
          <w:rFonts w:ascii="Arial Narrow" w:hAnsi="Arial Narrow"/>
          <w:snapToGrid w:val="0"/>
          <w:sz w:val="18"/>
          <w:szCs w:val="22"/>
          <w:lang w:eastAsia="en-US"/>
        </w:rPr>
        <w:t>Based on 108 vials per patient during the initial year and 104 vials per patient in continuing years</w:t>
      </w:r>
    </w:p>
    <w:p w14:paraId="2679216B" w14:textId="77777777" w:rsidR="00F968FB" w:rsidRDefault="00F968FB" w:rsidP="00F968FB">
      <w:pPr>
        <w:pStyle w:val="TableFigureFooter"/>
        <w:spacing w:after="0"/>
        <w:contextualSpacing w:val="0"/>
        <w:rPr>
          <w:i/>
        </w:rPr>
      </w:pPr>
      <w:r w:rsidRPr="009868C4">
        <w:rPr>
          <w:i/>
        </w:rPr>
        <w:t>The redacted values correspond to the following ranges</w:t>
      </w:r>
      <w:r>
        <w:rPr>
          <w:i/>
        </w:rPr>
        <w:t xml:space="preserve">: </w:t>
      </w:r>
    </w:p>
    <w:p w14:paraId="1003D440" w14:textId="77777777" w:rsidR="00F968FB" w:rsidRDefault="00F968FB" w:rsidP="00F968FB">
      <w:pPr>
        <w:pStyle w:val="TableFigureFooter"/>
        <w:spacing w:after="0"/>
        <w:contextualSpacing w:val="0"/>
        <w:rPr>
          <w:i/>
        </w:rPr>
      </w:pPr>
      <w:r>
        <w:rPr>
          <w:i/>
          <w:vertAlign w:val="superscript"/>
        </w:rPr>
        <w:t>1</w:t>
      </w:r>
      <w:r>
        <w:rPr>
          <w:i/>
        </w:rPr>
        <w:t xml:space="preserve"> </w:t>
      </w:r>
      <w:r w:rsidRPr="00F968FB">
        <w:rPr>
          <w:i/>
        </w:rPr>
        <w:t>&lt; 500</w:t>
      </w:r>
    </w:p>
    <w:p w14:paraId="7DF24E93" w14:textId="77777777" w:rsidR="00F968FB" w:rsidRDefault="00F968FB" w:rsidP="00F968FB">
      <w:pPr>
        <w:pStyle w:val="TableFigureFooter"/>
        <w:spacing w:after="0"/>
        <w:contextualSpacing w:val="0"/>
        <w:rPr>
          <w:i/>
        </w:rPr>
      </w:pPr>
      <w:r>
        <w:rPr>
          <w:i/>
          <w:vertAlign w:val="superscript"/>
        </w:rPr>
        <w:t>2</w:t>
      </w:r>
      <w:r>
        <w:rPr>
          <w:i/>
        </w:rPr>
        <w:t xml:space="preserve"> </w:t>
      </w:r>
      <w:r w:rsidRPr="00F968FB">
        <w:rPr>
          <w:i/>
        </w:rPr>
        <w:t>500 to &lt; 5,000</w:t>
      </w:r>
    </w:p>
    <w:p w14:paraId="53BD4780" w14:textId="77777777" w:rsidR="00F968FB" w:rsidRDefault="00F968FB" w:rsidP="00F968FB">
      <w:pPr>
        <w:pStyle w:val="TableFigureFooter"/>
        <w:spacing w:after="0"/>
        <w:contextualSpacing w:val="0"/>
        <w:rPr>
          <w:i/>
        </w:rPr>
      </w:pPr>
      <w:r>
        <w:rPr>
          <w:i/>
          <w:vertAlign w:val="superscript"/>
        </w:rPr>
        <w:t xml:space="preserve">3 </w:t>
      </w:r>
      <w:r w:rsidRPr="00F968FB">
        <w:rPr>
          <w:i/>
        </w:rPr>
        <w:t>5,000 to &lt; 10,000</w:t>
      </w:r>
    </w:p>
    <w:p w14:paraId="1F6CDB22" w14:textId="77777777" w:rsidR="00F968FB" w:rsidRDefault="00F968FB" w:rsidP="00F968FB">
      <w:pPr>
        <w:pStyle w:val="TableFigureFooter"/>
        <w:spacing w:after="0"/>
        <w:contextualSpacing w:val="0"/>
        <w:rPr>
          <w:i/>
        </w:rPr>
      </w:pPr>
      <w:r>
        <w:rPr>
          <w:i/>
          <w:vertAlign w:val="superscript"/>
        </w:rPr>
        <w:t>4</w:t>
      </w:r>
      <w:r>
        <w:rPr>
          <w:i/>
        </w:rPr>
        <w:t xml:space="preserve"> </w:t>
      </w:r>
      <w:r w:rsidRPr="00F968FB">
        <w:rPr>
          <w:i/>
        </w:rPr>
        <w:t>$10 million to &lt; $20 million</w:t>
      </w:r>
    </w:p>
    <w:p w14:paraId="2E1F74D4" w14:textId="77777777" w:rsidR="00F968FB" w:rsidRDefault="00F968FB" w:rsidP="00F968FB">
      <w:pPr>
        <w:pStyle w:val="TableFigureFooter"/>
        <w:spacing w:after="0"/>
        <w:contextualSpacing w:val="0"/>
        <w:rPr>
          <w:i/>
        </w:rPr>
      </w:pPr>
      <w:r>
        <w:rPr>
          <w:i/>
          <w:vertAlign w:val="superscript"/>
        </w:rPr>
        <w:t xml:space="preserve">5 </w:t>
      </w:r>
      <w:r w:rsidRPr="00F968FB">
        <w:rPr>
          <w:i/>
        </w:rPr>
        <w:t>$20 million to &lt; $30 million</w:t>
      </w:r>
    </w:p>
    <w:p w14:paraId="07D1BBD1" w14:textId="77777777" w:rsidR="00F968FB" w:rsidRPr="00F968FB" w:rsidRDefault="00F968FB" w:rsidP="00F968FB">
      <w:pPr>
        <w:pStyle w:val="TableFigureFooter"/>
        <w:spacing w:after="0"/>
        <w:contextualSpacing w:val="0"/>
        <w:rPr>
          <w:i/>
        </w:rPr>
      </w:pPr>
      <w:r w:rsidRPr="00F968FB">
        <w:rPr>
          <w:i/>
          <w:vertAlign w:val="superscript"/>
        </w:rPr>
        <w:t>6</w:t>
      </w:r>
      <w:r>
        <w:rPr>
          <w:i/>
          <w:vertAlign w:val="superscript"/>
        </w:rPr>
        <w:t xml:space="preserve"> </w:t>
      </w:r>
      <w:r w:rsidRPr="00F968FB">
        <w:rPr>
          <w:i/>
        </w:rPr>
        <w:t>$30 million to &lt; $40 million</w:t>
      </w:r>
    </w:p>
    <w:p w14:paraId="141EE964" w14:textId="77777777" w:rsidR="00F968FB" w:rsidRPr="00F968FB" w:rsidRDefault="00F968FB" w:rsidP="00F968FB">
      <w:pPr>
        <w:pStyle w:val="TableFigureFooter"/>
        <w:rPr>
          <w:i/>
        </w:rPr>
      </w:pPr>
      <w:r>
        <w:rPr>
          <w:i/>
          <w:vertAlign w:val="superscript"/>
        </w:rPr>
        <w:t xml:space="preserve">7 </w:t>
      </w:r>
      <w:r w:rsidRPr="00F968FB">
        <w:rPr>
          <w:i/>
        </w:rPr>
        <w:t>$40 million to &lt; $50 million</w:t>
      </w:r>
    </w:p>
    <w:p w14:paraId="00EC581B" w14:textId="77777777" w:rsidR="00F968FB" w:rsidRDefault="00F968FB" w:rsidP="00F968FB">
      <w:pPr>
        <w:pStyle w:val="TableFigureFooter"/>
        <w:spacing w:after="0"/>
        <w:contextualSpacing w:val="0"/>
        <w:rPr>
          <w:i/>
        </w:rPr>
      </w:pPr>
      <w:r>
        <w:rPr>
          <w:i/>
          <w:vertAlign w:val="superscript"/>
        </w:rPr>
        <w:t xml:space="preserve">8 </w:t>
      </w:r>
      <w:r w:rsidRPr="00F968FB">
        <w:rPr>
          <w:i/>
        </w:rPr>
        <w:t>$50 million to &lt; $60 million</w:t>
      </w:r>
    </w:p>
    <w:p w14:paraId="05FCAED2" w14:textId="77777777" w:rsidR="00F17321" w:rsidRPr="00F17321" w:rsidRDefault="00F17321" w:rsidP="00F968FB">
      <w:pPr>
        <w:pStyle w:val="TableFigureFooter"/>
        <w:spacing w:after="0"/>
        <w:contextualSpacing w:val="0"/>
        <w:rPr>
          <w:i/>
        </w:rPr>
      </w:pPr>
      <w:r>
        <w:rPr>
          <w:i/>
          <w:vertAlign w:val="superscript"/>
        </w:rPr>
        <w:t xml:space="preserve">9 </w:t>
      </w:r>
      <w:r w:rsidRPr="00F17321">
        <w:rPr>
          <w:i/>
        </w:rPr>
        <w:t>$0 to &lt; $10 million</w:t>
      </w:r>
    </w:p>
    <w:p w14:paraId="49CB6BCE" w14:textId="77777777" w:rsidR="00A74D33" w:rsidRPr="00244FB2" w:rsidRDefault="00A74D33" w:rsidP="00C5371E">
      <w:pPr>
        <w:rPr>
          <w:snapToGrid w:val="0"/>
          <w:lang w:eastAsia="en-US"/>
        </w:rPr>
      </w:pPr>
    </w:p>
    <w:p w14:paraId="1BF3A80B" w14:textId="77777777" w:rsidR="00A74D33" w:rsidRPr="00244FB2" w:rsidRDefault="00FD7E18" w:rsidP="00A74D33">
      <w:pPr>
        <w:pStyle w:val="TableFigureCaption"/>
      </w:pPr>
      <w:r>
        <w:t>Table 14</w:t>
      </w:r>
      <w:r w:rsidR="00A74D33" w:rsidRPr="00244FB2">
        <w:t>: Updated estimated use and financial implications presented in the PSCR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9"/>
        <w:gridCol w:w="1701"/>
        <w:gridCol w:w="1276"/>
        <w:gridCol w:w="992"/>
        <w:gridCol w:w="992"/>
        <w:gridCol w:w="992"/>
        <w:gridCol w:w="993"/>
        <w:gridCol w:w="992"/>
        <w:gridCol w:w="992"/>
      </w:tblGrid>
      <w:tr w:rsidR="00716DE9" w:rsidRPr="00244FB2" w14:paraId="3D12BD43" w14:textId="77777777" w:rsidTr="00716DE9">
        <w:trPr>
          <w:tblHeader/>
        </w:trPr>
        <w:tc>
          <w:tcPr>
            <w:tcW w:w="1980" w:type="dxa"/>
            <w:gridSpan w:val="2"/>
          </w:tcPr>
          <w:p w14:paraId="6D827F4A" w14:textId="77777777" w:rsidR="00716DE9" w:rsidRPr="00244FB2" w:rsidRDefault="00716DE9" w:rsidP="00844918">
            <w:pPr>
              <w:pStyle w:val="TableText"/>
              <w:widowControl w:val="0"/>
              <w:rPr>
                <w:b/>
                <w:lang w:eastAsia="en-US"/>
              </w:rPr>
            </w:pPr>
          </w:p>
        </w:tc>
        <w:tc>
          <w:tcPr>
            <w:tcW w:w="1276" w:type="dxa"/>
          </w:tcPr>
          <w:p w14:paraId="425A3D28" w14:textId="77777777" w:rsidR="00716DE9" w:rsidRPr="00244FB2" w:rsidRDefault="00716DE9" w:rsidP="00844918">
            <w:pPr>
              <w:pStyle w:val="TableText"/>
              <w:widowControl w:val="0"/>
              <w:jc w:val="center"/>
              <w:rPr>
                <w:b/>
                <w:lang w:eastAsia="en-US"/>
              </w:rPr>
            </w:pPr>
            <w:r w:rsidRPr="00244FB2">
              <w:rPr>
                <w:b/>
                <w:lang w:eastAsia="en-US"/>
              </w:rPr>
              <w:t>Source</w:t>
            </w:r>
          </w:p>
        </w:tc>
        <w:tc>
          <w:tcPr>
            <w:tcW w:w="992" w:type="dxa"/>
            <w:shd w:val="clear" w:color="auto" w:fill="auto"/>
            <w:vAlign w:val="center"/>
          </w:tcPr>
          <w:p w14:paraId="1AE90A5D" w14:textId="77777777" w:rsidR="00716DE9" w:rsidRPr="00244FB2" w:rsidRDefault="00716DE9" w:rsidP="00844918">
            <w:pPr>
              <w:pStyle w:val="TableText"/>
              <w:widowControl w:val="0"/>
              <w:jc w:val="center"/>
              <w:rPr>
                <w:b/>
                <w:lang w:eastAsia="en-US"/>
              </w:rPr>
            </w:pPr>
            <w:r w:rsidRPr="00244FB2">
              <w:rPr>
                <w:b/>
                <w:lang w:eastAsia="en-US"/>
              </w:rPr>
              <w:t>Year 1</w:t>
            </w:r>
          </w:p>
        </w:tc>
        <w:tc>
          <w:tcPr>
            <w:tcW w:w="992" w:type="dxa"/>
            <w:shd w:val="clear" w:color="auto" w:fill="auto"/>
            <w:vAlign w:val="center"/>
          </w:tcPr>
          <w:p w14:paraId="793F5BA9" w14:textId="77777777" w:rsidR="00716DE9" w:rsidRPr="00244FB2" w:rsidRDefault="00716DE9" w:rsidP="00844918">
            <w:pPr>
              <w:pStyle w:val="TableText"/>
              <w:widowControl w:val="0"/>
              <w:jc w:val="center"/>
              <w:rPr>
                <w:b/>
                <w:lang w:eastAsia="en-US"/>
              </w:rPr>
            </w:pPr>
            <w:r w:rsidRPr="00244FB2">
              <w:rPr>
                <w:b/>
                <w:lang w:eastAsia="en-US"/>
              </w:rPr>
              <w:t>Year 2</w:t>
            </w:r>
          </w:p>
        </w:tc>
        <w:tc>
          <w:tcPr>
            <w:tcW w:w="992" w:type="dxa"/>
            <w:shd w:val="clear" w:color="auto" w:fill="auto"/>
            <w:vAlign w:val="center"/>
          </w:tcPr>
          <w:p w14:paraId="0EAC6659" w14:textId="77777777" w:rsidR="00716DE9" w:rsidRPr="00244FB2" w:rsidRDefault="00716DE9" w:rsidP="00844918">
            <w:pPr>
              <w:pStyle w:val="TableText"/>
              <w:widowControl w:val="0"/>
              <w:jc w:val="center"/>
              <w:rPr>
                <w:b/>
                <w:lang w:eastAsia="en-US"/>
              </w:rPr>
            </w:pPr>
            <w:r w:rsidRPr="00244FB2">
              <w:rPr>
                <w:b/>
                <w:lang w:eastAsia="en-US"/>
              </w:rPr>
              <w:t>Year 3</w:t>
            </w:r>
          </w:p>
        </w:tc>
        <w:tc>
          <w:tcPr>
            <w:tcW w:w="993" w:type="dxa"/>
            <w:shd w:val="clear" w:color="auto" w:fill="auto"/>
            <w:vAlign w:val="center"/>
          </w:tcPr>
          <w:p w14:paraId="06DF12DE" w14:textId="77777777" w:rsidR="00716DE9" w:rsidRPr="00244FB2" w:rsidRDefault="00716DE9" w:rsidP="00844918">
            <w:pPr>
              <w:pStyle w:val="TableText"/>
              <w:widowControl w:val="0"/>
              <w:jc w:val="center"/>
              <w:rPr>
                <w:b/>
                <w:lang w:eastAsia="en-US"/>
              </w:rPr>
            </w:pPr>
            <w:r w:rsidRPr="00244FB2">
              <w:rPr>
                <w:b/>
                <w:lang w:eastAsia="en-US"/>
              </w:rPr>
              <w:t>Year 4</w:t>
            </w:r>
          </w:p>
        </w:tc>
        <w:tc>
          <w:tcPr>
            <w:tcW w:w="992" w:type="dxa"/>
            <w:shd w:val="clear" w:color="auto" w:fill="auto"/>
            <w:vAlign w:val="center"/>
          </w:tcPr>
          <w:p w14:paraId="36E37A68" w14:textId="77777777" w:rsidR="00716DE9" w:rsidRPr="00244FB2" w:rsidRDefault="00716DE9" w:rsidP="00844918">
            <w:pPr>
              <w:pStyle w:val="TableText"/>
              <w:widowControl w:val="0"/>
              <w:jc w:val="center"/>
              <w:rPr>
                <w:b/>
                <w:lang w:eastAsia="en-US"/>
              </w:rPr>
            </w:pPr>
            <w:r w:rsidRPr="00244FB2">
              <w:rPr>
                <w:b/>
                <w:lang w:eastAsia="en-US"/>
              </w:rPr>
              <w:t>Year 5</w:t>
            </w:r>
          </w:p>
        </w:tc>
        <w:tc>
          <w:tcPr>
            <w:tcW w:w="992" w:type="dxa"/>
            <w:shd w:val="clear" w:color="auto" w:fill="auto"/>
            <w:vAlign w:val="center"/>
          </w:tcPr>
          <w:p w14:paraId="4FDBC49E" w14:textId="77777777" w:rsidR="00716DE9" w:rsidRPr="00244FB2" w:rsidRDefault="00716DE9" w:rsidP="00844918">
            <w:pPr>
              <w:pStyle w:val="TableText"/>
              <w:widowControl w:val="0"/>
              <w:jc w:val="center"/>
              <w:rPr>
                <w:b/>
                <w:lang w:eastAsia="en-US"/>
              </w:rPr>
            </w:pPr>
            <w:r w:rsidRPr="00244FB2">
              <w:rPr>
                <w:b/>
                <w:lang w:eastAsia="en-US"/>
              </w:rPr>
              <w:t>Year 6</w:t>
            </w:r>
          </w:p>
        </w:tc>
      </w:tr>
      <w:tr w:rsidR="00A74D33" w:rsidRPr="00244FB2" w14:paraId="21531844" w14:textId="77777777" w:rsidTr="00716DE9">
        <w:tc>
          <w:tcPr>
            <w:tcW w:w="279" w:type="dxa"/>
            <w:vAlign w:val="center"/>
          </w:tcPr>
          <w:p w14:paraId="12F38158" w14:textId="77777777" w:rsidR="00A74D33" w:rsidRPr="00244FB2" w:rsidRDefault="00A74D33" w:rsidP="00716DE9">
            <w:pPr>
              <w:pStyle w:val="TableText"/>
              <w:widowControl w:val="0"/>
              <w:jc w:val="center"/>
              <w:rPr>
                <w:lang w:eastAsia="en-US"/>
              </w:rPr>
            </w:pPr>
            <w:r w:rsidRPr="00244FB2">
              <w:rPr>
                <w:lang w:eastAsia="en-US"/>
              </w:rPr>
              <w:t>A</w:t>
            </w:r>
          </w:p>
        </w:tc>
        <w:tc>
          <w:tcPr>
            <w:tcW w:w="1701" w:type="dxa"/>
            <w:shd w:val="clear" w:color="auto" w:fill="auto"/>
            <w:vAlign w:val="center"/>
          </w:tcPr>
          <w:p w14:paraId="22B5C3D2" w14:textId="77777777" w:rsidR="00A74D33" w:rsidRPr="00244FB2" w:rsidRDefault="00A74D33" w:rsidP="00844918">
            <w:pPr>
              <w:pStyle w:val="TableText"/>
              <w:widowControl w:val="0"/>
              <w:rPr>
                <w:lang w:eastAsia="en-US"/>
              </w:rPr>
            </w:pPr>
            <w:r w:rsidRPr="00244FB2">
              <w:rPr>
                <w:lang w:eastAsia="en-US"/>
              </w:rPr>
              <w:t>Patients with NMOSD</w:t>
            </w:r>
          </w:p>
        </w:tc>
        <w:tc>
          <w:tcPr>
            <w:tcW w:w="1276" w:type="dxa"/>
            <w:vAlign w:val="center"/>
          </w:tcPr>
          <w:p w14:paraId="32260144" w14:textId="77777777" w:rsidR="00A74D33" w:rsidRPr="00244FB2" w:rsidRDefault="00A74D33" w:rsidP="00716DE9">
            <w:pPr>
              <w:pStyle w:val="TableText"/>
              <w:widowControl w:val="0"/>
              <w:jc w:val="center"/>
            </w:pPr>
            <w:r w:rsidRPr="00244FB2">
              <w:t xml:space="preserve">0.00001 </w:t>
            </w:r>
            <w:proofErr w:type="gramStart"/>
            <w:r w:rsidRPr="00244FB2">
              <w:t>x</w:t>
            </w:r>
            <w:proofErr w:type="gramEnd"/>
            <w:r w:rsidRPr="00244FB2">
              <w:t xml:space="preserve"> ABS pop</w:t>
            </w:r>
            <w:r w:rsidR="00716DE9" w:rsidRPr="00244FB2">
              <w:t>.</w:t>
            </w:r>
            <w:r w:rsidRPr="00244FB2">
              <w:t xml:space="preserve"> estimates</w:t>
            </w:r>
          </w:p>
        </w:tc>
        <w:tc>
          <w:tcPr>
            <w:tcW w:w="992" w:type="dxa"/>
            <w:shd w:val="clear" w:color="auto" w:fill="auto"/>
            <w:vAlign w:val="center"/>
          </w:tcPr>
          <w:p w14:paraId="770B6D75"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0C7326F4"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38AA2573"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3" w:type="dxa"/>
            <w:shd w:val="clear" w:color="auto" w:fill="auto"/>
            <w:vAlign w:val="center"/>
          </w:tcPr>
          <w:p w14:paraId="726B7934"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2015A439"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7949DA92"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r>
      <w:tr w:rsidR="00A74D33" w:rsidRPr="00244FB2" w14:paraId="2BF1EDA1" w14:textId="77777777" w:rsidTr="00716DE9">
        <w:tc>
          <w:tcPr>
            <w:tcW w:w="279" w:type="dxa"/>
            <w:vAlign w:val="center"/>
          </w:tcPr>
          <w:p w14:paraId="0BD69AAF" w14:textId="77777777" w:rsidR="00A74D33" w:rsidRPr="00244FB2" w:rsidRDefault="00A74D33" w:rsidP="00716DE9">
            <w:pPr>
              <w:pStyle w:val="TableText"/>
              <w:widowControl w:val="0"/>
              <w:jc w:val="center"/>
              <w:rPr>
                <w:lang w:eastAsia="en-US"/>
              </w:rPr>
            </w:pPr>
            <w:r w:rsidRPr="00244FB2">
              <w:rPr>
                <w:lang w:eastAsia="en-US"/>
              </w:rPr>
              <w:t>B</w:t>
            </w:r>
          </w:p>
        </w:tc>
        <w:tc>
          <w:tcPr>
            <w:tcW w:w="1701" w:type="dxa"/>
            <w:shd w:val="clear" w:color="auto" w:fill="auto"/>
            <w:vAlign w:val="center"/>
          </w:tcPr>
          <w:p w14:paraId="42F8E4F8" w14:textId="77777777" w:rsidR="00A74D33" w:rsidRPr="00244FB2" w:rsidRDefault="00A74D33" w:rsidP="00844918">
            <w:pPr>
              <w:pStyle w:val="TableText"/>
              <w:widowControl w:val="0"/>
              <w:rPr>
                <w:lang w:eastAsia="en-US"/>
              </w:rPr>
            </w:pPr>
            <w:r w:rsidRPr="00244FB2">
              <w:rPr>
                <w:lang w:eastAsia="en-US"/>
              </w:rPr>
              <w:t>AQP4 positive</w:t>
            </w:r>
          </w:p>
        </w:tc>
        <w:tc>
          <w:tcPr>
            <w:tcW w:w="1276" w:type="dxa"/>
            <w:vAlign w:val="center"/>
          </w:tcPr>
          <w:p w14:paraId="6174DD2D" w14:textId="77777777" w:rsidR="00A74D33" w:rsidRPr="00244FB2" w:rsidRDefault="00A74D33" w:rsidP="00716DE9">
            <w:pPr>
              <w:pStyle w:val="TableText"/>
              <w:widowControl w:val="0"/>
              <w:jc w:val="center"/>
            </w:pPr>
            <w:r w:rsidRPr="00244FB2">
              <w:t>90% x A</w:t>
            </w:r>
          </w:p>
        </w:tc>
        <w:tc>
          <w:tcPr>
            <w:tcW w:w="992" w:type="dxa"/>
            <w:shd w:val="clear" w:color="auto" w:fill="auto"/>
            <w:vAlign w:val="center"/>
          </w:tcPr>
          <w:p w14:paraId="5B55F471"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0B8F7EE0"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1B031977"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3" w:type="dxa"/>
            <w:shd w:val="clear" w:color="auto" w:fill="auto"/>
            <w:vAlign w:val="center"/>
          </w:tcPr>
          <w:p w14:paraId="60F4A5A6"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2483ACB8"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6A85D965"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r>
      <w:tr w:rsidR="00A74D33" w:rsidRPr="00244FB2" w14:paraId="67F41ECF" w14:textId="77777777" w:rsidTr="00716DE9">
        <w:tc>
          <w:tcPr>
            <w:tcW w:w="279" w:type="dxa"/>
            <w:vAlign w:val="center"/>
          </w:tcPr>
          <w:p w14:paraId="7B360F94" w14:textId="77777777" w:rsidR="00A74D33" w:rsidRPr="00244FB2" w:rsidRDefault="00A74D33" w:rsidP="00716DE9">
            <w:pPr>
              <w:pStyle w:val="TableText"/>
              <w:widowControl w:val="0"/>
              <w:jc w:val="center"/>
              <w:rPr>
                <w:lang w:eastAsia="en-US"/>
              </w:rPr>
            </w:pPr>
            <w:r w:rsidRPr="00244FB2">
              <w:rPr>
                <w:lang w:eastAsia="en-US"/>
              </w:rPr>
              <w:t>C</w:t>
            </w:r>
          </w:p>
        </w:tc>
        <w:tc>
          <w:tcPr>
            <w:tcW w:w="1701" w:type="dxa"/>
            <w:shd w:val="clear" w:color="auto" w:fill="auto"/>
            <w:vAlign w:val="center"/>
          </w:tcPr>
          <w:p w14:paraId="640095A7" w14:textId="77777777" w:rsidR="00A74D33" w:rsidRPr="00244FB2" w:rsidRDefault="00A74D33" w:rsidP="00844918">
            <w:pPr>
              <w:pStyle w:val="TableText"/>
              <w:widowControl w:val="0"/>
              <w:rPr>
                <w:lang w:eastAsia="en-US"/>
              </w:rPr>
            </w:pPr>
            <w:r w:rsidRPr="00244FB2">
              <w:rPr>
                <w:lang w:eastAsia="en-US"/>
              </w:rPr>
              <w:t>AQP4 positive and frequently relapsing</w:t>
            </w:r>
          </w:p>
        </w:tc>
        <w:tc>
          <w:tcPr>
            <w:tcW w:w="1276" w:type="dxa"/>
            <w:vAlign w:val="center"/>
          </w:tcPr>
          <w:p w14:paraId="057A0F4C" w14:textId="77777777" w:rsidR="00A74D33" w:rsidRPr="000358FF" w:rsidRDefault="00A74D33" w:rsidP="00716DE9">
            <w:pPr>
              <w:pStyle w:val="TableText"/>
              <w:widowControl w:val="0"/>
              <w:jc w:val="center"/>
            </w:pPr>
            <w:r w:rsidRPr="000358FF">
              <w:t>40.7% x B</w:t>
            </w:r>
          </w:p>
        </w:tc>
        <w:tc>
          <w:tcPr>
            <w:tcW w:w="992" w:type="dxa"/>
            <w:shd w:val="clear" w:color="auto" w:fill="auto"/>
            <w:vAlign w:val="center"/>
          </w:tcPr>
          <w:p w14:paraId="36A9921A"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2256D1D4"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77BC7872"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3" w:type="dxa"/>
            <w:shd w:val="clear" w:color="auto" w:fill="auto"/>
            <w:vAlign w:val="center"/>
          </w:tcPr>
          <w:p w14:paraId="1465A3BB"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1A46E938"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2D6DCA3C"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r>
      <w:tr w:rsidR="00A74D33" w:rsidRPr="00244FB2" w14:paraId="1B0B0347" w14:textId="77777777" w:rsidTr="00716DE9">
        <w:tc>
          <w:tcPr>
            <w:tcW w:w="279" w:type="dxa"/>
            <w:vAlign w:val="center"/>
          </w:tcPr>
          <w:p w14:paraId="1B4EE230" w14:textId="77777777" w:rsidR="00A74D33" w:rsidRPr="00244FB2" w:rsidRDefault="00A74D33" w:rsidP="00716DE9">
            <w:pPr>
              <w:pStyle w:val="TableText"/>
              <w:widowControl w:val="0"/>
              <w:jc w:val="center"/>
              <w:rPr>
                <w:lang w:eastAsia="en-US"/>
              </w:rPr>
            </w:pPr>
            <w:r w:rsidRPr="00244FB2">
              <w:rPr>
                <w:lang w:eastAsia="en-US"/>
              </w:rPr>
              <w:t>D</w:t>
            </w:r>
          </w:p>
        </w:tc>
        <w:tc>
          <w:tcPr>
            <w:tcW w:w="1701" w:type="dxa"/>
            <w:shd w:val="clear" w:color="auto" w:fill="auto"/>
            <w:vAlign w:val="center"/>
          </w:tcPr>
          <w:p w14:paraId="3C480FFF" w14:textId="77777777" w:rsidR="00A74D33" w:rsidRPr="00244FB2" w:rsidRDefault="00A74D33" w:rsidP="00844918">
            <w:pPr>
              <w:pStyle w:val="TableText"/>
              <w:widowControl w:val="0"/>
              <w:rPr>
                <w:lang w:eastAsia="en-US"/>
              </w:rPr>
            </w:pPr>
            <w:r w:rsidRPr="00244FB2">
              <w:rPr>
                <w:lang w:eastAsia="en-US"/>
              </w:rPr>
              <w:t>AQP4 positive and SAEs</w:t>
            </w:r>
          </w:p>
        </w:tc>
        <w:tc>
          <w:tcPr>
            <w:tcW w:w="1276" w:type="dxa"/>
            <w:vAlign w:val="center"/>
          </w:tcPr>
          <w:p w14:paraId="339A8B32" w14:textId="77777777" w:rsidR="00A74D33" w:rsidRPr="000358FF" w:rsidRDefault="00A74D33" w:rsidP="00716DE9">
            <w:pPr>
              <w:pStyle w:val="TableText"/>
              <w:widowControl w:val="0"/>
              <w:jc w:val="center"/>
            </w:pPr>
            <w:r w:rsidRPr="000358FF">
              <w:t>11.8% x B</w:t>
            </w:r>
          </w:p>
        </w:tc>
        <w:tc>
          <w:tcPr>
            <w:tcW w:w="992" w:type="dxa"/>
            <w:shd w:val="clear" w:color="auto" w:fill="auto"/>
            <w:vAlign w:val="center"/>
          </w:tcPr>
          <w:p w14:paraId="4ADAC3AC"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45917467"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782B61DD"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3" w:type="dxa"/>
            <w:shd w:val="clear" w:color="auto" w:fill="auto"/>
            <w:vAlign w:val="center"/>
          </w:tcPr>
          <w:p w14:paraId="3356624F"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14063077"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4C7E0ECF"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r>
      <w:tr w:rsidR="00A74D33" w:rsidRPr="00244FB2" w14:paraId="16C6591C" w14:textId="77777777" w:rsidTr="00716DE9">
        <w:tc>
          <w:tcPr>
            <w:tcW w:w="279" w:type="dxa"/>
            <w:vAlign w:val="center"/>
          </w:tcPr>
          <w:p w14:paraId="108979BC" w14:textId="77777777" w:rsidR="00A74D33" w:rsidRPr="00244FB2" w:rsidRDefault="00A74D33" w:rsidP="00716DE9">
            <w:pPr>
              <w:pStyle w:val="TableText"/>
              <w:widowControl w:val="0"/>
              <w:jc w:val="center"/>
              <w:rPr>
                <w:lang w:eastAsia="en-US"/>
              </w:rPr>
            </w:pPr>
            <w:r w:rsidRPr="00244FB2">
              <w:rPr>
                <w:lang w:eastAsia="en-US"/>
              </w:rPr>
              <w:t>E</w:t>
            </w:r>
          </w:p>
        </w:tc>
        <w:tc>
          <w:tcPr>
            <w:tcW w:w="1701" w:type="dxa"/>
            <w:shd w:val="clear" w:color="auto" w:fill="auto"/>
            <w:vAlign w:val="center"/>
          </w:tcPr>
          <w:p w14:paraId="050FEAF5" w14:textId="77777777" w:rsidR="00A74D33" w:rsidRPr="00244FB2" w:rsidRDefault="00A74D33" w:rsidP="00844918">
            <w:pPr>
              <w:pStyle w:val="TableText"/>
              <w:widowControl w:val="0"/>
              <w:rPr>
                <w:lang w:eastAsia="en-US"/>
              </w:rPr>
            </w:pPr>
            <w:r w:rsidRPr="00244FB2">
              <w:rPr>
                <w:lang w:eastAsia="en-US"/>
              </w:rPr>
              <w:t>Total eligible patients</w:t>
            </w:r>
          </w:p>
        </w:tc>
        <w:tc>
          <w:tcPr>
            <w:tcW w:w="1276" w:type="dxa"/>
            <w:vAlign w:val="center"/>
          </w:tcPr>
          <w:p w14:paraId="4EB55B52" w14:textId="77777777" w:rsidR="00A74D33" w:rsidRPr="00244FB2" w:rsidRDefault="00A74D33" w:rsidP="00716DE9">
            <w:pPr>
              <w:pStyle w:val="TableText"/>
              <w:widowControl w:val="0"/>
              <w:jc w:val="center"/>
            </w:pPr>
            <w:r w:rsidRPr="00244FB2">
              <w:t>C + D</w:t>
            </w:r>
          </w:p>
        </w:tc>
        <w:tc>
          <w:tcPr>
            <w:tcW w:w="992" w:type="dxa"/>
            <w:shd w:val="clear" w:color="auto" w:fill="auto"/>
            <w:vAlign w:val="center"/>
          </w:tcPr>
          <w:p w14:paraId="1E7D39F9"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4525CF7C"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5695B391"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3" w:type="dxa"/>
            <w:shd w:val="clear" w:color="auto" w:fill="auto"/>
            <w:vAlign w:val="center"/>
          </w:tcPr>
          <w:p w14:paraId="4816B49E"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2A1BDD4D"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c>
          <w:tcPr>
            <w:tcW w:w="992" w:type="dxa"/>
            <w:shd w:val="clear" w:color="auto" w:fill="auto"/>
            <w:vAlign w:val="center"/>
          </w:tcPr>
          <w:p w14:paraId="0A05ACE4" w14:textId="77777777" w:rsidR="00A74D33" w:rsidRPr="005266FC" w:rsidRDefault="005266FC" w:rsidP="00716DE9">
            <w:pPr>
              <w:pStyle w:val="TableText"/>
              <w:widowControl w:val="0"/>
              <w:jc w:val="center"/>
            </w:pPr>
            <w:r>
              <w:rPr>
                <w:noProof/>
                <w:color w:val="000000"/>
                <w:highlight w:val="black"/>
              </w:rPr>
              <w:t>'''''''''</w:t>
            </w:r>
            <w:r w:rsidR="00C82052" w:rsidRPr="00C82052">
              <w:rPr>
                <w:vertAlign w:val="superscript"/>
              </w:rPr>
              <w:t>1</w:t>
            </w:r>
          </w:p>
        </w:tc>
      </w:tr>
      <w:tr w:rsidR="00A74D33" w:rsidRPr="00244FB2" w14:paraId="68D0CEE1" w14:textId="77777777" w:rsidTr="00716DE9">
        <w:tc>
          <w:tcPr>
            <w:tcW w:w="279" w:type="dxa"/>
            <w:vAlign w:val="center"/>
          </w:tcPr>
          <w:p w14:paraId="52553614" w14:textId="77777777" w:rsidR="00A74D33" w:rsidRPr="00244FB2" w:rsidRDefault="00A74D33" w:rsidP="00716DE9">
            <w:pPr>
              <w:pStyle w:val="TableText"/>
              <w:widowControl w:val="0"/>
              <w:jc w:val="center"/>
              <w:rPr>
                <w:lang w:eastAsia="en-US"/>
              </w:rPr>
            </w:pPr>
            <w:r w:rsidRPr="00244FB2">
              <w:rPr>
                <w:lang w:eastAsia="en-US"/>
              </w:rPr>
              <w:t>F</w:t>
            </w:r>
          </w:p>
        </w:tc>
        <w:tc>
          <w:tcPr>
            <w:tcW w:w="1701" w:type="dxa"/>
            <w:shd w:val="clear" w:color="auto" w:fill="auto"/>
            <w:vAlign w:val="center"/>
          </w:tcPr>
          <w:p w14:paraId="2A086BDE" w14:textId="77777777" w:rsidR="00A74D33" w:rsidRPr="00244FB2" w:rsidRDefault="00A74D33" w:rsidP="00844918">
            <w:pPr>
              <w:pStyle w:val="TableText"/>
              <w:widowControl w:val="0"/>
              <w:rPr>
                <w:lang w:eastAsia="en-US"/>
              </w:rPr>
            </w:pPr>
            <w:r w:rsidRPr="00244FB2">
              <w:rPr>
                <w:lang w:eastAsia="en-US"/>
              </w:rPr>
              <w:t>Expected uptake</w:t>
            </w:r>
          </w:p>
        </w:tc>
        <w:tc>
          <w:tcPr>
            <w:tcW w:w="1276" w:type="dxa"/>
            <w:vAlign w:val="center"/>
          </w:tcPr>
          <w:p w14:paraId="201EEBE2" w14:textId="77777777" w:rsidR="00A74D33" w:rsidRPr="00244FB2" w:rsidRDefault="00A74D33" w:rsidP="00716DE9">
            <w:pPr>
              <w:pStyle w:val="TableText"/>
              <w:widowControl w:val="0"/>
              <w:jc w:val="center"/>
            </w:pPr>
            <w:r w:rsidRPr="00244FB2">
              <w:t>Assumption</w:t>
            </w:r>
          </w:p>
        </w:tc>
        <w:tc>
          <w:tcPr>
            <w:tcW w:w="992" w:type="dxa"/>
            <w:shd w:val="clear" w:color="auto" w:fill="auto"/>
            <w:vAlign w:val="center"/>
          </w:tcPr>
          <w:p w14:paraId="5D4BF479" w14:textId="77777777" w:rsidR="00A74D33" w:rsidRPr="000358FF" w:rsidRDefault="00A74D33" w:rsidP="00716DE9">
            <w:pPr>
              <w:pStyle w:val="TableText"/>
              <w:widowControl w:val="0"/>
              <w:jc w:val="center"/>
            </w:pPr>
            <w:r w:rsidRPr="000358FF">
              <w:t>50%</w:t>
            </w:r>
          </w:p>
        </w:tc>
        <w:tc>
          <w:tcPr>
            <w:tcW w:w="992" w:type="dxa"/>
            <w:shd w:val="clear" w:color="auto" w:fill="auto"/>
            <w:vAlign w:val="center"/>
          </w:tcPr>
          <w:p w14:paraId="45EEA8B6" w14:textId="77777777" w:rsidR="00A74D33" w:rsidRPr="000358FF" w:rsidRDefault="00A74D33" w:rsidP="00716DE9">
            <w:pPr>
              <w:pStyle w:val="TableText"/>
              <w:widowControl w:val="0"/>
              <w:jc w:val="center"/>
            </w:pPr>
            <w:r w:rsidRPr="000358FF">
              <w:t>55%</w:t>
            </w:r>
          </w:p>
        </w:tc>
        <w:tc>
          <w:tcPr>
            <w:tcW w:w="992" w:type="dxa"/>
            <w:shd w:val="clear" w:color="auto" w:fill="auto"/>
            <w:vAlign w:val="center"/>
          </w:tcPr>
          <w:p w14:paraId="6FCB3764" w14:textId="77777777" w:rsidR="00A74D33" w:rsidRPr="000358FF" w:rsidRDefault="00A74D33" w:rsidP="00716DE9">
            <w:pPr>
              <w:pStyle w:val="TableText"/>
              <w:widowControl w:val="0"/>
              <w:jc w:val="center"/>
            </w:pPr>
            <w:r w:rsidRPr="000358FF">
              <w:t>60%</w:t>
            </w:r>
          </w:p>
        </w:tc>
        <w:tc>
          <w:tcPr>
            <w:tcW w:w="993" w:type="dxa"/>
            <w:shd w:val="clear" w:color="auto" w:fill="auto"/>
            <w:vAlign w:val="center"/>
          </w:tcPr>
          <w:p w14:paraId="6218D908" w14:textId="77777777" w:rsidR="00A74D33" w:rsidRPr="000358FF" w:rsidRDefault="00A74D33" w:rsidP="00716DE9">
            <w:pPr>
              <w:pStyle w:val="TableText"/>
              <w:widowControl w:val="0"/>
              <w:jc w:val="center"/>
            </w:pPr>
            <w:r w:rsidRPr="000358FF">
              <w:t>65%</w:t>
            </w:r>
          </w:p>
        </w:tc>
        <w:tc>
          <w:tcPr>
            <w:tcW w:w="992" w:type="dxa"/>
            <w:shd w:val="clear" w:color="auto" w:fill="auto"/>
            <w:vAlign w:val="center"/>
          </w:tcPr>
          <w:p w14:paraId="6E4B02B6" w14:textId="77777777" w:rsidR="00A74D33" w:rsidRPr="000358FF" w:rsidRDefault="00A74D33" w:rsidP="00716DE9">
            <w:pPr>
              <w:pStyle w:val="TableText"/>
              <w:widowControl w:val="0"/>
              <w:jc w:val="center"/>
            </w:pPr>
            <w:r w:rsidRPr="000358FF">
              <w:t>65%</w:t>
            </w:r>
          </w:p>
        </w:tc>
        <w:tc>
          <w:tcPr>
            <w:tcW w:w="992" w:type="dxa"/>
            <w:shd w:val="clear" w:color="auto" w:fill="auto"/>
            <w:vAlign w:val="center"/>
          </w:tcPr>
          <w:p w14:paraId="4EB3F528" w14:textId="77777777" w:rsidR="00A74D33" w:rsidRPr="000358FF" w:rsidRDefault="00A74D33" w:rsidP="00716DE9">
            <w:pPr>
              <w:pStyle w:val="TableText"/>
              <w:widowControl w:val="0"/>
              <w:jc w:val="center"/>
            </w:pPr>
            <w:r w:rsidRPr="000358FF">
              <w:t>65%</w:t>
            </w:r>
          </w:p>
        </w:tc>
      </w:tr>
      <w:tr w:rsidR="00A74D33" w:rsidRPr="00244FB2" w14:paraId="21F4F2F2" w14:textId="77777777" w:rsidTr="00716DE9">
        <w:tc>
          <w:tcPr>
            <w:tcW w:w="279" w:type="dxa"/>
            <w:vAlign w:val="center"/>
          </w:tcPr>
          <w:p w14:paraId="2D9D754A" w14:textId="77777777" w:rsidR="00A74D33" w:rsidRPr="00244FB2" w:rsidRDefault="00716DE9" w:rsidP="00716DE9">
            <w:pPr>
              <w:pStyle w:val="TableText"/>
              <w:widowControl w:val="0"/>
              <w:jc w:val="center"/>
              <w:rPr>
                <w:b/>
                <w:lang w:eastAsia="en-US"/>
              </w:rPr>
            </w:pPr>
            <w:r w:rsidRPr="00244FB2">
              <w:rPr>
                <w:b/>
                <w:lang w:eastAsia="en-US"/>
              </w:rPr>
              <w:t>G</w:t>
            </w:r>
          </w:p>
        </w:tc>
        <w:tc>
          <w:tcPr>
            <w:tcW w:w="1701" w:type="dxa"/>
            <w:shd w:val="clear" w:color="auto" w:fill="auto"/>
            <w:vAlign w:val="center"/>
          </w:tcPr>
          <w:p w14:paraId="0CA972C6" w14:textId="77777777" w:rsidR="00A74D33" w:rsidRPr="00244FB2" w:rsidRDefault="00716DE9" w:rsidP="00844918">
            <w:pPr>
              <w:pStyle w:val="TableText"/>
              <w:widowControl w:val="0"/>
              <w:rPr>
                <w:b/>
                <w:lang w:eastAsia="en-US"/>
              </w:rPr>
            </w:pPr>
            <w:r w:rsidRPr="00244FB2">
              <w:rPr>
                <w:b/>
                <w:lang w:eastAsia="en-US"/>
              </w:rPr>
              <w:t>Total treated patients</w:t>
            </w:r>
          </w:p>
        </w:tc>
        <w:tc>
          <w:tcPr>
            <w:tcW w:w="1276" w:type="dxa"/>
            <w:vAlign w:val="center"/>
          </w:tcPr>
          <w:p w14:paraId="5BA4D611" w14:textId="77777777" w:rsidR="00A74D33" w:rsidRPr="00244FB2" w:rsidRDefault="00716DE9" w:rsidP="00716DE9">
            <w:pPr>
              <w:pStyle w:val="TableText"/>
              <w:widowControl w:val="0"/>
              <w:jc w:val="center"/>
              <w:rPr>
                <w:b/>
              </w:rPr>
            </w:pPr>
            <w:r w:rsidRPr="00244FB2">
              <w:rPr>
                <w:b/>
              </w:rPr>
              <w:t>E x F</w:t>
            </w:r>
          </w:p>
        </w:tc>
        <w:tc>
          <w:tcPr>
            <w:tcW w:w="992" w:type="dxa"/>
            <w:shd w:val="clear" w:color="auto" w:fill="auto"/>
            <w:vAlign w:val="center"/>
          </w:tcPr>
          <w:p w14:paraId="5DB53698" w14:textId="77777777" w:rsidR="00A74D33" w:rsidRPr="005266FC" w:rsidRDefault="005266FC" w:rsidP="00716DE9">
            <w:pPr>
              <w:pStyle w:val="TableText"/>
              <w:widowControl w:val="0"/>
              <w:jc w:val="center"/>
              <w:rPr>
                <w:b/>
              </w:rPr>
            </w:pPr>
            <w:r>
              <w:rPr>
                <w:b/>
                <w:noProof/>
                <w:color w:val="000000"/>
                <w:highlight w:val="black"/>
              </w:rPr>
              <w:t>''''''</w:t>
            </w:r>
            <w:r w:rsidR="00C82052" w:rsidRPr="00C82052">
              <w:rPr>
                <w:vertAlign w:val="superscript"/>
              </w:rPr>
              <w:t>1</w:t>
            </w:r>
          </w:p>
        </w:tc>
        <w:tc>
          <w:tcPr>
            <w:tcW w:w="992" w:type="dxa"/>
            <w:shd w:val="clear" w:color="auto" w:fill="auto"/>
            <w:vAlign w:val="center"/>
          </w:tcPr>
          <w:p w14:paraId="0BFC5F0E" w14:textId="77777777" w:rsidR="00A74D33" w:rsidRPr="005266FC" w:rsidRDefault="005266FC" w:rsidP="00716DE9">
            <w:pPr>
              <w:pStyle w:val="TableText"/>
              <w:widowControl w:val="0"/>
              <w:jc w:val="center"/>
              <w:rPr>
                <w:b/>
              </w:rPr>
            </w:pPr>
            <w:r>
              <w:rPr>
                <w:b/>
                <w:noProof/>
                <w:color w:val="000000"/>
                <w:highlight w:val="black"/>
              </w:rPr>
              <w:t>''''''</w:t>
            </w:r>
            <w:r w:rsidR="00C82052" w:rsidRPr="00C82052">
              <w:rPr>
                <w:vertAlign w:val="superscript"/>
              </w:rPr>
              <w:t>1</w:t>
            </w:r>
          </w:p>
        </w:tc>
        <w:tc>
          <w:tcPr>
            <w:tcW w:w="992" w:type="dxa"/>
            <w:shd w:val="clear" w:color="auto" w:fill="auto"/>
            <w:vAlign w:val="center"/>
          </w:tcPr>
          <w:p w14:paraId="6BD75CE6" w14:textId="77777777" w:rsidR="00A74D33" w:rsidRPr="005266FC" w:rsidRDefault="005266FC" w:rsidP="00716DE9">
            <w:pPr>
              <w:pStyle w:val="TableText"/>
              <w:widowControl w:val="0"/>
              <w:jc w:val="center"/>
              <w:rPr>
                <w:b/>
              </w:rPr>
            </w:pPr>
            <w:r>
              <w:rPr>
                <w:b/>
                <w:noProof/>
                <w:color w:val="000000"/>
                <w:highlight w:val="black"/>
              </w:rPr>
              <w:t>''''''</w:t>
            </w:r>
            <w:r w:rsidR="00C82052" w:rsidRPr="00C82052">
              <w:rPr>
                <w:vertAlign w:val="superscript"/>
              </w:rPr>
              <w:t>1</w:t>
            </w:r>
          </w:p>
        </w:tc>
        <w:tc>
          <w:tcPr>
            <w:tcW w:w="993" w:type="dxa"/>
            <w:shd w:val="clear" w:color="auto" w:fill="auto"/>
            <w:vAlign w:val="center"/>
          </w:tcPr>
          <w:p w14:paraId="4013C1F7" w14:textId="77777777" w:rsidR="00A74D33" w:rsidRPr="005266FC" w:rsidRDefault="005266FC" w:rsidP="00716DE9">
            <w:pPr>
              <w:pStyle w:val="TableText"/>
              <w:widowControl w:val="0"/>
              <w:jc w:val="center"/>
              <w:rPr>
                <w:b/>
              </w:rPr>
            </w:pPr>
            <w:r>
              <w:rPr>
                <w:b/>
                <w:noProof/>
                <w:color w:val="000000"/>
                <w:highlight w:val="black"/>
              </w:rPr>
              <w:t>'''''</w:t>
            </w:r>
            <w:r w:rsidR="00C82052" w:rsidRPr="00C82052">
              <w:rPr>
                <w:vertAlign w:val="superscript"/>
              </w:rPr>
              <w:t>1</w:t>
            </w:r>
          </w:p>
        </w:tc>
        <w:tc>
          <w:tcPr>
            <w:tcW w:w="992" w:type="dxa"/>
            <w:shd w:val="clear" w:color="auto" w:fill="auto"/>
            <w:vAlign w:val="center"/>
          </w:tcPr>
          <w:p w14:paraId="5104F579" w14:textId="77777777" w:rsidR="00A74D33" w:rsidRPr="005266FC" w:rsidRDefault="005266FC" w:rsidP="00716DE9">
            <w:pPr>
              <w:pStyle w:val="TableText"/>
              <w:widowControl w:val="0"/>
              <w:jc w:val="center"/>
              <w:rPr>
                <w:b/>
              </w:rPr>
            </w:pPr>
            <w:r>
              <w:rPr>
                <w:b/>
                <w:noProof/>
                <w:color w:val="000000"/>
                <w:highlight w:val="black"/>
              </w:rPr>
              <w:t>'''''</w:t>
            </w:r>
            <w:r w:rsidR="00C82052" w:rsidRPr="00C82052">
              <w:rPr>
                <w:vertAlign w:val="superscript"/>
              </w:rPr>
              <w:t>1</w:t>
            </w:r>
          </w:p>
        </w:tc>
        <w:tc>
          <w:tcPr>
            <w:tcW w:w="992" w:type="dxa"/>
            <w:shd w:val="clear" w:color="auto" w:fill="auto"/>
            <w:vAlign w:val="center"/>
          </w:tcPr>
          <w:p w14:paraId="464A0D81" w14:textId="77777777" w:rsidR="00A74D33" w:rsidRPr="005266FC" w:rsidRDefault="005266FC" w:rsidP="00716DE9">
            <w:pPr>
              <w:pStyle w:val="TableText"/>
              <w:widowControl w:val="0"/>
              <w:jc w:val="center"/>
              <w:rPr>
                <w:b/>
              </w:rPr>
            </w:pPr>
            <w:r>
              <w:rPr>
                <w:b/>
                <w:noProof/>
                <w:color w:val="000000"/>
                <w:highlight w:val="black"/>
              </w:rPr>
              <w:t>''''''</w:t>
            </w:r>
            <w:r w:rsidR="00C82052" w:rsidRPr="00C82052">
              <w:rPr>
                <w:vertAlign w:val="superscript"/>
              </w:rPr>
              <w:t>1</w:t>
            </w:r>
          </w:p>
        </w:tc>
      </w:tr>
      <w:tr w:rsidR="00A74D33" w:rsidRPr="00244FB2" w14:paraId="03929209" w14:textId="77777777" w:rsidTr="00716DE9">
        <w:tc>
          <w:tcPr>
            <w:tcW w:w="279" w:type="dxa"/>
            <w:vAlign w:val="center"/>
          </w:tcPr>
          <w:p w14:paraId="4D18E2AA" w14:textId="77777777" w:rsidR="00A74D33" w:rsidRPr="00244FB2" w:rsidRDefault="00716DE9" w:rsidP="00716DE9">
            <w:pPr>
              <w:pStyle w:val="TableText"/>
              <w:widowControl w:val="0"/>
              <w:jc w:val="center"/>
              <w:rPr>
                <w:lang w:eastAsia="en-US"/>
              </w:rPr>
            </w:pPr>
            <w:r w:rsidRPr="00244FB2">
              <w:rPr>
                <w:lang w:eastAsia="en-US"/>
              </w:rPr>
              <w:t>H</w:t>
            </w:r>
          </w:p>
        </w:tc>
        <w:tc>
          <w:tcPr>
            <w:tcW w:w="1701" w:type="dxa"/>
            <w:shd w:val="clear" w:color="auto" w:fill="auto"/>
            <w:vAlign w:val="center"/>
          </w:tcPr>
          <w:p w14:paraId="4EBC68CD" w14:textId="77777777" w:rsidR="00A74D33" w:rsidRPr="00244FB2" w:rsidRDefault="00716DE9" w:rsidP="00844918">
            <w:pPr>
              <w:pStyle w:val="TableText"/>
              <w:widowControl w:val="0"/>
              <w:rPr>
                <w:lang w:eastAsia="en-US"/>
              </w:rPr>
            </w:pPr>
            <w:r w:rsidRPr="00244FB2">
              <w:rPr>
                <w:lang w:eastAsia="en-US"/>
              </w:rPr>
              <w:t>Total number of vials</w:t>
            </w:r>
            <w:r w:rsidR="00120D7B" w:rsidRPr="00244FB2">
              <w:rPr>
                <w:lang w:eastAsia="en-US"/>
              </w:rPr>
              <w:t>*</w:t>
            </w:r>
          </w:p>
        </w:tc>
        <w:tc>
          <w:tcPr>
            <w:tcW w:w="1276" w:type="dxa"/>
            <w:vAlign w:val="center"/>
          </w:tcPr>
          <w:p w14:paraId="2D0D6088" w14:textId="77777777" w:rsidR="00A74D33" w:rsidRPr="00244FB2" w:rsidRDefault="00716DE9" w:rsidP="00716DE9">
            <w:pPr>
              <w:pStyle w:val="TableText"/>
              <w:widowControl w:val="0"/>
              <w:jc w:val="center"/>
            </w:pPr>
            <w:r w:rsidRPr="00244FB2">
              <w:t xml:space="preserve">Year 1: 108xG </w:t>
            </w:r>
          </w:p>
          <w:p w14:paraId="753D15FF" w14:textId="77777777" w:rsidR="00716DE9" w:rsidRPr="00244FB2" w:rsidRDefault="00716DE9" w:rsidP="00716DE9">
            <w:pPr>
              <w:pStyle w:val="TableText"/>
              <w:widowControl w:val="0"/>
              <w:jc w:val="center"/>
            </w:pPr>
            <w:r w:rsidRPr="00244FB2">
              <w:t>Year 2-6: 105xG</w:t>
            </w:r>
          </w:p>
        </w:tc>
        <w:tc>
          <w:tcPr>
            <w:tcW w:w="992" w:type="dxa"/>
            <w:shd w:val="clear" w:color="auto" w:fill="auto"/>
            <w:vAlign w:val="center"/>
          </w:tcPr>
          <w:p w14:paraId="4381DA9D" w14:textId="77777777" w:rsidR="00A74D33" w:rsidRPr="005266FC" w:rsidRDefault="005266FC" w:rsidP="00716DE9">
            <w:pPr>
              <w:pStyle w:val="TableText"/>
              <w:widowControl w:val="0"/>
              <w:jc w:val="center"/>
            </w:pPr>
            <w:r>
              <w:rPr>
                <w:noProof/>
                <w:color w:val="000000"/>
                <w:highlight w:val="black"/>
              </w:rPr>
              <w:t>''''''''''''''</w:t>
            </w:r>
            <w:r w:rsidR="00C82052">
              <w:rPr>
                <w:vertAlign w:val="superscript"/>
              </w:rPr>
              <w:t>2</w:t>
            </w:r>
          </w:p>
        </w:tc>
        <w:tc>
          <w:tcPr>
            <w:tcW w:w="992" w:type="dxa"/>
            <w:shd w:val="clear" w:color="auto" w:fill="auto"/>
            <w:vAlign w:val="center"/>
          </w:tcPr>
          <w:p w14:paraId="67AC7FFD" w14:textId="77777777" w:rsidR="00A74D33" w:rsidRPr="005266FC" w:rsidRDefault="005266FC" w:rsidP="00716DE9">
            <w:pPr>
              <w:pStyle w:val="TableText"/>
              <w:widowControl w:val="0"/>
              <w:jc w:val="center"/>
            </w:pPr>
            <w:r>
              <w:rPr>
                <w:noProof/>
                <w:color w:val="000000"/>
                <w:highlight w:val="black"/>
              </w:rPr>
              <w:t>'''''''''''''</w:t>
            </w:r>
            <w:r w:rsidR="00C82052">
              <w:rPr>
                <w:vertAlign w:val="superscript"/>
              </w:rPr>
              <w:t>2</w:t>
            </w:r>
          </w:p>
        </w:tc>
        <w:tc>
          <w:tcPr>
            <w:tcW w:w="992" w:type="dxa"/>
            <w:shd w:val="clear" w:color="auto" w:fill="auto"/>
            <w:vAlign w:val="center"/>
          </w:tcPr>
          <w:p w14:paraId="5FB70DA3" w14:textId="77777777" w:rsidR="00A74D33" w:rsidRPr="005266FC" w:rsidRDefault="005266FC" w:rsidP="00716DE9">
            <w:pPr>
              <w:pStyle w:val="TableText"/>
              <w:widowControl w:val="0"/>
              <w:jc w:val="center"/>
            </w:pPr>
            <w:r>
              <w:rPr>
                <w:noProof/>
                <w:color w:val="000000"/>
                <w:highlight w:val="black"/>
              </w:rPr>
              <w:t>''''''''''''''</w:t>
            </w:r>
            <w:r w:rsidR="00C82052">
              <w:rPr>
                <w:vertAlign w:val="superscript"/>
              </w:rPr>
              <w:t>2</w:t>
            </w:r>
          </w:p>
        </w:tc>
        <w:tc>
          <w:tcPr>
            <w:tcW w:w="993" w:type="dxa"/>
            <w:shd w:val="clear" w:color="auto" w:fill="auto"/>
            <w:vAlign w:val="center"/>
          </w:tcPr>
          <w:p w14:paraId="0C93024E" w14:textId="77777777" w:rsidR="00A74D33" w:rsidRPr="005266FC" w:rsidRDefault="005266FC" w:rsidP="00716DE9">
            <w:pPr>
              <w:pStyle w:val="TableText"/>
              <w:widowControl w:val="0"/>
              <w:jc w:val="center"/>
            </w:pPr>
            <w:r>
              <w:rPr>
                <w:noProof/>
                <w:color w:val="000000"/>
                <w:highlight w:val="black"/>
              </w:rPr>
              <w:t>''''''''''''''</w:t>
            </w:r>
            <w:r w:rsidR="00C82052">
              <w:rPr>
                <w:vertAlign w:val="superscript"/>
              </w:rPr>
              <w:t>2</w:t>
            </w:r>
          </w:p>
        </w:tc>
        <w:tc>
          <w:tcPr>
            <w:tcW w:w="992" w:type="dxa"/>
            <w:shd w:val="clear" w:color="auto" w:fill="auto"/>
            <w:vAlign w:val="center"/>
          </w:tcPr>
          <w:p w14:paraId="7ECC26E0" w14:textId="77777777" w:rsidR="00A74D33" w:rsidRPr="005266FC" w:rsidRDefault="005266FC" w:rsidP="00716DE9">
            <w:pPr>
              <w:pStyle w:val="TableText"/>
              <w:widowControl w:val="0"/>
              <w:jc w:val="center"/>
            </w:pPr>
            <w:r>
              <w:rPr>
                <w:noProof/>
                <w:color w:val="000000"/>
                <w:highlight w:val="black"/>
              </w:rPr>
              <w:t>'''''''''''''</w:t>
            </w:r>
            <w:r w:rsidR="00C82052">
              <w:rPr>
                <w:vertAlign w:val="superscript"/>
              </w:rPr>
              <w:t>2</w:t>
            </w:r>
          </w:p>
        </w:tc>
        <w:tc>
          <w:tcPr>
            <w:tcW w:w="992" w:type="dxa"/>
            <w:shd w:val="clear" w:color="auto" w:fill="auto"/>
            <w:vAlign w:val="center"/>
          </w:tcPr>
          <w:p w14:paraId="78FC5695" w14:textId="77777777" w:rsidR="00A74D33" w:rsidRPr="005266FC" w:rsidRDefault="005266FC" w:rsidP="00716DE9">
            <w:pPr>
              <w:pStyle w:val="TableText"/>
              <w:widowControl w:val="0"/>
              <w:jc w:val="center"/>
            </w:pPr>
            <w:r>
              <w:rPr>
                <w:noProof/>
                <w:color w:val="000000"/>
                <w:highlight w:val="black"/>
              </w:rPr>
              <w:t>''''''''''''</w:t>
            </w:r>
            <w:r w:rsidR="00C82052">
              <w:rPr>
                <w:vertAlign w:val="superscript"/>
              </w:rPr>
              <w:t>2</w:t>
            </w:r>
          </w:p>
        </w:tc>
      </w:tr>
      <w:tr w:rsidR="00A74D33" w:rsidRPr="00244FB2" w14:paraId="1C460741" w14:textId="77777777" w:rsidTr="00716DE9">
        <w:tc>
          <w:tcPr>
            <w:tcW w:w="279" w:type="dxa"/>
            <w:vAlign w:val="center"/>
          </w:tcPr>
          <w:p w14:paraId="28F91925" w14:textId="77777777" w:rsidR="00A74D33" w:rsidRPr="00244FB2" w:rsidRDefault="00716DE9" w:rsidP="00716DE9">
            <w:pPr>
              <w:pStyle w:val="TableText"/>
              <w:widowControl w:val="0"/>
              <w:jc w:val="center"/>
              <w:rPr>
                <w:lang w:eastAsia="en-US"/>
              </w:rPr>
            </w:pPr>
            <w:r w:rsidRPr="00244FB2">
              <w:rPr>
                <w:lang w:eastAsia="en-US"/>
              </w:rPr>
              <w:t>I</w:t>
            </w:r>
          </w:p>
        </w:tc>
        <w:tc>
          <w:tcPr>
            <w:tcW w:w="1701" w:type="dxa"/>
            <w:shd w:val="clear" w:color="auto" w:fill="auto"/>
            <w:vAlign w:val="center"/>
          </w:tcPr>
          <w:p w14:paraId="77466AEB" w14:textId="77777777" w:rsidR="00A74D33" w:rsidRPr="00244FB2" w:rsidRDefault="00716DE9" w:rsidP="00844918">
            <w:pPr>
              <w:pStyle w:val="TableText"/>
              <w:widowControl w:val="0"/>
              <w:rPr>
                <w:lang w:eastAsia="en-US"/>
              </w:rPr>
            </w:pPr>
            <w:r w:rsidRPr="00244FB2">
              <w:rPr>
                <w:lang w:eastAsia="en-US"/>
              </w:rPr>
              <w:t xml:space="preserve">Cost to PBS/RPBS </w:t>
            </w:r>
          </w:p>
        </w:tc>
        <w:tc>
          <w:tcPr>
            <w:tcW w:w="1276" w:type="dxa"/>
            <w:vAlign w:val="center"/>
          </w:tcPr>
          <w:p w14:paraId="6380A857" w14:textId="77777777" w:rsidR="00A74D33" w:rsidRPr="00244FB2" w:rsidRDefault="00716DE9" w:rsidP="00716DE9">
            <w:pPr>
              <w:pStyle w:val="TableText"/>
              <w:widowControl w:val="0"/>
              <w:jc w:val="center"/>
            </w:pPr>
            <w:r w:rsidRPr="00244FB2">
              <w:t>$5,646.22 x H</w:t>
            </w:r>
          </w:p>
        </w:tc>
        <w:tc>
          <w:tcPr>
            <w:tcW w:w="992" w:type="dxa"/>
            <w:shd w:val="clear" w:color="auto" w:fill="auto"/>
            <w:vAlign w:val="center"/>
          </w:tcPr>
          <w:p w14:paraId="59C6EBE5" w14:textId="77777777" w:rsidR="00A74D33" w:rsidRPr="005266FC" w:rsidRDefault="005266FC" w:rsidP="00C82052">
            <w:pPr>
              <w:pStyle w:val="TableText"/>
              <w:widowControl w:val="0"/>
              <w:jc w:val="center"/>
            </w:pPr>
            <w:r>
              <w:rPr>
                <w:noProof/>
                <w:color w:val="000000"/>
                <w:highlight w:val="black"/>
              </w:rPr>
              <w:t>'''''''''''''''''''''''''''</w:t>
            </w:r>
            <w:r w:rsidR="00C82052">
              <w:rPr>
                <w:vertAlign w:val="superscript"/>
              </w:rPr>
              <w:t>3</w:t>
            </w:r>
          </w:p>
        </w:tc>
        <w:tc>
          <w:tcPr>
            <w:tcW w:w="992" w:type="dxa"/>
            <w:shd w:val="clear" w:color="auto" w:fill="auto"/>
            <w:vAlign w:val="center"/>
          </w:tcPr>
          <w:p w14:paraId="3F54854F" w14:textId="2B9419C8" w:rsidR="00A74D33" w:rsidRPr="005266FC" w:rsidRDefault="005266FC" w:rsidP="00716DE9">
            <w:pPr>
              <w:pStyle w:val="TableText"/>
              <w:widowControl w:val="0"/>
              <w:jc w:val="center"/>
            </w:pPr>
            <w:r>
              <w:rPr>
                <w:noProof/>
                <w:color w:val="000000"/>
                <w:highlight w:val="black"/>
              </w:rPr>
              <w:t>'''''''''''''''''''''''''''</w:t>
            </w:r>
            <w:r w:rsidR="00C82052">
              <w:rPr>
                <w:vertAlign w:val="superscript"/>
              </w:rPr>
              <w:t>4</w:t>
            </w:r>
          </w:p>
        </w:tc>
        <w:tc>
          <w:tcPr>
            <w:tcW w:w="992" w:type="dxa"/>
            <w:shd w:val="clear" w:color="auto" w:fill="auto"/>
            <w:vAlign w:val="center"/>
          </w:tcPr>
          <w:p w14:paraId="288B0EBA" w14:textId="06C26567" w:rsidR="00A74D33" w:rsidRPr="005266FC" w:rsidRDefault="005266FC" w:rsidP="00716DE9">
            <w:pPr>
              <w:pStyle w:val="TableText"/>
              <w:widowControl w:val="0"/>
              <w:jc w:val="center"/>
            </w:pPr>
            <w:r>
              <w:rPr>
                <w:noProof/>
                <w:color w:val="000000"/>
                <w:highlight w:val="black"/>
              </w:rPr>
              <w:t>'''''''''''''''''''''''''''</w:t>
            </w:r>
            <w:r w:rsidR="00C82052">
              <w:rPr>
                <w:vertAlign w:val="superscript"/>
              </w:rPr>
              <w:t>4</w:t>
            </w:r>
          </w:p>
        </w:tc>
        <w:tc>
          <w:tcPr>
            <w:tcW w:w="993" w:type="dxa"/>
            <w:shd w:val="clear" w:color="auto" w:fill="auto"/>
            <w:vAlign w:val="center"/>
          </w:tcPr>
          <w:p w14:paraId="79C0C60A" w14:textId="6F0B392C" w:rsidR="00A74D33" w:rsidRPr="005266FC" w:rsidRDefault="005266FC" w:rsidP="00716DE9">
            <w:pPr>
              <w:pStyle w:val="TableText"/>
              <w:widowControl w:val="0"/>
              <w:jc w:val="center"/>
            </w:pPr>
            <w:r>
              <w:rPr>
                <w:noProof/>
                <w:color w:val="000000"/>
                <w:highlight w:val="black"/>
              </w:rPr>
              <w:t>'''''''''''''''''''''''''''</w:t>
            </w:r>
            <w:r w:rsidR="00C82052">
              <w:rPr>
                <w:vertAlign w:val="superscript"/>
              </w:rPr>
              <w:t>5</w:t>
            </w:r>
          </w:p>
        </w:tc>
        <w:tc>
          <w:tcPr>
            <w:tcW w:w="992" w:type="dxa"/>
            <w:shd w:val="clear" w:color="auto" w:fill="auto"/>
            <w:vAlign w:val="center"/>
          </w:tcPr>
          <w:p w14:paraId="737A70FB" w14:textId="25F2D7BB" w:rsidR="00A74D33" w:rsidRPr="005266FC" w:rsidRDefault="005266FC" w:rsidP="00716DE9">
            <w:pPr>
              <w:pStyle w:val="TableText"/>
              <w:widowControl w:val="0"/>
              <w:jc w:val="center"/>
            </w:pPr>
            <w:r>
              <w:rPr>
                <w:noProof/>
                <w:color w:val="000000"/>
                <w:highlight w:val="black"/>
              </w:rPr>
              <w:t>'''''''''''''''''''''''''''</w:t>
            </w:r>
            <w:r w:rsidR="00C82052">
              <w:rPr>
                <w:vertAlign w:val="superscript"/>
              </w:rPr>
              <w:t>5</w:t>
            </w:r>
          </w:p>
        </w:tc>
        <w:tc>
          <w:tcPr>
            <w:tcW w:w="992" w:type="dxa"/>
            <w:shd w:val="clear" w:color="auto" w:fill="auto"/>
            <w:vAlign w:val="center"/>
          </w:tcPr>
          <w:p w14:paraId="3B4D370F" w14:textId="073E52B6" w:rsidR="00A74D33" w:rsidRPr="005266FC" w:rsidRDefault="005266FC" w:rsidP="00716DE9">
            <w:pPr>
              <w:pStyle w:val="TableText"/>
              <w:widowControl w:val="0"/>
              <w:jc w:val="center"/>
            </w:pPr>
            <w:r>
              <w:rPr>
                <w:noProof/>
                <w:color w:val="000000"/>
                <w:highlight w:val="black"/>
              </w:rPr>
              <w:t>''''''''''''''''''''''''''</w:t>
            </w:r>
            <w:r w:rsidR="00C82052">
              <w:rPr>
                <w:vertAlign w:val="superscript"/>
              </w:rPr>
              <w:t>5</w:t>
            </w:r>
          </w:p>
        </w:tc>
      </w:tr>
      <w:tr w:rsidR="00716DE9" w:rsidRPr="00244FB2" w14:paraId="47AD5C1F" w14:textId="77777777" w:rsidTr="00716DE9">
        <w:tc>
          <w:tcPr>
            <w:tcW w:w="279" w:type="dxa"/>
            <w:vAlign w:val="center"/>
          </w:tcPr>
          <w:p w14:paraId="4591030F" w14:textId="77777777" w:rsidR="00716DE9" w:rsidRPr="00244FB2" w:rsidRDefault="00716DE9" w:rsidP="00716DE9">
            <w:pPr>
              <w:pStyle w:val="TableText"/>
              <w:widowControl w:val="0"/>
              <w:jc w:val="center"/>
              <w:rPr>
                <w:lang w:eastAsia="en-US"/>
              </w:rPr>
            </w:pPr>
            <w:r w:rsidRPr="00244FB2">
              <w:rPr>
                <w:lang w:eastAsia="en-US"/>
              </w:rPr>
              <w:t>J</w:t>
            </w:r>
          </w:p>
        </w:tc>
        <w:tc>
          <w:tcPr>
            <w:tcW w:w="1701" w:type="dxa"/>
            <w:shd w:val="clear" w:color="auto" w:fill="auto"/>
            <w:vAlign w:val="center"/>
          </w:tcPr>
          <w:p w14:paraId="672F23FF" w14:textId="77777777" w:rsidR="00716DE9" w:rsidRPr="00244FB2" w:rsidRDefault="00716DE9" w:rsidP="00844918">
            <w:pPr>
              <w:pStyle w:val="TableText"/>
              <w:widowControl w:val="0"/>
              <w:rPr>
                <w:lang w:eastAsia="en-US"/>
              </w:rPr>
            </w:pPr>
            <w:r w:rsidRPr="00244FB2">
              <w:rPr>
                <w:lang w:eastAsia="en-US"/>
              </w:rPr>
              <w:t>Patient co-pay</w:t>
            </w:r>
          </w:p>
        </w:tc>
        <w:tc>
          <w:tcPr>
            <w:tcW w:w="1276" w:type="dxa"/>
            <w:vAlign w:val="center"/>
          </w:tcPr>
          <w:p w14:paraId="1684EDC4" w14:textId="77777777" w:rsidR="00716DE9" w:rsidRPr="00244FB2" w:rsidRDefault="00716DE9" w:rsidP="00716DE9">
            <w:pPr>
              <w:pStyle w:val="TableText"/>
              <w:widowControl w:val="0"/>
              <w:jc w:val="center"/>
            </w:pPr>
            <w:r w:rsidRPr="00244FB2">
              <w:t>$27.70 x 13 x G</w:t>
            </w:r>
          </w:p>
        </w:tc>
        <w:tc>
          <w:tcPr>
            <w:tcW w:w="992" w:type="dxa"/>
            <w:shd w:val="clear" w:color="auto" w:fill="auto"/>
            <w:vAlign w:val="center"/>
          </w:tcPr>
          <w:p w14:paraId="04A242E9" w14:textId="77777777" w:rsidR="00716DE9" w:rsidRPr="005266FC" w:rsidRDefault="005266FC" w:rsidP="00C82052">
            <w:pPr>
              <w:pStyle w:val="TableText"/>
              <w:widowControl w:val="0"/>
              <w:jc w:val="center"/>
            </w:pPr>
            <w:r>
              <w:rPr>
                <w:noProof/>
                <w:color w:val="000000"/>
                <w:highlight w:val="black"/>
              </w:rPr>
              <w:t>''''''''''''''''''''</w:t>
            </w:r>
            <w:r w:rsidR="00C82052">
              <w:rPr>
                <w:vertAlign w:val="superscript"/>
              </w:rPr>
              <w:t>6</w:t>
            </w:r>
          </w:p>
        </w:tc>
        <w:tc>
          <w:tcPr>
            <w:tcW w:w="992" w:type="dxa"/>
            <w:shd w:val="clear" w:color="auto" w:fill="auto"/>
            <w:vAlign w:val="center"/>
          </w:tcPr>
          <w:p w14:paraId="5FED9BCA" w14:textId="77777777" w:rsidR="00716DE9" w:rsidRPr="005266FC" w:rsidRDefault="005266FC" w:rsidP="00716DE9">
            <w:pPr>
              <w:pStyle w:val="TableText"/>
              <w:widowControl w:val="0"/>
              <w:jc w:val="center"/>
            </w:pPr>
            <w:r>
              <w:rPr>
                <w:noProof/>
                <w:color w:val="000000"/>
                <w:highlight w:val="black"/>
              </w:rPr>
              <w:t>''''''''''''''''''''</w:t>
            </w:r>
            <w:r w:rsidR="00C82052">
              <w:rPr>
                <w:vertAlign w:val="superscript"/>
              </w:rPr>
              <w:t>6</w:t>
            </w:r>
          </w:p>
        </w:tc>
        <w:tc>
          <w:tcPr>
            <w:tcW w:w="992" w:type="dxa"/>
            <w:shd w:val="clear" w:color="auto" w:fill="auto"/>
            <w:vAlign w:val="center"/>
          </w:tcPr>
          <w:p w14:paraId="397E8899" w14:textId="77777777" w:rsidR="00716DE9" w:rsidRPr="005266FC" w:rsidRDefault="005266FC" w:rsidP="00716DE9">
            <w:pPr>
              <w:pStyle w:val="TableText"/>
              <w:widowControl w:val="0"/>
              <w:jc w:val="center"/>
            </w:pPr>
            <w:r>
              <w:rPr>
                <w:noProof/>
                <w:color w:val="000000"/>
                <w:highlight w:val="black"/>
              </w:rPr>
              <w:t>''''''''''''''''''</w:t>
            </w:r>
            <w:r w:rsidR="00C82052">
              <w:rPr>
                <w:vertAlign w:val="superscript"/>
              </w:rPr>
              <w:t>6</w:t>
            </w:r>
          </w:p>
        </w:tc>
        <w:tc>
          <w:tcPr>
            <w:tcW w:w="993" w:type="dxa"/>
            <w:shd w:val="clear" w:color="auto" w:fill="auto"/>
            <w:vAlign w:val="center"/>
          </w:tcPr>
          <w:p w14:paraId="464B24DB" w14:textId="77777777" w:rsidR="00716DE9" w:rsidRPr="005266FC" w:rsidRDefault="005266FC" w:rsidP="00716DE9">
            <w:pPr>
              <w:pStyle w:val="TableText"/>
              <w:widowControl w:val="0"/>
              <w:jc w:val="center"/>
            </w:pPr>
            <w:r>
              <w:rPr>
                <w:noProof/>
                <w:color w:val="000000"/>
                <w:highlight w:val="black"/>
              </w:rPr>
              <w:t>'''''''''''''''''</w:t>
            </w:r>
            <w:r w:rsidR="00C82052">
              <w:rPr>
                <w:vertAlign w:val="superscript"/>
              </w:rPr>
              <w:t>6</w:t>
            </w:r>
          </w:p>
        </w:tc>
        <w:tc>
          <w:tcPr>
            <w:tcW w:w="992" w:type="dxa"/>
            <w:shd w:val="clear" w:color="auto" w:fill="auto"/>
            <w:vAlign w:val="center"/>
          </w:tcPr>
          <w:p w14:paraId="4BD1C624" w14:textId="77777777" w:rsidR="00716DE9" w:rsidRPr="005266FC" w:rsidRDefault="005266FC" w:rsidP="00716DE9">
            <w:pPr>
              <w:pStyle w:val="TableText"/>
              <w:widowControl w:val="0"/>
              <w:jc w:val="center"/>
            </w:pPr>
            <w:r>
              <w:rPr>
                <w:noProof/>
                <w:color w:val="000000"/>
                <w:highlight w:val="black"/>
              </w:rPr>
              <w:t>''''''''''''''''''</w:t>
            </w:r>
            <w:r w:rsidR="00C82052">
              <w:rPr>
                <w:vertAlign w:val="superscript"/>
              </w:rPr>
              <w:t>6</w:t>
            </w:r>
          </w:p>
        </w:tc>
        <w:tc>
          <w:tcPr>
            <w:tcW w:w="992" w:type="dxa"/>
            <w:shd w:val="clear" w:color="auto" w:fill="auto"/>
            <w:vAlign w:val="center"/>
          </w:tcPr>
          <w:p w14:paraId="49AB3216" w14:textId="77777777" w:rsidR="00716DE9" w:rsidRPr="005266FC" w:rsidRDefault="005266FC" w:rsidP="00716DE9">
            <w:pPr>
              <w:pStyle w:val="TableText"/>
              <w:widowControl w:val="0"/>
              <w:jc w:val="center"/>
            </w:pPr>
            <w:r>
              <w:rPr>
                <w:noProof/>
                <w:color w:val="000000"/>
                <w:highlight w:val="black"/>
              </w:rPr>
              <w:t>''''''''''''''''''''</w:t>
            </w:r>
            <w:r w:rsidR="00C82052">
              <w:rPr>
                <w:vertAlign w:val="superscript"/>
              </w:rPr>
              <w:t>6</w:t>
            </w:r>
          </w:p>
        </w:tc>
      </w:tr>
      <w:tr w:rsidR="00716DE9" w:rsidRPr="00244FB2" w14:paraId="191EEBF3" w14:textId="77777777" w:rsidTr="00716DE9">
        <w:tc>
          <w:tcPr>
            <w:tcW w:w="279" w:type="dxa"/>
            <w:vAlign w:val="center"/>
          </w:tcPr>
          <w:p w14:paraId="60B3DAD7" w14:textId="77777777" w:rsidR="00716DE9" w:rsidRPr="00244FB2" w:rsidRDefault="00716DE9" w:rsidP="00716DE9">
            <w:pPr>
              <w:pStyle w:val="TableText"/>
              <w:widowControl w:val="0"/>
              <w:jc w:val="center"/>
              <w:rPr>
                <w:b/>
                <w:lang w:eastAsia="en-US"/>
              </w:rPr>
            </w:pPr>
            <w:r w:rsidRPr="00244FB2">
              <w:rPr>
                <w:b/>
                <w:lang w:eastAsia="en-US"/>
              </w:rPr>
              <w:t>K</w:t>
            </w:r>
          </w:p>
        </w:tc>
        <w:tc>
          <w:tcPr>
            <w:tcW w:w="1701" w:type="dxa"/>
            <w:shd w:val="clear" w:color="auto" w:fill="auto"/>
            <w:vAlign w:val="center"/>
          </w:tcPr>
          <w:p w14:paraId="6EDF522E" w14:textId="77777777" w:rsidR="00716DE9" w:rsidRPr="00244FB2" w:rsidRDefault="00716DE9" w:rsidP="00844918">
            <w:pPr>
              <w:pStyle w:val="TableText"/>
              <w:widowControl w:val="0"/>
              <w:rPr>
                <w:b/>
                <w:lang w:eastAsia="en-US"/>
              </w:rPr>
            </w:pPr>
            <w:r w:rsidRPr="00244FB2">
              <w:rPr>
                <w:b/>
                <w:lang w:eastAsia="en-US"/>
              </w:rPr>
              <w:t>Net cost to PBS/PRBS</w:t>
            </w:r>
          </w:p>
        </w:tc>
        <w:tc>
          <w:tcPr>
            <w:tcW w:w="1276" w:type="dxa"/>
            <w:vAlign w:val="center"/>
          </w:tcPr>
          <w:p w14:paraId="08609405" w14:textId="77777777" w:rsidR="00716DE9" w:rsidRPr="00244FB2" w:rsidRDefault="00716DE9" w:rsidP="00716DE9">
            <w:pPr>
              <w:pStyle w:val="TableText"/>
              <w:widowControl w:val="0"/>
              <w:jc w:val="center"/>
              <w:rPr>
                <w:b/>
              </w:rPr>
            </w:pPr>
            <w:r w:rsidRPr="00244FB2">
              <w:rPr>
                <w:b/>
              </w:rPr>
              <w:t>I – J</w:t>
            </w:r>
          </w:p>
        </w:tc>
        <w:tc>
          <w:tcPr>
            <w:tcW w:w="992" w:type="dxa"/>
            <w:shd w:val="clear" w:color="auto" w:fill="auto"/>
            <w:vAlign w:val="center"/>
          </w:tcPr>
          <w:p w14:paraId="7C1B271B" w14:textId="77777777" w:rsidR="00716DE9" w:rsidRPr="005266FC" w:rsidRDefault="005266FC" w:rsidP="00716DE9">
            <w:pPr>
              <w:pStyle w:val="TableText"/>
              <w:widowControl w:val="0"/>
              <w:jc w:val="center"/>
              <w:rPr>
                <w:b/>
              </w:rPr>
            </w:pPr>
            <w:r>
              <w:rPr>
                <w:b/>
                <w:noProof/>
                <w:color w:val="000000"/>
                <w:highlight w:val="black"/>
              </w:rPr>
              <w:t>''''''''''''''''''''''</w:t>
            </w:r>
            <w:r w:rsidR="00C82052">
              <w:rPr>
                <w:vertAlign w:val="superscript"/>
              </w:rPr>
              <w:t>3</w:t>
            </w:r>
          </w:p>
        </w:tc>
        <w:tc>
          <w:tcPr>
            <w:tcW w:w="992" w:type="dxa"/>
            <w:shd w:val="clear" w:color="auto" w:fill="auto"/>
            <w:vAlign w:val="center"/>
          </w:tcPr>
          <w:p w14:paraId="38B825DA" w14:textId="588BA0B3" w:rsidR="00716DE9" w:rsidRPr="005266FC" w:rsidRDefault="005266FC" w:rsidP="00716DE9">
            <w:pPr>
              <w:pStyle w:val="TableText"/>
              <w:widowControl w:val="0"/>
              <w:jc w:val="center"/>
              <w:rPr>
                <w:b/>
              </w:rPr>
            </w:pPr>
            <w:r>
              <w:rPr>
                <w:b/>
                <w:noProof/>
                <w:color w:val="000000"/>
                <w:highlight w:val="black"/>
              </w:rPr>
              <w:t>''''''''''''''''''''''</w:t>
            </w:r>
            <w:r w:rsidR="00C82052">
              <w:rPr>
                <w:vertAlign w:val="superscript"/>
              </w:rPr>
              <w:t>4</w:t>
            </w:r>
          </w:p>
        </w:tc>
        <w:tc>
          <w:tcPr>
            <w:tcW w:w="992" w:type="dxa"/>
            <w:shd w:val="clear" w:color="auto" w:fill="auto"/>
            <w:vAlign w:val="center"/>
          </w:tcPr>
          <w:p w14:paraId="0B90FD88" w14:textId="77777777" w:rsidR="00716DE9" w:rsidRPr="005266FC" w:rsidRDefault="005266FC" w:rsidP="00716DE9">
            <w:pPr>
              <w:pStyle w:val="TableText"/>
              <w:widowControl w:val="0"/>
              <w:jc w:val="center"/>
              <w:rPr>
                <w:b/>
              </w:rPr>
            </w:pPr>
            <w:r>
              <w:rPr>
                <w:b/>
                <w:noProof/>
                <w:color w:val="000000"/>
                <w:highlight w:val="black"/>
              </w:rPr>
              <w:t>''''''''''''''''''''''</w:t>
            </w:r>
            <w:r w:rsidR="00C82052">
              <w:rPr>
                <w:vertAlign w:val="superscript"/>
              </w:rPr>
              <w:t>4</w:t>
            </w:r>
          </w:p>
        </w:tc>
        <w:tc>
          <w:tcPr>
            <w:tcW w:w="993" w:type="dxa"/>
            <w:shd w:val="clear" w:color="auto" w:fill="auto"/>
            <w:vAlign w:val="center"/>
          </w:tcPr>
          <w:p w14:paraId="545AFC02" w14:textId="2B0B34C0" w:rsidR="00716DE9" w:rsidRPr="005266FC" w:rsidRDefault="005266FC" w:rsidP="00716DE9">
            <w:pPr>
              <w:pStyle w:val="TableText"/>
              <w:widowControl w:val="0"/>
              <w:jc w:val="center"/>
              <w:rPr>
                <w:b/>
              </w:rPr>
            </w:pPr>
            <w:r>
              <w:rPr>
                <w:b/>
                <w:noProof/>
                <w:color w:val="000000"/>
                <w:highlight w:val="black"/>
              </w:rPr>
              <w:t>''''''''''''''''''''''</w:t>
            </w:r>
            <w:r w:rsidR="00C82052">
              <w:rPr>
                <w:vertAlign w:val="superscript"/>
              </w:rPr>
              <w:t>5</w:t>
            </w:r>
          </w:p>
        </w:tc>
        <w:tc>
          <w:tcPr>
            <w:tcW w:w="992" w:type="dxa"/>
            <w:shd w:val="clear" w:color="auto" w:fill="auto"/>
            <w:vAlign w:val="center"/>
          </w:tcPr>
          <w:p w14:paraId="4182BC02" w14:textId="6383EE7A" w:rsidR="00716DE9" w:rsidRPr="005266FC" w:rsidRDefault="005266FC" w:rsidP="00716DE9">
            <w:pPr>
              <w:pStyle w:val="TableText"/>
              <w:widowControl w:val="0"/>
              <w:jc w:val="center"/>
              <w:rPr>
                <w:b/>
              </w:rPr>
            </w:pPr>
            <w:r>
              <w:rPr>
                <w:b/>
                <w:noProof/>
                <w:color w:val="000000"/>
                <w:highlight w:val="black"/>
              </w:rPr>
              <w:t>'''''''''''''''''''''</w:t>
            </w:r>
            <w:r w:rsidR="00C82052">
              <w:rPr>
                <w:vertAlign w:val="superscript"/>
              </w:rPr>
              <w:t>5</w:t>
            </w:r>
          </w:p>
        </w:tc>
        <w:tc>
          <w:tcPr>
            <w:tcW w:w="992" w:type="dxa"/>
            <w:shd w:val="clear" w:color="auto" w:fill="auto"/>
            <w:vAlign w:val="center"/>
          </w:tcPr>
          <w:p w14:paraId="4F73660D" w14:textId="4CDFA28F" w:rsidR="00716DE9" w:rsidRPr="005266FC" w:rsidRDefault="005266FC" w:rsidP="00716DE9">
            <w:pPr>
              <w:pStyle w:val="TableText"/>
              <w:widowControl w:val="0"/>
              <w:jc w:val="center"/>
              <w:rPr>
                <w:b/>
              </w:rPr>
            </w:pPr>
            <w:r>
              <w:rPr>
                <w:b/>
                <w:noProof/>
                <w:color w:val="000000"/>
                <w:highlight w:val="black"/>
              </w:rPr>
              <w:t>''''''''''''''''''''''</w:t>
            </w:r>
            <w:r w:rsidR="00C82052">
              <w:rPr>
                <w:vertAlign w:val="superscript"/>
              </w:rPr>
              <w:t>5</w:t>
            </w:r>
          </w:p>
        </w:tc>
      </w:tr>
    </w:tbl>
    <w:p w14:paraId="524E79FB" w14:textId="77777777" w:rsidR="00A74D33" w:rsidRPr="00244FB2" w:rsidRDefault="00716DE9" w:rsidP="001B72D4">
      <w:pPr>
        <w:widowControl w:val="0"/>
        <w:spacing w:after="120"/>
        <w:contextualSpacing/>
        <w:rPr>
          <w:rFonts w:ascii="Arial Narrow" w:hAnsi="Arial Narrow"/>
          <w:snapToGrid w:val="0"/>
          <w:sz w:val="18"/>
          <w:szCs w:val="22"/>
          <w:lang w:eastAsia="en-US"/>
        </w:rPr>
      </w:pPr>
      <w:r w:rsidRPr="00244FB2">
        <w:rPr>
          <w:rFonts w:ascii="Arial Narrow" w:hAnsi="Arial Narrow"/>
          <w:snapToGrid w:val="0"/>
          <w:sz w:val="18"/>
          <w:szCs w:val="22"/>
          <w:lang w:eastAsia="en-US"/>
        </w:rPr>
        <w:t>Source: Table 1, p6 of the PSCR</w:t>
      </w:r>
    </w:p>
    <w:p w14:paraId="27AA6E92" w14:textId="77777777" w:rsidR="00716DE9" w:rsidRPr="00244FB2" w:rsidRDefault="00716DE9" w:rsidP="001B72D4">
      <w:pPr>
        <w:widowControl w:val="0"/>
        <w:spacing w:after="120"/>
        <w:contextualSpacing/>
        <w:rPr>
          <w:rFonts w:ascii="Arial Narrow" w:hAnsi="Arial Narrow"/>
          <w:snapToGrid w:val="0"/>
          <w:sz w:val="18"/>
          <w:szCs w:val="22"/>
          <w:lang w:eastAsia="en-US"/>
        </w:rPr>
      </w:pPr>
      <w:r w:rsidRPr="00244FB2">
        <w:rPr>
          <w:rFonts w:ascii="Arial Narrow" w:hAnsi="Arial Narrow"/>
          <w:snapToGrid w:val="0"/>
          <w:sz w:val="18"/>
          <w:szCs w:val="22"/>
          <w:lang w:eastAsia="en-US"/>
        </w:rPr>
        <w:t>ABS = Australian Bureau of Statistics; AQP4 =</w:t>
      </w:r>
      <w:r w:rsidR="00120D7B" w:rsidRPr="00244FB2">
        <w:rPr>
          <w:rFonts w:ascii="Arial Narrow" w:hAnsi="Arial Narrow"/>
          <w:snapToGrid w:val="0"/>
          <w:sz w:val="18"/>
          <w:szCs w:val="22"/>
          <w:lang w:eastAsia="en-US"/>
        </w:rPr>
        <w:t xml:space="preserve"> aquaporin-4;</w:t>
      </w:r>
      <w:r w:rsidRPr="00244FB2">
        <w:rPr>
          <w:rFonts w:ascii="Arial Narrow" w:hAnsi="Arial Narrow"/>
          <w:snapToGrid w:val="0"/>
          <w:sz w:val="18"/>
          <w:szCs w:val="22"/>
          <w:lang w:eastAsia="en-US"/>
        </w:rPr>
        <w:t xml:space="preserve"> NMOSD = </w:t>
      </w:r>
      <w:proofErr w:type="spellStart"/>
      <w:r w:rsidRPr="00244FB2">
        <w:rPr>
          <w:rFonts w:ascii="Arial Narrow" w:hAnsi="Arial Narrow"/>
          <w:snapToGrid w:val="0"/>
          <w:sz w:val="18"/>
          <w:szCs w:val="22"/>
          <w:lang w:eastAsia="en-US"/>
        </w:rPr>
        <w:t>neuromyelitis</w:t>
      </w:r>
      <w:proofErr w:type="spellEnd"/>
      <w:r w:rsidRPr="00244FB2">
        <w:rPr>
          <w:rFonts w:ascii="Arial Narrow" w:hAnsi="Arial Narrow"/>
          <w:snapToGrid w:val="0"/>
          <w:sz w:val="18"/>
          <w:szCs w:val="22"/>
          <w:lang w:eastAsia="en-US"/>
        </w:rPr>
        <w:t xml:space="preserve"> </w:t>
      </w:r>
      <w:proofErr w:type="spellStart"/>
      <w:r w:rsidRPr="00244FB2">
        <w:rPr>
          <w:rFonts w:ascii="Arial Narrow" w:hAnsi="Arial Narrow"/>
          <w:snapToGrid w:val="0"/>
          <w:sz w:val="18"/>
          <w:szCs w:val="22"/>
          <w:lang w:eastAsia="en-US"/>
        </w:rPr>
        <w:t>optica</w:t>
      </w:r>
      <w:proofErr w:type="spellEnd"/>
      <w:r w:rsidRPr="00244FB2">
        <w:rPr>
          <w:rFonts w:ascii="Arial Narrow" w:hAnsi="Arial Narrow"/>
          <w:snapToGrid w:val="0"/>
          <w:sz w:val="18"/>
          <w:szCs w:val="22"/>
          <w:lang w:eastAsia="en-US"/>
        </w:rPr>
        <w:t xml:space="preserve"> spectrum disorder; </w:t>
      </w:r>
      <w:r w:rsidR="00120D7B" w:rsidRPr="00244FB2">
        <w:rPr>
          <w:rFonts w:ascii="Arial Narrow" w:hAnsi="Arial Narrow"/>
          <w:snapToGrid w:val="0"/>
          <w:sz w:val="18"/>
          <w:szCs w:val="22"/>
          <w:lang w:eastAsia="en-US"/>
        </w:rPr>
        <w:t xml:space="preserve">PBS = Pharmaceutical Benefits Scheme; </w:t>
      </w:r>
      <w:r w:rsidRPr="00244FB2">
        <w:rPr>
          <w:rFonts w:ascii="Arial Narrow" w:hAnsi="Arial Narrow"/>
          <w:snapToGrid w:val="0"/>
          <w:sz w:val="18"/>
          <w:szCs w:val="22"/>
          <w:lang w:eastAsia="en-US"/>
        </w:rPr>
        <w:t xml:space="preserve">PSCR = pre-Sub-Committee response; </w:t>
      </w:r>
      <w:r w:rsidR="00120D7B" w:rsidRPr="00244FB2">
        <w:rPr>
          <w:rFonts w:ascii="Arial Narrow" w:hAnsi="Arial Narrow"/>
          <w:snapToGrid w:val="0"/>
          <w:sz w:val="18"/>
          <w:szCs w:val="22"/>
          <w:lang w:eastAsia="en-US"/>
        </w:rPr>
        <w:t xml:space="preserve">RPBS = Repatriation Pharmaceutical Benefits Scheme; </w:t>
      </w:r>
      <w:r w:rsidRPr="00244FB2">
        <w:rPr>
          <w:rFonts w:ascii="Arial Narrow" w:hAnsi="Arial Narrow"/>
          <w:snapToGrid w:val="0"/>
          <w:sz w:val="18"/>
          <w:szCs w:val="22"/>
          <w:lang w:eastAsia="en-US"/>
        </w:rPr>
        <w:t>SAE = serious adverse event</w:t>
      </w:r>
    </w:p>
    <w:p w14:paraId="5060AF74" w14:textId="77777777" w:rsidR="00120D7B" w:rsidRDefault="00120D7B" w:rsidP="001B72D4">
      <w:pPr>
        <w:widowControl w:val="0"/>
        <w:spacing w:after="120"/>
        <w:contextualSpacing/>
        <w:rPr>
          <w:rFonts w:ascii="Arial Narrow" w:hAnsi="Arial Narrow"/>
          <w:snapToGrid w:val="0"/>
          <w:sz w:val="18"/>
          <w:szCs w:val="22"/>
          <w:lang w:eastAsia="en-US"/>
        </w:rPr>
      </w:pPr>
      <w:r w:rsidRPr="00244FB2">
        <w:rPr>
          <w:rFonts w:ascii="Arial Narrow" w:hAnsi="Arial Narrow"/>
          <w:snapToGrid w:val="0"/>
          <w:sz w:val="18"/>
          <w:szCs w:val="22"/>
          <w:lang w:eastAsia="en-US"/>
        </w:rPr>
        <w:t>* 108 vials for all patients in the first year, as per the PREVENT trial. Assumption that 25% of patients are initiating in subsequent years; 25% x 108 vials + 75% x 104 vials = 105 vials in Years 2-6</w:t>
      </w:r>
    </w:p>
    <w:p w14:paraId="2837DBDE" w14:textId="77777777" w:rsidR="00C82052" w:rsidRDefault="00C82052" w:rsidP="00C82052">
      <w:pPr>
        <w:pStyle w:val="TableFigureFooter"/>
        <w:spacing w:after="0"/>
        <w:contextualSpacing w:val="0"/>
        <w:rPr>
          <w:i/>
        </w:rPr>
      </w:pPr>
      <w:r w:rsidRPr="009868C4">
        <w:rPr>
          <w:i/>
        </w:rPr>
        <w:lastRenderedPageBreak/>
        <w:t>The redacted values correspond to the following ranges</w:t>
      </w:r>
      <w:r>
        <w:rPr>
          <w:i/>
        </w:rPr>
        <w:t xml:space="preserve">: </w:t>
      </w:r>
    </w:p>
    <w:p w14:paraId="01FAAE9E" w14:textId="77777777" w:rsidR="00C82052" w:rsidRDefault="00C82052" w:rsidP="00C82052">
      <w:pPr>
        <w:pStyle w:val="TableFigureFooter"/>
        <w:spacing w:after="0"/>
        <w:contextualSpacing w:val="0"/>
        <w:rPr>
          <w:i/>
        </w:rPr>
      </w:pPr>
      <w:r>
        <w:rPr>
          <w:i/>
          <w:vertAlign w:val="superscript"/>
        </w:rPr>
        <w:t>1</w:t>
      </w:r>
      <w:r>
        <w:rPr>
          <w:i/>
        </w:rPr>
        <w:t xml:space="preserve"> </w:t>
      </w:r>
      <w:r w:rsidRPr="00F968FB">
        <w:rPr>
          <w:i/>
        </w:rPr>
        <w:t>&lt; 500</w:t>
      </w:r>
    </w:p>
    <w:p w14:paraId="09098425" w14:textId="77777777" w:rsidR="00C82052" w:rsidRDefault="00C82052" w:rsidP="00C82052">
      <w:pPr>
        <w:pStyle w:val="TableFigureFooter"/>
        <w:spacing w:after="0"/>
        <w:contextualSpacing w:val="0"/>
        <w:rPr>
          <w:i/>
        </w:rPr>
      </w:pPr>
      <w:r>
        <w:rPr>
          <w:i/>
          <w:vertAlign w:val="superscript"/>
        </w:rPr>
        <w:t>2</w:t>
      </w:r>
      <w:r>
        <w:rPr>
          <w:i/>
        </w:rPr>
        <w:t xml:space="preserve"> </w:t>
      </w:r>
      <w:r w:rsidRPr="00F968FB">
        <w:rPr>
          <w:i/>
        </w:rPr>
        <w:t>5,000 to &lt; 10,000</w:t>
      </w:r>
    </w:p>
    <w:p w14:paraId="4D1F4161" w14:textId="77777777" w:rsidR="00C82052" w:rsidRPr="00F968FB" w:rsidRDefault="00C82052" w:rsidP="00C82052">
      <w:pPr>
        <w:pStyle w:val="TableFigureFooter"/>
        <w:spacing w:after="0"/>
        <w:contextualSpacing w:val="0"/>
        <w:rPr>
          <w:i/>
        </w:rPr>
      </w:pPr>
      <w:r>
        <w:rPr>
          <w:i/>
          <w:vertAlign w:val="superscript"/>
        </w:rPr>
        <w:t xml:space="preserve">3 </w:t>
      </w:r>
      <w:r w:rsidRPr="00F968FB">
        <w:rPr>
          <w:i/>
        </w:rPr>
        <w:t>$30 million to &lt; $40 million</w:t>
      </w:r>
    </w:p>
    <w:p w14:paraId="431C1114" w14:textId="77777777" w:rsidR="00C82052" w:rsidRPr="00F968FB" w:rsidRDefault="00C82052" w:rsidP="00C82052">
      <w:pPr>
        <w:pStyle w:val="TableFigureFooter"/>
        <w:rPr>
          <w:i/>
        </w:rPr>
      </w:pPr>
      <w:r>
        <w:rPr>
          <w:i/>
          <w:vertAlign w:val="superscript"/>
        </w:rPr>
        <w:t xml:space="preserve">4 </w:t>
      </w:r>
      <w:r w:rsidRPr="00F968FB">
        <w:rPr>
          <w:i/>
        </w:rPr>
        <w:t>$40 million to &lt; $50 million</w:t>
      </w:r>
    </w:p>
    <w:p w14:paraId="26C7F792" w14:textId="77777777" w:rsidR="00C82052" w:rsidRDefault="00C82052" w:rsidP="00C82052">
      <w:pPr>
        <w:pStyle w:val="TableFigureFooter"/>
        <w:spacing w:after="0"/>
        <w:contextualSpacing w:val="0"/>
        <w:rPr>
          <w:i/>
        </w:rPr>
      </w:pPr>
      <w:r>
        <w:rPr>
          <w:i/>
          <w:vertAlign w:val="superscript"/>
        </w:rPr>
        <w:t xml:space="preserve">5 </w:t>
      </w:r>
      <w:r w:rsidRPr="00F968FB">
        <w:rPr>
          <w:i/>
        </w:rPr>
        <w:t>$50 million to &lt; $60 million</w:t>
      </w:r>
    </w:p>
    <w:p w14:paraId="60716491" w14:textId="77777777" w:rsidR="00C82052" w:rsidRPr="00F17321" w:rsidRDefault="00C82052" w:rsidP="00C82052">
      <w:pPr>
        <w:pStyle w:val="TableFigureFooter"/>
        <w:spacing w:after="0"/>
        <w:contextualSpacing w:val="0"/>
        <w:rPr>
          <w:i/>
        </w:rPr>
      </w:pPr>
      <w:r>
        <w:rPr>
          <w:i/>
          <w:vertAlign w:val="superscript"/>
        </w:rPr>
        <w:t xml:space="preserve">6 </w:t>
      </w:r>
      <w:r w:rsidRPr="00F17321">
        <w:rPr>
          <w:i/>
        </w:rPr>
        <w:t>$0 to &lt; $10 million</w:t>
      </w:r>
    </w:p>
    <w:p w14:paraId="792C0848" w14:textId="77777777" w:rsidR="00C82052" w:rsidRPr="00244FB2" w:rsidRDefault="00C82052" w:rsidP="001B72D4">
      <w:pPr>
        <w:widowControl w:val="0"/>
        <w:spacing w:after="120"/>
        <w:contextualSpacing/>
        <w:rPr>
          <w:rFonts w:ascii="Arial Narrow" w:hAnsi="Arial Narrow"/>
          <w:snapToGrid w:val="0"/>
          <w:sz w:val="18"/>
          <w:szCs w:val="22"/>
          <w:lang w:eastAsia="en-US"/>
        </w:rPr>
      </w:pPr>
    </w:p>
    <w:p w14:paraId="2946AACB" w14:textId="77777777" w:rsidR="001B72D4" w:rsidRPr="00244FB2" w:rsidRDefault="001B72D4" w:rsidP="00031D4D">
      <w:pPr>
        <w:pStyle w:val="ExecSumBodyText"/>
      </w:pPr>
      <w:r w:rsidRPr="00244FB2">
        <w:t xml:space="preserve">The estimated net cost of listing </w:t>
      </w:r>
      <w:proofErr w:type="spellStart"/>
      <w:r w:rsidRPr="00244FB2">
        <w:t>eculizumab</w:t>
      </w:r>
      <w:proofErr w:type="spellEnd"/>
      <w:r w:rsidRPr="00244FB2">
        <w:t xml:space="preserve"> on the PBS </w:t>
      </w:r>
      <w:r w:rsidR="00EA6E41" w:rsidRPr="00244FB2">
        <w:t xml:space="preserve">in the submission </w:t>
      </w:r>
      <w:r w:rsidRPr="00244FB2">
        <w:t xml:space="preserve">was </w:t>
      </w:r>
      <w:r w:rsidR="00031D4D" w:rsidRPr="00031D4D">
        <w:t>$10 million to &lt; $20 million</w:t>
      </w:r>
      <w:r w:rsidRPr="00244FB2">
        <w:t xml:space="preserve"> in Year 1 of listing, increasing to </w:t>
      </w:r>
      <w:r w:rsidR="00031D4D" w:rsidRPr="00031D4D">
        <w:t>$50 million to &lt; $60 million</w:t>
      </w:r>
      <w:r w:rsidR="00031D4D">
        <w:t xml:space="preserve"> </w:t>
      </w:r>
      <w:r w:rsidRPr="00244FB2">
        <w:t xml:space="preserve">in Year 6, a cumulative total of </w:t>
      </w:r>
      <w:r w:rsidR="00031D4D" w:rsidRPr="00031D4D">
        <w:t>$200 million to &lt; $300 million</w:t>
      </w:r>
      <w:r w:rsidR="00031D4D">
        <w:t xml:space="preserve"> </w:t>
      </w:r>
      <w:r w:rsidRPr="00244FB2">
        <w:t xml:space="preserve">over 6 years. The total cost to Government (including MBS administration costs) was </w:t>
      </w:r>
      <w:r w:rsidR="00031D4D" w:rsidRPr="00031D4D">
        <w:t>$10 million to &lt; $20 million</w:t>
      </w:r>
      <w:r w:rsidR="00031D4D" w:rsidRPr="00031D4D" w:rsidDel="00031D4D">
        <w:t xml:space="preserve"> </w:t>
      </w:r>
      <w:r w:rsidRPr="00244FB2">
        <w:t xml:space="preserve">in Year 1, increasing to </w:t>
      </w:r>
      <w:r w:rsidR="00031D4D" w:rsidRPr="00031D4D">
        <w:t xml:space="preserve">$50 million to &lt; $60 million </w:t>
      </w:r>
      <w:r w:rsidRPr="00244FB2">
        <w:t xml:space="preserve">in Year 6, a cumulative total of </w:t>
      </w:r>
      <w:r w:rsidR="00031D4D" w:rsidRPr="00031D4D">
        <w:t xml:space="preserve">$200 million to &lt; $300 million </w:t>
      </w:r>
      <w:r w:rsidRPr="00244FB2">
        <w:t>over 6 years</w:t>
      </w:r>
      <w:r w:rsidR="00244FB2">
        <w:t xml:space="preserve">. </w:t>
      </w:r>
    </w:p>
    <w:p w14:paraId="1712F24F" w14:textId="77777777" w:rsidR="00EA6E41" w:rsidRPr="00244FB2" w:rsidRDefault="00EA6E41" w:rsidP="009763A6">
      <w:pPr>
        <w:pStyle w:val="ExecSumBodyText"/>
      </w:pPr>
      <w:r w:rsidRPr="00244FB2">
        <w:t xml:space="preserve">The revised estimates in the PSCR estimated a net cost of listing </w:t>
      </w:r>
      <w:proofErr w:type="spellStart"/>
      <w:r w:rsidRPr="00244FB2">
        <w:t>eculizumab</w:t>
      </w:r>
      <w:proofErr w:type="spellEnd"/>
      <w:r w:rsidRPr="00244FB2">
        <w:t xml:space="preserve"> on the PBS of </w:t>
      </w:r>
      <w:r w:rsidR="009763A6" w:rsidRPr="009763A6">
        <w:t>$30 million to &lt; $40 million</w:t>
      </w:r>
      <w:r w:rsidR="009763A6">
        <w:t xml:space="preserve"> </w:t>
      </w:r>
      <w:r w:rsidRPr="00244FB2">
        <w:t xml:space="preserve">in Year 1, </w:t>
      </w:r>
      <w:r w:rsidR="009763A6" w:rsidRPr="009763A6">
        <w:t>$50 million to &lt; $60 million</w:t>
      </w:r>
      <w:r w:rsidR="009763A6">
        <w:t xml:space="preserve"> </w:t>
      </w:r>
      <w:r w:rsidRPr="00244FB2">
        <w:t xml:space="preserve">in Year 6 and a cumulative total of </w:t>
      </w:r>
      <w:r w:rsidR="009763A6" w:rsidRPr="009763A6">
        <w:t>$200 million to &lt; $300 million</w:t>
      </w:r>
      <w:r w:rsidR="009763A6">
        <w:t xml:space="preserve"> </w:t>
      </w:r>
      <w:r w:rsidRPr="00244FB2">
        <w:t>over the first 6 years.</w:t>
      </w:r>
    </w:p>
    <w:p w14:paraId="4CE67BE4" w14:textId="77777777" w:rsidR="000F5C2A" w:rsidRPr="00244FB2" w:rsidRDefault="000F5C2A" w:rsidP="000F5C2A">
      <w:pPr>
        <w:pStyle w:val="ExecSumBodyText"/>
        <w:numPr>
          <w:ilvl w:val="1"/>
          <w:numId w:val="1"/>
        </w:numPr>
      </w:pPr>
      <w:r w:rsidRPr="00244FB2">
        <w:t>DUSC considered that the estimates presented were underestimated. The main issues identified were that the:</w:t>
      </w:r>
    </w:p>
    <w:p w14:paraId="412BC6B3" w14:textId="77777777" w:rsidR="000F5C2A" w:rsidRPr="00244FB2" w:rsidRDefault="000F5C2A" w:rsidP="000F5C2A">
      <w:pPr>
        <w:pStyle w:val="ExecSumBodyText"/>
        <w:numPr>
          <w:ilvl w:val="0"/>
          <w:numId w:val="14"/>
        </w:numPr>
        <w:spacing w:after="0"/>
        <w:ind w:left="1077" w:hanging="357"/>
        <w:rPr>
          <w:iCs/>
        </w:rPr>
      </w:pPr>
      <w:proofErr w:type="gramStart"/>
      <w:r w:rsidRPr="00244FB2">
        <w:t>updated</w:t>
      </w:r>
      <w:proofErr w:type="gramEnd"/>
      <w:r w:rsidRPr="00244FB2">
        <w:t xml:space="preserve"> estimates of use included with the PSCR applied a constant proportion to estimate the number of patients who are AQP4</w:t>
      </w:r>
      <w:r w:rsidR="00DB3604" w:rsidRPr="00244FB2">
        <w:t xml:space="preserve"> </w:t>
      </w:r>
      <w:r w:rsidR="0002082A" w:rsidRPr="00244FB2">
        <w:t>positive</w:t>
      </w:r>
      <w:r w:rsidRPr="00244FB2">
        <w:t xml:space="preserve"> and frequently relapsing. However, the updated estimates continued to use the incident cohort-based approach to estimate the size of the treated population. Given the absence of time limitation following relapse in the new restriction, a prevalent approach would have better estimated utilisation.</w:t>
      </w:r>
      <w:r w:rsidR="0058412C" w:rsidRPr="00244FB2">
        <w:t xml:space="preserve"> The pre-PBAC response </w:t>
      </w:r>
      <w:r w:rsidR="007F614E">
        <w:t xml:space="preserve">clarified that </w:t>
      </w:r>
      <w:r w:rsidR="0058412C" w:rsidRPr="00244FB2">
        <w:t>a prevalence approach was used to estimate the size of the treated population.</w:t>
      </w:r>
    </w:p>
    <w:p w14:paraId="477297F2" w14:textId="77777777" w:rsidR="000F5C2A" w:rsidRPr="000358FF" w:rsidRDefault="000F5C2A" w:rsidP="000F5C2A">
      <w:pPr>
        <w:pStyle w:val="ExecSumBodyText"/>
        <w:numPr>
          <w:ilvl w:val="0"/>
          <w:numId w:val="14"/>
        </w:numPr>
        <w:spacing w:after="0"/>
        <w:ind w:left="1077" w:hanging="357"/>
        <w:rPr>
          <w:iCs/>
        </w:rPr>
      </w:pPr>
      <w:proofErr w:type="gramStart"/>
      <w:r w:rsidRPr="00244FB2">
        <w:rPr>
          <w:iCs/>
        </w:rPr>
        <w:t>prevalence</w:t>
      </w:r>
      <w:proofErr w:type="gramEnd"/>
      <w:r w:rsidRPr="00244FB2">
        <w:rPr>
          <w:iCs/>
        </w:rPr>
        <w:t xml:space="preserve"> of NMOSD was increased </w:t>
      </w:r>
      <w:r w:rsidRPr="000358FF">
        <w:rPr>
          <w:iCs/>
        </w:rPr>
        <w:t xml:space="preserve">to </w:t>
      </w:r>
      <w:r w:rsidRPr="000358FF">
        <w:t>0.001% in the PSCR</w:t>
      </w:r>
      <w:r w:rsidRPr="000358FF">
        <w:rPr>
          <w:iCs/>
        </w:rPr>
        <w:t>, from 0.0007% in the submission. The prevalence may still be underestimated as:</w:t>
      </w:r>
    </w:p>
    <w:p w14:paraId="123BED5E" w14:textId="77777777" w:rsidR="000F5C2A" w:rsidRPr="000358FF" w:rsidRDefault="000F5C2A" w:rsidP="000F5C2A">
      <w:pPr>
        <w:pStyle w:val="ExecSumBodyText"/>
        <w:numPr>
          <w:ilvl w:val="1"/>
          <w:numId w:val="23"/>
        </w:numPr>
        <w:spacing w:after="0"/>
        <w:rPr>
          <w:iCs/>
        </w:rPr>
      </w:pPr>
      <w:r w:rsidRPr="000358FF">
        <w:rPr>
          <w:iCs/>
        </w:rPr>
        <w:t>there is likely to be a potential pool of patients with historical diagnosis that were not captured in the study sample; and</w:t>
      </w:r>
    </w:p>
    <w:p w14:paraId="200DE972" w14:textId="77777777" w:rsidR="000F5C2A" w:rsidRPr="00244FB2" w:rsidRDefault="000F5C2A" w:rsidP="000F5C2A">
      <w:pPr>
        <w:pStyle w:val="ExecSumBodyText"/>
        <w:numPr>
          <w:ilvl w:val="1"/>
          <w:numId w:val="23"/>
        </w:numPr>
        <w:spacing w:after="0"/>
        <w:rPr>
          <w:iCs/>
        </w:rPr>
      </w:pPr>
      <w:r w:rsidRPr="000358FF">
        <w:t xml:space="preserve">the rates of </w:t>
      </w:r>
      <w:r w:rsidRPr="000358FF">
        <w:rPr>
          <w:rFonts w:cstheme="minorHAnsi"/>
        </w:rPr>
        <w:t xml:space="preserve">AQP4-antibody testing </w:t>
      </w:r>
      <w:r w:rsidRPr="000358FF">
        <w:t>in Queensland suggests the prevalence of NMOSD is higher than 0.001%, although the Queensland figures do not identify if, and how many, patients are tested multiple</w:t>
      </w:r>
      <w:r w:rsidRPr="00244FB2">
        <w:t xml:space="preserve"> times in a year.</w:t>
      </w:r>
    </w:p>
    <w:p w14:paraId="50C17A07" w14:textId="77777777" w:rsidR="000F5C2A" w:rsidRPr="00244FB2" w:rsidRDefault="000F5C2A" w:rsidP="0002082A">
      <w:pPr>
        <w:pStyle w:val="ListParagraph"/>
        <w:numPr>
          <w:ilvl w:val="0"/>
          <w:numId w:val="14"/>
        </w:numPr>
        <w:spacing w:after="120"/>
        <w:ind w:left="1077" w:hanging="357"/>
      </w:pPr>
      <w:proofErr w:type="gramStart"/>
      <w:r w:rsidRPr="00244FB2">
        <w:t>uptake</w:t>
      </w:r>
      <w:proofErr w:type="gramEnd"/>
      <w:r w:rsidRPr="00244FB2">
        <w:t xml:space="preserve"> rates applied to newly eligible patients were possibly underestimated as there is an unmet clinical need for treatments for NMOSD. It may have been more reasonable to assume that a higher proportion of eligible patients would initiate in the year they are diagnosed.</w:t>
      </w:r>
    </w:p>
    <w:p w14:paraId="2973408D" w14:textId="77777777" w:rsidR="00384C1B" w:rsidRPr="00244FB2" w:rsidRDefault="00384C1B" w:rsidP="00384C1B">
      <w:pPr>
        <w:pStyle w:val="ExecSumBodyText"/>
      </w:pPr>
      <w:r w:rsidRPr="00244FB2">
        <w:t xml:space="preserve">Overall DUSC commented that </w:t>
      </w:r>
      <w:proofErr w:type="spellStart"/>
      <w:r w:rsidRPr="00244FB2">
        <w:t>eculizumab</w:t>
      </w:r>
      <w:proofErr w:type="spellEnd"/>
      <w:r w:rsidRPr="00244FB2">
        <w:t xml:space="preserve"> is proposed as a lifelong prophylaxis treatment for a non-life-limiting disease, and that at the current price the estimated cost </w:t>
      </w:r>
      <w:r w:rsidR="00F2032F" w:rsidRPr="00244FB2">
        <w:t xml:space="preserve">was </w:t>
      </w:r>
      <w:r w:rsidRPr="000162B2">
        <w:t>approximately $50 million</w:t>
      </w:r>
      <w:r w:rsidR="00FC78B1">
        <w:t xml:space="preserve"> to &lt; $60 million</w:t>
      </w:r>
      <w:r w:rsidRPr="00244FB2">
        <w:t xml:space="preserve"> per year to treat less than </w:t>
      </w:r>
      <w:r w:rsidR="00FC78B1">
        <w:t xml:space="preserve">&lt; 500 </w:t>
      </w:r>
      <w:r w:rsidRPr="00244FB2">
        <w:t>patients per year.</w:t>
      </w:r>
    </w:p>
    <w:p w14:paraId="45802B2D" w14:textId="77777777" w:rsidR="00F535BD" w:rsidRPr="00244FB2" w:rsidRDefault="00F535BD" w:rsidP="00F535BD">
      <w:pPr>
        <w:pStyle w:val="ExecSumBodyText"/>
      </w:pPr>
      <w:r w:rsidRPr="00244FB2">
        <w:lastRenderedPageBreak/>
        <w:t xml:space="preserve">The submission applied a prevalence estimate </w:t>
      </w:r>
      <w:r w:rsidR="00761FBB" w:rsidRPr="00244FB2">
        <w:t xml:space="preserve">of 0.7 per 100,000 (0.0007%) </w:t>
      </w:r>
      <w:r w:rsidRPr="00244FB2">
        <w:t>based on Bukhari 2017 which used data collected from 1 January 2011 to 31 December 2013</w:t>
      </w:r>
      <w:r w:rsidR="00080554" w:rsidRPr="00244FB2">
        <w:t>. T</w:t>
      </w:r>
      <w:r w:rsidRPr="00244FB2">
        <w:t xml:space="preserve">he authors of the study acknowledged they may have underestimated cases, and that their results were lower than other published estimates. The worldwide prevalence estimates range from approximately 0.5 to 4 patients per 100,000 population (noting these estimates are highly variable given observed racial associations and evolving diagnostic </w:t>
      </w:r>
      <w:r w:rsidRPr="000358FF">
        <w:t xml:space="preserve">criteria). </w:t>
      </w:r>
      <w:r w:rsidR="00761FBB" w:rsidRPr="000358FF">
        <w:t>Further, the PBAC noted that the prevalence estimate applied in the PSCR (0.001%) was</w:t>
      </w:r>
      <w:r w:rsidR="00761FBB" w:rsidRPr="00244FB2">
        <w:t xml:space="preserve"> based on the opinions from six clinicians who treat patients with NMOSD and the PSCR did not provide any further details regarding the clinicians, the questions they were asked, or the method of collecting their opinions. The PBAC agreed with DUSC that there may be a considerable risk of bias associated with this expert opinion. </w:t>
      </w:r>
      <w:r w:rsidRPr="00244FB2">
        <w:t>Overall the PBAC considered the prevalence estimate</w:t>
      </w:r>
      <w:r w:rsidR="00384C1B" w:rsidRPr="00244FB2">
        <w:t>s</w:t>
      </w:r>
      <w:r w:rsidRPr="00244FB2">
        <w:t xml:space="preserve"> applied in the PSCR and the submission w</w:t>
      </w:r>
      <w:r w:rsidR="00384C1B" w:rsidRPr="00244FB2">
        <w:t>ere</w:t>
      </w:r>
      <w:r w:rsidRPr="00244FB2">
        <w:t xml:space="preserve"> unreliable and likely underestimated.</w:t>
      </w:r>
    </w:p>
    <w:p w14:paraId="610541E6" w14:textId="77777777" w:rsidR="0058412C" w:rsidRPr="00244FB2" w:rsidRDefault="001B72D4" w:rsidP="0058412C">
      <w:pPr>
        <w:pStyle w:val="ExecSumBodyText"/>
        <w:numPr>
          <w:ilvl w:val="1"/>
          <w:numId w:val="1"/>
        </w:numPr>
      </w:pPr>
      <w:r w:rsidRPr="00244FB2">
        <w:t xml:space="preserve">The submission did not address the financial implications associated with the need for supplemental </w:t>
      </w:r>
      <w:proofErr w:type="spellStart"/>
      <w:r w:rsidRPr="00244FB2">
        <w:t>eculizumab</w:t>
      </w:r>
      <w:proofErr w:type="spellEnd"/>
      <w:r w:rsidRPr="00244FB2">
        <w:t xml:space="preserve"> dosing for patients undergoing plasma exchange (which is used as an acute treatment for relapse in NMOSD)</w:t>
      </w:r>
      <w:r w:rsidR="0034721E" w:rsidRPr="00244FB2">
        <w:t>. However, the ESC noted that most use in this setting would likely occur in admitted patients in public hospitals and, thus, will not be subsidised by the PBS</w:t>
      </w:r>
      <w:r w:rsidRPr="00244FB2">
        <w:t xml:space="preserve">. </w:t>
      </w:r>
    </w:p>
    <w:p w14:paraId="21BE0B9E" w14:textId="77777777" w:rsidR="0058412C" w:rsidRPr="00244FB2" w:rsidRDefault="0058412C" w:rsidP="0058412C">
      <w:pPr>
        <w:pStyle w:val="3-SubsectionHeading"/>
      </w:pPr>
      <w:r w:rsidRPr="00244FB2">
        <w:t>Financial Management – Risk Sharing Arrangement</w:t>
      </w:r>
    </w:p>
    <w:p w14:paraId="12D077EE" w14:textId="77777777" w:rsidR="0058412C" w:rsidRPr="00244FB2" w:rsidRDefault="0058412C" w:rsidP="0058412C">
      <w:pPr>
        <w:pStyle w:val="ExecSumBodyText"/>
        <w:numPr>
          <w:ilvl w:val="1"/>
          <w:numId w:val="1"/>
        </w:numPr>
      </w:pPr>
      <w:r w:rsidRPr="00244FB2">
        <w:t xml:space="preserve">No </w:t>
      </w:r>
      <w:r w:rsidR="00BD7934" w:rsidRPr="00244FB2">
        <w:t>RSA</w:t>
      </w:r>
      <w:r w:rsidRPr="00244FB2">
        <w:t xml:space="preserve"> was proposed in the submission. However, the pre-PBAC response acknowledged the </w:t>
      </w:r>
      <w:r w:rsidRPr="007938D8">
        <w:t xml:space="preserve">uncertainty in the eligible patient population and proposed a RSA. The pre-PBAC response proposed a </w:t>
      </w:r>
      <w:r w:rsidR="005266FC">
        <w:rPr>
          <w:noProof/>
          <w:color w:val="000000"/>
          <w:highlight w:val="black"/>
        </w:rPr>
        <w:t>''''''''''''''' ''''''''''''''</w:t>
      </w:r>
      <w:r w:rsidRPr="007938D8">
        <w:t xml:space="preserve"> cap (based on a prevalence of </w:t>
      </w:r>
      <w:r w:rsidR="005266FC">
        <w:rPr>
          <w:noProof/>
          <w:color w:val="000000"/>
          <w:highlight w:val="black"/>
        </w:rPr>
        <w:t>'''</w:t>
      </w:r>
      <w:r w:rsidRPr="007938D8">
        <w:t xml:space="preserve"> per </w:t>
      </w:r>
      <w:r w:rsidR="005266FC">
        <w:rPr>
          <w:noProof/>
          <w:color w:val="000000"/>
          <w:highlight w:val="black"/>
        </w:rPr>
        <w:t>''''''''''''''''</w:t>
      </w:r>
      <w:r w:rsidRPr="007938D8">
        <w:t xml:space="preserve"> = </w:t>
      </w:r>
      <w:r w:rsidR="009E763C" w:rsidRPr="007938D8">
        <w:t xml:space="preserve">&lt; 500 </w:t>
      </w:r>
      <w:r w:rsidRPr="007938D8">
        <w:t xml:space="preserve">patients in Year 1, increasing to </w:t>
      </w:r>
      <w:r w:rsidR="009E763C" w:rsidRPr="007938D8">
        <w:t xml:space="preserve">&lt; 500 </w:t>
      </w:r>
      <w:r w:rsidRPr="007938D8">
        <w:t>patients in</w:t>
      </w:r>
      <w:r w:rsidRPr="00244FB2">
        <w:t xml:space="preserve"> Year 6).</w:t>
      </w:r>
    </w:p>
    <w:p w14:paraId="62959C88" w14:textId="77777777" w:rsidR="00EA6E41" w:rsidRPr="00244FB2" w:rsidRDefault="00EA6E41" w:rsidP="00EA6E41">
      <w:pPr>
        <w:pStyle w:val="3-SubsectionHeading"/>
      </w:pPr>
      <w:r w:rsidRPr="00244FB2">
        <w:t>Quality use of Medicines</w:t>
      </w:r>
    </w:p>
    <w:p w14:paraId="20A2FAA7" w14:textId="77777777" w:rsidR="00EA6E41" w:rsidRPr="00244FB2" w:rsidRDefault="00EA6E41" w:rsidP="00EA6E41">
      <w:pPr>
        <w:pStyle w:val="ExecSumBodyText"/>
        <w:numPr>
          <w:ilvl w:val="1"/>
          <w:numId w:val="1"/>
        </w:numPr>
      </w:pPr>
      <w:r w:rsidRPr="00244FB2">
        <w:t xml:space="preserve">There were no issues identified in the submission. DUSC noted that the listing of </w:t>
      </w:r>
      <w:proofErr w:type="spellStart"/>
      <w:r w:rsidRPr="00244FB2">
        <w:t>eculizumab</w:t>
      </w:r>
      <w:proofErr w:type="spellEnd"/>
      <w:r w:rsidRPr="00244FB2">
        <w:t xml:space="preserve"> for NMOSD would be a substantial change to the treatment algorithm for a rare disease and considered that clinicians would require appropriate educational support. DUSC considered that the restriction should require the patient to be vaccinated against meningococcal infection. </w:t>
      </w:r>
    </w:p>
    <w:p w14:paraId="2776AC11" w14:textId="77777777" w:rsidR="001B72D4" w:rsidRPr="00244FB2" w:rsidRDefault="001B72D4" w:rsidP="001B72D4">
      <w:pPr>
        <w:pStyle w:val="ExecSumBodyText"/>
        <w:numPr>
          <w:ilvl w:val="0"/>
          <w:numId w:val="0"/>
        </w:numPr>
        <w:ind w:left="720"/>
      </w:pPr>
      <w:r w:rsidRPr="00244FB2">
        <w:rPr>
          <w:i/>
        </w:rPr>
        <w:t>For more detail on PBAC’s view, see section 7 PBAC outcome.</w:t>
      </w:r>
    </w:p>
    <w:p w14:paraId="0EB3C206" w14:textId="77777777" w:rsidR="00617FDF" w:rsidRPr="00244FB2" w:rsidRDefault="00617FDF" w:rsidP="00617FDF">
      <w:pPr>
        <w:pStyle w:val="2-SectionHeading"/>
      </w:pPr>
      <w:r w:rsidRPr="00244FB2">
        <w:t>PBAC Outcome</w:t>
      </w:r>
    </w:p>
    <w:p w14:paraId="21271C59" w14:textId="77777777" w:rsidR="00752229" w:rsidRPr="00244FB2" w:rsidRDefault="00752229" w:rsidP="009E763C">
      <w:pPr>
        <w:pStyle w:val="ExecSumBodyText"/>
      </w:pPr>
      <w:r w:rsidRPr="00244FB2">
        <w:t xml:space="preserve">The PBAC did not recommend the listing of </w:t>
      </w:r>
      <w:proofErr w:type="spellStart"/>
      <w:r w:rsidRPr="00244FB2">
        <w:t>eculizumab</w:t>
      </w:r>
      <w:proofErr w:type="spellEnd"/>
      <w:r w:rsidRPr="00244FB2">
        <w:t xml:space="preserve"> for the treatment of NMOSD. Although the PBAC considered that </w:t>
      </w:r>
      <w:proofErr w:type="spellStart"/>
      <w:r w:rsidRPr="00244FB2">
        <w:t>eculizumab</w:t>
      </w:r>
      <w:proofErr w:type="spellEnd"/>
      <w:r w:rsidRPr="00244FB2">
        <w:t xml:space="preserve"> was more effective than best supportive care in reducing relapses, the magnitude of this effect on disability </w:t>
      </w:r>
      <w:r w:rsidR="00380EC5" w:rsidRPr="00244FB2">
        <w:t xml:space="preserve">progression </w:t>
      </w:r>
      <w:r w:rsidRPr="00244FB2">
        <w:t>and quality of life outcomes was highly uncertain. The PBAC noted that the incremental cost effectiveness ratio</w:t>
      </w:r>
      <w:r w:rsidR="004A7FBC" w:rsidRPr="00244FB2">
        <w:t xml:space="preserve"> (ICER)</w:t>
      </w:r>
      <w:r w:rsidRPr="00244FB2">
        <w:t xml:space="preserve"> was </w:t>
      </w:r>
      <w:r w:rsidR="009E763C" w:rsidRPr="009E763C">
        <w:rPr>
          <w:rFonts w:ascii="Calibri" w:hAnsi="Calibri"/>
          <w:snapToGrid/>
        </w:rPr>
        <w:t>&gt; $1,055,000</w:t>
      </w:r>
      <w:r w:rsidR="00107BF8">
        <w:t xml:space="preserve"> per quality adjusted life year (QALY)</w:t>
      </w:r>
      <w:r w:rsidRPr="00244FB2">
        <w:t xml:space="preserve"> and advised that a significant price reduction would </w:t>
      </w:r>
      <w:r w:rsidR="00D97BB4">
        <w:t xml:space="preserve">aid in achieving </w:t>
      </w:r>
      <w:r w:rsidR="00D97BB4">
        <w:lastRenderedPageBreak/>
        <w:t>an acceptable ICER</w:t>
      </w:r>
      <w:r w:rsidRPr="00244FB2">
        <w:t>.</w:t>
      </w:r>
      <w:r w:rsidR="00DD0475" w:rsidRPr="00244FB2">
        <w:t xml:space="preserve"> T</w:t>
      </w:r>
      <w:r w:rsidR="009045DB">
        <w:t xml:space="preserve">he PBAC, noting that </w:t>
      </w:r>
      <w:proofErr w:type="spellStart"/>
      <w:r w:rsidR="009045DB">
        <w:t>eculizumab</w:t>
      </w:r>
      <w:proofErr w:type="spellEnd"/>
      <w:r w:rsidR="009045DB">
        <w:t xml:space="preserve"> was proposed as a lifelong prophylactic treatment, </w:t>
      </w:r>
      <w:r w:rsidR="00DD0475" w:rsidRPr="00244FB2">
        <w:t>considered that</w:t>
      </w:r>
      <w:r w:rsidR="00A8618D">
        <w:t>,</w:t>
      </w:r>
      <w:r w:rsidR="00DD0475" w:rsidRPr="00244FB2">
        <w:t xml:space="preserve"> </w:t>
      </w:r>
      <w:r w:rsidR="00A8618D">
        <w:t xml:space="preserve">at the proposed price, </w:t>
      </w:r>
      <w:r w:rsidR="00DD0475" w:rsidRPr="00244FB2">
        <w:t xml:space="preserve">the </w:t>
      </w:r>
      <w:r w:rsidR="00236EF0" w:rsidRPr="00244FB2">
        <w:t xml:space="preserve">cost </w:t>
      </w:r>
      <w:r w:rsidR="00DD0475" w:rsidRPr="00244FB2">
        <w:t xml:space="preserve">of listing </w:t>
      </w:r>
      <w:proofErr w:type="spellStart"/>
      <w:r w:rsidR="00DD0475" w:rsidRPr="00244FB2">
        <w:t>eculizumab</w:t>
      </w:r>
      <w:proofErr w:type="spellEnd"/>
      <w:r w:rsidR="00DD0475" w:rsidRPr="00244FB2">
        <w:t xml:space="preserve"> on the PBS was</w:t>
      </w:r>
      <w:r w:rsidR="00236EF0" w:rsidRPr="00244FB2">
        <w:t xml:space="preserve"> high</w:t>
      </w:r>
      <w:r w:rsidR="00A8618D">
        <w:t xml:space="preserve"> for the number of patients expected to be treated</w:t>
      </w:r>
      <w:r w:rsidR="00236EF0" w:rsidRPr="00244FB2">
        <w:t>.</w:t>
      </w:r>
    </w:p>
    <w:p w14:paraId="747756B3" w14:textId="77777777" w:rsidR="00752229" w:rsidRPr="00244FB2" w:rsidRDefault="005D4939"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w:t>
      </w:r>
      <w:r w:rsidR="004C3974" w:rsidRPr="00244FB2">
        <w:rPr>
          <w:rFonts w:asciiTheme="minorHAnsi" w:hAnsiTheme="minorHAnsi"/>
          <w:bCs/>
          <w:snapToGrid w:val="0"/>
        </w:rPr>
        <w:t xml:space="preserve">PBAC welcomed the input from the three organisations via the Consumer Comments facility </w:t>
      </w:r>
      <w:r w:rsidR="007F614E">
        <w:rPr>
          <w:rFonts w:asciiTheme="minorHAnsi" w:hAnsiTheme="minorHAnsi"/>
          <w:bCs/>
          <w:snapToGrid w:val="0"/>
        </w:rPr>
        <w:t xml:space="preserve">which noted that the use of </w:t>
      </w:r>
      <w:proofErr w:type="spellStart"/>
      <w:r w:rsidR="007F614E">
        <w:rPr>
          <w:rFonts w:asciiTheme="minorHAnsi" w:hAnsiTheme="minorHAnsi"/>
          <w:bCs/>
          <w:snapToGrid w:val="0"/>
        </w:rPr>
        <w:t>eculizumab</w:t>
      </w:r>
      <w:proofErr w:type="spellEnd"/>
      <w:r w:rsidR="007F614E">
        <w:rPr>
          <w:rFonts w:asciiTheme="minorHAnsi" w:hAnsiTheme="minorHAnsi"/>
          <w:bCs/>
          <w:snapToGrid w:val="0"/>
        </w:rPr>
        <w:t xml:space="preserve"> may reduce the risk of relapse</w:t>
      </w:r>
      <w:r w:rsidR="00D97BB4">
        <w:rPr>
          <w:rFonts w:asciiTheme="minorHAnsi" w:hAnsiTheme="minorHAnsi"/>
          <w:bCs/>
          <w:snapToGrid w:val="0"/>
        </w:rPr>
        <w:t xml:space="preserve">. </w:t>
      </w:r>
    </w:p>
    <w:p w14:paraId="2145FF19" w14:textId="77777777" w:rsidR="00BA36DD" w:rsidRPr="00244FB2" w:rsidRDefault="00786865"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noted that NMOSD is characterised </w:t>
      </w:r>
      <w:r w:rsidRPr="00244FB2">
        <w:t>by acute clinical attacks (relapses) which predominantly target the optic nerves and spinal cord, followed by partial/full recovery and periods of clinical stability (remissions). Relapses are unpredictable with respect to timing, frequency and severity and incomplete recovery can result in the accumulation of disability. The PBAC noted that mortality associated with NMOSD is unclear, but appeared to be low</w:t>
      </w:r>
      <w:r w:rsidR="00806AE2" w:rsidRPr="00244FB2">
        <w:t xml:space="preserve"> (i.e. NMOSD is unlikely to substantially </w:t>
      </w:r>
      <w:r w:rsidR="00DD5BD8" w:rsidRPr="00244FB2">
        <w:t xml:space="preserve">reduce a </w:t>
      </w:r>
      <w:r w:rsidR="00806AE2" w:rsidRPr="00244FB2">
        <w:t>patient’s life expectancy)</w:t>
      </w:r>
      <w:r w:rsidRPr="00244FB2">
        <w:t>.</w:t>
      </w:r>
    </w:p>
    <w:p w14:paraId="1558357B" w14:textId="77777777" w:rsidR="004C3974" w:rsidRPr="00244FB2" w:rsidRDefault="004C3974"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noted that the proposed PBS restriction was broader than the </w:t>
      </w:r>
      <w:r w:rsidR="00B80AD9" w:rsidRPr="00244FB2">
        <w:rPr>
          <w:rFonts w:asciiTheme="minorHAnsi" w:hAnsiTheme="minorHAnsi"/>
          <w:bCs/>
          <w:snapToGrid w:val="0"/>
        </w:rPr>
        <w:t xml:space="preserve">inclusion </w:t>
      </w:r>
      <w:r w:rsidR="00754AFA" w:rsidRPr="00244FB2">
        <w:rPr>
          <w:rFonts w:asciiTheme="minorHAnsi" w:hAnsiTheme="minorHAnsi"/>
          <w:bCs/>
          <w:snapToGrid w:val="0"/>
        </w:rPr>
        <w:t xml:space="preserve">criteria of the key trial (PREVENT) in terms of </w:t>
      </w:r>
      <w:r w:rsidR="00236EF0" w:rsidRPr="00244FB2">
        <w:rPr>
          <w:rFonts w:asciiTheme="minorHAnsi" w:hAnsiTheme="minorHAnsi"/>
          <w:bCs/>
          <w:snapToGrid w:val="0"/>
        </w:rPr>
        <w:t xml:space="preserve">patient age, background immunosuppressive therapies, level of disability (EDSS score), frequency of relapses, </w:t>
      </w:r>
      <w:r w:rsidR="00754AFA" w:rsidRPr="00244FB2">
        <w:rPr>
          <w:rFonts w:asciiTheme="minorHAnsi" w:hAnsiTheme="minorHAnsi"/>
          <w:bCs/>
          <w:snapToGrid w:val="0"/>
        </w:rPr>
        <w:t xml:space="preserve">the number of prior relapses </w:t>
      </w:r>
      <w:r w:rsidR="00236EF0" w:rsidRPr="00244FB2">
        <w:rPr>
          <w:rFonts w:asciiTheme="minorHAnsi" w:hAnsiTheme="minorHAnsi"/>
          <w:bCs/>
          <w:snapToGrid w:val="0"/>
        </w:rPr>
        <w:t>and history of prior immunosuppressive events</w:t>
      </w:r>
      <w:r w:rsidR="00754AFA" w:rsidRPr="00244FB2">
        <w:rPr>
          <w:rFonts w:asciiTheme="minorHAnsi" w:hAnsiTheme="minorHAnsi"/>
          <w:bCs/>
          <w:snapToGrid w:val="0"/>
        </w:rPr>
        <w:t xml:space="preserve">. The PBAC considered that the restriction should </w:t>
      </w:r>
      <w:r w:rsidR="00236EF0" w:rsidRPr="00244FB2">
        <w:rPr>
          <w:rFonts w:asciiTheme="minorHAnsi" w:hAnsiTheme="minorHAnsi"/>
          <w:bCs/>
          <w:snapToGrid w:val="0"/>
        </w:rPr>
        <w:t xml:space="preserve">align with </w:t>
      </w:r>
      <w:r w:rsidR="00754AFA" w:rsidRPr="00244FB2">
        <w:rPr>
          <w:rFonts w:asciiTheme="minorHAnsi" w:hAnsiTheme="minorHAnsi"/>
          <w:bCs/>
          <w:snapToGrid w:val="0"/>
        </w:rPr>
        <w:t xml:space="preserve">the </w:t>
      </w:r>
      <w:r w:rsidR="00B80AD9" w:rsidRPr="00244FB2">
        <w:rPr>
          <w:rFonts w:asciiTheme="minorHAnsi" w:hAnsiTheme="minorHAnsi"/>
          <w:bCs/>
          <w:snapToGrid w:val="0"/>
        </w:rPr>
        <w:t xml:space="preserve">inclusion </w:t>
      </w:r>
      <w:r w:rsidR="00754AFA" w:rsidRPr="00244FB2">
        <w:rPr>
          <w:rFonts w:asciiTheme="minorHAnsi" w:hAnsiTheme="minorHAnsi"/>
          <w:bCs/>
          <w:snapToGrid w:val="0"/>
        </w:rPr>
        <w:t>criteria of the trial</w:t>
      </w:r>
      <w:r w:rsidR="00236EF0" w:rsidRPr="00244FB2">
        <w:rPr>
          <w:rFonts w:asciiTheme="minorHAnsi" w:hAnsiTheme="minorHAnsi"/>
          <w:bCs/>
          <w:snapToGrid w:val="0"/>
        </w:rPr>
        <w:t xml:space="preserve"> in terms of EDSS score, frequency and number of prior relapses</w:t>
      </w:r>
      <w:r w:rsidR="00754AFA" w:rsidRPr="00244FB2">
        <w:rPr>
          <w:rFonts w:asciiTheme="minorHAnsi" w:hAnsiTheme="minorHAnsi"/>
          <w:bCs/>
          <w:snapToGrid w:val="0"/>
        </w:rPr>
        <w:t>.</w:t>
      </w:r>
    </w:p>
    <w:p w14:paraId="74086986" w14:textId="77777777" w:rsidR="00DB3604" w:rsidRPr="00244FB2" w:rsidRDefault="00DB3604"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considered that any future restriction should state ‘This drug is not PBS-subsidised if it </w:t>
      </w:r>
      <w:r w:rsidR="00244FB2">
        <w:rPr>
          <w:rFonts w:asciiTheme="minorHAnsi" w:hAnsiTheme="minorHAnsi"/>
          <w:bCs/>
          <w:snapToGrid w:val="0"/>
        </w:rPr>
        <w:t xml:space="preserve">is </w:t>
      </w:r>
      <w:r w:rsidRPr="00244FB2">
        <w:rPr>
          <w:rFonts w:asciiTheme="minorHAnsi" w:hAnsiTheme="minorHAnsi"/>
          <w:bCs/>
          <w:snapToGrid w:val="0"/>
        </w:rPr>
        <w:t>prescribed to a public hospital</w:t>
      </w:r>
      <w:r w:rsidR="00B80AD9" w:rsidRPr="00244FB2">
        <w:rPr>
          <w:rFonts w:asciiTheme="minorHAnsi" w:hAnsiTheme="minorHAnsi"/>
          <w:bCs/>
          <w:snapToGrid w:val="0"/>
        </w:rPr>
        <w:t xml:space="preserve"> in-patient</w:t>
      </w:r>
      <w:r w:rsidRPr="00244FB2">
        <w:rPr>
          <w:rFonts w:asciiTheme="minorHAnsi" w:hAnsiTheme="minorHAnsi"/>
          <w:bCs/>
          <w:snapToGrid w:val="0"/>
        </w:rPr>
        <w:t>’</w:t>
      </w:r>
      <w:r w:rsidR="00B80AD9" w:rsidRPr="00244FB2">
        <w:rPr>
          <w:rFonts w:asciiTheme="minorHAnsi" w:hAnsiTheme="minorHAnsi"/>
          <w:bCs/>
          <w:snapToGrid w:val="0"/>
        </w:rPr>
        <w:t xml:space="preserve"> given the high potential for this to occur relative to other PBS listed drugs</w:t>
      </w:r>
      <w:r w:rsidRPr="00244FB2">
        <w:rPr>
          <w:rFonts w:asciiTheme="minorHAnsi" w:hAnsiTheme="minorHAnsi"/>
          <w:bCs/>
          <w:snapToGrid w:val="0"/>
        </w:rPr>
        <w:t>.</w:t>
      </w:r>
    </w:p>
    <w:p w14:paraId="01C54294" w14:textId="77777777" w:rsidR="00754AFA" w:rsidRPr="00244FB2" w:rsidRDefault="00754AFA"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noted that the submission nominated best supportive care as the primary comparator. </w:t>
      </w:r>
      <w:r w:rsidR="00396DF5" w:rsidRPr="00244FB2">
        <w:rPr>
          <w:rFonts w:asciiTheme="minorHAnsi" w:hAnsiTheme="minorHAnsi"/>
          <w:bCs/>
          <w:snapToGrid w:val="0"/>
        </w:rPr>
        <w:t xml:space="preserve">The PBAC </w:t>
      </w:r>
      <w:r w:rsidR="009F2E8A" w:rsidRPr="00244FB2">
        <w:rPr>
          <w:rFonts w:asciiTheme="minorHAnsi" w:hAnsiTheme="minorHAnsi"/>
          <w:bCs/>
          <w:snapToGrid w:val="0"/>
        </w:rPr>
        <w:t xml:space="preserve">considered </w:t>
      </w:r>
      <w:r w:rsidR="00396DF5" w:rsidRPr="00244FB2">
        <w:rPr>
          <w:rFonts w:asciiTheme="minorHAnsi" w:hAnsiTheme="minorHAnsi"/>
          <w:bCs/>
          <w:snapToGrid w:val="0"/>
        </w:rPr>
        <w:t>that rituximab, which is funded through some public hospitals</w:t>
      </w:r>
      <w:r w:rsidR="00844918" w:rsidRPr="00244FB2">
        <w:rPr>
          <w:rFonts w:asciiTheme="minorHAnsi" w:hAnsiTheme="minorHAnsi"/>
          <w:bCs/>
          <w:snapToGrid w:val="0"/>
        </w:rPr>
        <w:t xml:space="preserve"> as a preventative treatment for relapse</w:t>
      </w:r>
      <w:r w:rsidR="00396DF5" w:rsidRPr="00244FB2">
        <w:rPr>
          <w:rFonts w:asciiTheme="minorHAnsi" w:hAnsiTheme="minorHAnsi"/>
          <w:bCs/>
          <w:snapToGrid w:val="0"/>
        </w:rPr>
        <w:t xml:space="preserve">, </w:t>
      </w:r>
      <w:r w:rsidR="000110BE" w:rsidRPr="00244FB2">
        <w:rPr>
          <w:rFonts w:asciiTheme="minorHAnsi" w:hAnsiTheme="minorHAnsi"/>
          <w:bCs/>
          <w:snapToGrid w:val="0"/>
        </w:rPr>
        <w:t>is</w:t>
      </w:r>
      <w:r w:rsidR="00396DF5" w:rsidRPr="00244FB2">
        <w:rPr>
          <w:rFonts w:asciiTheme="minorHAnsi" w:hAnsiTheme="minorHAnsi"/>
          <w:bCs/>
          <w:snapToGrid w:val="0"/>
        </w:rPr>
        <w:t xml:space="preserve"> a relevant comparator</w:t>
      </w:r>
      <w:r w:rsidR="00844918" w:rsidRPr="00244FB2">
        <w:rPr>
          <w:rFonts w:asciiTheme="minorHAnsi" w:hAnsiTheme="minorHAnsi"/>
          <w:bCs/>
          <w:snapToGrid w:val="0"/>
        </w:rPr>
        <w:t xml:space="preserve"> as (</w:t>
      </w:r>
      <w:proofErr w:type="spellStart"/>
      <w:r w:rsidR="00844918" w:rsidRPr="00244FB2">
        <w:rPr>
          <w:rFonts w:asciiTheme="minorHAnsi" w:hAnsiTheme="minorHAnsi"/>
          <w:bCs/>
          <w:snapToGrid w:val="0"/>
        </w:rPr>
        <w:t>i</w:t>
      </w:r>
      <w:proofErr w:type="spellEnd"/>
      <w:r w:rsidR="00844918" w:rsidRPr="00244FB2">
        <w:rPr>
          <w:rFonts w:asciiTheme="minorHAnsi" w:hAnsiTheme="minorHAnsi"/>
          <w:bCs/>
          <w:snapToGrid w:val="0"/>
        </w:rPr>
        <w:t xml:space="preserve">) due to the incompatibilities between the mechanisms of action, </w:t>
      </w:r>
      <w:proofErr w:type="spellStart"/>
      <w:r w:rsidR="00844918" w:rsidRPr="00244FB2">
        <w:rPr>
          <w:rFonts w:asciiTheme="minorHAnsi" w:hAnsiTheme="minorHAnsi"/>
          <w:bCs/>
          <w:snapToGrid w:val="0"/>
        </w:rPr>
        <w:t>eculizumab</w:t>
      </w:r>
      <w:proofErr w:type="spellEnd"/>
      <w:r w:rsidR="00844918" w:rsidRPr="00244FB2">
        <w:rPr>
          <w:rFonts w:asciiTheme="minorHAnsi" w:hAnsiTheme="minorHAnsi"/>
          <w:bCs/>
          <w:snapToGrid w:val="0"/>
        </w:rPr>
        <w:t xml:space="preserve"> and rituximab will not be used in combination; and (ii) </w:t>
      </w:r>
      <w:proofErr w:type="spellStart"/>
      <w:r w:rsidR="00844918" w:rsidRPr="00244FB2">
        <w:rPr>
          <w:rFonts w:asciiTheme="minorHAnsi" w:hAnsiTheme="minorHAnsi"/>
          <w:bCs/>
          <w:snapToGrid w:val="0"/>
        </w:rPr>
        <w:t>eculizumab</w:t>
      </w:r>
      <w:proofErr w:type="spellEnd"/>
      <w:r w:rsidR="00844918" w:rsidRPr="00244FB2">
        <w:rPr>
          <w:rFonts w:asciiTheme="minorHAnsi" w:hAnsiTheme="minorHAnsi"/>
          <w:bCs/>
          <w:snapToGrid w:val="0"/>
        </w:rPr>
        <w:t xml:space="preserve"> is likely to replace use of rituximab in clinical practice</w:t>
      </w:r>
      <w:r w:rsidR="00396DF5" w:rsidRPr="00244FB2">
        <w:rPr>
          <w:rFonts w:asciiTheme="minorHAnsi" w:hAnsiTheme="minorHAnsi"/>
          <w:bCs/>
          <w:snapToGrid w:val="0"/>
        </w:rPr>
        <w:t xml:space="preserve">. </w:t>
      </w:r>
      <w:r w:rsidR="00236EF0" w:rsidRPr="00244FB2">
        <w:rPr>
          <w:rFonts w:asciiTheme="minorHAnsi" w:hAnsiTheme="minorHAnsi"/>
          <w:bCs/>
          <w:snapToGrid w:val="0"/>
        </w:rPr>
        <w:t xml:space="preserve">The PBAC considered exclusion of rituximab from the </w:t>
      </w:r>
      <w:r w:rsidR="00107BF8">
        <w:rPr>
          <w:rFonts w:asciiTheme="minorHAnsi" w:hAnsiTheme="minorHAnsi"/>
          <w:bCs/>
          <w:snapToGrid w:val="0"/>
        </w:rPr>
        <w:t>trial population</w:t>
      </w:r>
      <w:r w:rsidR="00236EF0" w:rsidRPr="00244FB2">
        <w:rPr>
          <w:rFonts w:asciiTheme="minorHAnsi" w:hAnsiTheme="minorHAnsi"/>
          <w:bCs/>
          <w:snapToGrid w:val="0"/>
        </w:rPr>
        <w:t xml:space="preserve"> may affect the generalisability of the results to clinical practice. </w:t>
      </w:r>
    </w:p>
    <w:p w14:paraId="0797D5DA" w14:textId="77777777" w:rsidR="00DC38AD" w:rsidRPr="00244FB2" w:rsidRDefault="00DC38AD"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noted </w:t>
      </w:r>
      <w:r w:rsidR="00E544FA" w:rsidRPr="00244FB2">
        <w:rPr>
          <w:rFonts w:asciiTheme="minorHAnsi" w:hAnsiTheme="minorHAnsi"/>
          <w:bCs/>
          <w:snapToGrid w:val="0"/>
        </w:rPr>
        <w:t xml:space="preserve">that the clinical evidence was based on the results of </w:t>
      </w:r>
      <w:r w:rsidR="00844918" w:rsidRPr="00244FB2">
        <w:rPr>
          <w:rFonts w:asciiTheme="minorHAnsi" w:hAnsiTheme="minorHAnsi"/>
          <w:bCs/>
          <w:snapToGrid w:val="0"/>
        </w:rPr>
        <w:t xml:space="preserve">one multicentre, double-blind RCT, PREVENT (N = 143), which compared </w:t>
      </w:r>
      <w:proofErr w:type="spellStart"/>
      <w:r w:rsidR="00844918" w:rsidRPr="00244FB2">
        <w:rPr>
          <w:rFonts w:asciiTheme="minorHAnsi" w:hAnsiTheme="minorHAnsi"/>
          <w:bCs/>
          <w:snapToGrid w:val="0"/>
        </w:rPr>
        <w:t>eculizumab</w:t>
      </w:r>
      <w:proofErr w:type="spellEnd"/>
      <w:r w:rsidR="00844918" w:rsidRPr="00244FB2">
        <w:rPr>
          <w:rFonts w:asciiTheme="minorHAnsi" w:hAnsiTheme="minorHAnsi"/>
          <w:bCs/>
          <w:snapToGrid w:val="0"/>
        </w:rPr>
        <w:t xml:space="preserve"> to placebo</w:t>
      </w:r>
      <w:r w:rsidR="00BA36DD" w:rsidRPr="00244FB2">
        <w:rPr>
          <w:rFonts w:asciiTheme="minorHAnsi" w:hAnsiTheme="minorHAnsi"/>
          <w:bCs/>
          <w:snapToGrid w:val="0"/>
        </w:rPr>
        <w:t xml:space="preserve"> and an open-label, one-armed, ongoing extension study (ECU-NMO-302)</w:t>
      </w:r>
      <w:r w:rsidR="00844918" w:rsidRPr="00244FB2">
        <w:rPr>
          <w:rFonts w:asciiTheme="minorHAnsi" w:hAnsiTheme="minorHAnsi"/>
          <w:bCs/>
          <w:snapToGrid w:val="0"/>
        </w:rPr>
        <w:t xml:space="preserve">. The PBAC noted that the key limitations of the PREVENT trials </w:t>
      </w:r>
      <w:r w:rsidR="00E668B2" w:rsidRPr="00244FB2">
        <w:rPr>
          <w:rFonts w:asciiTheme="minorHAnsi" w:hAnsiTheme="minorHAnsi"/>
          <w:bCs/>
          <w:snapToGrid w:val="0"/>
        </w:rPr>
        <w:t xml:space="preserve">included </w:t>
      </w:r>
      <w:r w:rsidR="00844918" w:rsidRPr="00244FB2">
        <w:rPr>
          <w:rFonts w:asciiTheme="minorHAnsi" w:hAnsiTheme="minorHAnsi"/>
          <w:bCs/>
          <w:snapToGrid w:val="0"/>
        </w:rPr>
        <w:t xml:space="preserve">the significant number of protocol changes, the higher proportion of patients who discontinued treatment in the </w:t>
      </w:r>
      <w:proofErr w:type="spellStart"/>
      <w:r w:rsidR="00844918" w:rsidRPr="00244FB2">
        <w:rPr>
          <w:rFonts w:asciiTheme="minorHAnsi" w:hAnsiTheme="minorHAnsi"/>
          <w:bCs/>
          <w:snapToGrid w:val="0"/>
        </w:rPr>
        <w:t>eculizumab</w:t>
      </w:r>
      <w:proofErr w:type="spellEnd"/>
      <w:r w:rsidR="00844918" w:rsidRPr="00244FB2">
        <w:rPr>
          <w:rFonts w:asciiTheme="minorHAnsi" w:hAnsiTheme="minorHAnsi"/>
          <w:bCs/>
          <w:snapToGrid w:val="0"/>
        </w:rPr>
        <w:t xml:space="preserve"> arm (16.7%) compared to in the placebo arm (6.4%) and the large number of protocol violations. </w:t>
      </w:r>
    </w:p>
    <w:p w14:paraId="66F3B482" w14:textId="77777777" w:rsidR="00844918" w:rsidRPr="00244FB2" w:rsidRDefault="00844918"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The PBAC noted that the primary outcome of the PREVENT trial was time-to-first adjudicated on-trial relapse</w:t>
      </w:r>
      <w:r w:rsidR="00107BF8">
        <w:rPr>
          <w:rFonts w:asciiTheme="minorHAnsi" w:hAnsiTheme="minorHAnsi"/>
          <w:bCs/>
          <w:snapToGrid w:val="0"/>
        </w:rPr>
        <w:t>,</w:t>
      </w:r>
      <w:r w:rsidRPr="00244FB2">
        <w:rPr>
          <w:rFonts w:asciiTheme="minorHAnsi" w:hAnsiTheme="minorHAnsi"/>
          <w:bCs/>
          <w:snapToGrid w:val="0"/>
        </w:rPr>
        <w:t xml:space="preserve"> and that patients completed the </w:t>
      </w:r>
      <w:r w:rsidR="00011C8E" w:rsidRPr="00244FB2">
        <w:rPr>
          <w:rFonts w:asciiTheme="minorHAnsi" w:hAnsiTheme="minorHAnsi"/>
          <w:bCs/>
          <w:snapToGrid w:val="0"/>
        </w:rPr>
        <w:t>trial six weeks after relapse</w:t>
      </w:r>
      <w:r w:rsidR="00107BF8">
        <w:rPr>
          <w:rFonts w:asciiTheme="minorHAnsi" w:hAnsiTheme="minorHAnsi"/>
          <w:bCs/>
          <w:snapToGrid w:val="0"/>
        </w:rPr>
        <w:t>. The PBAC</w:t>
      </w:r>
      <w:r w:rsidR="00E668B2" w:rsidRPr="00244FB2">
        <w:rPr>
          <w:rFonts w:asciiTheme="minorHAnsi" w:hAnsiTheme="minorHAnsi"/>
          <w:bCs/>
          <w:snapToGrid w:val="0"/>
        </w:rPr>
        <w:t xml:space="preserve"> considered this</w:t>
      </w:r>
      <w:r w:rsidR="00011C8E" w:rsidRPr="00244FB2">
        <w:rPr>
          <w:rFonts w:asciiTheme="minorHAnsi" w:hAnsiTheme="minorHAnsi"/>
          <w:bCs/>
          <w:snapToGrid w:val="0"/>
        </w:rPr>
        <w:t xml:space="preserve"> was insufficient to assess the treatment effect of </w:t>
      </w:r>
      <w:proofErr w:type="spellStart"/>
      <w:r w:rsidR="00011C8E" w:rsidRPr="00244FB2">
        <w:rPr>
          <w:rFonts w:asciiTheme="minorHAnsi" w:hAnsiTheme="minorHAnsi"/>
          <w:bCs/>
          <w:snapToGrid w:val="0"/>
        </w:rPr>
        <w:lastRenderedPageBreak/>
        <w:t>eculizumab</w:t>
      </w:r>
      <w:proofErr w:type="spellEnd"/>
      <w:r w:rsidR="00011C8E" w:rsidRPr="00244FB2">
        <w:rPr>
          <w:rFonts w:asciiTheme="minorHAnsi" w:hAnsiTheme="minorHAnsi"/>
          <w:bCs/>
          <w:snapToGrid w:val="0"/>
        </w:rPr>
        <w:t xml:space="preserve"> in patients experiencing multiple relapse events</w:t>
      </w:r>
      <w:r w:rsidR="00DE6135" w:rsidRPr="00244FB2">
        <w:rPr>
          <w:rFonts w:asciiTheme="minorHAnsi" w:hAnsiTheme="minorHAnsi"/>
          <w:bCs/>
          <w:snapToGrid w:val="0"/>
        </w:rPr>
        <w:t xml:space="preserve"> and to assess post-relapse recovery</w:t>
      </w:r>
      <w:r w:rsidR="00011C8E" w:rsidRPr="00244FB2">
        <w:rPr>
          <w:rFonts w:asciiTheme="minorHAnsi" w:hAnsiTheme="minorHAnsi"/>
          <w:bCs/>
          <w:snapToGrid w:val="0"/>
        </w:rPr>
        <w:t>.</w:t>
      </w:r>
    </w:p>
    <w:p w14:paraId="2E60C56C" w14:textId="77777777" w:rsidR="00011C8E" w:rsidRPr="00244FB2" w:rsidRDefault="00011C8E"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noted that </w:t>
      </w:r>
      <w:proofErr w:type="spellStart"/>
      <w:r w:rsidRPr="00244FB2">
        <w:rPr>
          <w:rFonts w:asciiTheme="minorHAnsi" w:hAnsiTheme="minorHAnsi"/>
          <w:bCs/>
          <w:snapToGrid w:val="0"/>
        </w:rPr>
        <w:t>eculizumab</w:t>
      </w:r>
      <w:proofErr w:type="spellEnd"/>
      <w:r w:rsidRPr="00244FB2">
        <w:rPr>
          <w:rFonts w:asciiTheme="minorHAnsi" w:hAnsiTheme="minorHAnsi"/>
          <w:bCs/>
          <w:snapToGrid w:val="0"/>
        </w:rPr>
        <w:t xml:space="preserve"> demonstrat</w:t>
      </w:r>
      <w:r w:rsidR="00C22BD5" w:rsidRPr="00244FB2">
        <w:rPr>
          <w:rFonts w:asciiTheme="minorHAnsi" w:hAnsiTheme="minorHAnsi"/>
          <w:bCs/>
          <w:snapToGrid w:val="0"/>
        </w:rPr>
        <w:t>ed a statistically significant improvement</w:t>
      </w:r>
      <w:r w:rsidRPr="00244FB2">
        <w:rPr>
          <w:rFonts w:asciiTheme="minorHAnsi" w:hAnsiTheme="minorHAnsi"/>
          <w:bCs/>
          <w:snapToGrid w:val="0"/>
        </w:rPr>
        <w:t xml:space="preserve"> in the </w:t>
      </w:r>
      <w:r w:rsidR="00C22BD5" w:rsidRPr="00244FB2">
        <w:rPr>
          <w:rFonts w:asciiTheme="minorHAnsi" w:hAnsiTheme="minorHAnsi"/>
          <w:bCs/>
          <w:snapToGrid w:val="0"/>
        </w:rPr>
        <w:t xml:space="preserve">time to first adjudicated relapse compared to placebo (HR = 0.058; 95% CI: 0.017, 0.197). The PBAC also noted that treatment with </w:t>
      </w:r>
      <w:proofErr w:type="spellStart"/>
      <w:r w:rsidR="00C22BD5" w:rsidRPr="00244FB2">
        <w:rPr>
          <w:rFonts w:asciiTheme="minorHAnsi" w:hAnsiTheme="minorHAnsi"/>
          <w:bCs/>
          <w:snapToGrid w:val="0"/>
        </w:rPr>
        <w:t>eculizumab</w:t>
      </w:r>
      <w:proofErr w:type="spellEnd"/>
      <w:r w:rsidR="00C22BD5" w:rsidRPr="00244FB2">
        <w:rPr>
          <w:rFonts w:asciiTheme="minorHAnsi" w:hAnsiTheme="minorHAnsi"/>
          <w:bCs/>
          <w:snapToGrid w:val="0"/>
        </w:rPr>
        <w:t xml:space="preserve"> was associated with a statistically significant reduction in </w:t>
      </w:r>
      <w:r w:rsidRPr="00244FB2">
        <w:rPr>
          <w:rFonts w:asciiTheme="minorHAnsi" w:hAnsiTheme="minorHAnsi"/>
          <w:bCs/>
          <w:snapToGrid w:val="0"/>
        </w:rPr>
        <w:t xml:space="preserve">adjudicated </w:t>
      </w:r>
      <w:r w:rsidR="00C22BD5" w:rsidRPr="00244FB2">
        <w:rPr>
          <w:rFonts w:asciiTheme="minorHAnsi" w:hAnsiTheme="minorHAnsi"/>
          <w:bCs/>
          <w:snapToGrid w:val="0"/>
        </w:rPr>
        <w:t xml:space="preserve">annualised </w:t>
      </w:r>
      <w:r w:rsidRPr="00244FB2">
        <w:rPr>
          <w:rFonts w:asciiTheme="minorHAnsi" w:hAnsiTheme="minorHAnsi"/>
          <w:bCs/>
          <w:snapToGrid w:val="0"/>
        </w:rPr>
        <w:t xml:space="preserve">relapse </w:t>
      </w:r>
      <w:r w:rsidR="00C22BD5" w:rsidRPr="00244FB2">
        <w:rPr>
          <w:rFonts w:asciiTheme="minorHAnsi" w:hAnsiTheme="minorHAnsi"/>
          <w:bCs/>
          <w:snapToGrid w:val="0"/>
        </w:rPr>
        <w:t xml:space="preserve">rate </w:t>
      </w:r>
      <w:r w:rsidRPr="00244FB2">
        <w:rPr>
          <w:rFonts w:asciiTheme="minorHAnsi" w:hAnsiTheme="minorHAnsi"/>
          <w:bCs/>
          <w:snapToGrid w:val="0"/>
        </w:rPr>
        <w:t>compared to placebo (HR = 0.045; 95% CI: 0.013, 0.151), which was slightly reduced when on-trial relapses were assessed by the treating physician (HR = 0.147; 95%: 0.078, 0.278</w:t>
      </w:r>
      <w:r w:rsidR="00DE6135" w:rsidRPr="00244FB2">
        <w:rPr>
          <w:rFonts w:asciiTheme="minorHAnsi" w:hAnsiTheme="minorHAnsi"/>
          <w:bCs/>
          <w:snapToGrid w:val="0"/>
        </w:rPr>
        <w:t>).</w:t>
      </w:r>
    </w:p>
    <w:p w14:paraId="5182817F" w14:textId="77777777" w:rsidR="00DE6135" w:rsidRPr="00244FB2" w:rsidRDefault="00DE6135"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The PBAC noted that there were no statistically significant differences in disabi</w:t>
      </w:r>
      <w:r w:rsidR="00BA36DD" w:rsidRPr="00244FB2">
        <w:rPr>
          <w:rFonts w:asciiTheme="minorHAnsi" w:hAnsiTheme="minorHAnsi"/>
          <w:bCs/>
          <w:snapToGrid w:val="0"/>
        </w:rPr>
        <w:t xml:space="preserve">lity or quality of life measures, but that the results generally favoured </w:t>
      </w:r>
      <w:proofErr w:type="spellStart"/>
      <w:r w:rsidR="00BA36DD" w:rsidRPr="00244FB2">
        <w:rPr>
          <w:rFonts w:asciiTheme="minorHAnsi" w:hAnsiTheme="minorHAnsi"/>
          <w:bCs/>
          <w:snapToGrid w:val="0"/>
        </w:rPr>
        <w:t>eculizumab</w:t>
      </w:r>
      <w:proofErr w:type="spellEnd"/>
      <w:r w:rsidR="00BA36DD" w:rsidRPr="00244FB2">
        <w:rPr>
          <w:rFonts w:asciiTheme="minorHAnsi" w:hAnsiTheme="minorHAnsi"/>
          <w:bCs/>
          <w:snapToGrid w:val="0"/>
        </w:rPr>
        <w:t xml:space="preserve">. The PBAC </w:t>
      </w:r>
      <w:r w:rsidR="00C22BD5" w:rsidRPr="00244FB2">
        <w:rPr>
          <w:rFonts w:asciiTheme="minorHAnsi" w:hAnsiTheme="minorHAnsi"/>
          <w:bCs/>
          <w:snapToGrid w:val="0"/>
        </w:rPr>
        <w:t xml:space="preserve">agreed with ESC </w:t>
      </w:r>
      <w:r w:rsidR="00BA36DD" w:rsidRPr="00244FB2">
        <w:rPr>
          <w:rFonts w:asciiTheme="minorHAnsi" w:hAnsiTheme="minorHAnsi"/>
          <w:bCs/>
          <w:snapToGrid w:val="0"/>
        </w:rPr>
        <w:t xml:space="preserve">that </w:t>
      </w:r>
      <w:r w:rsidR="009F2E8A" w:rsidRPr="00244FB2">
        <w:rPr>
          <w:rFonts w:asciiTheme="minorHAnsi" w:hAnsiTheme="minorHAnsi"/>
          <w:bCs/>
          <w:snapToGrid w:val="0"/>
        </w:rPr>
        <w:t>because</w:t>
      </w:r>
      <w:r w:rsidR="00BA36DD" w:rsidRPr="00244FB2">
        <w:rPr>
          <w:rFonts w:asciiTheme="minorHAnsi" w:hAnsiTheme="minorHAnsi"/>
          <w:bCs/>
          <w:snapToGrid w:val="0"/>
        </w:rPr>
        <w:t xml:space="preserve"> patients complet</w:t>
      </w:r>
      <w:r w:rsidR="009F2E8A" w:rsidRPr="00244FB2">
        <w:rPr>
          <w:rFonts w:asciiTheme="minorHAnsi" w:hAnsiTheme="minorHAnsi"/>
          <w:bCs/>
          <w:snapToGrid w:val="0"/>
        </w:rPr>
        <w:t>ed</w:t>
      </w:r>
      <w:r w:rsidR="00BA36DD" w:rsidRPr="00244FB2">
        <w:rPr>
          <w:rFonts w:asciiTheme="minorHAnsi" w:hAnsiTheme="minorHAnsi"/>
          <w:bCs/>
          <w:snapToGrid w:val="0"/>
        </w:rPr>
        <w:t xml:space="preserve"> the PREVENT trial six weeks after relapse, it was unclear whether the changes in disability progression represented temporary differences or permanent effects.</w:t>
      </w:r>
      <w:r w:rsidR="004E1D0D" w:rsidRPr="00244FB2">
        <w:rPr>
          <w:rFonts w:asciiTheme="minorHAnsi" w:hAnsiTheme="minorHAnsi"/>
          <w:bCs/>
          <w:snapToGrid w:val="0"/>
        </w:rPr>
        <w:t xml:space="preserve"> The PBAC also noted that the submission presented no evidence that </w:t>
      </w:r>
      <w:proofErr w:type="spellStart"/>
      <w:r w:rsidR="004E1D0D" w:rsidRPr="00244FB2">
        <w:rPr>
          <w:rFonts w:asciiTheme="minorHAnsi" w:hAnsiTheme="minorHAnsi"/>
          <w:bCs/>
          <w:snapToGrid w:val="0"/>
        </w:rPr>
        <w:t>eculizumab</w:t>
      </w:r>
      <w:proofErr w:type="spellEnd"/>
      <w:r w:rsidR="004E1D0D" w:rsidRPr="00244FB2">
        <w:rPr>
          <w:rFonts w:asciiTheme="minorHAnsi" w:hAnsiTheme="minorHAnsi"/>
          <w:bCs/>
          <w:snapToGrid w:val="0"/>
        </w:rPr>
        <w:t xml:space="preserve"> reduced mortality or extended life for patients with NMOSD.</w:t>
      </w:r>
    </w:p>
    <w:p w14:paraId="16AEC6FF" w14:textId="77777777" w:rsidR="004E1D0D" w:rsidRPr="00244FB2" w:rsidRDefault="004E1D0D"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considered that </w:t>
      </w:r>
      <w:proofErr w:type="spellStart"/>
      <w:r w:rsidRPr="00244FB2">
        <w:rPr>
          <w:rFonts w:asciiTheme="minorHAnsi" w:hAnsiTheme="minorHAnsi"/>
          <w:bCs/>
          <w:snapToGrid w:val="0"/>
        </w:rPr>
        <w:t>eculizumab</w:t>
      </w:r>
      <w:proofErr w:type="spellEnd"/>
      <w:r w:rsidRPr="00244FB2">
        <w:rPr>
          <w:rFonts w:asciiTheme="minorHAnsi" w:hAnsiTheme="minorHAnsi"/>
          <w:bCs/>
          <w:snapToGrid w:val="0"/>
        </w:rPr>
        <w:t xml:space="preserve"> was superior to placebo in terms of </w:t>
      </w:r>
      <w:r w:rsidR="00C22BD5" w:rsidRPr="00244FB2">
        <w:rPr>
          <w:rFonts w:asciiTheme="minorHAnsi" w:hAnsiTheme="minorHAnsi"/>
          <w:bCs/>
          <w:snapToGrid w:val="0"/>
        </w:rPr>
        <w:t xml:space="preserve">extending the time to </w:t>
      </w:r>
      <w:r w:rsidRPr="00244FB2">
        <w:rPr>
          <w:rFonts w:asciiTheme="minorHAnsi" w:hAnsiTheme="minorHAnsi"/>
          <w:bCs/>
          <w:snapToGrid w:val="0"/>
        </w:rPr>
        <w:t xml:space="preserve">relapse, but considered that efficacy in the proposed PBS population was unclear as the eligibility criteria of the PREVENT trial did not match the proposed PBS restriction. In addition, the PBAC considered that the impact of reducing relapses </w:t>
      </w:r>
      <w:r w:rsidR="00AF1A9F" w:rsidRPr="00244FB2">
        <w:rPr>
          <w:rFonts w:asciiTheme="minorHAnsi" w:hAnsiTheme="minorHAnsi"/>
          <w:bCs/>
          <w:snapToGrid w:val="0"/>
        </w:rPr>
        <w:t>remained unclear in terms of the magnitude of the effect on disability progression and quality of life due to the limited follow-up in the PREVENT trial.</w:t>
      </w:r>
    </w:p>
    <w:p w14:paraId="4A14E0A7" w14:textId="77777777" w:rsidR="00AF1A9F" w:rsidRPr="00244FB2" w:rsidRDefault="00AF1A9F"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In terms of safety, the PBAC noted that the </w:t>
      </w:r>
      <w:proofErr w:type="spellStart"/>
      <w:r w:rsidRPr="00244FB2">
        <w:rPr>
          <w:rFonts w:asciiTheme="minorHAnsi" w:hAnsiTheme="minorHAnsi"/>
          <w:bCs/>
          <w:snapToGrid w:val="0"/>
        </w:rPr>
        <w:t>eculizumab</w:t>
      </w:r>
      <w:proofErr w:type="spellEnd"/>
      <w:r w:rsidRPr="00244FB2">
        <w:rPr>
          <w:rFonts w:asciiTheme="minorHAnsi" w:hAnsiTheme="minorHAnsi"/>
          <w:bCs/>
          <w:snapToGrid w:val="0"/>
        </w:rPr>
        <w:t xml:space="preserve"> arm of the PREVENT trial was associated with fewer adverse events than the placebo arm, which was primarily driven by the increased incidence of NMOSD-related events in the placebo arm. The PBAC noted that the adverse event profile of </w:t>
      </w:r>
      <w:proofErr w:type="spellStart"/>
      <w:r w:rsidRPr="00244FB2">
        <w:rPr>
          <w:rFonts w:asciiTheme="minorHAnsi" w:hAnsiTheme="minorHAnsi"/>
          <w:bCs/>
          <w:snapToGrid w:val="0"/>
        </w:rPr>
        <w:t>eculizumab</w:t>
      </w:r>
      <w:proofErr w:type="spellEnd"/>
      <w:r w:rsidRPr="00244FB2">
        <w:rPr>
          <w:rFonts w:asciiTheme="minorHAnsi" w:hAnsiTheme="minorHAnsi"/>
          <w:bCs/>
          <w:snapToGrid w:val="0"/>
        </w:rPr>
        <w:t xml:space="preserve"> in the PREVENT trial was consistent with the known safety profile of </w:t>
      </w:r>
      <w:proofErr w:type="spellStart"/>
      <w:r w:rsidRPr="00244FB2">
        <w:rPr>
          <w:rFonts w:asciiTheme="minorHAnsi" w:hAnsiTheme="minorHAnsi"/>
          <w:bCs/>
          <w:snapToGrid w:val="0"/>
        </w:rPr>
        <w:t>eculizumab</w:t>
      </w:r>
      <w:proofErr w:type="spellEnd"/>
      <w:r w:rsidRPr="00244FB2">
        <w:rPr>
          <w:rFonts w:asciiTheme="minorHAnsi" w:hAnsiTheme="minorHAnsi"/>
          <w:bCs/>
          <w:snapToGrid w:val="0"/>
        </w:rPr>
        <w:t xml:space="preserve">. Overall, the PBAC considered that </w:t>
      </w:r>
      <w:proofErr w:type="spellStart"/>
      <w:r w:rsidRPr="00244FB2">
        <w:rPr>
          <w:rFonts w:asciiTheme="minorHAnsi" w:hAnsiTheme="minorHAnsi"/>
          <w:bCs/>
          <w:snapToGrid w:val="0"/>
        </w:rPr>
        <w:t>eculizumab</w:t>
      </w:r>
      <w:proofErr w:type="spellEnd"/>
      <w:r w:rsidRPr="00244FB2">
        <w:rPr>
          <w:rFonts w:asciiTheme="minorHAnsi" w:hAnsiTheme="minorHAnsi"/>
          <w:bCs/>
          <w:snapToGrid w:val="0"/>
        </w:rPr>
        <w:t xml:space="preserve"> was non-inferior compared to placebo in terms of safety.</w:t>
      </w:r>
    </w:p>
    <w:p w14:paraId="1DFB5377" w14:textId="77777777" w:rsidR="00AF1A9F" w:rsidRPr="00244FB2" w:rsidRDefault="00AF1A9F"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noted that the submission presented a stepped cost-utility analysis which compared </w:t>
      </w:r>
      <w:proofErr w:type="spellStart"/>
      <w:r w:rsidRPr="00244FB2">
        <w:rPr>
          <w:rFonts w:asciiTheme="minorHAnsi" w:hAnsiTheme="minorHAnsi"/>
          <w:bCs/>
          <w:snapToGrid w:val="0"/>
        </w:rPr>
        <w:t>eculizumab</w:t>
      </w:r>
      <w:proofErr w:type="spellEnd"/>
      <w:r w:rsidRPr="00244FB2">
        <w:rPr>
          <w:rFonts w:asciiTheme="minorHAnsi" w:hAnsiTheme="minorHAnsi"/>
          <w:bCs/>
          <w:snapToGrid w:val="0"/>
        </w:rPr>
        <w:t xml:space="preserve"> plus best supportive care to best supportive care alone in patients with AQP4 positive NMOSD</w:t>
      </w:r>
      <w:r w:rsidR="00A76BC1" w:rsidRPr="00244FB2">
        <w:rPr>
          <w:rFonts w:asciiTheme="minorHAnsi" w:hAnsiTheme="minorHAnsi"/>
          <w:bCs/>
          <w:snapToGrid w:val="0"/>
        </w:rPr>
        <w:t xml:space="preserve"> and who have frequent relapses. The PBAC noted that the submission did not present an economic analysis for the use of </w:t>
      </w:r>
      <w:proofErr w:type="spellStart"/>
      <w:r w:rsidR="00A76BC1" w:rsidRPr="00244FB2">
        <w:rPr>
          <w:rFonts w:asciiTheme="minorHAnsi" w:hAnsiTheme="minorHAnsi"/>
          <w:bCs/>
          <w:snapToGrid w:val="0"/>
        </w:rPr>
        <w:t>eculizumab</w:t>
      </w:r>
      <w:proofErr w:type="spellEnd"/>
      <w:r w:rsidR="00A76BC1" w:rsidRPr="00244FB2">
        <w:rPr>
          <w:rFonts w:asciiTheme="minorHAnsi" w:hAnsiTheme="minorHAnsi"/>
          <w:bCs/>
          <w:snapToGrid w:val="0"/>
        </w:rPr>
        <w:t xml:space="preserve"> in patients who have had a prior immunosuppressive event</w:t>
      </w:r>
      <w:r w:rsidR="00C22BD5" w:rsidRPr="00244FB2">
        <w:rPr>
          <w:rFonts w:asciiTheme="minorHAnsi" w:hAnsiTheme="minorHAnsi"/>
          <w:bCs/>
          <w:snapToGrid w:val="0"/>
        </w:rPr>
        <w:t xml:space="preserve">, therefore the cost effectiveness of </w:t>
      </w:r>
      <w:proofErr w:type="spellStart"/>
      <w:r w:rsidR="00C22BD5" w:rsidRPr="00244FB2">
        <w:rPr>
          <w:rFonts w:asciiTheme="minorHAnsi" w:hAnsiTheme="minorHAnsi"/>
          <w:bCs/>
          <w:snapToGrid w:val="0"/>
        </w:rPr>
        <w:t>eculizumab</w:t>
      </w:r>
      <w:proofErr w:type="spellEnd"/>
      <w:r w:rsidR="00C22BD5" w:rsidRPr="00244FB2">
        <w:rPr>
          <w:rFonts w:asciiTheme="minorHAnsi" w:hAnsiTheme="minorHAnsi"/>
          <w:bCs/>
          <w:snapToGrid w:val="0"/>
        </w:rPr>
        <w:t xml:space="preserve"> in this population could not be assessed</w:t>
      </w:r>
      <w:r w:rsidR="00A76BC1" w:rsidRPr="00244FB2">
        <w:rPr>
          <w:rFonts w:asciiTheme="minorHAnsi" w:hAnsiTheme="minorHAnsi"/>
          <w:bCs/>
          <w:snapToGrid w:val="0"/>
        </w:rPr>
        <w:t>.</w:t>
      </w:r>
    </w:p>
    <w:p w14:paraId="4DBDCC2E" w14:textId="77777777" w:rsidR="00A76BC1" w:rsidRPr="00244FB2" w:rsidRDefault="00A76BC1" w:rsidP="002507B9">
      <w:pPr>
        <w:pStyle w:val="ExecSumBodyText"/>
      </w:pPr>
      <w:r w:rsidRPr="00244FB2">
        <w:t xml:space="preserve">The </w:t>
      </w:r>
      <w:r w:rsidR="0001338F" w:rsidRPr="00244FB2">
        <w:t xml:space="preserve">PBAC noted that the economic analysis resulted in a base case ICER for </w:t>
      </w:r>
      <w:proofErr w:type="spellStart"/>
      <w:r w:rsidR="0001338F" w:rsidRPr="00244FB2">
        <w:t>eculizumab</w:t>
      </w:r>
      <w:proofErr w:type="spellEnd"/>
      <w:r w:rsidR="0001338F" w:rsidRPr="00244FB2">
        <w:t xml:space="preserve"> of </w:t>
      </w:r>
      <w:r w:rsidR="002507B9" w:rsidRPr="002507B9">
        <w:rPr>
          <w:bCs/>
        </w:rPr>
        <w:t>&gt; $1,055,000</w:t>
      </w:r>
      <w:r w:rsidR="002507B9">
        <w:rPr>
          <w:bCs/>
        </w:rPr>
        <w:t xml:space="preserve"> </w:t>
      </w:r>
      <w:r w:rsidR="0001338F" w:rsidRPr="00244FB2">
        <w:t xml:space="preserve">per QALY gained compared to standard of care. </w:t>
      </w:r>
    </w:p>
    <w:p w14:paraId="054ED349" w14:textId="77777777" w:rsidR="0001338F" w:rsidRPr="00244FB2" w:rsidRDefault="0001338F" w:rsidP="009E763C">
      <w:pPr>
        <w:pStyle w:val="ExecSumBodyText"/>
      </w:pPr>
      <w:r w:rsidRPr="00244FB2">
        <w:t xml:space="preserve">The PBAC </w:t>
      </w:r>
      <w:r w:rsidR="00107BF8">
        <w:t xml:space="preserve">noted that the ICER was </w:t>
      </w:r>
      <w:r w:rsidR="009E763C" w:rsidRPr="009E763C">
        <w:rPr>
          <w:bCs/>
        </w:rPr>
        <w:t>&gt; $1,055,000</w:t>
      </w:r>
      <w:r w:rsidR="009E763C">
        <w:rPr>
          <w:bCs/>
        </w:rPr>
        <w:t xml:space="preserve"> </w:t>
      </w:r>
      <w:r w:rsidR="00107BF8">
        <w:t>per QALY and considered that</w:t>
      </w:r>
      <w:r w:rsidR="00E57E72" w:rsidRPr="00244FB2">
        <w:t xml:space="preserve"> model submitted was not</w:t>
      </w:r>
      <w:r w:rsidR="00BE5346" w:rsidRPr="00244FB2">
        <w:t xml:space="preserve"> a</w:t>
      </w:r>
      <w:r w:rsidR="00E57E72" w:rsidRPr="00244FB2">
        <w:t xml:space="preserve"> reliable</w:t>
      </w:r>
      <w:r w:rsidR="00BE5346" w:rsidRPr="00244FB2">
        <w:t xml:space="preserve"> basis for estimating the cost-effectiveness of </w:t>
      </w:r>
      <w:proofErr w:type="spellStart"/>
      <w:r w:rsidR="00BE5346" w:rsidRPr="00244FB2">
        <w:t>eculizumab</w:t>
      </w:r>
      <w:proofErr w:type="spellEnd"/>
      <w:r w:rsidR="00E57E72" w:rsidRPr="00244FB2">
        <w:t xml:space="preserve"> because </w:t>
      </w:r>
      <w:r w:rsidR="00BE5346" w:rsidRPr="00244FB2">
        <w:t>the</w:t>
      </w:r>
      <w:r w:rsidRPr="00244FB2">
        <w:t>:</w:t>
      </w:r>
    </w:p>
    <w:p w14:paraId="3C0C5171" w14:textId="77777777" w:rsidR="0001338F" w:rsidRPr="00244FB2" w:rsidRDefault="0001338F" w:rsidP="00C9149A">
      <w:pPr>
        <w:widowControl w:val="0"/>
        <w:numPr>
          <w:ilvl w:val="1"/>
          <w:numId w:val="24"/>
        </w:numPr>
        <w:spacing w:after="120"/>
        <w:ind w:left="1077" w:hanging="357"/>
        <w:rPr>
          <w:rFonts w:asciiTheme="minorHAnsi" w:hAnsiTheme="minorHAnsi"/>
          <w:bCs/>
          <w:snapToGrid w:val="0"/>
        </w:rPr>
      </w:pPr>
      <w:r w:rsidRPr="00244FB2">
        <w:rPr>
          <w:rFonts w:asciiTheme="minorHAnsi" w:hAnsiTheme="minorHAnsi"/>
          <w:bCs/>
          <w:snapToGrid w:val="0"/>
        </w:rPr>
        <w:lastRenderedPageBreak/>
        <w:t>generalisability of the comparative clinical evidence from the PREVENT trial to the proposed PBS population was uncertain due to differences between the eligibility criteria of the PREVENT trial and the proposed PBS restriction;</w:t>
      </w:r>
    </w:p>
    <w:p w14:paraId="3F9D1F30" w14:textId="77777777" w:rsidR="0001338F" w:rsidRPr="00244FB2" w:rsidRDefault="0001338F" w:rsidP="00C9149A">
      <w:pPr>
        <w:widowControl w:val="0"/>
        <w:numPr>
          <w:ilvl w:val="1"/>
          <w:numId w:val="24"/>
        </w:numPr>
        <w:spacing w:after="120"/>
        <w:ind w:left="1077" w:hanging="357"/>
        <w:rPr>
          <w:rFonts w:asciiTheme="minorHAnsi" w:hAnsiTheme="minorHAnsi"/>
          <w:bCs/>
          <w:snapToGrid w:val="0"/>
        </w:rPr>
      </w:pPr>
      <w:r w:rsidRPr="00244FB2">
        <w:rPr>
          <w:rFonts w:asciiTheme="minorHAnsi" w:hAnsiTheme="minorHAnsi"/>
          <w:bCs/>
          <w:snapToGrid w:val="0"/>
        </w:rPr>
        <w:t>relapse definition used in the model was based on adjudication by an independent committee, which may underestimate the frequency of relapses in clinical practice which would be assessed by the treating physician;</w:t>
      </w:r>
    </w:p>
    <w:p w14:paraId="09C244B0" w14:textId="77777777" w:rsidR="00A76BC1" w:rsidRPr="00244FB2" w:rsidRDefault="00A76BC1" w:rsidP="00C9149A">
      <w:pPr>
        <w:widowControl w:val="0"/>
        <w:numPr>
          <w:ilvl w:val="1"/>
          <w:numId w:val="24"/>
        </w:numPr>
        <w:spacing w:after="120"/>
        <w:ind w:left="1077" w:hanging="357"/>
        <w:rPr>
          <w:rFonts w:asciiTheme="minorHAnsi" w:hAnsiTheme="minorHAnsi"/>
          <w:bCs/>
          <w:snapToGrid w:val="0"/>
        </w:rPr>
      </w:pPr>
      <w:proofErr w:type="gramStart"/>
      <w:r w:rsidRPr="00244FB2">
        <w:rPr>
          <w:rFonts w:asciiTheme="minorHAnsi" w:hAnsiTheme="minorHAnsi"/>
          <w:bCs/>
          <w:snapToGrid w:val="0"/>
        </w:rPr>
        <w:t>economic</w:t>
      </w:r>
      <w:proofErr w:type="gramEnd"/>
      <w:r w:rsidRPr="00244FB2">
        <w:rPr>
          <w:rFonts w:asciiTheme="minorHAnsi" w:hAnsiTheme="minorHAnsi"/>
          <w:bCs/>
          <w:snapToGrid w:val="0"/>
        </w:rPr>
        <w:t xml:space="preserve"> model applied a 53 year time horizon compared to 1-2 years in the PREVENT trial</w:t>
      </w:r>
      <w:r w:rsidR="009F2E8A" w:rsidRPr="00244FB2">
        <w:rPr>
          <w:rFonts w:asciiTheme="minorHAnsi" w:hAnsiTheme="minorHAnsi"/>
          <w:bCs/>
          <w:snapToGrid w:val="0"/>
        </w:rPr>
        <w:t>, which the PBAC considered increased the uncertainty of the model</w:t>
      </w:r>
      <w:r w:rsidR="0001338F" w:rsidRPr="00244FB2">
        <w:rPr>
          <w:rFonts w:asciiTheme="minorHAnsi" w:hAnsiTheme="minorHAnsi"/>
          <w:bCs/>
          <w:snapToGrid w:val="0"/>
        </w:rPr>
        <w:t>. The PBAC noted that the majority of the incremental benefits</w:t>
      </w:r>
      <w:r w:rsidR="00C9149A" w:rsidRPr="00244FB2">
        <w:rPr>
          <w:rFonts w:asciiTheme="minorHAnsi" w:hAnsiTheme="minorHAnsi"/>
          <w:bCs/>
          <w:snapToGrid w:val="0"/>
        </w:rPr>
        <w:t xml:space="preserve">, which included patients treated with </w:t>
      </w:r>
      <w:proofErr w:type="spellStart"/>
      <w:r w:rsidR="00C9149A" w:rsidRPr="00244FB2">
        <w:rPr>
          <w:rFonts w:asciiTheme="minorHAnsi" w:hAnsiTheme="minorHAnsi"/>
          <w:bCs/>
          <w:snapToGrid w:val="0"/>
        </w:rPr>
        <w:t>eculizumab</w:t>
      </w:r>
      <w:proofErr w:type="spellEnd"/>
      <w:r w:rsidR="00C9149A" w:rsidRPr="00244FB2">
        <w:rPr>
          <w:rFonts w:asciiTheme="minorHAnsi" w:hAnsiTheme="minorHAnsi"/>
          <w:bCs/>
          <w:snapToGrid w:val="0"/>
        </w:rPr>
        <w:t xml:space="preserve"> </w:t>
      </w:r>
      <w:r w:rsidR="00380EC5" w:rsidRPr="00244FB2">
        <w:rPr>
          <w:rFonts w:asciiTheme="minorHAnsi" w:hAnsiTheme="minorHAnsi"/>
          <w:bCs/>
          <w:snapToGrid w:val="0"/>
        </w:rPr>
        <w:t xml:space="preserve">averaging 1.6 fewer relapses and gaining 4.6 life years compared to those treated with placebo, </w:t>
      </w:r>
      <w:r w:rsidR="0001338F" w:rsidRPr="00244FB2">
        <w:rPr>
          <w:rFonts w:asciiTheme="minorHAnsi" w:hAnsiTheme="minorHAnsi"/>
          <w:bCs/>
          <w:snapToGrid w:val="0"/>
        </w:rPr>
        <w:t xml:space="preserve">occurred in the </w:t>
      </w:r>
      <w:r w:rsidR="00F83536" w:rsidRPr="00244FB2">
        <w:rPr>
          <w:rFonts w:asciiTheme="minorHAnsi" w:hAnsiTheme="minorHAnsi"/>
          <w:bCs/>
          <w:snapToGrid w:val="0"/>
        </w:rPr>
        <w:t>extrapolated period</w:t>
      </w:r>
      <w:r w:rsidR="00380EC5" w:rsidRPr="00244FB2">
        <w:rPr>
          <w:rFonts w:asciiTheme="minorHAnsi" w:hAnsiTheme="minorHAnsi"/>
          <w:bCs/>
          <w:snapToGrid w:val="0"/>
        </w:rPr>
        <w:t xml:space="preserve">. The PBAC considered that </w:t>
      </w:r>
      <w:r w:rsidR="009F2E8A" w:rsidRPr="00244FB2">
        <w:rPr>
          <w:rFonts w:asciiTheme="minorHAnsi" w:hAnsiTheme="minorHAnsi"/>
          <w:bCs/>
          <w:snapToGrid w:val="0"/>
        </w:rPr>
        <w:t>a difference in</w:t>
      </w:r>
      <w:r w:rsidR="00380EC5" w:rsidRPr="00244FB2">
        <w:rPr>
          <w:rFonts w:asciiTheme="minorHAnsi" w:hAnsiTheme="minorHAnsi"/>
          <w:bCs/>
          <w:snapToGrid w:val="0"/>
        </w:rPr>
        <w:t xml:space="preserve"> life years gained w</w:t>
      </w:r>
      <w:r w:rsidR="009F2E8A" w:rsidRPr="00244FB2">
        <w:rPr>
          <w:rFonts w:asciiTheme="minorHAnsi" w:hAnsiTheme="minorHAnsi"/>
          <w:bCs/>
          <w:snapToGrid w:val="0"/>
        </w:rPr>
        <w:t>as</w:t>
      </w:r>
      <w:r w:rsidR="00380EC5" w:rsidRPr="00244FB2">
        <w:rPr>
          <w:rFonts w:asciiTheme="minorHAnsi" w:hAnsiTheme="minorHAnsi"/>
          <w:bCs/>
          <w:snapToGrid w:val="0"/>
        </w:rPr>
        <w:t xml:space="preserve"> not supported by the evidence and that the modelled reduction in relapses was small considering the cost of </w:t>
      </w:r>
      <w:proofErr w:type="spellStart"/>
      <w:r w:rsidR="00380EC5" w:rsidRPr="00244FB2">
        <w:rPr>
          <w:rFonts w:asciiTheme="minorHAnsi" w:hAnsiTheme="minorHAnsi"/>
          <w:bCs/>
          <w:snapToGrid w:val="0"/>
        </w:rPr>
        <w:t>eculizumab</w:t>
      </w:r>
      <w:proofErr w:type="spellEnd"/>
      <w:r w:rsidR="00380EC5" w:rsidRPr="00244FB2">
        <w:rPr>
          <w:rFonts w:asciiTheme="minorHAnsi" w:hAnsiTheme="minorHAnsi"/>
          <w:bCs/>
          <w:snapToGrid w:val="0"/>
        </w:rPr>
        <w:t xml:space="preserve"> and the long-term nature of the treatment</w:t>
      </w:r>
      <w:r w:rsidRPr="00244FB2">
        <w:rPr>
          <w:rFonts w:asciiTheme="minorHAnsi" w:hAnsiTheme="minorHAnsi"/>
          <w:bCs/>
          <w:snapToGrid w:val="0"/>
        </w:rPr>
        <w:t>;</w:t>
      </w:r>
    </w:p>
    <w:p w14:paraId="7CD1DC04" w14:textId="77777777" w:rsidR="00A76BC1" w:rsidRPr="00244FB2" w:rsidRDefault="00F83536" w:rsidP="00E57E72">
      <w:pPr>
        <w:widowControl w:val="0"/>
        <w:numPr>
          <w:ilvl w:val="1"/>
          <w:numId w:val="24"/>
        </w:numPr>
        <w:spacing w:after="120"/>
        <w:ind w:left="1077" w:hanging="357"/>
        <w:rPr>
          <w:rFonts w:asciiTheme="minorHAnsi" w:hAnsiTheme="minorHAnsi"/>
          <w:bCs/>
          <w:snapToGrid w:val="0"/>
        </w:rPr>
      </w:pPr>
      <w:proofErr w:type="gramStart"/>
      <w:r w:rsidRPr="00244FB2">
        <w:rPr>
          <w:rFonts w:asciiTheme="minorHAnsi" w:hAnsiTheme="minorHAnsi"/>
          <w:bCs/>
          <w:snapToGrid w:val="0"/>
        </w:rPr>
        <w:t>submission</w:t>
      </w:r>
      <w:proofErr w:type="gramEnd"/>
      <w:r w:rsidRPr="00244FB2">
        <w:rPr>
          <w:rFonts w:asciiTheme="minorHAnsi" w:hAnsiTheme="minorHAnsi"/>
          <w:bCs/>
          <w:snapToGrid w:val="0"/>
        </w:rPr>
        <w:t xml:space="preserve"> assumed 7% of relapses were fatal based on Mealy 2018, an observational study. The PBAC noted that removing mortality from the economic model resulted in a 27% increase in the ICER</w:t>
      </w:r>
      <w:r w:rsidR="00E57E72" w:rsidRPr="00244FB2">
        <w:rPr>
          <w:rFonts w:asciiTheme="minorHAnsi" w:hAnsiTheme="minorHAnsi"/>
          <w:bCs/>
          <w:snapToGrid w:val="0"/>
        </w:rPr>
        <w:t>.</w:t>
      </w:r>
      <w:r w:rsidR="00E57E72" w:rsidRPr="00244FB2">
        <w:t xml:space="preserve"> </w:t>
      </w:r>
      <w:r w:rsidR="00A03ACC" w:rsidRPr="00244FB2">
        <w:t>The PBAC considered t</w:t>
      </w:r>
      <w:r w:rsidR="00E57E72" w:rsidRPr="00244FB2">
        <w:rPr>
          <w:rFonts w:asciiTheme="minorHAnsi" w:hAnsiTheme="minorHAnsi"/>
          <w:bCs/>
          <w:snapToGrid w:val="0"/>
        </w:rPr>
        <w:t xml:space="preserve">he assumption of a survival benefit with </w:t>
      </w:r>
      <w:proofErr w:type="spellStart"/>
      <w:r w:rsidR="00E57E72" w:rsidRPr="00244FB2">
        <w:rPr>
          <w:rFonts w:asciiTheme="minorHAnsi" w:hAnsiTheme="minorHAnsi"/>
          <w:bCs/>
          <w:snapToGrid w:val="0"/>
        </w:rPr>
        <w:t>eculizumab</w:t>
      </w:r>
      <w:proofErr w:type="spellEnd"/>
      <w:r w:rsidR="00E57E72" w:rsidRPr="00244FB2">
        <w:rPr>
          <w:rFonts w:asciiTheme="minorHAnsi" w:hAnsiTheme="minorHAnsi"/>
          <w:bCs/>
          <w:snapToGrid w:val="0"/>
        </w:rPr>
        <w:t xml:space="preserve"> treatment, due to a reduction in fatal relapses, was not demonstrated in the trial data and was not supported by the observational data presented in the submission</w:t>
      </w:r>
      <w:r w:rsidRPr="00244FB2">
        <w:rPr>
          <w:rFonts w:asciiTheme="minorHAnsi" w:hAnsiTheme="minorHAnsi"/>
          <w:bCs/>
          <w:snapToGrid w:val="0"/>
        </w:rPr>
        <w:t>;</w:t>
      </w:r>
    </w:p>
    <w:p w14:paraId="19F27B9E" w14:textId="77777777" w:rsidR="00A76BC1" w:rsidRPr="00244FB2" w:rsidRDefault="003F5B10" w:rsidP="00C9149A">
      <w:pPr>
        <w:widowControl w:val="0"/>
        <w:numPr>
          <w:ilvl w:val="1"/>
          <w:numId w:val="24"/>
        </w:numPr>
        <w:spacing w:after="120"/>
        <w:ind w:left="1077" w:hanging="357"/>
        <w:rPr>
          <w:rFonts w:asciiTheme="minorHAnsi" w:hAnsiTheme="minorHAnsi"/>
          <w:bCs/>
          <w:snapToGrid w:val="0"/>
        </w:rPr>
      </w:pPr>
      <w:proofErr w:type="gramStart"/>
      <w:r w:rsidRPr="00244FB2">
        <w:rPr>
          <w:rFonts w:asciiTheme="minorHAnsi" w:hAnsiTheme="minorHAnsi"/>
          <w:bCs/>
          <w:snapToGrid w:val="0"/>
        </w:rPr>
        <w:t>submission</w:t>
      </w:r>
      <w:proofErr w:type="gramEnd"/>
      <w:r w:rsidRPr="00244FB2">
        <w:rPr>
          <w:rFonts w:asciiTheme="minorHAnsi" w:hAnsiTheme="minorHAnsi"/>
          <w:bCs/>
          <w:snapToGrid w:val="0"/>
        </w:rPr>
        <w:t xml:space="preserve"> estimated the probability of disability progression following relapse based on a post-hoc analysis of EDSS scores at 4-6 weeks af</w:t>
      </w:r>
      <w:r w:rsidR="00C9149A" w:rsidRPr="00244FB2">
        <w:rPr>
          <w:rFonts w:asciiTheme="minorHAnsi" w:hAnsiTheme="minorHAnsi"/>
          <w:bCs/>
          <w:snapToGrid w:val="0"/>
        </w:rPr>
        <w:t xml:space="preserve">ter relapse. </w:t>
      </w:r>
      <w:r w:rsidR="00236EF0" w:rsidRPr="00244FB2">
        <w:rPr>
          <w:rFonts w:asciiTheme="minorHAnsi" w:hAnsiTheme="minorHAnsi"/>
          <w:bCs/>
          <w:snapToGrid w:val="0"/>
        </w:rPr>
        <w:t xml:space="preserve">The PBAC noted that the PREVENT trial did not demonstrate a </w:t>
      </w:r>
      <w:r w:rsidR="00E57E72" w:rsidRPr="00244FB2">
        <w:rPr>
          <w:rFonts w:asciiTheme="minorHAnsi" w:hAnsiTheme="minorHAnsi"/>
          <w:bCs/>
          <w:snapToGrid w:val="0"/>
        </w:rPr>
        <w:t xml:space="preserve">statistically </w:t>
      </w:r>
      <w:r w:rsidR="00236EF0" w:rsidRPr="00244FB2">
        <w:rPr>
          <w:rFonts w:asciiTheme="minorHAnsi" w:hAnsiTheme="minorHAnsi"/>
          <w:bCs/>
          <w:snapToGrid w:val="0"/>
        </w:rPr>
        <w:t>significant difference in EDSS scores and t</w:t>
      </w:r>
      <w:r w:rsidR="00C9149A" w:rsidRPr="00244FB2">
        <w:rPr>
          <w:rFonts w:asciiTheme="minorHAnsi" w:hAnsiTheme="minorHAnsi"/>
          <w:bCs/>
          <w:snapToGrid w:val="0"/>
        </w:rPr>
        <w:t>he PBAC considered the estimates</w:t>
      </w:r>
      <w:r w:rsidR="002C643A" w:rsidRPr="00244FB2">
        <w:rPr>
          <w:rFonts w:asciiTheme="minorHAnsi" w:hAnsiTheme="minorHAnsi"/>
          <w:bCs/>
          <w:snapToGrid w:val="0"/>
        </w:rPr>
        <w:t xml:space="preserve"> were</w:t>
      </w:r>
      <w:r w:rsidR="00C9149A" w:rsidRPr="00244FB2">
        <w:rPr>
          <w:rFonts w:asciiTheme="minorHAnsi" w:hAnsiTheme="minorHAnsi"/>
          <w:bCs/>
          <w:snapToGrid w:val="0"/>
        </w:rPr>
        <w:t xml:space="preserve"> uncertain in terms of whether they reflected permanent disability progression; and</w:t>
      </w:r>
    </w:p>
    <w:p w14:paraId="067D211D" w14:textId="77777777" w:rsidR="00C9149A" w:rsidRPr="00244FB2" w:rsidRDefault="00C9149A" w:rsidP="00C9149A">
      <w:pPr>
        <w:widowControl w:val="0"/>
        <w:numPr>
          <w:ilvl w:val="1"/>
          <w:numId w:val="24"/>
        </w:numPr>
        <w:spacing w:after="120"/>
        <w:ind w:left="1077" w:hanging="357"/>
        <w:rPr>
          <w:rFonts w:asciiTheme="minorHAnsi" w:hAnsiTheme="minorHAnsi"/>
          <w:bCs/>
          <w:snapToGrid w:val="0"/>
        </w:rPr>
      </w:pPr>
      <w:proofErr w:type="gramStart"/>
      <w:r w:rsidRPr="00244FB2">
        <w:rPr>
          <w:rFonts w:asciiTheme="minorHAnsi" w:hAnsiTheme="minorHAnsi"/>
          <w:bCs/>
          <w:snapToGrid w:val="0"/>
        </w:rPr>
        <w:t>utility</w:t>
      </w:r>
      <w:proofErr w:type="gramEnd"/>
      <w:r w:rsidRPr="00244FB2">
        <w:rPr>
          <w:rFonts w:asciiTheme="minorHAnsi" w:hAnsiTheme="minorHAnsi"/>
          <w:bCs/>
          <w:snapToGrid w:val="0"/>
        </w:rPr>
        <w:t xml:space="preserve"> values were based on a limited number of observations from the PREVENT trial.</w:t>
      </w:r>
    </w:p>
    <w:p w14:paraId="096BF84E" w14:textId="77777777" w:rsidR="00C9149A" w:rsidRPr="00244FB2" w:rsidRDefault="00C9149A" w:rsidP="00617FDF">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w:t>
      </w:r>
      <w:r w:rsidR="00380EC5" w:rsidRPr="00244FB2">
        <w:rPr>
          <w:rFonts w:asciiTheme="minorHAnsi" w:hAnsiTheme="minorHAnsi"/>
          <w:bCs/>
          <w:snapToGrid w:val="0"/>
        </w:rPr>
        <w:t xml:space="preserve">considered that a substantial price reduction would </w:t>
      </w:r>
      <w:r w:rsidR="008119A5" w:rsidRPr="00244FB2">
        <w:rPr>
          <w:rFonts w:asciiTheme="minorHAnsi" w:hAnsiTheme="minorHAnsi"/>
          <w:bCs/>
          <w:snapToGrid w:val="0"/>
        </w:rPr>
        <w:t xml:space="preserve">aid in </w:t>
      </w:r>
      <w:r w:rsidR="00380EC5" w:rsidRPr="00244FB2">
        <w:rPr>
          <w:rFonts w:asciiTheme="minorHAnsi" w:hAnsiTheme="minorHAnsi"/>
          <w:bCs/>
          <w:snapToGrid w:val="0"/>
        </w:rPr>
        <w:t>mitigat</w:t>
      </w:r>
      <w:r w:rsidR="008119A5" w:rsidRPr="00244FB2">
        <w:rPr>
          <w:rFonts w:asciiTheme="minorHAnsi" w:hAnsiTheme="minorHAnsi"/>
          <w:bCs/>
          <w:snapToGrid w:val="0"/>
        </w:rPr>
        <w:t>ing</w:t>
      </w:r>
      <w:r w:rsidR="00380EC5" w:rsidRPr="00244FB2">
        <w:rPr>
          <w:rFonts w:asciiTheme="minorHAnsi" w:hAnsiTheme="minorHAnsi"/>
          <w:bCs/>
          <w:snapToGrid w:val="0"/>
        </w:rPr>
        <w:t xml:space="preserve"> the uncertainties in the model and </w:t>
      </w:r>
      <w:r w:rsidR="008119A5" w:rsidRPr="00244FB2">
        <w:rPr>
          <w:rFonts w:asciiTheme="minorHAnsi" w:hAnsiTheme="minorHAnsi"/>
          <w:bCs/>
          <w:snapToGrid w:val="0"/>
        </w:rPr>
        <w:t xml:space="preserve">potentially </w:t>
      </w:r>
      <w:r w:rsidR="00380EC5" w:rsidRPr="00244FB2">
        <w:rPr>
          <w:rFonts w:asciiTheme="minorHAnsi" w:hAnsiTheme="minorHAnsi"/>
          <w:bCs/>
          <w:snapToGrid w:val="0"/>
        </w:rPr>
        <w:t xml:space="preserve">achieve an ICER </w:t>
      </w:r>
      <w:r w:rsidR="00384C1B" w:rsidRPr="00244FB2">
        <w:rPr>
          <w:rFonts w:asciiTheme="minorHAnsi" w:hAnsiTheme="minorHAnsi"/>
          <w:bCs/>
          <w:snapToGrid w:val="0"/>
        </w:rPr>
        <w:t xml:space="preserve">in </w:t>
      </w:r>
      <w:r w:rsidR="00380EC5" w:rsidRPr="00244FB2">
        <w:rPr>
          <w:rFonts w:asciiTheme="minorHAnsi" w:hAnsiTheme="minorHAnsi"/>
          <w:bCs/>
          <w:snapToGrid w:val="0"/>
        </w:rPr>
        <w:t>a</w:t>
      </w:r>
      <w:r w:rsidR="008119A5" w:rsidRPr="00244FB2">
        <w:rPr>
          <w:rFonts w:asciiTheme="minorHAnsi" w:hAnsiTheme="minorHAnsi"/>
          <w:bCs/>
          <w:snapToGrid w:val="0"/>
        </w:rPr>
        <w:t>n</w:t>
      </w:r>
      <w:r w:rsidR="00380EC5" w:rsidRPr="00244FB2">
        <w:rPr>
          <w:rFonts w:asciiTheme="minorHAnsi" w:hAnsiTheme="minorHAnsi"/>
          <w:bCs/>
          <w:snapToGrid w:val="0"/>
        </w:rPr>
        <w:t xml:space="preserve"> acceptable </w:t>
      </w:r>
      <w:r w:rsidR="00384C1B" w:rsidRPr="00244FB2">
        <w:rPr>
          <w:rFonts w:asciiTheme="minorHAnsi" w:hAnsiTheme="minorHAnsi"/>
          <w:bCs/>
          <w:snapToGrid w:val="0"/>
        </w:rPr>
        <w:t>range</w:t>
      </w:r>
      <w:r w:rsidR="00380EC5" w:rsidRPr="00244FB2">
        <w:rPr>
          <w:rFonts w:asciiTheme="minorHAnsi" w:hAnsiTheme="minorHAnsi"/>
          <w:bCs/>
          <w:snapToGrid w:val="0"/>
        </w:rPr>
        <w:t>.</w:t>
      </w:r>
    </w:p>
    <w:p w14:paraId="0E21869B" w14:textId="77777777" w:rsidR="00721EDE" w:rsidRPr="00244FB2" w:rsidRDefault="00AC7F7E" w:rsidP="009E763C">
      <w:pPr>
        <w:pStyle w:val="ExecSumBodyText"/>
      </w:pPr>
      <w:r w:rsidRPr="00244FB2">
        <w:t>The PBAC</w:t>
      </w:r>
      <w:r w:rsidR="00A8618D">
        <w:t xml:space="preserve">, noting the DUSCs comments that </w:t>
      </w:r>
      <w:proofErr w:type="spellStart"/>
      <w:r w:rsidR="00A8618D">
        <w:t>eculizumab</w:t>
      </w:r>
      <w:proofErr w:type="spellEnd"/>
      <w:r w:rsidR="00A8618D">
        <w:t xml:space="preserve"> is proposed as a lifelong prophylaxis treatment for a non-life-limiting disease,</w:t>
      </w:r>
      <w:r w:rsidRPr="00244FB2">
        <w:t xml:space="preserve"> </w:t>
      </w:r>
      <w:r w:rsidR="00721EDE" w:rsidRPr="00244FB2">
        <w:t>considered that</w:t>
      </w:r>
      <w:r w:rsidR="00A8618D">
        <w:t>, at the proposed price,</w:t>
      </w:r>
      <w:r w:rsidR="00721EDE" w:rsidRPr="00244FB2">
        <w:t xml:space="preserve"> the cost of </w:t>
      </w:r>
      <w:proofErr w:type="spellStart"/>
      <w:r w:rsidR="00721EDE" w:rsidRPr="00244FB2">
        <w:t>eculizumab</w:t>
      </w:r>
      <w:proofErr w:type="spellEnd"/>
      <w:r w:rsidR="00721EDE" w:rsidRPr="00244FB2">
        <w:t xml:space="preserve"> to the PBS/RPBS of approximately </w:t>
      </w:r>
      <w:r w:rsidR="009E763C" w:rsidRPr="009E763C">
        <w:rPr>
          <w:bCs/>
        </w:rPr>
        <w:t>$200 million to &lt; $300 million</w:t>
      </w:r>
      <w:r w:rsidR="009E763C">
        <w:rPr>
          <w:bCs/>
        </w:rPr>
        <w:t xml:space="preserve"> </w:t>
      </w:r>
      <w:r w:rsidR="00721EDE" w:rsidRPr="00244FB2">
        <w:t xml:space="preserve">over the first six years (updated PSCR estimates) for less than </w:t>
      </w:r>
      <w:r w:rsidR="009E763C">
        <w:t>&lt; 500</w:t>
      </w:r>
      <w:r w:rsidR="009E763C" w:rsidRPr="00244FB2">
        <w:t xml:space="preserve"> </w:t>
      </w:r>
      <w:r w:rsidR="00721EDE" w:rsidRPr="00244FB2">
        <w:t xml:space="preserve">patients was very high. In addition, the PBAC agreed with </w:t>
      </w:r>
      <w:r w:rsidR="00721EDE" w:rsidRPr="00A8618D">
        <w:t xml:space="preserve">DUSC </w:t>
      </w:r>
      <w:r w:rsidR="00221A38" w:rsidRPr="00A8618D">
        <w:t xml:space="preserve">that the financial estimates were uncertain </w:t>
      </w:r>
      <w:r w:rsidR="00721EDE" w:rsidRPr="00A8618D">
        <w:t xml:space="preserve">for the reasons outlines in paragraph </w:t>
      </w:r>
      <w:r w:rsidR="0018202A" w:rsidRPr="00A8618D">
        <w:t>6</w:t>
      </w:r>
      <w:r w:rsidR="00721EDE" w:rsidRPr="00A8618D">
        <w:t>.5</w:t>
      </w:r>
      <w:r w:rsidR="0018202A" w:rsidRPr="00A8618D">
        <w:t>5</w:t>
      </w:r>
      <w:r w:rsidR="00721EDE" w:rsidRPr="00A8618D">
        <w:t>.</w:t>
      </w:r>
      <w:r w:rsidR="00221A38" w:rsidRPr="00A8618D">
        <w:t xml:space="preserve"> While DUSC considered the financial estimates were underestimated, the PBAC noted the estimates were based on a </w:t>
      </w:r>
      <w:r w:rsidR="000110BE" w:rsidRPr="00A8618D">
        <w:t xml:space="preserve">relatively </w:t>
      </w:r>
      <w:r w:rsidR="00221A38" w:rsidRPr="00A8618D">
        <w:t>broad</w:t>
      </w:r>
      <w:r w:rsidR="000110BE" w:rsidRPr="00A8618D">
        <w:t xml:space="preserve"> restriction. T</w:t>
      </w:r>
      <w:r w:rsidR="00221A38" w:rsidRPr="00A8618D">
        <w:t xml:space="preserve">he </w:t>
      </w:r>
      <w:r w:rsidR="000110BE" w:rsidRPr="00A8618D">
        <w:t xml:space="preserve">PBAC considered that the </w:t>
      </w:r>
      <w:r w:rsidR="00221A38" w:rsidRPr="00A8618D">
        <w:t xml:space="preserve">restriction should </w:t>
      </w:r>
      <w:r w:rsidR="000110BE" w:rsidRPr="00A8618D">
        <w:t xml:space="preserve">more closely </w:t>
      </w:r>
      <w:r w:rsidR="00221A38" w:rsidRPr="00A8618D">
        <w:t xml:space="preserve">align with the </w:t>
      </w:r>
      <w:r w:rsidR="008119A5" w:rsidRPr="00A8618D">
        <w:t xml:space="preserve">inclusion </w:t>
      </w:r>
      <w:r w:rsidR="00221A38" w:rsidRPr="00A8618D">
        <w:t>criteria of the trial</w:t>
      </w:r>
      <w:r w:rsidR="000110BE" w:rsidRPr="00A8618D">
        <w:t xml:space="preserve"> (per paragraph 7.</w:t>
      </w:r>
      <w:r w:rsidR="00A8618D" w:rsidRPr="00A8618D">
        <w:t>4</w:t>
      </w:r>
      <w:r w:rsidR="000110BE" w:rsidRPr="00A8618D">
        <w:t>), which would reduce some of the parameters (e.g. it would reduce the proportion of patients</w:t>
      </w:r>
      <w:r w:rsidR="000110BE" w:rsidRPr="00244FB2">
        <w:t xml:space="preserve"> with </w:t>
      </w:r>
      <w:r w:rsidR="000110BE" w:rsidRPr="00244FB2">
        <w:rPr>
          <w:lang w:eastAsia="en-US"/>
        </w:rPr>
        <w:lastRenderedPageBreak/>
        <w:t>AQP4+ and frequent relapses compared with the value in the PSCR, and remove the proportion of patients with a prior IST event).</w:t>
      </w:r>
    </w:p>
    <w:p w14:paraId="3735999D" w14:textId="77777777" w:rsidR="00721EDE" w:rsidRPr="00244FB2" w:rsidRDefault="00721EDE" w:rsidP="00C17D43">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w:t>
      </w:r>
      <w:r w:rsidR="008119A5" w:rsidRPr="00244FB2">
        <w:rPr>
          <w:rFonts w:asciiTheme="minorHAnsi" w:hAnsiTheme="minorHAnsi"/>
          <w:bCs/>
          <w:snapToGrid w:val="0"/>
        </w:rPr>
        <w:t>sponsor in its</w:t>
      </w:r>
      <w:r w:rsidRPr="00244FB2">
        <w:rPr>
          <w:rFonts w:asciiTheme="minorHAnsi" w:hAnsiTheme="minorHAnsi"/>
          <w:bCs/>
          <w:snapToGrid w:val="0"/>
        </w:rPr>
        <w:t xml:space="preserve"> </w:t>
      </w:r>
      <w:r w:rsidR="00DD0475" w:rsidRPr="00244FB2">
        <w:rPr>
          <w:rFonts w:asciiTheme="minorHAnsi" w:hAnsiTheme="minorHAnsi"/>
          <w:bCs/>
          <w:snapToGrid w:val="0"/>
        </w:rPr>
        <w:t xml:space="preserve">pre-PBAC </w:t>
      </w:r>
      <w:r w:rsidR="008119A5" w:rsidRPr="00244FB2">
        <w:rPr>
          <w:rFonts w:asciiTheme="minorHAnsi" w:hAnsiTheme="minorHAnsi"/>
          <w:bCs/>
          <w:snapToGrid w:val="0"/>
        </w:rPr>
        <w:t xml:space="preserve">response </w:t>
      </w:r>
      <w:r w:rsidRPr="00244FB2">
        <w:rPr>
          <w:rFonts w:asciiTheme="minorHAnsi" w:hAnsiTheme="minorHAnsi"/>
          <w:bCs/>
          <w:snapToGrid w:val="0"/>
        </w:rPr>
        <w:t xml:space="preserve">proposed a RSA to help mitigate any uncertainties relating to the </w:t>
      </w:r>
      <w:r w:rsidR="006424D7" w:rsidRPr="00244FB2">
        <w:rPr>
          <w:rFonts w:asciiTheme="minorHAnsi" w:hAnsiTheme="minorHAnsi"/>
          <w:bCs/>
          <w:snapToGrid w:val="0"/>
        </w:rPr>
        <w:t xml:space="preserve">financial estimates (eligible patient population) and the </w:t>
      </w:r>
      <w:r w:rsidRPr="00244FB2">
        <w:rPr>
          <w:rFonts w:asciiTheme="minorHAnsi" w:hAnsiTheme="minorHAnsi"/>
          <w:bCs/>
          <w:snapToGrid w:val="0"/>
        </w:rPr>
        <w:t xml:space="preserve">proposed restriction not aligning with the </w:t>
      </w:r>
      <w:r w:rsidR="008119A5" w:rsidRPr="00244FB2">
        <w:rPr>
          <w:rFonts w:asciiTheme="minorHAnsi" w:hAnsiTheme="minorHAnsi"/>
          <w:bCs/>
          <w:snapToGrid w:val="0"/>
        </w:rPr>
        <w:t xml:space="preserve">inclusion </w:t>
      </w:r>
      <w:r w:rsidRPr="00244FB2">
        <w:rPr>
          <w:rFonts w:asciiTheme="minorHAnsi" w:hAnsiTheme="minorHAnsi"/>
          <w:bCs/>
          <w:snapToGrid w:val="0"/>
        </w:rPr>
        <w:t>criteria of the trial</w:t>
      </w:r>
      <w:r w:rsidR="00190417" w:rsidRPr="00244FB2">
        <w:rPr>
          <w:rFonts w:asciiTheme="minorHAnsi" w:hAnsiTheme="minorHAnsi"/>
          <w:bCs/>
          <w:snapToGrid w:val="0"/>
        </w:rPr>
        <w:t>. The proposed RSA</w:t>
      </w:r>
      <w:r w:rsidR="00DD0475" w:rsidRPr="00244FB2">
        <w:rPr>
          <w:rFonts w:asciiTheme="minorHAnsi" w:hAnsiTheme="minorHAnsi"/>
          <w:bCs/>
          <w:snapToGrid w:val="0"/>
        </w:rPr>
        <w:t xml:space="preserve"> </w:t>
      </w:r>
      <w:r w:rsidRPr="002507B9">
        <w:rPr>
          <w:rFonts w:asciiTheme="minorHAnsi" w:hAnsiTheme="minorHAnsi"/>
          <w:bCs/>
          <w:snapToGrid w:val="0"/>
        </w:rPr>
        <w:t xml:space="preserve">consisted of a </w:t>
      </w:r>
      <w:r w:rsidR="005266FC">
        <w:rPr>
          <w:rFonts w:asciiTheme="minorHAnsi" w:hAnsiTheme="minorHAnsi"/>
          <w:bCs/>
          <w:noProof/>
          <w:snapToGrid w:val="0"/>
          <w:color w:val="000000"/>
          <w:highlight w:val="black"/>
        </w:rPr>
        <w:t>'''''''''''''' '''''''''''''''</w:t>
      </w:r>
      <w:r w:rsidRPr="002507B9">
        <w:rPr>
          <w:rFonts w:asciiTheme="minorHAnsi" w:hAnsiTheme="minorHAnsi"/>
          <w:bCs/>
          <w:snapToGrid w:val="0"/>
        </w:rPr>
        <w:t xml:space="preserve"> cap</w:t>
      </w:r>
      <w:r w:rsidR="00DD0475" w:rsidRPr="002507B9">
        <w:rPr>
          <w:rFonts w:asciiTheme="minorHAnsi" w:hAnsiTheme="minorHAnsi"/>
          <w:bCs/>
          <w:snapToGrid w:val="0"/>
        </w:rPr>
        <w:t xml:space="preserve"> based on the </w:t>
      </w:r>
      <w:r w:rsidR="005266FC">
        <w:rPr>
          <w:rFonts w:asciiTheme="minorHAnsi" w:hAnsiTheme="minorHAnsi"/>
          <w:bCs/>
          <w:noProof/>
          <w:snapToGrid w:val="0"/>
          <w:color w:val="000000"/>
          <w:highlight w:val="black"/>
        </w:rPr>
        <w:t>''''''''' ''''''''''''''' '''''''''''''''''</w:t>
      </w:r>
      <w:r w:rsidR="00DC51C9" w:rsidRPr="002507B9">
        <w:rPr>
          <w:rFonts w:asciiTheme="minorHAnsi" w:hAnsiTheme="minorHAnsi"/>
          <w:bCs/>
          <w:snapToGrid w:val="0"/>
        </w:rPr>
        <w:t xml:space="preserve"> </w:t>
      </w:r>
      <w:r w:rsidR="00DD0475" w:rsidRPr="002507B9">
        <w:rPr>
          <w:rFonts w:asciiTheme="minorHAnsi" w:hAnsiTheme="minorHAnsi"/>
          <w:bCs/>
          <w:snapToGrid w:val="0"/>
        </w:rPr>
        <w:t>estimate</w:t>
      </w:r>
      <w:r w:rsidR="00DC51C9" w:rsidRPr="002507B9">
        <w:rPr>
          <w:rFonts w:asciiTheme="minorHAnsi" w:hAnsiTheme="minorHAnsi"/>
          <w:bCs/>
          <w:snapToGrid w:val="0"/>
        </w:rPr>
        <w:t>d</w:t>
      </w:r>
      <w:r w:rsidR="00DD0475" w:rsidRPr="00244FB2">
        <w:rPr>
          <w:rFonts w:asciiTheme="minorHAnsi" w:hAnsiTheme="minorHAnsi"/>
          <w:bCs/>
          <w:snapToGrid w:val="0"/>
        </w:rPr>
        <w:t xml:space="preserve"> in the PSCR</w:t>
      </w:r>
      <w:r w:rsidR="00DC51C9" w:rsidRPr="00244FB2">
        <w:rPr>
          <w:rFonts w:asciiTheme="minorHAnsi" w:hAnsiTheme="minorHAnsi"/>
          <w:bCs/>
          <w:snapToGrid w:val="0"/>
        </w:rPr>
        <w:t xml:space="preserve"> (i.e. before applying the uptake assumptions)</w:t>
      </w:r>
      <w:r w:rsidR="00DD0475" w:rsidRPr="00244FB2">
        <w:rPr>
          <w:rFonts w:asciiTheme="minorHAnsi" w:hAnsiTheme="minorHAnsi"/>
          <w:bCs/>
          <w:snapToGrid w:val="0"/>
        </w:rPr>
        <w:t xml:space="preserve">. The PBAC noted that the </w:t>
      </w:r>
      <w:r w:rsidR="00DC51C9" w:rsidRPr="00244FB2">
        <w:rPr>
          <w:rFonts w:asciiTheme="minorHAnsi" w:hAnsiTheme="minorHAnsi"/>
          <w:bCs/>
          <w:snapToGrid w:val="0"/>
        </w:rPr>
        <w:t xml:space="preserve">proposed RSA was based on patient numbers that were substantially higher that the estimated number of treated patients and considered this was inappropriate. Further, the pre-PBAC response </w:t>
      </w:r>
      <w:r w:rsidR="00DD0475" w:rsidRPr="00244FB2">
        <w:rPr>
          <w:rFonts w:asciiTheme="minorHAnsi" w:hAnsiTheme="minorHAnsi"/>
          <w:bCs/>
          <w:snapToGrid w:val="0"/>
        </w:rPr>
        <w:t xml:space="preserve">did not provide any details on the proportion of the rebate </w:t>
      </w:r>
      <w:r w:rsidR="006424D7" w:rsidRPr="00244FB2">
        <w:rPr>
          <w:rFonts w:asciiTheme="minorHAnsi" w:hAnsiTheme="minorHAnsi"/>
          <w:bCs/>
          <w:snapToGrid w:val="0"/>
        </w:rPr>
        <w:t xml:space="preserve">for any utilisation above the cap </w:t>
      </w:r>
      <w:r w:rsidR="00DD0475" w:rsidRPr="00244FB2">
        <w:rPr>
          <w:rFonts w:asciiTheme="minorHAnsi" w:hAnsiTheme="minorHAnsi"/>
          <w:bCs/>
          <w:snapToGrid w:val="0"/>
        </w:rPr>
        <w:t>offered in the RSA.</w:t>
      </w:r>
    </w:p>
    <w:p w14:paraId="1E52E372" w14:textId="77777777" w:rsidR="00DD0475" w:rsidRDefault="00DD0475" w:rsidP="00C17D43">
      <w:pPr>
        <w:widowControl w:val="0"/>
        <w:numPr>
          <w:ilvl w:val="1"/>
          <w:numId w:val="1"/>
        </w:numPr>
        <w:spacing w:after="120"/>
        <w:rPr>
          <w:rFonts w:asciiTheme="minorHAnsi" w:hAnsiTheme="minorHAnsi"/>
          <w:bCs/>
          <w:snapToGrid w:val="0"/>
        </w:rPr>
      </w:pPr>
      <w:r w:rsidRPr="00244FB2">
        <w:rPr>
          <w:rFonts w:asciiTheme="minorHAnsi" w:hAnsiTheme="minorHAnsi"/>
          <w:bCs/>
          <w:snapToGrid w:val="0"/>
        </w:rPr>
        <w:t xml:space="preserve">The PBAC advised that any future resubmission should be a major resubmission and address the clinical, economic and financial issues raised above. The PBAC reiterated that a substantial price reduction would </w:t>
      </w:r>
      <w:r w:rsidR="00A77112" w:rsidRPr="00244FB2">
        <w:rPr>
          <w:rFonts w:asciiTheme="minorHAnsi" w:hAnsiTheme="minorHAnsi"/>
          <w:bCs/>
          <w:snapToGrid w:val="0"/>
        </w:rPr>
        <w:t xml:space="preserve">aid in achieving </w:t>
      </w:r>
      <w:r w:rsidRPr="00244FB2">
        <w:rPr>
          <w:rFonts w:asciiTheme="minorHAnsi" w:hAnsiTheme="minorHAnsi"/>
          <w:bCs/>
          <w:snapToGrid w:val="0"/>
        </w:rPr>
        <w:t xml:space="preserve">an acceptable ICER and reduce the cost associated with </w:t>
      </w:r>
      <w:proofErr w:type="spellStart"/>
      <w:r w:rsidRPr="00244FB2">
        <w:rPr>
          <w:rFonts w:asciiTheme="minorHAnsi" w:hAnsiTheme="minorHAnsi"/>
          <w:bCs/>
          <w:snapToGrid w:val="0"/>
        </w:rPr>
        <w:t>eculizumab</w:t>
      </w:r>
      <w:proofErr w:type="spellEnd"/>
      <w:r w:rsidRPr="00244FB2">
        <w:rPr>
          <w:rFonts w:asciiTheme="minorHAnsi" w:hAnsiTheme="minorHAnsi"/>
          <w:bCs/>
          <w:snapToGrid w:val="0"/>
        </w:rPr>
        <w:t>. In addition, the PBAC considered that a RSA outlin</w:t>
      </w:r>
      <w:r w:rsidR="006424D7" w:rsidRPr="00244FB2">
        <w:rPr>
          <w:rFonts w:asciiTheme="minorHAnsi" w:hAnsiTheme="minorHAnsi"/>
          <w:bCs/>
          <w:snapToGrid w:val="0"/>
        </w:rPr>
        <w:t>ing</w:t>
      </w:r>
      <w:r w:rsidRPr="00244FB2">
        <w:rPr>
          <w:rFonts w:asciiTheme="minorHAnsi" w:hAnsiTheme="minorHAnsi"/>
          <w:bCs/>
          <w:snapToGrid w:val="0"/>
        </w:rPr>
        <w:t xml:space="preserve"> the proposed subsidisation caps and rebates would be</w:t>
      </w:r>
      <w:r w:rsidR="00A77112" w:rsidRPr="00244FB2">
        <w:rPr>
          <w:rFonts w:asciiTheme="minorHAnsi" w:hAnsiTheme="minorHAnsi"/>
          <w:bCs/>
          <w:snapToGrid w:val="0"/>
        </w:rPr>
        <w:t xml:space="preserve"> highly </w:t>
      </w:r>
      <w:r w:rsidR="00DA24BC" w:rsidRPr="00244FB2">
        <w:rPr>
          <w:rFonts w:asciiTheme="minorHAnsi" w:hAnsiTheme="minorHAnsi"/>
          <w:bCs/>
          <w:snapToGrid w:val="0"/>
        </w:rPr>
        <w:t>informative</w:t>
      </w:r>
      <w:r w:rsidR="00A77112" w:rsidRPr="00244FB2">
        <w:rPr>
          <w:rFonts w:asciiTheme="minorHAnsi" w:hAnsiTheme="minorHAnsi"/>
          <w:bCs/>
          <w:snapToGrid w:val="0"/>
        </w:rPr>
        <w:t xml:space="preserve"> to its deliberations</w:t>
      </w:r>
      <w:r w:rsidRPr="00244FB2">
        <w:rPr>
          <w:rFonts w:asciiTheme="minorHAnsi" w:hAnsiTheme="minorHAnsi"/>
          <w:bCs/>
          <w:snapToGrid w:val="0"/>
        </w:rPr>
        <w:t xml:space="preserve">. </w:t>
      </w:r>
    </w:p>
    <w:p w14:paraId="6CEC43DC" w14:textId="77777777" w:rsidR="00617FDF" w:rsidRPr="005074FC" w:rsidRDefault="005074FC" w:rsidP="005074FC">
      <w:pPr>
        <w:widowControl w:val="0"/>
        <w:numPr>
          <w:ilvl w:val="1"/>
          <w:numId w:val="1"/>
        </w:numPr>
        <w:spacing w:after="120"/>
        <w:rPr>
          <w:rFonts w:asciiTheme="minorHAnsi" w:hAnsiTheme="minorHAnsi"/>
          <w:b/>
          <w:bCs/>
          <w:snapToGrid w:val="0"/>
        </w:rPr>
      </w:pPr>
      <w:r w:rsidRPr="0099778F">
        <w:rPr>
          <w:rFonts w:asciiTheme="minorHAnsi" w:hAnsiTheme="minorHAnsi"/>
          <w:bCs/>
          <w:snapToGrid w:val="0"/>
        </w:rPr>
        <w:t xml:space="preserve">The PBAC noted that this submission is eligible for an Independent Review. </w:t>
      </w:r>
    </w:p>
    <w:p w14:paraId="3EF438A5" w14:textId="77777777" w:rsidR="00617FDF" w:rsidRPr="00244FB2" w:rsidRDefault="00617FDF" w:rsidP="00617FDF">
      <w:pPr>
        <w:spacing w:before="240"/>
        <w:rPr>
          <w:rFonts w:asciiTheme="minorHAnsi" w:hAnsiTheme="minorHAnsi"/>
          <w:b/>
          <w:bCs/>
          <w:snapToGrid w:val="0"/>
        </w:rPr>
      </w:pPr>
      <w:r w:rsidRPr="00244FB2">
        <w:rPr>
          <w:rFonts w:asciiTheme="minorHAnsi" w:hAnsiTheme="minorHAnsi"/>
          <w:b/>
          <w:bCs/>
          <w:snapToGrid w:val="0"/>
        </w:rPr>
        <w:t>Outcome:</w:t>
      </w:r>
    </w:p>
    <w:p w14:paraId="3A2DF72C" w14:textId="77777777" w:rsidR="00617FDF" w:rsidRPr="00244FB2" w:rsidRDefault="00617FDF" w:rsidP="00617FDF">
      <w:pPr>
        <w:rPr>
          <w:rFonts w:asciiTheme="minorHAnsi" w:hAnsiTheme="minorHAnsi"/>
          <w:bCs/>
          <w:snapToGrid w:val="0"/>
        </w:rPr>
      </w:pPr>
      <w:r w:rsidRPr="00244FB2">
        <w:rPr>
          <w:rFonts w:asciiTheme="minorHAnsi" w:hAnsiTheme="minorHAnsi"/>
          <w:bCs/>
          <w:snapToGrid w:val="0"/>
        </w:rPr>
        <w:t xml:space="preserve">Rejected </w:t>
      </w:r>
    </w:p>
    <w:p w14:paraId="107015AC" w14:textId="77777777" w:rsidR="002A10B6" w:rsidRDefault="002A10B6" w:rsidP="002A10B6">
      <w:pPr>
        <w:spacing w:after="120"/>
        <w:ind w:left="426"/>
        <w:rPr>
          <w:rFonts w:asciiTheme="minorHAnsi" w:hAnsiTheme="minorHAnsi"/>
          <w:b/>
          <w:sz w:val="32"/>
        </w:rPr>
      </w:pPr>
    </w:p>
    <w:p w14:paraId="36FC3449" w14:textId="77777777" w:rsidR="002A10B6" w:rsidRPr="002A10B6" w:rsidRDefault="002A10B6" w:rsidP="002A10B6">
      <w:pPr>
        <w:pStyle w:val="2-SectionHeading"/>
      </w:pPr>
      <w:r w:rsidRPr="002A10B6">
        <w:t>Context for Decision</w:t>
      </w:r>
    </w:p>
    <w:p w14:paraId="046EB555" w14:textId="77777777" w:rsidR="002A10B6" w:rsidRPr="007129F2" w:rsidRDefault="002A10B6" w:rsidP="002A10B6">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62F2511" w14:textId="77777777" w:rsidR="002A10B6" w:rsidRPr="002A10B6" w:rsidRDefault="002A10B6" w:rsidP="002A10B6">
      <w:pPr>
        <w:pStyle w:val="2-SectionHeading"/>
      </w:pPr>
      <w:r w:rsidRPr="002A10B6">
        <w:t>Sponsor’s Comment</w:t>
      </w:r>
    </w:p>
    <w:p w14:paraId="79ADD6F0" w14:textId="653D8156" w:rsidR="00617FDF" w:rsidRDefault="00A25C01" w:rsidP="005422CE">
      <w:pPr>
        <w:widowControl w:val="0"/>
        <w:ind w:left="720"/>
        <w:rPr>
          <w:rFonts w:asciiTheme="minorHAnsi" w:hAnsiTheme="minorHAnsi"/>
          <w:bCs/>
          <w:lang w:val="en-GB"/>
        </w:rPr>
      </w:pPr>
      <w:r w:rsidRPr="00A25C01">
        <w:rPr>
          <w:rFonts w:asciiTheme="minorHAnsi" w:hAnsiTheme="minorHAnsi"/>
          <w:bCs/>
          <w:lang w:val="en-GB"/>
        </w:rPr>
        <w:t xml:space="preserve">Alexion is disappointed with the PBAC’s decision not to recommend </w:t>
      </w:r>
      <w:proofErr w:type="spellStart"/>
      <w:r w:rsidRPr="00A25C01">
        <w:rPr>
          <w:rFonts w:asciiTheme="minorHAnsi" w:hAnsiTheme="minorHAnsi"/>
          <w:bCs/>
          <w:lang w:val="en-GB"/>
        </w:rPr>
        <w:t>eculizumab</w:t>
      </w:r>
      <w:proofErr w:type="spellEnd"/>
      <w:r w:rsidR="000358FF">
        <w:rPr>
          <w:rFonts w:asciiTheme="minorHAnsi" w:hAnsiTheme="minorHAnsi"/>
          <w:bCs/>
          <w:lang w:val="en-GB"/>
        </w:rPr>
        <w:t>, the first approved treatment</w:t>
      </w:r>
      <w:r w:rsidRPr="00A25C01">
        <w:rPr>
          <w:rFonts w:asciiTheme="minorHAnsi" w:hAnsiTheme="minorHAnsi"/>
          <w:bCs/>
          <w:lang w:val="en-GB"/>
        </w:rPr>
        <w:t xml:space="preserve"> for NMOSD. We appreciate there is a high threshold of evidence required to establish the value of a new treatment, which can be even more challenging in rare diseases, however, given the severity of the disease and the substantial unmet need, adult patients with NMOSD in Australia will greatly benefit from access to </w:t>
      </w:r>
      <w:proofErr w:type="spellStart"/>
      <w:r w:rsidRPr="00A25C01">
        <w:rPr>
          <w:rFonts w:asciiTheme="minorHAnsi" w:hAnsiTheme="minorHAnsi"/>
          <w:bCs/>
          <w:lang w:val="en-GB"/>
        </w:rPr>
        <w:t>eculizumab</w:t>
      </w:r>
      <w:proofErr w:type="spellEnd"/>
      <w:r w:rsidR="000358FF">
        <w:rPr>
          <w:rFonts w:asciiTheme="minorHAnsi" w:hAnsiTheme="minorHAnsi"/>
          <w:bCs/>
          <w:lang w:val="en-GB"/>
        </w:rPr>
        <w:t xml:space="preserve">. It is pertinent to note that therapies currently used to treat </w:t>
      </w:r>
      <w:r w:rsidR="000358FF">
        <w:rPr>
          <w:rFonts w:asciiTheme="minorHAnsi" w:hAnsiTheme="minorHAnsi"/>
          <w:bCs/>
          <w:lang w:val="en-GB"/>
        </w:rPr>
        <w:lastRenderedPageBreak/>
        <w:t>NMOSD in Australia are not approved by the TGA</w:t>
      </w:r>
      <w:r w:rsidRPr="00A25C01">
        <w:rPr>
          <w:rFonts w:asciiTheme="minorHAnsi" w:hAnsiTheme="minorHAnsi"/>
          <w:bCs/>
          <w:lang w:val="en-GB"/>
        </w:rPr>
        <w:t>. As such, we will continue to work with the PBAC and the Department of Health to reach an agreement that ensures long term, sustainable access for people living with this devastating disease.</w:t>
      </w:r>
    </w:p>
    <w:p w14:paraId="3BCAD0C5" w14:textId="2CD2D045" w:rsidR="00CD4C30" w:rsidRDefault="00CD4C30" w:rsidP="005422CE">
      <w:pPr>
        <w:widowControl w:val="0"/>
        <w:ind w:left="720"/>
        <w:rPr>
          <w:rFonts w:asciiTheme="minorHAnsi" w:hAnsiTheme="minorHAnsi"/>
          <w:bCs/>
          <w:lang w:val="en-GB"/>
        </w:rPr>
      </w:pPr>
    </w:p>
    <w:p w14:paraId="2E8CA183" w14:textId="56CD5641" w:rsidR="00CD4C30" w:rsidRPr="00244FB2" w:rsidRDefault="00CD4C30" w:rsidP="005422CE">
      <w:pPr>
        <w:widowControl w:val="0"/>
        <w:ind w:left="720"/>
        <w:rPr>
          <w:rFonts w:asciiTheme="minorHAnsi" w:hAnsiTheme="minorHAnsi"/>
          <w:bCs/>
          <w:snapToGrid w:val="0"/>
        </w:rPr>
      </w:pPr>
      <w:r>
        <w:t xml:space="preserve">In relation to paragraph 2.4, in Canada, there is no specific Health Technology Assessment (HTA) pathway for rare disease. </w:t>
      </w:r>
      <w:proofErr w:type="spellStart"/>
      <w:r>
        <w:t>Eculizumab</w:t>
      </w:r>
      <w:proofErr w:type="spellEnd"/>
      <w:r>
        <w:t xml:space="preserve"> for NMOSD was assessed under the CADTH Common Drug Review, which uses an ICER threshold of approximately $50K/QALY for most treatments. The 96% price reduction referenced </w:t>
      </w:r>
      <w:bookmarkStart w:id="23" w:name="_GoBack"/>
      <w:bookmarkEnd w:id="23"/>
      <w:r>
        <w:t>in the CADTH recommendation is based on this $50K/QALY threshold.</w:t>
      </w:r>
    </w:p>
    <w:sectPr w:rsidR="00CD4C30" w:rsidRPr="00244FB2" w:rsidSect="008C70CA">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5C1F3" w16cex:dateUtc="2020-09-10T23:29:00Z"/>
  <w16cex:commentExtensible w16cex:durableId="2305BF72" w16cex:dateUtc="2020-09-10T23:18:00Z"/>
  <w16cex:commentExtensible w16cex:durableId="2305BF1E" w16cex:dateUtc="2020-09-10T23:17:00Z"/>
  <w16cex:commentExtensible w16cex:durableId="2305C966" w16cex:dateUtc="2020-09-11T00:01:00Z"/>
  <w16cex:commentExtensible w16cex:durableId="2305CEA8" w16cex:dateUtc="2020-09-11T00:23:00Z"/>
  <w16cex:commentExtensible w16cex:durableId="2305CF4E" w16cex:dateUtc="2020-09-11T00:26:00Z"/>
  <w16cex:commentExtensible w16cex:durableId="2305D1D8" w16cex:dateUtc="2020-09-11T00:37:00Z"/>
  <w16cex:commentExtensible w16cex:durableId="2305CFD7" w16cex:dateUtc="2020-09-11T00:28:00Z"/>
  <w16cex:commentExtensible w16cex:durableId="2305D2E0" w16cex:dateUtc="2020-09-11T00:41:00Z"/>
  <w16cex:commentExtensible w16cex:durableId="2305D3FC" w16cex:dateUtc="2020-09-11T00:46:00Z"/>
  <w16cex:commentExtensible w16cex:durableId="2305D387" w16cex:dateUtc="2020-09-11T00:44:00Z"/>
  <w16cex:commentExtensible w16cex:durableId="2305D42D" w16cex:dateUtc="2020-09-11T00:47:00Z"/>
  <w16cex:commentExtensible w16cex:durableId="2305D6C4" w16cex:dateUtc="2020-09-11T00:58:00Z"/>
  <w16cex:commentExtensible w16cex:durableId="2305D645" w16cex:dateUtc="2020-09-11T00:56:00Z"/>
  <w16cex:commentExtensible w16cex:durableId="2305D81F" w16cex:dateUtc="2020-09-11T01:03:00Z"/>
  <w16cex:commentExtensible w16cex:durableId="2305DC57" w16cex:dateUtc="2020-09-11T01:21:00Z"/>
  <w16cex:commentExtensible w16cex:durableId="2305E2D1" w16cex:dateUtc="2020-09-11T01:49:00Z"/>
  <w16cex:commentExtensible w16cex:durableId="2305E2CB" w16cex:dateUtc="2020-09-11T01:49:00Z"/>
  <w16cex:commentExtensible w16cex:durableId="2305E310" w16cex:dateUtc="2020-09-11T01:50:00Z"/>
  <w16cex:commentExtensible w16cex:durableId="2305E32E" w16cex:dateUtc="2020-09-11T01:51:00Z"/>
  <w16cex:commentExtensible w16cex:durableId="2305E504" w16cex:dateUtc="2020-09-11T01:59:00Z"/>
  <w16cex:commentExtensible w16cex:durableId="2305E5CE" w16cex:dateUtc="2020-09-11T02:02:00Z"/>
  <w16cex:commentExtensible w16cex:durableId="2305E608" w16cex:dateUtc="2020-09-11T02:03:00Z"/>
  <w16cex:commentExtensible w16cex:durableId="2305E674" w16cex:dateUtc="2020-09-11T02:05:00Z"/>
  <w16cex:commentExtensible w16cex:durableId="2305E797" w16cex:dateUtc="2020-09-11T02:09:00Z"/>
  <w16cex:commentExtensible w16cex:durableId="2305E699" w16cex:dateUtc="2020-09-11T02:05:00Z"/>
  <w16cex:commentExtensible w16cex:durableId="2305E7BB" w16cex:dateUtc="2020-09-11T02:10:00Z"/>
  <w16cex:commentExtensible w16cex:durableId="2305E7D0" w16cex:dateUtc="2020-09-11T02:10:00Z"/>
  <w16cex:commentExtensible w16cex:durableId="2305E885" w16cex:dateUtc="2020-09-11T02:13:00Z"/>
  <w16cex:commentExtensible w16cex:durableId="2305E9F2" w16cex:dateUtc="2020-09-11T02:20:00Z"/>
  <w16cex:commentExtensible w16cex:durableId="2305EAE5" w16cex:dateUtc="2020-09-11T02:24:00Z"/>
  <w16cex:commentExtensible w16cex:durableId="2305EB10" w16cex:dateUtc="2020-09-11T02:24:00Z"/>
  <w16cex:commentExtensible w16cex:durableId="2305E8DE" w16cex:dateUtc="2020-09-11T02:15:00Z"/>
  <w16cex:commentExtensible w16cex:durableId="2305FA07" w16cex:dateUtc="2020-09-11T03:28:00Z"/>
  <w16cex:commentExtensible w16cex:durableId="2305FB0D" w16cex:dateUtc="2020-09-11T03:33:00Z"/>
  <w16cex:commentExtensible w16cex:durableId="2305FC26" w16cex:dateUtc="2020-09-11T03:37:00Z"/>
  <w16cex:commentExtensible w16cex:durableId="2305FC20" w16cex:dateUtc="2020-09-11T03:37:00Z"/>
  <w16cex:commentExtensible w16cex:durableId="2305FD07" w16cex:dateUtc="2020-09-11T03:41:00Z"/>
  <w16cex:commentExtensible w16cex:durableId="2305FD0B" w16cex:dateUtc="2020-09-11T03:41:00Z"/>
  <w16cex:commentExtensible w16cex:durableId="2305FD15" w16cex:dateUtc="2020-09-11T03:41:00Z"/>
  <w16cex:commentExtensible w16cex:durableId="2305FE3D" w16cex:dateUtc="2020-09-11T03:46:00Z"/>
  <w16cex:commentExtensible w16cex:durableId="2305FF69" w16cex:dateUtc="2020-09-11T03:51:00Z"/>
  <w16cex:commentExtensible w16cex:durableId="2305FF7D" w16cex:dateUtc="2020-09-11T03:51:00Z"/>
  <w16cex:commentExtensible w16cex:durableId="2305FFAB" w16cex:dateUtc="2020-09-11T03:52:00Z"/>
  <w16cex:commentExtensible w16cex:durableId="230601E2" w16cex:dateUtc="2020-09-11T04:02:00Z"/>
  <w16cex:commentExtensible w16cex:durableId="230601BE" w16cex:dateUtc="2020-09-11T04:01:00Z"/>
  <w16cex:commentExtensible w16cex:durableId="2305FFCC" w16cex:dateUtc="2020-09-11T03:53:00Z"/>
  <w16cex:commentExtensible w16cex:durableId="23060023" w16cex:dateUtc="2020-09-11T03:54:00Z"/>
  <w16cex:commentExtensible w16cex:durableId="23060050" w16cex:dateUtc="2020-09-11T0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CFC5C3" w16cid:durableId="2305B36E"/>
  <w16cid:commentId w16cid:paraId="134EE671" w16cid:durableId="2305B36F"/>
  <w16cid:commentId w16cid:paraId="01518F5E" w16cid:durableId="2305C1F3"/>
  <w16cid:commentId w16cid:paraId="164F9231" w16cid:durableId="2305B370"/>
  <w16cid:commentId w16cid:paraId="5E819A66" w16cid:durableId="2305BF72"/>
  <w16cid:commentId w16cid:paraId="42F3D64B" w16cid:durableId="2305B371"/>
  <w16cid:commentId w16cid:paraId="45BE4F59" w16cid:durableId="2305BF1E"/>
  <w16cid:commentId w16cid:paraId="47D0FBDD" w16cid:durableId="2305B372"/>
  <w16cid:commentId w16cid:paraId="0009C4E1" w16cid:durableId="2305C966"/>
  <w16cid:commentId w16cid:paraId="55CF7981" w16cid:durableId="2305B373"/>
  <w16cid:commentId w16cid:paraId="7F2F14CC" w16cid:durableId="2305B374"/>
  <w16cid:commentId w16cid:paraId="095B4924" w16cid:durableId="2305CEA8"/>
  <w16cid:commentId w16cid:paraId="54205A6B" w16cid:durableId="2305B375"/>
  <w16cid:commentId w16cid:paraId="746737CC" w16cid:durableId="2305CF4E"/>
  <w16cid:commentId w16cid:paraId="697E38B8" w16cid:durableId="2305B376"/>
  <w16cid:commentId w16cid:paraId="164BAE1E" w16cid:durableId="2305D1D8"/>
  <w16cid:commentId w16cid:paraId="04DF837C" w16cid:durableId="2305CFD7"/>
  <w16cid:commentId w16cid:paraId="69973EEC" w16cid:durableId="2305B377"/>
  <w16cid:commentId w16cid:paraId="091CCB2E" w16cid:durableId="2305B378"/>
  <w16cid:commentId w16cid:paraId="6B43FD92" w16cid:durableId="2305D2E0"/>
  <w16cid:commentId w16cid:paraId="66946565" w16cid:durableId="2305B379"/>
  <w16cid:commentId w16cid:paraId="76A546BE" w16cid:durableId="2305D3FC"/>
  <w16cid:commentId w16cid:paraId="26906C6C" w16cid:durableId="2305B37A"/>
  <w16cid:commentId w16cid:paraId="71DD3000" w16cid:durableId="2305D387"/>
  <w16cid:commentId w16cid:paraId="2285418A" w16cid:durableId="2305B37B"/>
  <w16cid:commentId w16cid:paraId="1D1E602C" w16cid:durableId="2305D42D"/>
  <w16cid:commentId w16cid:paraId="2B73FD68" w16cid:durableId="2305B37C"/>
  <w16cid:commentId w16cid:paraId="1674A4F1" w16cid:durableId="2305B37D"/>
  <w16cid:commentId w16cid:paraId="48F96516" w16cid:durableId="2305D6C4"/>
  <w16cid:commentId w16cid:paraId="5B7660AE" w16cid:durableId="2305B37E"/>
  <w16cid:commentId w16cid:paraId="3A76F37A" w16cid:durableId="2305D645"/>
  <w16cid:commentId w16cid:paraId="55AF0E0B" w16cid:durableId="2305B37F"/>
  <w16cid:commentId w16cid:paraId="181758DE" w16cid:durableId="2305D81F"/>
  <w16cid:commentId w16cid:paraId="099AD9BA" w16cid:durableId="2305B380"/>
  <w16cid:commentId w16cid:paraId="0B37A7F0" w16cid:durableId="2305DC57"/>
  <w16cid:commentId w16cid:paraId="46FF5EAD" w16cid:durableId="2305B381"/>
  <w16cid:commentId w16cid:paraId="2DB63F70" w16cid:durableId="2305E2D1"/>
  <w16cid:commentId w16cid:paraId="3A73FBAB" w16cid:durableId="2305B382"/>
  <w16cid:commentId w16cid:paraId="4E1D259E" w16cid:durableId="2305E2CB"/>
  <w16cid:commentId w16cid:paraId="4DD358C4" w16cid:durableId="2305B383"/>
  <w16cid:commentId w16cid:paraId="721C22D6" w16cid:durableId="2305E310"/>
  <w16cid:commentId w16cid:paraId="4EAD8007" w16cid:durableId="2305B384"/>
  <w16cid:commentId w16cid:paraId="2831FA48" w16cid:durableId="2305E32E"/>
  <w16cid:commentId w16cid:paraId="1FD7E4C9" w16cid:durableId="2305B385"/>
  <w16cid:commentId w16cid:paraId="1282128B" w16cid:durableId="2305B386"/>
  <w16cid:commentId w16cid:paraId="1C28077E" w16cid:durableId="2305E504"/>
  <w16cid:commentId w16cid:paraId="24E56662" w16cid:durableId="2305B387"/>
  <w16cid:commentId w16cid:paraId="70C2FE70" w16cid:durableId="2305E5CE"/>
  <w16cid:commentId w16cid:paraId="2C5F7E2A" w16cid:durableId="2305B388"/>
  <w16cid:commentId w16cid:paraId="2AC868BB" w16cid:durableId="2305E608"/>
  <w16cid:commentId w16cid:paraId="6E11DA0F" w16cid:durableId="2305B389"/>
  <w16cid:commentId w16cid:paraId="13D783D3" w16cid:durableId="2305E674"/>
  <w16cid:commentId w16cid:paraId="4E05CC2C" w16cid:durableId="2305B38A"/>
  <w16cid:commentId w16cid:paraId="434F6632" w16cid:durableId="2305E797"/>
  <w16cid:commentId w16cid:paraId="46FC8F40" w16cid:durableId="2305B38B"/>
  <w16cid:commentId w16cid:paraId="08A0D221" w16cid:durableId="2305E699"/>
  <w16cid:commentId w16cid:paraId="3F380DAD" w16cid:durableId="2305B38C"/>
  <w16cid:commentId w16cid:paraId="5E85CDAA" w16cid:durableId="2305E7BB"/>
  <w16cid:commentId w16cid:paraId="715B3EF4" w16cid:durableId="2305B38D"/>
  <w16cid:commentId w16cid:paraId="4E0EAEB7" w16cid:durableId="2305E7D0"/>
  <w16cid:commentId w16cid:paraId="506D1485" w16cid:durableId="2305B38E"/>
  <w16cid:commentId w16cid:paraId="151EFE1A" w16cid:durableId="2305E885"/>
  <w16cid:commentId w16cid:paraId="28AE22E9" w16cid:durableId="2305B38F"/>
  <w16cid:commentId w16cid:paraId="27F64B29" w16cid:durableId="2305E9F2"/>
  <w16cid:commentId w16cid:paraId="78C5B724" w16cid:durableId="2305B390"/>
  <w16cid:commentId w16cid:paraId="7657724B" w16cid:durableId="2305EAAD"/>
  <w16cid:commentId w16cid:paraId="11E90A3D" w16cid:durableId="2305EAE5"/>
  <w16cid:commentId w16cid:paraId="02608EF9" w16cid:durableId="2305B391"/>
  <w16cid:commentId w16cid:paraId="3C8222C6" w16cid:durableId="2305EB10"/>
  <w16cid:commentId w16cid:paraId="0F6C0900" w16cid:durableId="2305B392"/>
  <w16cid:commentId w16cid:paraId="015C0C79" w16cid:durableId="2305B393"/>
  <w16cid:commentId w16cid:paraId="51792B15" w16cid:durableId="2305E8DE"/>
  <w16cid:commentId w16cid:paraId="635C3850" w16cid:durableId="2305B394"/>
  <w16cid:commentId w16cid:paraId="0C065C9B" w16cid:durableId="2305FA07"/>
  <w16cid:commentId w16cid:paraId="35C7FE05" w16cid:durableId="2305B395"/>
  <w16cid:commentId w16cid:paraId="7CC63CFE" w16cid:durableId="2305FB0D"/>
  <w16cid:commentId w16cid:paraId="0D6D7CEC" w16cid:durableId="2305B396"/>
  <w16cid:commentId w16cid:paraId="657D1B7A" w16cid:durableId="2305FC26"/>
  <w16cid:commentId w16cid:paraId="6DC6FE9A" w16cid:durableId="2305B397"/>
  <w16cid:commentId w16cid:paraId="0B3EB788" w16cid:durableId="2305FC20"/>
  <w16cid:commentId w16cid:paraId="07CE4192" w16cid:durableId="2305B398"/>
  <w16cid:commentId w16cid:paraId="2501FA95" w16cid:durableId="2305FD07"/>
  <w16cid:commentId w16cid:paraId="788CB67D" w16cid:durableId="2305B399"/>
  <w16cid:commentId w16cid:paraId="0E68E0B2" w16cid:durableId="2305FD0B"/>
  <w16cid:commentId w16cid:paraId="7218F700" w16cid:durableId="2305B39A"/>
  <w16cid:commentId w16cid:paraId="5A4AEBE0" w16cid:durableId="2305FD15"/>
  <w16cid:commentId w16cid:paraId="0F78CDE4" w16cid:durableId="2305B39B"/>
  <w16cid:commentId w16cid:paraId="166E46CF" w16cid:durableId="2305FE3D"/>
  <w16cid:commentId w16cid:paraId="5FF6C842" w16cid:durableId="2305B39C"/>
  <w16cid:commentId w16cid:paraId="54D15684" w16cid:durableId="2305FF69"/>
  <w16cid:commentId w16cid:paraId="26C8490D" w16cid:durableId="2305B39D"/>
  <w16cid:commentId w16cid:paraId="7C5D5962" w16cid:durableId="2305FF7D"/>
  <w16cid:commentId w16cid:paraId="109C9C18" w16cid:durableId="2305B39E"/>
  <w16cid:commentId w16cid:paraId="6A3148E1" w16cid:durableId="2305FFAB"/>
  <w16cid:commentId w16cid:paraId="2D0CA7B9" w16cid:durableId="2305B39F"/>
  <w16cid:commentId w16cid:paraId="2A1229E9" w16cid:durableId="230601E2"/>
  <w16cid:commentId w16cid:paraId="069EAFA5" w16cid:durableId="2305B3A0"/>
  <w16cid:commentId w16cid:paraId="7ACC8CF3" w16cid:durableId="230601BE"/>
  <w16cid:commentId w16cid:paraId="35B176BA" w16cid:durableId="2305B3A1"/>
  <w16cid:commentId w16cid:paraId="34DCE827" w16cid:durableId="2305FFCC"/>
  <w16cid:commentId w16cid:paraId="21B97D41" w16cid:durableId="23060023"/>
  <w16cid:commentId w16cid:paraId="100C93B6" w16cid:durableId="2305B3A2"/>
  <w16cid:commentId w16cid:paraId="3DA8A141" w16cid:durableId="230600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ADB12" w14:textId="77777777" w:rsidR="005266FC" w:rsidRDefault="005266FC" w:rsidP="00124A51">
      <w:r>
        <w:separator/>
      </w:r>
    </w:p>
    <w:p w14:paraId="1F53037A" w14:textId="77777777" w:rsidR="005266FC" w:rsidRDefault="005266FC"/>
  </w:endnote>
  <w:endnote w:type="continuationSeparator" w:id="0">
    <w:p w14:paraId="31ECB5EA" w14:textId="77777777" w:rsidR="005266FC" w:rsidRDefault="005266FC" w:rsidP="00124A51">
      <w:r>
        <w:continuationSeparator/>
      </w:r>
    </w:p>
    <w:p w14:paraId="610B9BCF" w14:textId="77777777" w:rsidR="005266FC" w:rsidRDefault="005266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B5011" w14:textId="77777777" w:rsidR="005266FC" w:rsidRDefault="00526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CADB6" w14:textId="77777777" w:rsidR="00F968FB" w:rsidRDefault="00F968FB">
    <w:pPr>
      <w:pStyle w:val="Footer"/>
      <w:jc w:val="center"/>
    </w:pPr>
  </w:p>
  <w:p w14:paraId="17A0DAD6" w14:textId="58AD4F6F" w:rsidR="00F968FB" w:rsidRPr="001B72D4" w:rsidRDefault="000F5242">
    <w:pPr>
      <w:pStyle w:val="Footer"/>
      <w:jc w:val="center"/>
      <w:rPr>
        <w:b/>
      </w:rPr>
    </w:pPr>
    <w:sdt>
      <w:sdtPr>
        <w:id w:val="-386876924"/>
        <w:docPartObj>
          <w:docPartGallery w:val="Page Numbers (Bottom of Page)"/>
          <w:docPartUnique/>
        </w:docPartObj>
      </w:sdtPr>
      <w:sdtEndPr>
        <w:rPr>
          <w:b/>
          <w:noProof/>
        </w:rPr>
      </w:sdtEndPr>
      <w:sdtContent>
        <w:r w:rsidR="00F968FB" w:rsidRPr="001B72D4">
          <w:rPr>
            <w:b/>
          </w:rPr>
          <w:fldChar w:fldCharType="begin"/>
        </w:r>
        <w:r w:rsidR="00F968FB" w:rsidRPr="001B72D4">
          <w:rPr>
            <w:b/>
          </w:rPr>
          <w:instrText xml:space="preserve"> PAGE   \* MERGEFORMAT </w:instrText>
        </w:r>
        <w:r w:rsidR="00F968FB" w:rsidRPr="001B72D4">
          <w:rPr>
            <w:b/>
          </w:rPr>
          <w:fldChar w:fldCharType="separate"/>
        </w:r>
        <w:r>
          <w:rPr>
            <w:b/>
            <w:noProof/>
          </w:rPr>
          <w:t>33</w:t>
        </w:r>
        <w:r w:rsidR="00F968FB" w:rsidRPr="001B72D4">
          <w:rPr>
            <w:b/>
            <w:noProof/>
          </w:rPr>
          <w:fldChar w:fldCharType="end"/>
        </w:r>
      </w:sdtContent>
    </w:sdt>
  </w:p>
  <w:p w14:paraId="10F814AB" w14:textId="77777777" w:rsidR="00F968FB" w:rsidRDefault="00F96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74B6F" w14:textId="77777777" w:rsidR="005266FC" w:rsidRDefault="00526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55305" w14:textId="77777777" w:rsidR="005266FC" w:rsidRDefault="005266FC" w:rsidP="00124A51">
      <w:r>
        <w:separator/>
      </w:r>
    </w:p>
    <w:p w14:paraId="4B1EAE86" w14:textId="77777777" w:rsidR="005266FC" w:rsidRDefault="005266FC"/>
  </w:footnote>
  <w:footnote w:type="continuationSeparator" w:id="0">
    <w:p w14:paraId="4BFDBF3D" w14:textId="77777777" w:rsidR="005266FC" w:rsidRDefault="005266FC" w:rsidP="00124A51">
      <w:r>
        <w:continuationSeparator/>
      </w:r>
    </w:p>
    <w:p w14:paraId="609E6DE3" w14:textId="77777777" w:rsidR="005266FC" w:rsidRDefault="005266FC"/>
  </w:footnote>
  <w:footnote w:id="1">
    <w:p w14:paraId="12A233C8" w14:textId="77777777" w:rsidR="00F968FB" w:rsidRPr="00A8159D" w:rsidRDefault="00F968FB" w:rsidP="005D5E9B">
      <w:pPr>
        <w:pStyle w:val="FootnoteText"/>
        <w:rPr>
          <w:lang w:val="en-US"/>
        </w:rPr>
      </w:pPr>
      <w:r>
        <w:rPr>
          <w:rStyle w:val="FootnoteReference"/>
        </w:rPr>
        <w:footnoteRef/>
      </w:r>
      <w:r>
        <w:t xml:space="preserve"> </w:t>
      </w:r>
      <w:r w:rsidRPr="00A8159D">
        <w:t xml:space="preserve">Palace J, </w:t>
      </w:r>
      <w:r>
        <w:t>et al</w:t>
      </w:r>
      <w:r w:rsidRPr="00A8159D">
        <w:t xml:space="preserve">. Outcome prediction models in AQP4-IgG positive </w:t>
      </w:r>
      <w:proofErr w:type="spellStart"/>
      <w:r w:rsidRPr="00A8159D">
        <w:t>neuromyelitis</w:t>
      </w:r>
      <w:proofErr w:type="spellEnd"/>
      <w:r w:rsidRPr="00A8159D">
        <w:t xml:space="preserve"> </w:t>
      </w:r>
      <w:proofErr w:type="spellStart"/>
      <w:r w:rsidRPr="00A8159D">
        <w:t>optica</w:t>
      </w:r>
      <w:proofErr w:type="spellEnd"/>
      <w:r w:rsidRPr="00A8159D">
        <w:t xml:space="preserve"> spectrum disorders. Brain</w:t>
      </w:r>
      <w:r>
        <w:t>. 2019</w:t>
      </w:r>
      <w:proofErr w:type="gramStart"/>
      <w:r>
        <w:t>;</w:t>
      </w:r>
      <w:r w:rsidRPr="00A8159D">
        <w:t>142</w:t>
      </w:r>
      <w:proofErr w:type="gramEnd"/>
      <w:r w:rsidRPr="00A8159D">
        <w:t>(5):1310-1323.</w:t>
      </w:r>
    </w:p>
    <w:p w14:paraId="73A94530" w14:textId="77777777" w:rsidR="00F968FB" w:rsidRDefault="00F968FB">
      <w:pPr>
        <w:pStyle w:val="FootnoteText"/>
      </w:pPr>
    </w:p>
  </w:footnote>
  <w:footnote w:id="2">
    <w:p w14:paraId="3FD031DB" w14:textId="77777777" w:rsidR="00F968FB" w:rsidRDefault="00F968FB" w:rsidP="002C12EA">
      <w:pPr>
        <w:pStyle w:val="FootnoteText"/>
      </w:pPr>
      <w:r>
        <w:rPr>
          <w:rStyle w:val="FootnoteReference"/>
        </w:rPr>
        <w:footnoteRef/>
      </w:r>
      <w:r>
        <w:t xml:space="preserve"> </w:t>
      </w:r>
      <w:proofErr w:type="spellStart"/>
      <w:r>
        <w:t>Khalilidehkordi</w:t>
      </w:r>
      <w:proofErr w:type="spellEnd"/>
      <w:r>
        <w:t xml:space="preserve"> E, et al. Relapse patters in NMOSD: evidence for earlier occurrence of optic neuritis and possible seasonal variation. Frontiers in Neurology. 2020</w:t>
      </w:r>
      <w:proofErr w:type="gramStart"/>
      <w:r>
        <w:t>;11:537</w:t>
      </w:r>
      <w:proofErr w:type="gramEnd"/>
      <w:r>
        <w:t xml:space="preserve">. </w:t>
      </w:r>
      <w:proofErr w:type="spellStart"/>
      <w:r>
        <w:t>doi</w:t>
      </w:r>
      <w:proofErr w:type="spellEnd"/>
      <w:r>
        <w:t xml:space="preserve">: 10.3389/fneur.2020.00537 </w:t>
      </w:r>
    </w:p>
  </w:footnote>
  <w:footnote w:id="3">
    <w:p w14:paraId="31157C4C" w14:textId="77777777" w:rsidR="00F968FB" w:rsidRDefault="00F968FB" w:rsidP="008D45A5">
      <w:pPr>
        <w:pStyle w:val="FootnoteText"/>
      </w:pPr>
      <w:r>
        <w:rPr>
          <w:rStyle w:val="FootnoteReference"/>
        </w:rPr>
        <w:footnoteRef/>
      </w:r>
      <w:r>
        <w:t xml:space="preserve"> </w:t>
      </w:r>
      <w:proofErr w:type="spellStart"/>
      <w:r>
        <w:t>Khalilidehkordi</w:t>
      </w:r>
      <w:proofErr w:type="spellEnd"/>
      <w:r>
        <w:t xml:space="preserve"> E, et al. Relapse patters in NMOSD: evidence for earlier occurrence of optic neuritis and possible seasonal variation. Frontiers in Neurology. 2020</w:t>
      </w:r>
      <w:proofErr w:type="gramStart"/>
      <w:r>
        <w:t>;11:537</w:t>
      </w:r>
      <w:proofErr w:type="gramEnd"/>
      <w:r>
        <w:t xml:space="preserve">. </w:t>
      </w:r>
      <w:proofErr w:type="spellStart"/>
      <w:r>
        <w:t>doi</w:t>
      </w:r>
      <w:proofErr w:type="spellEnd"/>
      <w:r>
        <w:t xml:space="preserve">: 10.3389/fneur.2020.00537 </w:t>
      </w:r>
    </w:p>
  </w:footnote>
  <w:footnote w:id="4">
    <w:p w14:paraId="204E2C01" w14:textId="77777777" w:rsidR="00F968FB" w:rsidRDefault="00F968FB" w:rsidP="00EA6E41">
      <w:pPr>
        <w:pStyle w:val="FootnoteText"/>
      </w:pPr>
      <w:r>
        <w:rPr>
          <w:rStyle w:val="FootnoteReference"/>
        </w:rPr>
        <w:footnoteRef/>
      </w:r>
      <w:r>
        <w:t xml:space="preserve"> Mealy MA, Kessler RA, </w:t>
      </w:r>
      <w:proofErr w:type="spellStart"/>
      <w:r>
        <w:t>Rimler</w:t>
      </w:r>
      <w:proofErr w:type="spellEnd"/>
      <w:r>
        <w:t xml:space="preserve"> Z, et al. Mortality in </w:t>
      </w:r>
      <w:proofErr w:type="spellStart"/>
      <w:r>
        <w:t>neuromyelitis</w:t>
      </w:r>
      <w:proofErr w:type="spellEnd"/>
      <w:r>
        <w:t xml:space="preserve"> </w:t>
      </w:r>
      <w:proofErr w:type="spellStart"/>
      <w:r>
        <w:t>optica</w:t>
      </w:r>
      <w:proofErr w:type="spellEnd"/>
      <w:r>
        <w:t xml:space="preserve"> is strongly associated with African ancestry. </w:t>
      </w:r>
      <w:proofErr w:type="spellStart"/>
      <w:r w:rsidRPr="00E761E9">
        <w:t>Neurol</w:t>
      </w:r>
      <w:proofErr w:type="spellEnd"/>
      <w:r w:rsidRPr="00E761E9">
        <w:t xml:space="preserve"> </w:t>
      </w:r>
      <w:proofErr w:type="spellStart"/>
      <w:r w:rsidRPr="00E761E9">
        <w:t>Neuroimmunol</w:t>
      </w:r>
      <w:proofErr w:type="spellEnd"/>
      <w:r w:rsidRPr="00E761E9">
        <w:t xml:space="preserve"> </w:t>
      </w:r>
      <w:proofErr w:type="spellStart"/>
      <w:r w:rsidRPr="00E761E9">
        <w:t>Neuroinflamm</w:t>
      </w:r>
      <w:proofErr w:type="spellEnd"/>
      <w:r>
        <w:t>.</w:t>
      </w:r>
      <w:r w:rsidRPr="00E761E9">
        <w:t xml:space="preserve"> 2018</w:t>
      </w:r>
      <w:r>
        <w:t>;5:e468.doi:10.1212/NXL0000000000000468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2AA6" w14:textId="77777777" w:rsidR="005266FC" w:rsidRDefault="00526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BE10B" w14:textId="77777777" w:rsidR="00F968FB" w:rsidRPr="001B72D4" w:rsidRDefault="00F968FB" w:rsidP="001B72D4">
    <w:pPr>
      <w:tabs>
        <w:tab w:val="left" w:pos="142"/>
        <w:tab w:val="right" w:pos="9027"/>
      </w:tabs>
      <w:jc w:val="center"/>
      <w:rPr>
        <w:i/>
      </w:rPr>
    </w:pPr>
    <w:r>
      <w:rPr>
        <w:i/>
      </w:rPr>
      <w:t>Public Summary Document</w:t>
    </w:r>
    <w:r w:rsidRPr="001B72D4">
      <w:rPr>
        <w:i/>
      </w:rPr>
      <w:t xml:space="preserve"> – November 2020 PBAC Meeting</w:t>
    </w:r>
  </w:p>
  <w:p w14:paraId="28653AAA" w14:textId="77777777" w:rsidR="00F968FB" w:rsidRPr="001B72D4" w:rsidRDefault="00F968FB">
    <w:pPr>
      <w:rPr>
        <w: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A8EE0" w14:textId="77777777" w:rsidR="005266FC" w:rsidRDefault="00526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053954"/>
    <w:multiLevelType w:val="hybridMultilevel"/>
    <w:tmpl w:val="495CB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C25E7A"/>
    <w:multiLevelType w:val="hybridMultilevel"/>
    <w:tmpl w:val="50BE22BE"/>
    <w:lvl w:ilvl="0" w:tplc="0C090001">
      <w:start w:val="1"/>
      <w:numFmt w:val="bullet"/>
      <w:lvlText w:val=""/>
      <w:lvlJc w:val="left"/>
      <w:pPr>
        <w:ind w:left="720" w:hanging="360"/>
      </w:pPr>
      <w:rPr>
        <w:rFonts w:ascii="Symbol" w:hAnsi="Symbol" w:hint="default"/>
      </w:rPr>
    </w:lvl>
    <w:lvl w:ilvl="1" w:tplc="F432D12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F7ED2"/>
    <w:multiLevelType w:val="hybridMultilevel"/>
    <w:tmpl w:val="46EC1E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F418D78C"/>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68039C"/>
    <w:multiLevelType w:val="hybridMultilevel"/>
    <w:tmpl w:val="0D583B4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F250968"/>
    <w:multiLevelType w:val="hybridMultilevel"/>
    <w:tmpl w:val="26DADD28"/>
    <w:lvl w:ilvl="0" w:tplc="0C090017">
      <w:start w:val="1"/>
      <w:numFmt w:val="lowerLetter"/>
      <w:lvlText w:val="%1)"/>
      <w:lvlJc w:val="left"/>
      <w:pPr>
        <w:ind w:left="829" w:hanging="360"/>
      </w:pPr>
      <w:rPr>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3" w15:restartNumberingAfterBreak="0">
    <w:nsid w:val="51626A14"/>
    <w:multiLevelType w:val="hybridMultilevel"/>
    <w:tmpl w:val="A03CB660"/>
    <w:lvl w:ilvl="0" w:tplc="01AC773C">
      <w:start w:val="1"/>
      <w:numFmt w:val="bullet"/>
      <w:lvlText w:val="•"/>
      <w:lvlJc w:val="left"/>
      <w:pPr>
        <w:tabs>
          <w:tab w:val="num" w:pos="720"/>
        </w:tabs>
        <w:ind w:left="720" w:hanging="360"/>
      </w:pPr>
      <w:rPr>
        <w:rFonts w:ascii="Arial" w:hAnsi="Arial" w:hint="default"/>
      </w:rPr>
    </w:lvl>
    <w:lvl w:ilvl="1" w:tplc="DE7CD6D2">
      <w:start w:val="142"/>
      <w:numFmt w:val="bullet"/>
      <w:lvlText w:val="◦"/>
      <w:lvlJc w:val="left"/>
      <w:pPr>
        <w:tabs>
          <w:tab w:val="num" w:pos="1440"/>
        </w:tabs>
        <w:ind w:left="1440" w:hanging="360"/>
      </w:pPr>
      <w:rPr>
        <w:rFonts w:ascii="Calibri" w:hAnsi="Calibri" w:hint="default"/>
      </w:rPr>
    </w:lvl>
    <w:lvl w:ilvl="2" w:tplc="DDE059E8" w:tentative="1">
      <w:start w:val="1"/>
      <w:numFmt w:val="bullet"/>
      <w:lvlText w:val="•"/>
      <w:lvlJc w:val="left"/>
      <w:pPr>
        <w:tabs>
          <w:tab w:val="num" w:pos="2160"/>
        </w:tabs>
        <w:ind w:left="2160" w:hanging="360"/>
      </w:pPr>
      <w:rPr>
        <w:rFonts w:ascii="Arial" w:hAnsi="Arial" w:hint="default"/>
      </w:rPr>
    </w:lvl>
    <w:lvl w:ilvl="3" w:tplc="8180833E" w:tentative="1">
      <w:start w:val="1"/>
      <w:numFmt w:val="bullet"/>
      <w:lvlText w:val="•"/>
      <w:lvlJc w:val="left"/>
      <w:pPr>
        <w:tabs>
          <w:tab w:val="num" w:pos="2880"/>
        </w:tabs>
        <w:ind w:left="2880" w:hanging="360"/>
      </w:pPr>
      <w:rPr>
        <w:rFonts w:ascii="Arial" w:hAnsi="Arial" w:hint="default"/>
      </w:rPr>
    </w:lvl>
    <w:lvl w:ilvl="4" w:tplc="81340832" w:tentative="1">
      <w:start w:val="1"/>
      <w:numFmt w:val="bullet"/>
      <w:lvlText w:val="•"/>
      <w:lvlJc w:val="left"/>
      <w:pPr>
        <w:tabs>
          <w:tab w:val="num" w:pos="3600"/>
        </w:tabs>
        <w:ind w:left="3600" w:hanging="360"/>
      </w:pPr>
      <w:rPr>
        <w:rFonts w:ascii="Arial" w:hAnsi="Arial" w:hint="default"/>
      </w:rPr>
    </w:lvl>
    <w:lvl w:ilvl="5" w:tplc="DA9C2954" w:tentative="1">
      <w:start w:val="1"/>
      <w:numFmt w:val="bullet"/>
      <w:lvlText w:val="•"/>
      <w:lvlJc w:val="left"/>
      <w:pPr>
        <w:tabs>
          <w:tab w:val="num" w:pos="4320"/>
        </w:tabs>
        <w:ind w:left="4320" w:hanging="360"/>
      </w:pPr>
      <w:rPr>
        <w:rFonts w:ascii="Arial" w:hAnsi="Arial" w:hint="default"/>
      </w:rPr>
    </w:lvl>
    <w:lvl w:ilvl="6" w:tplc="FE2EF5A2" w:tentative="1">
      <w:start w:val="1"/>
      <w:numFmt w:val="bullet"/>
      <w:lvlText w:val="•"/>
      <w:lvlJc w:val="left"/>
      <w:pPr>
        <w:tabs>
          <w:tab w:val="num" w:pos="5040"/>
        </w:tabs>
        <w:ind w:left="5040" w:hanging="360"/>
      </w:pPr>
      <w:rPr>
        <w:rFonts w:ascii="Arial" w:hAnsi="Arial" w:hint="default"/>
      </w:rPr>
    </w:lvl>
    <w:lvl w:ilvl="7" w:tplc="CB809760" w:tentative="1">
      <w:start w:val="1"/>
      <w:numFmt w:val="bullet"/>
      <w:lvlText w:val="•"/>
      <w:lvlJc w:val="left"/>
      <w:pPr>
        <w:tabs>
          <w:tab w:val="num" w:pos="5760"/>
        </w:tabs>
        <w:ind w:left="5760" w:hanging="360"/>
      </w:pPr>
      <w:rPr>
        <w:rFonts w:ascii="Arial" w:hAnsi="Arial" w:hint="default"/>
      </w:rPr>
    </w:lvl>
    <w:lvl w:ilvl="8" w:tplc="AFC0EE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0E34D4"/>
    <w:multiLevelType w:val="hybridMultilevel"/>
    <w:tmpl w:val="12E2C2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568037DD"/>
    <w:multiLevelType w:val="hybridMultilevel"/>
    <w:tmpl w:val="538C9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296092"/>
    <w:multiLevelType w:val="multilevel"/>
    <w:tmpl w:val="02802DE6"/>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1F5076"/>
    <w:multiLevelType w:val="hybridMultilevel"/>
    <w:tmpl w:val="B622D54E"/>
    <w:lvl w:ilvl="0" w:tplc="0C090001">
      <w:start w:val="1"/>
      <w:numFmt w:val="bullet"/>
      <w:lvlText w:val=""/>
      <w:lvlJc w:val="left"/>
      <w:pPr>
        <w:tabs>
          <w:tab w:val="num" w:pos="720"/>
        </w:tabs>
        <w:ind w:left="720" w:hanging="360"/>
      </w:pPr>
      <w:rPr>
        <w:rFonts w:ascii="Symbol" w:hAnsi="Symbol" w:hint="default"/>
        <w:color w:val="auto"/>
      </w:rPr>
    </w:lvl>
    <w:lvl w:ilvl="1" w:tplc="4E00BE38">
      <w:start w:val="1"/>
      <w:numFmt w:val="bullet"/>
      <w:lvlText w:val="-"/>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D17C33"/>
    <w:multiLevelType w:val="hybridMultilevel"/>
    <w:tmpl w:val="EA9E2C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5412D6F"/>
    <w:multiLevelType w:val="hybridMultilevel"/>
    <w:tmpl w:val="491E4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24085D"/>
    <w:multiLevelType w:val="hybridMultilevel"/>
    <w:tmpl w:val="9D6A8EBC"/>
    <w:lvl w:ilvl="0" w:tplc="5E7E997E">
      <w:start w:val="1"/>
      <w:numFmt w:val="bullet"/>
      <w:lvlText w:val="•"/>
      <w:lvlJc w:val="left"/>
      <w:pPr>
        <w:tabs>
          <w:tab w:val="num" w:pos="720"/>
        </w:tabs>
        <w:ind w:left="720" w:hanging="360"/>
      </w:pPr>
      <w:rPr>
        <w:rFonts w:ascii="Arial" w:hAnsi="Arial" w:hint="default"/>
      </w:rPr>
    </w:lvl>
    <w:lvl w:ilvl="1" w:tplc="065EC53E">
      <w:start w:val="142"/>
      <w:numFmt w:val="bullet"/>
      <w:lvlText w:val="◦"/>
      <w:lvlJc w:val="left"/>
      <w:pPr>
        <w:tabs>
          <w:tab w:val="num" w:pos="1440"/>
        </w:tabs>
        <w:ind w:left="1440" w:hanging="360"/>
      </w:pPr>
      <w:rPr>
        <w:rFonts w:ascii="Calibri" w:hAnsi="Calibri" w:hint="default"/>
      </w:rPr>
    </w:lvl>
    <w:lvl w:ilvl="2" w:tplc="56A0C31E">
      <w:start w:val="142"/>
      <w:numFmt w:val="bullet"/>
      <w:lvlText w:val="◦"/>
      <w:lvlJc w:val="left"/>
      <w:pPr>
        <w:tabs>
          <w:tab w:val="num" w:pos="2160"/>
        </w:tabs>
        <w:ind w:left="2160" w:hanging="360"/>
      </w:pPr>
      <w:rPr>
        <w:rFonts w:ascii="Calibri" w:hAnsi="Calibri" w:hint="default"/>
      </w:rPr>
    </w:lvl>
    <w:lvl w:ilvl="3" w:tplc="6E8A13F8">
      <w:start w:val="12"/>
      <w:numFmt w:val="bullet"/>
      <w:lvlText w:val="-"/>
      <w:lvlJc w:val="left"/>
      <w:pPr>
        <w:ind w:left="2880" w:hanging="360"/>
      </w:pPr>
      <w:rPr>
        <w:rFonts w:ascii="Calibri" w:eastAsia="Times New Roman" w:hAnsi="Calibri" w:cs="Calibri" w:hint="default"/>
      </w:rPr>
    </w:lvl>
    <w:lvl w:ilvl="4" w:tplc="B66CE8C4" w:tentative="1">
      <w:start w:val="1"/>
      <w:numFmt w:val="bullet"/>
      <w:lvlText w:val="•"/>
      <w:lvlJc w:val="left"/>
      <w:pPr>
        <w:tabs>
          <w:tab w:val="num" w:pos="3600"/>
        </w:tabs>
        <w:ind w:left="3600" w:hanging="360"/>
      </w:pPr>
      <w:rPr>
        <w:rFonts w:ascii="Arial" w:hAnsi="Arial" w:hint="default"/>
      </w:rPr>
    </w:lvl>
    <w:lvl w:ilvl="5" w:tplc="541AF368" w:tentative="1">
      <w:start w:val="1"/>
      <w:numFmt w:val="bullet"/>
      <w:lvlText w:val="•"/>
      <w:lvlJc w:val="left"/>
      <w:pPr>
        <w:tabs>
          <w:tab w:val="num" w:pos="4320"/>
        </w:tabs>
        <w:ind w:left="4320" w:hanging="360"/>
      </w:pPr>
      <w:rPr>
        <w:rFonts w:ascii="Arial" w:hAnsi="Arial" w:hint="default"/>
      </w:rPr>
    </w:lvl>
    <w:lvl w:ilvl="6" w:tplc="8EE46932" w:tentative="1">
      <w:start w:val="1"/>
      <w:numFmt w:val="bullet"/>
      <w:lvlText w:val="•"/>
      <w:lvlJc w:val="left"/>
      <w:pPr>
        <w:tabs>
          <w:tab w:val="num" w:pos="5040"/>
        </w:tabs>
        <w:ind w:left="5040" w:hanging="360"/>
      </w:pPr>
      <w:rPr>
        <w:rFonts w:ascii="Arial" w:hAnsi="Arial" w:hint="default"/>
      </w:rPr>
    </w:lvl>
    <w:lvl w:ilvl="7" w:tplc="FB580370" w:tentative="1">
      <w:start w:val="1"/>
      <w:numFmt w:val="bullet"/>
      <w:lvlText w:val="•"/>
      <w:lvlJc w:val="left"/>
      <w:pPr>
        <w:tabs>
          <w:tab w:val="num" w:pos="5760"/>
        </w:tabs>
        <w:ind w:left="5760" w:hanging="360"/>
      </w:pPr>
      <w:rPr>
        <w:rFonts w:ascii="Arial" w:hAnsi="Arial" w:hint="default"/>
      </w:rPr>
    </w:lvl>
    <w:lvl w:ilvl="8" w:tplc="5FB4DDC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FA3C06"/>
    <w:multiLevelType w:val="hybridMultilevel"/>
    <w:tmpl w:val="C478C4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0DD2726"/>
    <w:multiLevelType w:val="hybridMultilevel"/>
    <w:tmpl w:val="BF14E8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84D033C"/>
    <w:multiLevelType w:val="multilevel"/>
    <w:tmpl w:val="64162286"/>
    <w:lvl w:ilvl="0">
      <w:start w:val="1"/>
      <w:numFmt w:val="decimal"/>
      <w:pStyle w:val="2-SectionHeading"/>
      <w:lvlText w:val="%1"/>
      <w:lvlJc w:val="left"/>
      <w:pPr>
        <w:ind w:left="720" w:hanging="720"/>
      </w:pPr>
      <w:rPr>
        <w:rFonts w:hint="default"/>
        <w:b/>
        <w:i w:val="0"/>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310EF8"/>
    <w:multiLevelType w:val="hybridMultilevel"/>
    <w:tmpl w:val="C8585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0"/>
  </w:num>
  <w:num w:numId="4">
    <w:abstractNumId w:val="25"/>
  </w:num>
  <w:num w:numId="5">
    <w:abstractNumId w:val="20"/>
  </w:num>
  <w:num w:numId="6">
    <w:abstractNumId w:val="16"/>
  </w:num>
  <w:num w:numId="7">
    <w:abstractNumId w:val="24"/>
  </w:num>
  <w:num w:numId="8">
    <w:abstractNumId w:val="17"/>
  </w:num>
  <w:num w:numId="9">
    <w:abstractNumId w:val="11"/>
  </w:num>
  <w:num w:numId="10">
    <w:abstractNumId w:val="2"/>
  </w:num>
  <w:num w:numId="11">
    <w:abstractNumId w:val="26"/>
  </w:num>
  <w:num w:numId="12">
    <w:abstractNumId w:val="12"/>
  </w:num>
  <w:num w:numId="13">
    <w:abstractNumId w:val="4"/>
  </w:num>
  <w:num w:numId="14">
    <w:abstractNumId w:val="23"/>
  </w:num>
  <w:num w:numId="15">
    <w:abstractNumId w:val="3"/>
  </w:num>
  <w:num w:numId="16">
    <w:abstractNumId w:val="14"/>
  </w:num>
  <w:num w:numId="17">
    <w:abstractNumId w:val="15"/>
  </w:num>
  <w:num w:numId="18">
    <w:abstractNumId w:val="5"/>
  </w:num>
  <w:num w:numId="19">
    <w:abstractNumId w:val="1"/>
  </w:num>
  <w:num w:numId="20">
    <w:abstractNumId w:val="8"/>
  </w:num>
  <w:num w:numId="21">
    <w:abstractNumId w:val="9"/>
  </w:num>
  <w:num w:numId="22">
    <w:abstractNumId w:val="7"/>
  </w:num>
  <w:num w:numId="23">
    <w:abstractNumId w:val="6"/>
  </w:num>
  <w:num w:numId="24">
    <w:abstractNumId w:val="18"/>
  </w:num>
  <w:num w:numId="25">
    <w:abstractNumId w:val="25"/>
  </w:num>
  <w:num w:numId="26">
    <w:abstractNumId w:val="19"/>
  </w:num>
  <w:num w:numId="27">
    <w:abstractNumId w:val="21"/>
  </w:num>
  <w:num w:numId="28">
    <w:abstractNumId w:val="22"/>
  </w:num>
  <w:num w:numId="29">
    <w:abstractNumId w:val="13"/>
  </w:num>
  <w:num w:numId="30">
    <w:abstractNumId w:val="25"/>
  </w:num>
  <w:num w:numId="31">
    <w:abstractNumId w:val="25"/>
  </w:num>
  <w:num w:numId="3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0DD"/>
    <w:rsid w:val="0000110B"/>
    <w:rsid w:val="00001E99"/>
    <w:rsid w:val="00003499"/>
    <w:rsid w:val="000039B7"/>
    <w:rsid w:val="0000639A"/>
    <w:rsid w:val="00007F46"/>
    <w:rsid w:val="00010C37"/>
    <w:rsid w:val="00010E70"/>
    <w:rsid w:val="000110BE"/>
    <w:rsid w:val="00011C8E"/>
    <w:rsid w:val="00013247"/>
    <w:rsid w:val="0001338F"/>
    <w:rsid w:val="0001384E"/>
    <w:rsid w:val="000154D9"/>
    <w:rsid w:val="00015886"/>
    <w:rsid w:val="000162B2"/>
    <w:rsid w:val="000162EF"/>
    <w:rsid w:val="00017588"/>
    <w:rsid w:val="000201B2"/>
    <w:rsid w:val="000201EA"/>
    <w:rsid w:val="000207C9"/>
    <w:rsid w:val="0002082A"/>
    <w:rsid w:val="00020E98"/>
    <w:rsid w:val="0002225F"/>
    <w:rsid w:val="00022269"/>
    <w:rsid w:val="00023763"/>
    <w:rsid w:val="000237E7"/>
    <w:rsid w:val="00023EA7"/>
    <w:rsid w:val="00025729"/>
    <w:rsid w:val="000274B8"/>
    <w:rsid w:val="00031262"/>
    <w:rsid w:val="00031CAE"/>
    <w:rsid w:val="00031D4D"/>
    <w:rsid w:val="00032D9C"/>
    <w:rsid w:val="00032FC0"/>
    <w:rsid w:val="00033863"/>
    <w:rsid w:val="000358FF"/>
    <w:rsid w:val="00035DC0"/>
    <w:rsid w:val="000366B6"/>
    <w:rsid w:val="00036829"/>
    <w:rsid w:val="000378C8"/>
    <w:rsid w:val="00037A56"/>
    <w:rsid w:val="00040716"/>
    <w:rsid w:val="00040895"/>
    <w:rsid w:val="000414F8"/>
    <w:rsid w:val="00041722"/>
    <w:rsid w:val="0004304A"/>
    <w:rsid w:val="00043294"/>
    <w:rsid w:val="000435EE"/>
    <w:rsid w:val="0004376A"/>
    <w:rsid w:val="00043C37"/>
    <w:rsid w:val="00045017"/>
    <w:rsid w:val="000455BA"/>
    <w:rsid w:val="00045A2B"/>
    <w:rsid w:val="0004698F"/>
    <w:rsid w:val="00053303"/>
    <w:rsid w:val="000537CA"/>
    <w:rsid w:val="000539D0"/>
    <w:rsid w:val="0005458A"/>
    <w:rsid w:val="00054621"/>
    <w:rsid w:val="000546D7"/>
    <w:rsid w:val="00056ECF"/>
    <w:rsid w:val="000570FD"/>
    <w:rsid w:val="000604DF"/>
    <w:rsid w:val="00060639"/>
    <w:rsid w:val="00061911"/>
    <w:rsid w:val="000621B8"/>
    <w:rsid w:val="00062CDB"/>
    <w:rsid w:val="00063909"/>
    <w:rsid w:val="000653B5"/>
    <w:rsid w:val="0006604F"/>
    <w:rsid w:val="00066360"/>
    <w:rsid w:val="00066580"/>
    <w:rsid w:val="00066AF8"/>
    <w:rsid w:val="0007001A"/>
    <w:rsid w:val="00070521"/>
    <w:rsid w:val="00071248"/>
    <w:rsid w:val="000720B9"/>
    <w:rsid w:val="00072211"/>
    <w:rsid w:val="000737F7"/>
    <w:rsid w:val="0007518D"/>
    <w:rsid w:val="0007665F"/>
    <w:rsid w:val="0007672F"/>
    <w:rsid w:val="0007675C"/>
    <w:rsid w:val="00076B24"/>
    <w:rsid w:val="00076B54"/>
    <w:rsid w:val="000774F0"/>
    <w:rsid w:val="00080554"/>
    <w:rsid w:val="00080909"/>
    <w:rsid w:val="00080DE6"/>
    <w:rsid w:val="000812CA"/>
    <w:rsid w:val="000814DD"/>
    <w:rsid w:val="00081E63"/>
    <w:rsid w:val="0008258D"/>
    <w:rsid w:val="00083E99"/>
    <w:rsid w:val="00084FA8"/>
    <w:rsid w:val="000856C5"/>
    <w:rsid w:val="00085C31"/>
    <w:rsid w:val="000876AF"/>
    <w:rsid w:val="000902D9"/>
    <w:rsid w:val="00090C7E"/>
    <w:rsid w:val="0009167B"/>
    <w:rsid w:val="00091CE5"/>
    <w:rsid w:val="00092600"/>
    <w:rsid w:val="0009262B"/>
    <w:rsid w:val="00093310"/>
    <w:rsid w:val="0009445C"/>
    <w:rsid w:val="00095092"/>
    <w:rsid w:val="00095200"/>
    <w:rsid w:val="00095FE5"/>
    <w:rsid w:val="00096284"/>
    <w:rsid w:val="000A1BC0"/>
    <w:rsid w:val="000A253D"/>
    <w:rsid w:val="000A28AC"/>
    <w:rsid w:val="000A3518"/>
    <w:rsid w:val="000A418E"/>
    <w:rsid w:val="000A6039"/>
    <w:rsid w:val="000A7453"/>
    <w:rsid w:val="000A7D08"/>
    <w:rsid w:val="000B0121"/>
    <w:rsid w:val="000B0670"/>
    <w:rsid w:val="000B0E75"/>
    <w:rsid w:val="000B1DD1"/>
    <w:rsid w:val="000B2DCB"/>
    <w:rsid w:val="000B3499"/>
    <w:rsid w:val="000B4AB5"/>
    <w:rsid w:val="000B51CE"/>
    <w:rsid w:val="000B5CE0"/>
    <w:rsid w:val="000B5D1E"/>
    <w:rsid w:val="000B6A17"/>
    <w:rsid w:val="000B6CAC"/>
    <w:rsid w:val="000B7612"/>
    <w:rsid w:val="000B78AE"/>
    <w:rsid w:val="000C06BF"/>
    <w:rsid w:val="000C0D1A"/>
    <w:rsid w:val="000C1156"/>
    <w:rsid w:val="000C247B"/>
    <w:rsid w:val="000C2BA0"/>
    <w:rsid w:val="000C3DF9"/>
    <w:rsid w:val="000C551C"/>
    <w:rsid w:val="000C5AF6"/>
    <w:rsid w:val="000C60EE"/>
    <w:rsid w:val="000C6713"/>
    <w:rsid w:val="000C6F11"/>
    <w:rsid w:val="000C7AE3"/>
    <w:rsid w:val="000D04E9"/>
    <w:rsid w:val="000D1B66"/>
    <w:rsid w:val="000D1BFC"/>
    <w:rsid w:val="000D1D5D"/>
    <w:rsid w:val="000D1EA5"/>
    <w:rsid w:val="000D281A"/>
    <w:rsid w:val="000D2848"/>
    <w:rsid w:val="000D326A"/>
    <w:rsid w:val="000D51FB"/>
    <w:rsid w:val="000D631A"/>
    <w:rsid w:val="000D669C"/>
    <w:rsid w:val="000D6AC3"/>
    <w:rsid w:val="000D7906"/>
    <w:rsid w:val="000E0640"/>
    <w:rsid w:val="000E135D"/>
    <w:rsid w:val="000E4AF5"/>
    <w:rsid w:val="000E542A"/>
    <w:rsid w:val="000E5849"/>
    <w:rsid w:val="000E671C"/>
    <w:rsid w:val="000F00BA"/>
    <w:rsid w:val="000F08B0"/>
    <w:rsid w:val="000F1175"/>
    <w:rsid w:val="000F2ED0"/>
    <w:rsid w:val="000F316A"/>
    <w:rsid w:val="000F321B"/>
    <w:rsid w:val="000F3C74"/>
    <w:rsid w:val="000F4BB8"/>
    <w:rsid w:val="000F4FA9"/>
    <w:rsid w:val="000F504D"/>
    <w:rsid w:val="000F5242"/>
    <w:rsid w:val="000F53FB"/>
    <w:rsid w:val="000F5C2A"/>
    <w:rsid w:val="000F60D8"/>
    <w:rsid w:val="000F7127"/>
    <w:rsid w:val="000F7B54"/>
    <w:rsid w:val="00100F8A"/>
    <w:rsid w:val="00101BEE"/>
    <w:rsid w:val="0010452E"/>
    <w:rsid w:val="00105192"/>
    <w:rsid w:val="0010576F"/>
    <w:rsid w:val="00105AE2"/>
    <w:rsid w:val="001060B9"/>
    <w:rsid w:val="001060C6"/>
    <w:rsid w:val="00106B80"/>
    <w:rsid w:val="00107BF8"/>
    <w:rsid w:val="0011032E"/>
    <w:rsid w:val="00110FF6"/>
    <w:rsid w:val="00112C3D"/>
    <w:rsid w:val="00112E68"/>
    <w:rsid w:val="0011348B"/>
    <w:rsid w:val="00115570"/>
    <w:rsid w:val="00115982"/>
    <w:rsid w:val="00116C53"/>
    <w:rsid w:val="00120011"/>
    <w:rsid w:val="00120D7B"/>
    <w:rsid w:val="00121149"/>
    <w:rsid w:val="00121799"/>
    <w:rsid w:val="001222FC"/>
    <w:rsid w:val="001227E4"/>
    <w:rsid w:val="00122963"/>
    <w:rsid w:val="001235A5"/>
    <w:rsid w:val="00123902"/>
    <w:rsid w:val="00124A51"/>
    <w:rsid w:val="00124B4C"/>
    <w:rsid w:val="00125DDF"/>
    <w:rsid w:val="00126621"/>
    <w:rsid w:val="00126B1D"/>
    <w:rsid w:val="001272AE"/>
    <w:rsid w:val="001301E9"/>
    <w:rsid w:val="00131C28"/>
    <w:rsid w:val="00131D82"/>
    <w:rsid w:val="00132B22"/>
    <w:rsid w:val="00132B93"/>
    <w:rsid w:val="00133D36"/>
    <w:rsid w:val="0013436C"/>
    <w:rsid w:val="00137645"/>
    <w:rsid w:val="0014015A"/>
    <w:rsid w:val="00140B78"/>
    <w:rsid w:val="00140E99"/>
    <w:rsid w:val="00141BB0"/>
    <w:rsid w:val="00142D70"/>
    <w:rsid w:val="00143246"/>
    <w:rsid w:val="00143F67"/>
    <w:rsid w:val="00145540"/>
    <w:rsid w:val="001456B0"/>
    <w:rsid w:val="001459F3"/>
    <w:rsid w:val="001460AC"/>
    <w:rsid w:val="00147CF0"/>
    <w:rsid w:val="00150C08"/>
    <w:rsid w:val="00153C93"/>
    <w:rsid w:val="00154219"/>
    <w:rsid w:val="00154FED"/>
    <w:rsid w:val="00156E3D"/>
    <w:rsid w:val="00156F8F"/>
    <w:rsid w:val="00157130"/>
    <w:rsid w:val="001576B1"/>
    <w:rsid w:val="00157776"/>
    <w:rsid w:val="00157A2A"/>
    <w:rsid w:val="00157B64"/>
    <w:rsid w:val="001600C1"/>
    <w:rsid w:val="0016028E"/>
    <w:rsid w:val="0016047B"/>
    <w:rsid w:val="00160A4C"/>
    <w:rsid w:val="00161A6D"/>
    <w:rsid w:val="00161DA4"/>
    <w:rsid w:val="00162913"/>
    <w:rsid w:val="0016321E"/>
    <w:rsid w:val="00163491"/>
    <w:rsid w:val="00163EFF"/>
    <w:rsid w:val="00163F66"/>
    <w:rsid w:val="00165C0A"/>
    <w:rsid w:val="00166133"/>
    <w:rsid w:val="001661FB"/>
    <w:rsid w:val="001671A0"/>
    <w:rsid w:val="001672EC"/>
    <w:rsid w:val="0016767F"/>
    <w:rsid w:val="00170FB7"/>
    <w:rsid w:val="001713EA"/>
    <w:rsid w:val="001727C0"/>
    <w:rsid w:val="001734EA"/>
    <w:rsid w:val="00173565"/>
    <w:rsid w:val="00173B07"/>
    <w:rsid w:val="001751FA"/>
    <w:rsid w:val="00175EB4"/>
    <w:rsid w:val="00176440"/>
    <w:rsid w:val="00181D9C"/>
    <w:rsid w:val="0018202A"/>
    <w:rsid w:val="00184B0E"/>
    <w:rsid w:val="00185F48"/>
    <w:rsid w:val="0018663D"/>
    <w:rsid w:val="0018752F"/>
    <w:rsid w:val="00190417"/>
    <w:rsid w:val="00191AFE"/>
    <w:rsid w:val="00192C6B"/>
    <w:rsid w:val="00192F0A"/>
    <w:rsid w:val="00193838"/>
    <w:rsid w:val="0019492F"/>
    <w:rsid w:val="00194AD8"/>
    <w:rsid w:val="00194CEF"/>
    <w:rsid w:val="00195222"/>
    <w:rsid w:val="001975D8"/>
    <w:rsid w:val="001A178E"/>
    <w:rsid w:val="001A3143"/>
    <w:rsid w:val="001A36F5"/>
    <w:rsid w:val="001A3A17"/>
    <w:rsid w:val="001A43FA"/>
    <w:rsid w:val="001A47C5"/>
    <w:rsid w:val="001A48EC"/>
    <w:rsid w:val="001A58C9"/>
    <w:rsid w:val="001A59FB"/>
    <w:rsid w:val="001A5E9E"/>
    <w:rsid w:val="001A6354"/>
    <w:rsid w:val="001A6366"/>
    <w:rsid w:val="001A737B"/>
    <w:rsid w:val="001A753A"/>
    <w:rsid w:val="001A7835"/>
    <w:rsid w:val="001A7A25"/>
    <w:rsid w:val="001A7AAD"/>
    <w:rsid w:val="001A7AE8"/>
    <w:rsid w:val="001A7C7A"/>
    <w:rsid w:val="001B14E6"/>
    <w:rsid w:val="001B204E"/>
    <w:rsid w:val="001B2372"/>
    <w:rsid w:val="001B3443"/>
    <w:rsid w:val="001B3603"/>
    <w:rsid w:val="001B36DA"/>
    <w:rsid w:val="001B4D20"/>
    <w:rsid w:val="001B5067"/>
    <w:rsid w:val="001B6F9C"/>
    <w:rsid w:val="001B7104"/>
    <w:rsid w:val="001B72D4"/>
    <w:rsid w:val="001B75B8"/>
    <w:rsid w:val="001B7BB5"/>
    <w:rsid w:val="001B7E3E"/>
    <w:rsid w:val="001C2A9B"/>
    <w:rsid w:val="001C340B"/>
    <w:rsid w:val="001C4298"/>
    <w:rsid w:val="001C4299"/>
    <w:rsid w:val="001C4874"/>
    <w:rsid w:val="001C4B60"/>
    <w:rsid w:val="001C5F94"/>
    <w:rsid w:val="001C69EF"/>
    <w:rsid w:val="001C6E66"/>
    <w:rsid w:val="001C78DA"/>
    <w:rsid w:val="001C7FB5"/>
    <w:rsid w:val="001D1100"/>
    <w:rsid w:val="001D1391"/>
    <w:rsid w:val="001D25D7"/>
    <w:rsid w:val="001D3673"/>
    <w:rsid w:val="001D42C7"/>
    <w:rsid w:val="001D50B2"/>
    <w:rsid w:val="001D5BA0"/>
    <w:rsid w:val="001D6748"/>
    <w:rsid w:val="001D6925"/>
    <w:rsid w:val="001D6A5F"/>
    <w:rsid w:val="001D7645"/>
    <w:rsid w:val="001E1C1E"/>
    <w:rsid w:val="001E1E86"/>
    <w:rsid w:val="001E238E"/>
    <w:rsid w:val="001E2483"/>
    <w:rsid w:val="001E2B1E"/>
    <w:rsid w:val="001E2CFF"/>
    <w:rsid w:val="001E2F24"/>
    <w:rsid w:val="001E30D4"/>
    <w:rsid w:val="001E34DF"/>
    <w:rsid w:val="001E4053"/>
    <w:rsid w:val="001E425E"/>
    <w:rsid w:val="001E52EB"/>
    <w:rsid w:val="001E61D2"/>
    <w:rsid w:val="001E740C"/>
    <w:rsid w:val="001E78AD"/>
    <w:rsid w:val="001E7B06"/>
    <w:rsid w:val="001F0C0D"/>
    <w:rsid w:val="001F114E"/>
    <w:rsid w:val="001F1235"/>
    <w:rsid w:val="001F1CB3"/>
    <w:rsid w:val="001F38B5"/>
    <w:rsid w:val="001F4081"/>
    <w:rsid w:val="001F4E0B"/>
    <w:rsid w:val="001F7361"/>
    <w:rsid w:val="001F7C4A"/>
    <w:rsid w:val="00200EF8"/>
    <w:rsid w:val="002011B0"/>
    <w:rsid w:val="002013D3"/>
    <w:rsid w:val="00203181"/>
    <w:rsid w:val="00203783"/>
    <w:rsid w:val="0020385F"/>
    <w:rsid w:val="00205DFE"/>
    <w:rsid w:val="0020686B"/>
    <w:rsid w:val="002068A0"/>
    <w:rsid w:val="00207021"/>
    <w:rsid w:val="0020732F"/>
    <w:rsid w:val="00207D00"/>
    <w:rsid w:val="002105C1"/>
    <w:rsid w:val="002125FE"/>
    <w:rsid w:val="00212E83"/>
    <w:rsid w:val="00213EF5"/>
    <w:rsid w:val="002156B3"/>
    <w:rsid w:val="002159D3"/>
    <w:rsid w:val="00216BF5"/>
    <w:rsid w:val="00221A38"/>
    <w:rsid w:val="002220CE"/>
    <w:rsid w:val="00222A5D"/>
    <w:rsid w:val="00223B49"/>
    <w:rsid w:val="00223D5A"/>
    <w:rsid w:val="00224DD4"/>
    <w:rsid w:val="00226D54"/>
    <w:rsid w:val="002278A0"/>
    <w:rsid w:val="00227B2A"/>
    <w:rsid w:val="002309CC"/>
    <w:rsid w:val="002309F0"/>
    <w:rsid w:val="00230B03"/>
    <w:rsid w:val="00230DB1"/>
    <w:rsid w:val="0023209F"/>
    <w:rsid w:val="0023335D"/>
    <w:rsid w:val="00233C01"/>
    <w:rsid w:val="0023413C"/>
    <w:rsid w:val="002346F0"/>
    <w:rsid w:val="0023595A"/>
    <w:rsid w:val="0023629D"/>
    <w:rsid w:val="00236EF0"/>
    <w:rsid w:val="00237255"/>
    <w:rsid w:val="002424AF"/>
    <w:rsid w:val="00243359"/>
    <w:rsid w:val="002439DC"/>
    <w:rsid w:val="002441D2"/>
    <w:rsid w:val="0024438C"/>
    <w:rsid w:val="00244690"/>
    <w:rsid w:val="00244DC8"/>
    <w:rsid w:val="00244FB2"/>
    <w:rsid w:val="002458BA"/>
    <w:rsid w:val="00245CE9"/>
    <w:rsid w:val="00246221"/>
    <w:rsid w:val="0024636C"/>
    <w:rsid w:val="00246CA9"/>
    <w:rsid w:val="00247925"/>
    <w:rsid w:val="002507B9"/>
    <w:rsid w:val="00251006"/>
    <w:rsid w:val="0025114D"/>
    <w:rsid w:val="002511B2"/>
    <w:rsid w:val="002524D5"/>
    <w:rsid w:val="002531E3"/>
    <w:rsid w:val="00253B1D"/>
    <w:rsid w:val="002544DD"/>
    <w:rsid w:val="0025489F"/>
    <w:rsid w:val="00254DCF"/>
    <w:rsid w:val="0025534B"/>
    <w:rsid w:val="00255BB7"/>
    <w:rsid w:val="00257541"/>
    <w:rsid w:val="00257A39"/>
    <w:rsid w:val="00257AC4"/>
    <w:rsid w:val="00257B37"/>
    <w:rsid w:val="002607AA"/>
    <w:rsid w:val="00261EEF"/>
    <w:rsid w:val="00262A1A"/>
    <w:rsid w:val="00262A87"/>
    <w:rsid w:val="00264ABC"/>
    <w:rsid w:val="00264D26"/>
    <w:rsid w:val="0026595F"/>
    <w:rsid w:val="0026636C"/>
    <w:rsid w:val="00267642"/>
    <w:rsid w:val="00267AEA"/>
    <w:rsid w:val="00267B3E"/>
    <w:rsid w:val="002700E6"/>
    <w:rsid w:val="00270E49"/>
    <w:rsid w:val="0027294B"/>
    <w:rsid w:val="00273EB4"/>
    <w:rsid w:val="00274682"/>
    <w:rsid w:val="00275C5A"/>
    <w:rsid w:val="00280434"/>
    <w:rsid w:val="00281014"/>
    <w:rsid w:val="00283672"/>
    <w:rsid w:val="00284C0A"/>
    <w:rsid w:val="0028654D"/>
    <w:rsid w:val="0028665D"/>
    <w:rsid w:val="00286BAD"/>
    <w:rsid w:val="00290F5B"/>
    <w:rsid w:val="00294486"/>
    <w:rsid w:val="00294CAA"/>
    <w:rsid w:val="00295177"/>
    <w:rsid w:val="00295FF1"/>
    <w:rsid w:val="00296376"/>
    <w:rsid w:val="002A00D5"/>
    <w:rsid w:val="002A104F"/>
    <w:rsid w:val="002A10B6"/>
    <w:rsid w:val="002A14AB"/>
    <w:rsid w:val="002A2ADE"/>
    <w:rsid w:val="002A2CAF"/>
    <w:rsid w:val="002A2F50"/>
    <w:rsid w:val="002A3193"/>
    <w:rsid w:val="002A53CA"/>
    <w:rsid w:val="002B05A1"/>
    <w:rsid w:val="002B0863"/>
    <w:rsid w:val="002B09A4"/>
    <w:rsid w:val="002B09E2"/>
    <w:rsid w:val="002B1C1F"/>
    <w:rsid w:val="002B20CA"/>
    <w:rsid w:val="002B2212"/>
    <w:rsid w:val="002B432F"/>
    <w:rsid w:val="002B62B3"/>
    <w:rsid w:val="002B655A"/>
    <w:rsid w:val="002B6754"/>
    <w:rsid w:val="002B6CCE"/>
    <w:rsid w:val="002B6DEF"/>
    <w:rsid w:val="002B717D"/>
    <w:rsid w:val="002C12EA"/>
    <w:rsid w:val="002C1479"/>
    <w:rsid w:val="002C2158"/>
    <w:rsid w:val="002C2510"/>
    <w:rsid w:val="002C2775"/>
    <w:rsid w:val="002C27C1"/>
    <w:rsid w:val="002C28F7"/>
    <w:rsid w:val="002C31CB"/>
    <w:rsid w:val="002C5099"/>
    <w:rsid w:val="002C5784"/>
    <w:rsid w:val="002C5889"/>
    <w:rsid w:val="002C643A"/>
    <w:rsid w:val="002C71CE"/>
    <w:rsid w:val="002C7F6B"/>
    <w:rsid w:val="002D08F8"/>
    <w:rsid w:val="002D163E"/>
    <w:rsid w:val="002D167A"/>
    <w:rsid w:val="002D3705"/>
    <w:rsid w:val="002D577C"/>
    <w:rsid w:val="002D656C"/>
    <w:rsid w:val="002D6D24"/>
    <w:rsid w:val="002D7AE7"/>
    <w:rsid w:val="002E04A8"/>
    <w:rsid w:val="002E1071"/>
    <w:rsid w:val="002E1153"/>
    <w:rsid w:val="002E15B9"/>
    <w:rsid w:val="002E2158"/>
    <w:rsid w:val="002E3B9F"/>
    <w:rsid w:val="002E3CB6"/>
    <w:rsid w:val="002E4455"/>
    <w:rsid w:val="002E4F02"/>
    <w:rsid w:val="002E7722"/>
    <w:rsid w:val="002F07BA"/>
    <w:rsid w:val="002F0AD4"/>
    <w:rsid w:val="002F0DA9"/>
    <w:rsid w:val="002F1014"/>
    <w:rsid w:val="002F105E"/>
    <w:rsid w:val="002F2D7F"/>
    <w:rsid w:val="002F503D"/>
    <w:rsid w:val="002F58D2"/>
    <w:rsid w:val="002F643C"/>
    <w:rsid w:val="002F6ECF"/>
    <w:rsid w:val="002F71C0"/>
    <w:rsid w:val="002F74F1"/>
    <w:rsid w:val="003003D7"/>
    <w:rsid w:val="0030088C"/>
    <w:rsid w:val="00300AD7"/>
    <w:rsid w:val="00301017"/>
    <w:rsid w:val="00301480"/>
    <w:rsid w:val="0030155F"/>
    <w:rsid w:val="0030186E"/>
    <w:rsid w:val="003022DF"/>
    <w:rsid w:val="00305702"/>
    <w:rsid w:val="0030587B"/>
    <w:rsid w:val="00305C95"/>
    <w:rsid w:val="00306D98"/>
    <w:rsid w:val="00306EF9"/>
    <w:rsid w:val="003071A2"/>
    <w:rsid w:val="0030772F"/>
    <w:rsid w:val="0030786C"/>
    <w:rsid w:val="0031031A"/>
    <w:rsid w:val="003103C3"/>
    <w:rsid w:val="00310981"/>
    <w:rsid w:val="00310A2C"/>
    <w:rsid w:val="00310D0E"/>
    <w:rsid w:val="003110C0"/>
    <w:rsid w:val="003124D9"/>
    <w:rsid w:val="00312594"/>
    <w:rsid w:val="00312840"/>
    <w:rsid w:val="00313DB9"/>
    <w:rsid w:val="00315498"/>
    <w:rsid w:val="003156C2"/>
    <w:rsid w:val="00316474"/>
    <w:rsid w:val="00316B61"/>
    <w:rsid w:val="003174E3"/>
    <w:rsid w:val="00317F93"/>
    <w:rsid w:val="0032195E"/>
    <w:rsid w:val="0032199B"/>
    <w:rsid w:val="00321C43"/>
    <w:rsid w:val="00322107"/>
    <w:rsid w:val="00322355"/>
    <w:rsid w:val="00322846"/>
    <w:rsid w:val="00322C1E"/>
    <w:rsid w:val="003233C6"/>
    <w:rsid w:val="003245D5"/>
    <w:rsid w:val="00324EE7"/>
    <w:rsid w:val="00326DA7"/>
    <w:rsid w:val="003270E4"/>
    <w:rsid w:val="00327CAF"/>
    <w:rsid w:val="00330904"/>
    <w:rsid w:val="00330DAA"/>
    <w:rsid w:val="00330F5C"/>
    <w:rsid w:val="0033377F"/>
    <w:rsid w:val="0033380E"/>
    <w:rsid w:val="00333975"/>
    <w:rsid w:val="003350FE"/>
    <w:rsid w:val="003352D0"/>
    <w:rsid w:val="0033549A"/>
    <w:rsid w:val="0033567A"/>
    <w:rsid w:val="003363A0"/>
    <w:rsid w:val="003366C9"/>
    <w:rsid w:val="003371B0"/>
    <w:rsid w:val="003372D5"/>
    <w:rsid w:val="00340DF1"/>
    <w:rsid w:val="0034194A"/>
    <w:rsid w:val="00341C77"/>
    <w:rsid w:val="00342EB9"/>
    <w:rsid w:val="00344897"/>
    <w:rsid w:val="0034721E"/>
    <w:rsid w:val="00347440"/>
    <w:rsid w:val="003474AF"/>
    <w:rsid w:val="003478E4"/>
    <w:rsid w:val="00351190"/>
    <w:rsid w:val="003517F9"/>
    <w:rsid w:val="00351BA9"/>
    <w:rsid w:val="00352763"/>
    <w:rsid w:val="00354F64"/>
    <w:rsid w:val="00355826"/>
    <w:rsid w:val="0035586F"/>
    <w:rsid w:val="00355CD5"/>
    <w:rsid w:val="0035620E"/>
    <w:rsid w:val="0035662D"/>
    <w:rsid w:val="00356794"/>
    <w:rsid w:val="00357BD9"/>
    <w:rsid w:val="00360300"/>
    <w:rsid w:val="00360345"/>
    <w:rsid w:val="003608B1"/>
    <w:rsid w:val="00361A05"/>
    <w:rsid w:val="003621B1"/>
    <w:rsid w:val="003624C4"/>
    <w:rsid w:val="00363AE6"/>
    <w:rsid w:val="00363AF0"/>
    <w:rsid w:val="00363B00"/>
    <w:rsid w:val="00364C03"/>
    <w:rsid w:val="003654AC"/>
    <w:rsid w:val="003656AA"/>
    <w:rsid w:val="00366161"/>
    <w:rsid w:val="003669A2"/>
    <w:rsid w:val="0037056A"/>
    <w:rsid w:val="003710CF"/>
    <w:rsid w:val="00371D65"/>
    <w:rsid w:val="0037277B"/>
    <w:rsid w:val="00372F96"/>
    <w:rsid w:val="0037358A"/>
    <w:rsid w:val="003741EA"/>
    <w:rsid w:val="00374255"/>
    <w:rsid w:val="003749C3"/>
    <w:rsid w:val="003750F6"/>
    <w:rsid w:val="00375CAD"/>
    <w:rsid w:val="003760FC"/>
    <w:rsid w:val="00376D63"/>
    <w:rsid w:val="00380AE9"/>
    <w:rsid w:val="00380EC5"/>
    <w:rsid w:val="003827D5"/>
    <w:rsid w:val="00382C35"/>
    <w:rsid w:val="0038365C"/>
    <w:rsid w:val="0038369B"/>
    <w:rsid w:val="00383B78"/>
    <w:rsid w:val="00383B89"/>
    <w:rsid w:val="00384134"/>
    <w:rsid w:val="00384C1B"/>
    <w:rsid w:val="00384C59"/>
    <w:rsid w:val="003851C6"/>
    <w:rsid w:val="00385A9D"/>
    <w:rsid w:val="003871DA"/>
    <w:rsid w:val="0038744C"/>
    <w:rsid w:val="003902B1"/>
    <w:rsid w:val="0039179C"/>
    <w:rsid w:val="00391957"/>
    <w:rsid w:val="0039480F"/>
    <w:rsid w:val="00394B16"/>
    <w:rsid w:val="00395EF5"/>
    <w:rsid w:val="00396896"/>
    <w:rsid w:val="00396DF5"/>
    <w:rsid w:val="00396FD0"/>
    <w:rsid w:val="00397B58"/>
    <w:rsid w:val="00397F6F"/>
    <w:rsid w:val="003A1589"/>
    <w:rsid w:val="003A1A7A"/>
    <w:rsid w:val="003A2392"/>
    <w:rsid w:val="003A2831"/>
    <w:rsid w:val="003A3087"/>
    <w:rsid w:val="003A30EC"/>
    <w:rsid w:val="003A35E3"/>
    <w:rsid w:val="003A3658"/>
    <w:rsid w:val="003A3666"/>
    <w:rsid w:val="003A38B7"/>
    <w:rsid w:val="003A3CB6"/>
    <w:rsid w:val="003A3ED1"/>
    <w:rsid w:val="003A44DB"/>
    <w:rsid w:val="003A4673"/>
    <w:rsid w:val="003A5095"/>
    <w:rsid w:val="003A7ABC"/>
    <w:rsid w:val="003B0155"/>
    <w:rsid w:val="003B154F"/>
    <w:rsid w:val="003B160F"/>
    <w:rsid w:val="003B2ABC"/>
    <w:rsid w:val="003B2EEF"/>
    <w:rsid w:val="003B3971"/>
    <w:rsid w:val="003B4817"/>
    <w:rsid w:val="003B527B"/>
    <w:rsid w:val="003B55D1"/>
    <w:rsid w:val="003B5B61"/>
    <w:rsid w:val="003B6451"/>
    <w:rsid w:val="003C0AF3"/>
    <w:rsid w:val="003C160F"/>
    <w:rsid w:val="003C1654"/>
    <w:rsid w:val="003C27F6"/>
    <w:rsid w:val="003C2917"/>
    <w:rsid w:val="003C5542"/>
    <w:rsid w:val="003C7D19"/>
    <w:rsid w:val="003C7D2F"/>
    <w:rsid w:val="003D01AE"/>
    <w:rsid w:val="003D0B93"/>
    <w:rsid w:val="003D1828"/>
    <w:rsid w:val="003D1DE4"/>
    <w:rsid w:val="003D1E9A"/>
    <w:rsid w:val="003D2422"/>
    <w:rsid w:val="003D33D1"/>
    <w:rsid w:val="003D39A1"/>
    <w:rsid w:val="003D3FBF"/>
    <w:rsid w:val="003D4970"/>
    <w:rsid w:val="003D4A30"/>
    <w:rsid w:val="003D570C"/>
    <w:rsid w:val="003D6838"/>
    <w:rsid w:val="003D718B"/>
    <w:rsid w:val="003D7452"/>
    <w:rsid w:val="003D79BB"/>
    <w:rsid w:val="003D7C98"/>
    <w:rsid w:val="003D7D9D"/>
    <w:rsid w:val="003E0543"/>
    <w:rsid w:val="003E1F13"/>
    <w:rsid w:val="003E6C12"/>
    <w:rsid w:val="003E749E"/>
    <w:rsid w:val="003F07A1"/>
    <w:rsid w:val="003F4156"/>
    <w:rsid w:val="003F4CFA"/>
    <w:rsid w:val="003F58D2"/>
    <w:rsid w:val="003F5ADF"/>
    <w:rsid w:val="003F5B10"/>
    <w:rsid w:val="003F6025"/>
    <w:rsid w:val="003F63A9"/>
    <w:rsid w:val="00400B29"/>
    <w:rsid w:val="00400CBD"/>
    <w:rsid w:val="004048EF"/>
    <w:rsid w:val="0040504B"/>
    <w:rsid w:val="00405072"/>
    <w:rsid w:val="004059F4"/>
    <w:rsid w:val="00406222"/>
    <w:rsid w:val="00407FE5"/>
    <w:rsid w:val="004101B0"/>
    <w:rsid w:val="00410326"/>
    <w:rsid w:val="00410708"/>
    <w:rsid w:val="00410EC7"/>
    <w:rsid w:val="00411B39"/>
    <w:rsid w:val="004127A7"/>
    <w:rsid w:val="00412E96"/>
    <w:rsid w:val="00413A1E"/>
    <w:rsid w:val="00414476"/>
    <w:rsid w:val="00414C2E"/>
    <w:rsid w:val="004151CF"/>
    <w:rsid w:val="00416364"/>
    <w:rsid w:val="00417062"/>
    <w:rsid w:val="0042047F"/>
    <w:rsid w:val="00420AA6"/>
    <w:rsid w:val="00420B9F"/>
    <w:rsid w:val="004210A8"/>
    <w:rsid w:val="004211DA"/>
    <w:rsid w:val="00421335"/>
    <w:rsid w:val="0042192C"/>
    <w:rsid w:val="00421D41"/>
    <w:rsid w:val="00422260"/>
    <w:rsid w:val="00422719"/>
    <w:rsid w:val="0042413F"/>
    <w:rsid w:val="00425EB0"/>
    <w:rsid w:val="0042633A"/>
    <w:rsid w:val="00426BD3"/>
    <w:rsid w:val="00426F3A"/>
    <w:rsid w:val="0043015F"/>
    <w:rsid w:val="00430BC3"/>
    <w:rsid w:val="00430F5C"/>
    <w:rsid w:val="004319F8"/>
    <w:rsid w:val="00431E55"/>
    <w:rsid w:val="004321F6"/>
    <w:rsid w:val="00433044"/>
    <w:rsid w:val="00434088"/>
    <w:rsid w:val="004358A4"/>
    <w:rsid w:val="00436314"/>
    <w:rsid w:val="00436D0B"/>
    <w:rsid w:val="004375B9"/>
    <w:rsid w:val="00440022"/>
    <w:rsid w:val="00440246"/>
    <w:rsid w:val="004428D0"/>
    <w:rsid w:val="00444185"/>
    <w:rsid w:val="004443A7"/>
    <w:rsid w:val="0044442C"/>
    <w:rsid w:val="00445941"/>
    <w:rsid w:val="004464EB"/>
    <w:rsid w:val="004466F1"/>
    <w:rsid w:val="00447D26"/>
    <w:rsid w:val="00447DFC"/>
    <w:rsid w:val="00450812"/>
    <w:rsid w:val="00450DCA"/>
    <w:rsid w:val="00452DE1"/>
    <w:rsid w:val="004539EC"/>
    <w:rsid w:val="00455D1C"/>
    <w:rsid w:val="00455D45"/>
    <w:rsid w:val="00461A5E"/>
    <w:rsid w:val="00464595"/>
    <w:rsid w:val="00464AA2"/>
    <w:rsid w:val="00464BB8"/>
    <w:rsid w:val="004658B5"/>
    <w:rsid w:val="00465C0E"/>
    <w:rsid w:val="00467EFA"/>
    <w:rsid w:val="004708C4"/>
    <w:rsid w:val="00470E29"/>
    <w:rsid w:val="00471EA5"/>
    <w:rsid w:val="00472A79"/>
    <w:rsid w:val="00472B94"/>
    <w:rsid w:val="00473F19"/>
    <w:rsid w:val="00475E22"/>
    <w:rsid w:val="00476EE7"/>
    <w:rsid w:val="004770F4"/>
    <w:rsid w:val="00477A37"/>
    <w:rsid w:val="0048088E"/>
    <w:rsid w:val="00480F2B"/>
    <w:rsid w:val="00482720"/>
    <w:rsid w:val="0048288A"/>
    <w:rsid w:val="004835E7"/>
    <w:rsid w:val="00484489"/>
    <w:rsid w:val="00484ECC"/>
    <w:rsid w:val="004867E2"/>
    <w:rsid w:val="00486B8C"/>
    <w:rsid w:val="00487568"/>
    <w:rsid w:val="00490B17"/>
    <w:rsid w:val="004910F1"/>
    <w:rsid w:val="00491B3A"/>
    <w:rsid w:val="00492B9E"/>
    <w:rsid w:val="00492CB5"/>
    <w:rsid w:val="00492CFD"/>
    <w:rsid w:val="0049336F"/>
    <w:rsid w:val="00494207"/>
    <w:rsid w:val="00494DD5"/>
    <w:rsid w:val="004962D2"/>
    <w:rsid w:val="00497C56"/>
    <w:rsid w:val="004A0DA1"/>
    <w:rsid w:val="004A13D6"/>
    <w:rsid w:val="004A2150"/>
    <w:rsid w:val="004A41ED"/>
    <w:rsid w:val="004A5112"/>
    <w:rsid w:val="004A52E9"/>
    <w:rsid w:val="004A6040"/>
    <w:rsid w:val="004A6597"/>
    <w:rsid w:val="004A7848"/>
    <w:rsid w:val="004A7BC3"/>
    <w:rsid w:val="004A7FBC"/>
    <w:rsid w:val="004B0C4D"/>
    <w:rsid w:val="004B14E6"/>
    <w:rsid w:val="004B1CB4"/>
    <w:rsid w:val="004B2200"/>
    <w:rsid w:val="004B2802"/>
    <w:rsid w:val="004B2F18"/>
    <w:rsid w:val="004B3407"/>
    <w:rsid w:val="004B3446"/>
    <w:rsid w:val="004B3DDB"/>
    <w:rsid w:val="004B44DA"/>
    <w:rsid w:val="004B44FD"/>
    <w:rsid w:val="004B4AC7"/>
    <w:rsid w:val="004B523D"/>
    <w:rsid w:val="004B5CFC"/>
    <w:rsid w:val="004B685E"/>
    <w:rsid w:val="004B6F79"/>
    <w:rsid w:val="004B75A8"/>
    <w:rsid w:val="004B774D"/>
    <w:rsid w:val="004B7A83"/>
    <w:rsid w:val="004C3974"/>
    <w:rsid w:val="004C46D5"/>
    <w:rsid w:val="004C4AED"/>
    <w:rsid w:val="004C693D"/>
    <w:rsid w:val="004C7A04"/>
    <w:rsid w:val="004D0B08"/>
    <w:rsid w:val="004D23D9"/>
    <w:rsid w:val="004D2C2D"/>
    <w:rsid w:val="004D3826"/>
    <w:rsid w:val="004D5E22"/>
    <w:rsid w:val="004D69B5"/>
    <w:rsid w:val="004D7227"/>
    <w:rsid w:val="004E0E7F"/>
    <w:rsid w:val="004E0EB8"/>
    <w:rsid w:val="004E18E6"/>
    <w:rsid w:val="004E18E9"/>
    <w:rsid w:val="004E1D0D"/>
    <w:rsid w:val="004E2ADC"/>
    <w:rsid w:val="004E43B2"/>
    <w:rsid w:val="004E7D03"/>
    <w:rsid w:val="004F0C43"/>
    <w:rsid w:val="004F12C3"/>
    <w:rsid w:val="004F1802"/>
    <w:rsid w:val="004F1D02"/>
    <w:rsid w:val="004F2679"/>
    <w:rsid w:val="004F2F21"/>
    <w:rsid w:val="004F3DE5"/>
    <w:rsid w:val="004F40CB"/>
    <w:rsid w:val="004F51DE"/>
    <w:rsid w:val="004F6913"/>
    <w:rsid w:val="004F7487"/>
    <w:rsid w:val="004F7865"/>
    <w:rsid w:val="004F7F96"/>
    <w:rsid w:val="004F7FFA"/>
    <w:rsid w:val="00500086"/>
    <w:rsid w:val="00500F78"/>
    <w:rsid w:val="0050174E"/>
    <w:rsid w:val="00501854"/>
    <w:rsid w:val="0050219B"/>
    <w:rsid w:val="005038B4"/>
    <w:rsid w:val="00503F17"/>
    <w:rsid w:val="0050426C"/>
    <w:rsid w:val="00504786"/>
    <w:rsid w:val="00505861"/>
    <w:rsid w:val="00506928"/>
    <w:rsid w:val="005074FC"/>
    <w:rsid w:val="005077EF"/>
    <w:rsid w:val="005078D0"/>
    <w:rsid w:val="00511222"/>
    <w:rsid w:val="00511AD5"/>
    <w:rsid w:val="00511DC7"/>
    <w:rsid w:val="00513453"/>
    <w:rsid w:val="005142C5"/>
    <w:rsid w:val="0051501B"/>
    <w:rsid w:val="0051511F"/>
    <w:rsid w:val="005152B5"/>
    <w:rsid w:val="005200F8"/>
    <w:rsid w:val="005201E3"/>
    <w:rsid w:val="0052020A"/>
    <w:rsid w:val="00520279"/>
    <w:rsid w:val="0052123C"/>
    <w:rsid w:val="00521319"/>
    <w:rsid w:val="00522BC8"/>
    <w:rsid w:val="00522F6E"/>
    <w:rsid w:val="00523C28"/>
    <w:rsid w:val="005266FC"/>
    <w:rsid w:val="0052676C"/>
    <w:rsid w:val="0052733B"/>
    <w:rsid w:val="0052764D"/>
    <w:rsid w:val="005304BC"/>
    <w:rsid w:val="00530C16"/>
    <w:rsid w:val="0053176B"/>
    <w:rsid w:val="00531C03"/>
    <w:rsid w:val="00531D89"/>
    <w:rsid w:val="00533569"/>
    <w:rsid w:val="005339F9"/>
    <w:rsid w:val="0053422B"/>
    <w:rsid w:val="005349E8"/>
    <w:rsid w:val="00536A8E"/>
    <w:rsid w:val="00536E06"/>
    <w:rsid w:val="00536F42"/>
    <w:rsid w:val="00537182"/>
    <w:rsid w:val="00540EC1"/>
    <w:rsid w:val="005416D3"/>
    <w:rsid w:val="00541B93"/>
    <w:rsid w:val="00541EDD"/>
    <w:rsid w:val="005422CE"/>
    <w:rsid w:val="00542743"/>
    <w:rsid w:val="00542AF7"/>
    <w:rsid w:val="00542C2D"/>
    <w:rsid w:val="0054345B"/>
    <w:rsid w:val="005439C0"/>
    <w:rsid w:val="00543D20"/>
    <w:rsid w:val="00544EC5"/>
    <w:rsid w:val="00546C97"/>
    <w:rsid w:val="00546EE0"/>
    <w:rsid w:val="005476A6"/>
    <w:rsid w:val="005478BD"/>
    <w:rsid w:val="005479E3"/>
    <w:rsid w:val="00550558"/>
    <w:rsid w:val="00551985"/>
    <w:rsid w:val="005524AB"/>
    <w:rsid w:val="00552BD3"/>
    <w:rsid w:val="005532A0"/>
    <w:rsid w:val="00554349"/>
    <w:rsid w:val="00555109"/>
    <w:rsid w:val="005551FE"/>
    <w:rsid w:val="00556212"/>
    <w:rsid w:val="00556B35"/>
    <w:rsid w:val="0055741A"/>
    <w:rsid w:val="00561030"/>
    <w:rsid w:val="005611B7"/>
    <w:rsid w:val="005618D4"/>
    <w:rsid w:val="005641F5"/>
    <w:rsid w:val="00565DF0"/>
    <w:rsid w:val="0056696F"/>
    <w:rsid w:val="00566F5B"/>
    <w:rsid w:val="00571241"/>
    <w:rsid w:val="00572269"/>
    <w:rsid w:val="0057244A"/>
    <w:rsid w:val="00572EB4"/>
    <w:rsid w:val="00572F26"/>
    <w:rsid w:val="005750C5"/>
    <w:rsid w:val="005752DE"/>
    <w:rsid w:val="005757C4"/>
    <w:rsid w:val="00575D8D"/>
    <w:rsid w:val="00576972"/>
    <w:rsid w:val="005769E9"/>
    <w:rsid w:val="00577172"/>
    <w:rsid w:val="005828DF"/>
    <w:rsid w:val="00583699"/>
    <w:rsid w:val="0058412C"/>
    <w:rsid w:val="0058557A"/>
    <w:rsid w:val="00585905"/>
    <w:rsid w:val="00585CDD"/>
    <w:rsid w:val="00585E1C"/>
    <w:rsid w:val="005861EA"/>
    <w:rsid w:val="00586C23"/>
    <w:rsid w:val="00587058"/>
    <w:rsid w:val="00587C47"/>
    <w:rsid w:val="0059019D"/>
    <w:rsid w:val="00590631"/>
    <w:rsid w:val="00590BAB"/>
    <w:rsid w:val="00591957"/>
    <w:rsid w:val="005960F8"/>
    <w:rsid w:val="00597BF9"/>
    <w:rsid w:val="00597EF2"/>
    <w:rsid w:val="005A0CC2"/>
    <w:rsid w:val="005A309A"/>
    <w:rsid w:val="005A334C"/>
    <w:rsid w:val="005A356C"/>
    <w:rsid w:val="005A373D"/>
    <w:rsid w:val="005A43B0"/>
    <w:rsid w:val="005A4882"/>
    <w:rsid w:val="005A495A"/>
    <w:rsid w:val="005A4BC9"/>
    <w:rsid w:val="005A551B"/>
    <w:rsid w:val="005A7357"/>
    <w:rsid w:val="005A7691"/>
    <w:rsid w:val="005A7935"/>
    <w:rsid w:val="005B0847"/>
    <w:rsid w:val="005B0B58"/>
    <w:rsid w:val="005B2A34"/>
    <w:rsid w:val="005B2DBF"/>
    <w:rsid w:val="005B3AF5"/>
    <w:rsid w:val="005B4E53"/>
    <w:rsid w:val="005B5857"/>
    <w:rsid w:val="005B5922"/>
    <w:rsid w:val="005B5AA5"/>
    <w:rsid w:val="005B7D74"/>
    <w:rsid w:val="005C015B"/>
    <w:rsid w:val="005C138E"/>
    <w:rsid w:val="005C16D5"/>
    <w:rsid w:val="005C1B00"/>
    <w:rsid w:val="005C1B13"/>
    <w:rsid w:val="005C1B83"/>
    <w:rsid w:val="005C25FF"/>
    <w:rsid w:val="005C2D55"/>
    <w:rsid w:val="005C346B"/>
    <w:rsid w:val="005C4199"/>
    <w:rsid w:val="005C4A16"/>
    <w:rsid w:val="005D044D"/>
    <w:rsid w:val="005D070F"/>
    <w:rsid w:val="005D0ABD"/>
    <w:rsid w:val="005D18AD"/>
    <w:rsid w:val="005D26B4"/>
    <w:rsid w:val="005D2F89"/>
    <w:rsid w:val="005D34D2"/>
    <w:rsid w:val="005D35C3"/>
    <w:rsid w:val="005D3A5D"/>
    <w:rsid w:val="005D410F"/>
    <w:rsid w:val="005D4283"/>
    <w:rsid w:val="005D4939"/>
    <w:rsid w:val="005D5D4F"/>
    <w:rsid w:val="005D5E9B"/>
    <w:rsid w:val="005D691E"/>
    <w:rsid w:val="005D7626"/>
    <w:rsid w:val="005E12E5"/>
    <w:rsid w:val="005E33BE"/>
    <w:rsid w:val="005E538C"/>
    <w:rsid w:val="005E594B"/>
    <w:rsid w:val="005E6CBC"/>
    <w:rsid w:val="005E72FF"/>
    <w:rsid w:val="005E73C0"/>
    <w:rsid w:val="005E7E1E"/>
    <w:rsid w:val="005F0445"/>
    <w:rsid w:val="005F0D55"/>
    <w:rsid w:val="005F10B1"/>
    <w:rsid w:val="005F2706"/>
    <w:rsid w:val="005F2D72"/>
    <w:rsid w:val="005F431B"/>
    <w:rsid w:val="005F4E8F"/>
    <w:rsid w:val="005F5B38"/>
    <w:rsid w:val="005F66A4"/>
    <w:rsid w:val="005F6A8F"/>
    <w:rsid w:val="005F6BB7"/>
    <w:rsid w:val="005F74CC"/>
    <w:rsid w:val="005F7588"/>
    <w:rsid w:val="00601A16"/>
    <w:rsid w:val="0060291B"/>
    <w:rsid w:val="00603324"/>
    <w:rsid w:val="00603DB9"/>
    <w:rsid w:val="006046DC"/>
    <w:rsid w:val="00606075"/>
    <w:rsid w:val="00606F3A"/>
    <w:rsid w:val="00606FBA"/>
    <w:rsid w:val="00607669"/>
    <w:rsid w:val="006076F4"/>
    <w:rsid w:val="00607AFD"/>
    <w:rsid w:val="00607E92"/>
    <w:rsid w:val="006101CB"/>
    <w:rsid w:val="00610B49"/>
    <w:rsid w:val="00610F09"/>
    <w:rsid w:val="00611482"/>
    <w:rsid w:val="00612EFA"/>
    <w:rsid w:val="00612F97"/>
    <w:rsid w:val="00613182"/>
    <w:rsid w:val="0061345D"/>
    <w:rsid w:val="0061362B"/>
    <w:rsid w:val="0061549B"/>
    <w:rsid w:val="00616600"/>
    <w:rsid w:val="00616802"/>
    <w:rsid w:val="00617CC6"/>
    <w:rsid w:val="00617E12"/>
    <w:rsid w:val="00617F0A"/>
    <w:rsid w:val="00617FDF"/>
    <w:rsid w:val="00620C25"/>
    <w:rsid w:val="00621477"/>
    <w:rsid w:val="00621ADA"/>
    <w:rsid w:val="00621C01"/>
    <w:rsid w:val="0062332E"/>
    <w:rsid w:val="00623F7B"/>
    <w:rsid w:val="0062469D"/>
    <w:rsid w:val="00624A98"/>
    <w:rsid w:val="0063158F"/>
    <w:rsid w:val="00631D6B"/>
    <w:rsid w:val="00632183"/>
    <w:rsid w:val="006330A1"/>
    <w:rsid w:val="00633279"/>
    <w:rsid w:val="006335B4"/>
    <w:rsid w:val="0063479F"/>
    <w:rsid w:val="006353F0"/>
    <w:rsid w:val="006357B5"/>
    <w:rsid w:val="006364A1"/>
    <w:rsid w:val="0063678E"/>
    <w:rsid w:val="00637BFD"/>
    <w:rsid w:val="00637C9B"/>
    <w:rsid w:val="006402E9"/>
    <w:rsid w:val="006419F5"/>
    <w:rsid w:val="00641C4E"/>
    <w:rsid w:val="00641FB3"/>
    <w:rsid w:val="006424D7"/>
    <w:rsid w:val="00642CBD"/>
    <w:rsid w:val="00643765"/>
    <w:rsid w:val="00643A79"/>
    <w:rsid w:val="0064434C"/>
    <w:rsid w:val="006471CC"/>
    <w:rsid w:val="0064797A"/>
    <w:rsid w:val="00647A29"/>
    <w:rsid w:val="00647FC6"/>
    <w:rsid w:val="0065079F"/>
    <w:rsid w:val="00652A28"/>
    <w:rsid w:val="006533A0"/>
    <w:rsid w:val="0065379F"/>
    <w:rsid w:val="0065480A"/>
    <w:rsid w:val="00654DF9"/>
    <w:rsid w:val="006557D0"/>
    <w:rsid w:val="00655BE2"/>
    <w:rsid w:val="00655EBD"/>
    <w:rsid w:val="00656188"/>
    <w:rsid w:val="00656F99"/>
    <w:rsid w:val="0065715A"/>
    <w:rsid w:val="006610F1"/>
    <w:rsid w:val="00661C6B"/>
    <w:rsid w:val="00662CFF"/>
    <w:rsid w:val="00665C39"/>
    <w:rsid w:val="00665FFC"/>
    <w:rsid w:val="00666ACA"/>
    <w:rsid w:val="00666BE5"/>
    <w:rsid w:val="00671004"/>
    <w:rsid w:val="0067154A"/>
    <w:rsid w:val="00672646"/>
    <w:rsid w:val="0067371A"/>
    <w:rsid w:val="006738FB"/>
    <w:rsid w:val="00673EDB"/>
    <w:rsid w:val="00674641"/>
    <w:rsid w:val="00674E42"/>
    <w:rsid w:val="0067514F"/>
    <w:rsid w:val="0067759E"/>
    <w:rsid w:val="006801B3"/>
    <w:rsid w:val="006813F8"/>
    <w:rsid w:val="00682112"/>
    <w:rsid w:val="00682415"/>
    <w:rsid w:val="00682BA6"/>
    <w:rsid w:val="00683967"/>
    <w:rsid w:val="006847B5"/>
    <w:rsid w:val="00684EEB"/>
    <w:rsid w:val="00684F19"/>
    <w:rsid w:val="00686957"/>
    <w:rsid w:val="00686CEB"/>
    <w:rsid w:val="006872BA"/>
    <w:rsid w:val="00687818"/>
    <w:rsid w:val="00690795"/>
    <w:rsid w:val="00691648"/>
    <w:rsid w:val="006917D7"/>
    <w:rsid w:val="00691F78"/>
    <w:rsid w:val="006940D8"/>
    <w:rsid w:val="0069434C"/>
    <w:rsid w:val="00694D8E"/>
    <w:rsid w:val="00694F44"/>
    <w:rsid w:val="00696F51"/>
    <w:rsid w:val="00697911"/>
    <w:rsid w:val="006979A5"/>
    <w:rsid w:val="00697F04"/>
    <w:rsid w:val="006A11DF"/>
    <w:rsid w:val="006A141D"/>
    <w:rsid w:val="006A19FD"/>
    <w:rsid w:val="006A1FFC"/>
    <w:rsid w:val="006A203B"/>
    <w:rsid w:val="006A2D70"/>
    <w:rsid w:val="006A2EFE"/>
    <w:rsid w:val="006A520E"/>
    <w:rsid w:val="006A6107"/>
    <w:rsid w:val="006A6B99"/>
    <w:rsid w:val="006A6BF9"/>
    <w:rsid w:val="006A7072"/>
    <w:rsid w:val="006A7E5F"/>
    <w:rsid w:val="006B0E42"/>
    <w:rsid w:val="006B2270"/>
    <w:rsid w:val="006B2527"/>
    <w:rsid w:val="006B261B"/>
    <w:rsid w:val="006B2C90"/>
    <w:rsid w:val="006B3155"/>
    <w:rsid w:val="006B35E6"/>
    <w:rsid w:val="006B36B0"/>
    <w:rsid w:val="006B465A"/>
    <w:rsid w:val="006B5875"/>
    <w:rsid w:val="006B6DD0"/>
    <w:rsid w:val="006C02C6"/>
    <w:rsid w:val="006C0399"/>
    <w:rsid w:val="006C0EAB"/>
    <w:rsid w:val="006C120E"/>
    <w:rsid w:val="006C1496"/>
    <w:rsid w:val="006C2271"/>
    <w:rsid w:val="006C2A8E"/>
    <w:rsid w:val="006C2CD5"/>
    <w:rsid w:val="006C3255"/>
    <w:rsid w:val="006C3F26"/>
    <w:rsid w:val="006C4F33"/>
    <w:rsid w:val="006D0706"/>
    <w:rsid w:val="006D086A"/>
    <w:rsid w:val="006D09A1"/>
    <w:rsid w:val="006D0D17"/>
    <w:rsid w:val="006D16C7"/>
    <w:rsid w:val="006D2B14"/>
    <w:rsid w:val="006D3399"/>
    <w:rsid w:val="006D3B76"/>
    <w:rsid w:val="006D3C7D"/>
    <w:rsid w:val="006D4659"/>
    <w:rsid w:val="006D4AC2"/>
    <w:rsid w:val="006D5A50"/>
    <w:rsid w:val="006D5D5F"/>
    <w:rsid w:val="006D66E4"/>
    <w:rsid w:val="006D68FB"/>
    <w:rsid w:val="006D6BC0"/>
    <w:rsid w:val="006E176A"/>
    <w:rsid w:val="006E20E3"/>
    <w:rsid w:val="006E2868"/>
    <w:rsid w:val="006E2BEF"/>
    <w:rsid w:val="006E3060"/>
    <w:rsid w:val="006E4989"/>
    <w:rsid w:val="006E6AAB"/>
    <w:rsid w:val="006F0952"/>
    <w:rsid w:val="006F306C"/>
    <w:rsid w:val="006F46B0"/>
    <w:rsid w:val="006F46B9"/>
    <w:rsid w:val="006F5084"/>
    <w:rsid w:val="006F63A5"/>
    <w:rsid w:val="006F70C3"/>
    <w:rsid w:val="00700C3B"/>
    <w:rsid w:val="0070142B"/>
    <w:rsid w:val="00702154"/>
    <w:rsid w:val="00702577"/>
    <w:rsid w:val="0070276E"/>
    <w:rsid w:val="00702D11"/>
    <w:rsid w:val="00702F8F"/>
    <w:rsid w:val="00703D2F"/>
    <w:rsid w:val="0070400F"/>
    <w:rsid w:val="00704768"/>
    <w:rsid w:val="00705226"/>
    <w:rsid w:val="00705354"/>
    <w:rsid w:val="007060F3"/>
    <w:rsid w:val="007079FC"/>
    <w:rsid w:val="00710D72"/>
    <w:rsid w:val="00711452"/>
    <w:rsid w:val="00711A36"/>
    <w:rsid w:val="00711B89"/>
    <w:rsid w:val="00711E9D"/>
    <w:rsid w:val="007127D3"/>
    <w:rsid w:val="00713B0D"/>
    <w:rsid w:val="00714C26"/>
    <w:rsid w:val="00714D96"/>
    <w:rsid w:val="00714E2C"/>
    <w:rsid w:val="0071529C"/>
    <w:rsid w:val="007154D6"/>
    <w:rsid w:val="00715C76"/>
    <w:rsid w:val="00716306"/>
    <w:rsid w:val="00716DE9"/>
    <w:rsid w:val="007170DA"/>
    <w:rsid w:val="00717109"/>
    <w:rsid w:val="007172AD"/>
    <w:rsid w:val="007175F8"/>
    <w:rsid w:val="00717BF6"/>
    <w:rsid w:val="00720011"/>
    <w:rsid w:val="00720801"/>
    <w:rsid w:val="007212F9"/>
    <w:rsid w:val="00721EDE"/>
    <w:rsid w:val="00722ADB"/>
    <w:rsid w:val="00722B1B"/>
    <w:rsid w:val="0072345C"/>
    <w:rsid w:val="00723C84"/>
    <w:rsid w:val="0072416F"/>
    <w:rsid w:val="00724731"/>
    <w:rsid w:val="00724B0E"/>
    <w:rsid w:val="00725738"/>
    <w:rsid w:val="00725B44"/>
    <w:rsid w:val="007265F4"/>
    <w:rsid w:val="00726E3F"/>
    <w:rsid w:val="00727C94"/>
    <w:rsid w:val="00730759"/>
    <w:rsid w:val="00731B0A"/>
    <w:rsid w:val="00731C6C"/>
    <w:rsid w:val="00731EAE"/>
    <w:rsid w:val="00733073"/>
    <w:rsid w:val="00734399"/>
    <w:rsid w:val="00735033"/>
    <w:rsid w:val="00735328"/>
    <w:rsid w:val="0073685B"/>
    <w:rsid w:val="007411B5"/>
    <w:rsid w:val="007428B3"/>
    <w:rsid w:val="00742ADC"/>
    <w:rsid w:val="007430E3"/>
    <w:rsid w:val="007433D3"/>
    <w:rsid w:val="007449BF"/>
    <w:rsid w:val="0074578B"/>
    <w:rsid w:val="00745D32"/>
    <w:rsid w:val="00746BC0"/>
    <w:rsid w:val="007472C9"/>
    <w:rsid w:val="007475E2"/>
    <w:rsid w:val="00747C59"/>
    <w:rsid w:val="00750483"/>
    <w:rsid w:val="00750CAD"/>
    <w:rsid w:val="007510B4"/>
    <w:rsid w:val="00752142"/>
    <w:rsid w:val="00752229"/>
    <w:rsid w:val="007523F9"/>
    <w:rsid w:val="0075357E"/>
    <w:rsid w:val="00753BD2"/>
    <w:rsid w:val="00754AFA"/>
    <w:rsid w:val="00755013"/>
    <w:rsid w:val="00755A6E"/>
    <w:rsid w:val="007564A9"/>
    <w:rsid w:val="00756C95"/>
    <w:rsid w:val="0075700F"/>
    <w:rsid w:val="007573E8"/>
    <w:rsid w:val="00760C4E"/>
    <w:rsid w:val="00760F9E"/>
    <w:rsid w:val="0076172A"/>
    <w:rsid w:val="00761FBB"/>
    <w:rsid w:val="007627BE"/>
    <w:rsid w:val="00762AA5"/>
    <w:rsid w:val="00762F3A"/>
    <w:rsid w:val="007632A1"/>
    <w:rsid w:val="00764F03"/>
    <w:rsid w:val="00765B1A"/>
    <w:rsid w:val="00765DF8"/>
    <w:rsid w:val="0077098B"/>
    <w:rsid w:val="00771C2F"/>
    <w:rsid w:val="00775C0C"/>
    <w:rsid w:val="00777335"/>
    <w:rsid w:val="00782AB5"/>
    <w:rsid w:val="007843F2"/>
    <w:rsid w:val="00784B57"/>
    <w:rsid w:val="007859C7"/>
    <w:rsid w:val="00785A9F"/>
    <w:rsid w:val="00786865"/>
    <w:rsid w:val="00786F75"/>
    <w:rsid w:val="00790266"/>
    <w:rsid w:val="007902B9"/>
    <w:rsid w:val="007925DF"/>
    <w:rsid w:val="007938D8"/>
    <w:rsid w:val="00794B28"/>
    <w:rsid w:val="0079697D"/>
    <w:rsid w:val="007A0529"/>
    <w:rsid w:val="007A08AA"/>
    <w:rsid w:val="007A0A12"/>
    <w:rsid w:val="007A132D"/>
    <w:rsid w:val="007A1345"/>
    <w:rsid w:val="007A25D6"/>
    <w:rsid w:val="007A2B7E"/>
    <w:rsid w:val="007A2DDB"/>
    <w:rsid w:val="007A33E6"/>
    <w:rsid w:val="007A3E02"/>
    <w:rsid w:val="007A4954"/>
    <w:rsid w:val="007A535D"/>
    <w:rsid w:val="007A70BA"/>
    <w:rsid w:val="007B073F"/>
    <w:rsid w:val="007B0D68"/>
    <w:rsid w:val="007B251D"/>
    <w:rsid w:val="007B269D"/>
    <w:rsid w:val="007B33F6"/>
    <w:rsid w:val="007B4F58"/>
    <w:rsid w:val="007B528D"/>
    <w:rsid w:val="007B52D8"/>
    <w:rsid w:val="007B63CA"/>
    <w:rsid w:val="007B6A40"/>
    <w:rsid w:val="007B7702"/>
    <w:rsid w:val="007B77D1"/>
    <w:rsid w:val="007B7B20"/>
    <w:rsid w:val="007B7D76"/>
    <w:rsid w:val="007C0327"/>
    <w:rsid w:val="007C07C7"/>
    <w:rsid w:val="007C1CD9"/>
    <w:rsid w:val="007C32EF"/>
    <w:rsid w:val="007C361D"/>
    <w:rsid w:val="007C36BF"/>
    <w:rsid w:val="007C4B84"/>
    <w:rsid w:val="007C4E39"/>
    <w:rsid w:val="007C6A70"/>
    <w:rsid w:val="007C70FF"/>
    <w:rsid w:val="007C7C25"/>
    <w:rsid w:val="007D004F"/>
    <w:rsid w:val="007D0B38"/>
    <w:rsid w:val="007D0BB1"/>
    <w:rsid w:val="007D16FD"/>
    <w:rsid w:val="007D2A8E"/>
    <w:rsid w:val="007D3017"/>
    <w:rsid w:val="007D3E50"/>
    <w:rsid w:val="007D48CC"/>
    <w:rsid w:val="007D5440"/>
    <w:rsid w:val="007D5B32"/>
    <w:rsid w:val="007D6147"/>
    <w:rsid w:val="007D69EB"/>
    <w:rsid w:val="007E01A9"/>
    <w:rsid w:val="007E0D57"/>
    <w:rsid w:val="007E0D5D"/>
    <w:rsid w:val="007E128F"/>
    <w:rsid w:val="007E20E4"/>
    <w:rsid w:val="007E3C13"/>
    <w:rsid w:val="007E4B6E"/>
    <w:rsid w:val="007F046C"/>
    <w:rsid w:val="007F0FF8"/>
    <w:rsid w:val="007F1017"/>
    <w:rsid w:val="007F14DF"/>
    <w:rsid w:val="007F1A21"/>
    <w:rsid w:val="007F4A3F"/>
    <w:rsid w:val="007F4A61"/>
    <w:rsid w:val="007F4CFE"/>
    <w:rsid w:val="007F5255"/>
    <w:rsid w:val="007F56CC"/>
    <w:rsid w:val="007F614E"/>
    <w:rsid w:val="007F6151"/>
    <w:rsid w:val="007F61C2"/>
    <w:rsid w:val="007F622B"/>
    <w:rsid w:val="008012BA"/>
    <w:rsid w:val="008026C3"/>
    <w:rsid w:val="00804E01"/>
    <w:rsid w:val="00805142"/>
    <w:rsid w:val="008059C3"/>
    <w:rsid w:val="008059E8"/>
    <w:rsid w:val="00805FCE"/>
    <w:rsid w:val="0080679C"/>
    <w:rsid w:val="00806AE2"/>
    <w:rsid w:val="00807A8B"/>
    <w:rsid w:val="00807FD6"/>
    <w:rsid w:val="008108EB"/>
    <w:rsid w:val="0081119D"/>
    <w:rsid w:val="00811383"/>
    <w:rsid w:val="008119A5"/>
    <w:rsid w:val="00812149"/>
    <w:rsid w:val="00812CAC"/>
    <w:rsid w:val="00815538"/>
    <w:rsid w:val="008158E7"/>
    <w:rsid w:val="00816361"/>
    <w:rsid w:val="008166EF"/>
    <w:rsid w:val="00816854"/>
    <w:rsid w:val="00816FEF"/>
    <w:rsid w:val="0082042B"/>
    <w:rsid w:val="00820934"/>
    <w:rsid w:val="00820A8C"/>
    <w:rsid w:val="008215FB"/>
    <w:rsid w:val="0082274E"/>
    <w:rsid w:val="00823174"/>
    <w:rsid w:val="00823702"/>
    <w:rsid w:val="00824389"/>
    <w:rsid w:val="00825751"/>
    <w:rsid w:val="008260B0"/>
    <w:rsid w:val="008264EB"/>
    <w:rsid w:val="0082671B"/>
    <w:rsid w:val="00827CFF"/>
    <w:rsid w:val="00831D1E"/>
    <w:rsid w:val="008323BA"/>
    <w:rsid w:val="00832C71"/>
    <w:rsid w:val="00833B05"/>
    <w:rsid w:val="008346E1"/>
    <w:rsid w:val="008352B7"/>
    <w:rsid w:val="008362B4"/>
    <w:rsid w:val="00840CA2"/>
    <w:rsid w:val="00842C37"/>
    <w:rsid w:val="00842C7F"/>
    <w:rsid w:val="0084374F"/>
    <w:rsid w:val="00844918"/>
    <w:rsid w:val="00844A22"/>
    <w:rsid w:val="00846197"/>
    <w:rsid w:val="00847703"/>
    <w:rsid w:val="00847DF5"/>
    <w:rsid w:val="00851241"/>
    <w:rsid w:val="0085309D"/>
    <w:rsid w:val="008537AB"/>
    <w:rsid w:val="00856897"/>
    <w:rsid w:val="00856E9A"/>
    <w:rsid w:val="00857D57"/>
    <w:rsid w:val="0086075D"/>
    <w:rsid w:val="008610E8"/>
    <w:rsid w:val="00861BD0"/>
    <w:rsid w:val="008621F4"/>
    <w:rsid w:val="00862502"/>
    <w:rsid w:val="008627E3"/>
    <w:rsid w:val="00862CC1"/>
    <w:rsid w:val="0086302A"/>
    <w:rsid w:val="00863675"/>
    <w:rsid w:val="008660D4"/>
    <w:rsid w:val="00867379"/>
    <w:rsid w:val="00867809"/>
    <w:rsid w:val="00870063"/>
    <w:rsid w:val="00871FA9"/>
    <w:rsid w:val="00872160"/>
    <w:rsid w:val="008728E9"/>
    <w:rsid w:val="0087631F"/>
    <w:rsid w:val="00876DA0"/>
    <w:rsid w:val="00877638"/>
    <w:rsid w:val="008813C9"/>
    <w:rsid w:val="00882874"/>
    <w:rsid w:val="00882E3C"/>
    <w:rsid w:val="0088307C"/>
    <w:rsid w:val="00883787"/>
    <w:rsid w:val="008855E4"/>
    <w:rsid w:val="00886251"/>
    <w:rsid w:val="00886CD2"/>
    <w:rsid w:val="008901F8"/>
    <w:rsid w:val="00891E6F"/>
    <w:rsid w:val="0089275D"/>
    <w:rsid w:val="00892A36"/>
    <w:rsid w:val="00893239"/>
    <w:rsid w:val="0089403B"/>
    <w:rsid w:val="00894489"/>
    <w:rsid w:val="00895733"/>
    <w:rsid w:val="00895E41"/>
    <w:rsid w:val="008961D9"/>
    <w:rsid w:val="008963A5"/>
    <w:rsid w:val="00896D5D"/>
    <w:rsid w:val="008A1383"/>
    <w:rsid w:val="008A1AF2"/>
    <w:rsid w:val="008A24AB"/>
    <w:rsid w:val="008A3363"/>
    <w:rsid w:val="008A3371"/>
    <w:rsid w:val="008A338A"/>
    <w:rsid w:val="008A3644"/>
    <w:rsid w:val="008A3C3E"/>
    <w:rsid w:val="008A4FA1"/>
    <w:rsid w:val="008A6951"/>
    <w:rsid w:val="008A79DE"/>
    <w:rsid w:val="008B0839"/>
    <w:rsid w:val="008B0DE1"/>
    <w:rsid w:val="008B1757"/>
    <w:rsid w:val="008B22CF"/>
    <w:rsid w:val="008B30A9"/>
    <w:rsid w:val="008B639A"/>
    <w:rsid w:val="008B7992"/>
    <w:rsid w:val="008B7C23"/>
    <w:rsid w:val="008B7D7E"/>
    <w:rsid w:val="008C0253"/>
    <w:rsid w:val="008C150F"/>
    <w:rsid w:val="008C2771"/>
    <w:rsid w:val="008C5610"/>
    <w:rsid w:val="008C5739"/>
    <w:rsid w:val="008C6B24"/>
    <w:rsid w:val="008C70CA"/>
    <w:rsid w:val="008C7965"/>
    <w:rsid w:val="008C7ECB"/>
    <w:rsid w:val="008D062E"/>
    <w:rsid w:val="008D0A91"/>
    <w:rsid w:val="008D2D1C"/>
    <w:rsid w:val="008D3B86"/>
    <w:rsid w:val="008D3FE0"/>
    <w:rsid w:val="008D45A5"/>
    <w:rsid w:val="008D4755"/>
    <w:rsid w:val="008D4C3D"/>
    <w:rsid w:val="008D573F"/>
    <w:rsid w:val="008D66EC"/>
    <w:rsid w:val="008D743C"/>
    <w:rsid w:val="008E0D3C"/>
    <w:rsid w:val="008E1617"/>
    <w:rsid w:val="008E1B9E"/>
    <w:rsid w:val="008E2115"/>
    <w:rsid w:val="008E2238"/>
    <w:rsid w:val="008E3FF3"/>
    <w:rsid w:val="008E506A"/>
    <w:rsid w:val="008E55AB"/>
    <w:rsid w:val="008E58BD"/>
    <w:rsid w:val="008E58DE"/>
    <w:rsid w:val="008E662F"/>
    <w:rsid w:val="008F120A"/>
    <w:rsid w:val="008F27E0"/>
    <w:rsid w:val="008F48EB"/>
    <w:rsid w:val="008F4F0B"/>
    <w:rsid w:val="008F4F52"/>
    <w:rsid w:val="008F5B96"/>
    <w:rsid w:val="008F6378"/>
    <w:rsid w:val="0090050A"/>
    <w:rsid w:val="00901FDC"/>
    <w:rsid w:val="00902771"/>
    <w:rsid w:val="00902D64"/>
    <w:rsid w:val="00903A75"/>
    <w:rsid w:val="009045DB"/>
    <w:rsid w:val="009046C4"/>
    <w:rsid w:val="009062A5"/>
    <w:rsid w:val="0090784C"/>
    <w:rsid w:val="00907ED5"/>
    <w:rsid w:val="00910FA7"/>
    <w:rsid w:val="00911119"/>
    <w:rsid w:val="00911272"/>
    <w:rsid w:val="00911883"/>
    <w:rsid w:val="00912C96"/>
    <w:rsid w:val="009135D6"/>
    <w:rsid w:val="00914C77"/>
    <w:rsid w:val="0091729B"/>
    <w:rsid w:val="00921ACB"/>
    <w:rsid w:val="009225A8"/>
    <w:rsid w:val="0092369B"/>
    <w:rsid w:val="00923F09"/>
    <w:rsid w:val="009244BF"/>
    <w:rsid w:val="00925414"/>
    <w:rsid w:val="009257EF"/>
    <w:rsid w:val="00925B59"/>
    <w:rsid w:val="00926CBF"/>
    <w:rsid w:val="00926FEC"/>
    <w:rsid w:val="00930310"/>
    <w:rsid w:val="00930A5A"/>
    <w:rsid w:val="0093112C"/>
    <w:rsid w:val="00932BC1"/>
    <w:rsid w:val="00932DA6"/>
    <w:rsid w:val="009338F0"/>
    <w:rsid w:val="00933D24"/>
    <w:rsid w:val="00934988"/>
    <w:rsid w:val="009351D4"/>
    <w:rsid w:val="00936143"/>
    <w:rsid w:val="00937089"/>
    <w:rsid w:val="00940190"/>
    <w:rsid w:val="00940501"/>
    <w:rsid w:val="009413FE"/>
    <w:rsid w:val="00942E68"/>
    <w:rsid w:val="00943783"/>
    <w:rsid w:val="00943A54"/>
    <w:rsid w:val="00943E54"/>
    <w:rsid w:val="00944F8A"/>
    <w:rsid w:val="009454E2"/>
    <w:rsid w:val="009469C3"/>
    <w:rsid w:val="009510A2"/>
    <w:rsid w:val="00952F68"/>
    <w:rsid w:val="0095319F"/>
    <w:rsid w:val="00953257"/>
    <w:rsid w:val="0095474C"/>
    <w:rsid w:val="00954C27"/>
    <w:rsid w:val="009564C6"/>
    <w:rsid w:val="00957FFA"/>
    <w:rsid w:val="009600C8"/>
    <w:rsid w:val="00960AAA"/>
    <w:rsid w:val="00962B94"/>
    <w:rsid w:val="00962CB9"/>
    <w:rsid w:val="00963100"/>
    <w:rsid w:val="00963FF7"/>
    <w:rsid w:val="00964312"/>
    <w:rsid w:val="00965B8A"/>
    <w:rsid w:val="00965EDE"/>
    <w:rsid w:val="00967CDE"/>
    <w:rsid w:val="00970011"/>
    <w:rsid w:val="009706E6"/>
    <w:rsid w:val="0097071F"/>
    <w:rsid w:val="00970D5A"/>
    <w:rsid w:val="009717AC"/>
    <w:rsid w:val="00972779"/>
    <w:rsid w:val="00974714"/>
    <w:rsid w:val="00974CDF"/>
    <w:rsid w:val="009751C1"/>
    <w:rsid w:val="009763A6"/>
    <w:rsid w:val="009768A6"/>
    <w:rsid w:val="0097792B"/>
    <w:rsid w:val="009811F1"/>
    <w:rsid w:val="009812B6"/>
    <w:rsid w:val="00983E57"/>
    <w:rsid w:val="0098559B"/>
    <w:rsid w:val="009856AB"/>
    <w:rsid w:val="00985966"/>
    <w:rsid w:val="00985DE2"/>
    <w:rsid w:val="00986571"/>
    <w:rsid w:val="0098675D"/>
    <w:rsid w:val="00987BF2"/>
    <w:rsid w:val="009910E7"/>
    <w:rsid w:val="00991E86"/>
    <w:rsid w:val="009926E0"/>
    <w:rsid w:val="0099451E"/>
    <w:rsid w:val="00994614"/>
    <w:rsid w:val="00995063"/>
    <w:rsid w:val="0099677B"/>
    <w:rsid w:val="00996B1A"/>
    <w:rsid w:val="009A04D2"/>
    <w:rsid w:val="009A0843"/>
    <w:rsid w:val="009A2DCC"/>
    <w:rsid w:val="009A5ABC"/>
    <w:rsid w:val="009A7F10"/>
    <w:rsid w:val="009B11FD"/>
    <w:rsid w:val="009B26C9"/>
    <w:rsid w:val="009B33AF"/>
    <w:rsid w:val="009B3E26"/>
    <w:rsid w:val="009B5869"/>
    <w:rsid w:val="009B613C"/>
    <w:rsid w:val="009C0E3D"/>
    <w:rsid w:val="009C12F8"/>
    <w:rsid w:val="009C190A"/>
    <w:rsid w:val="009C219F"/>
    <w:rsid w:val="009C2D0A"/>
    <w:rsid w:val="009C3706"/>
    <w:rsid w:val="009C3A3A"/>
    <w:rsid w:val="009C6383"/>
    <w:rsid w:val="009C6CEA"/>
    <w:rsid w:val="009C7B85"/>
    <w:rsid w:val="009D0254"/>
    <w:rsid w:val="009D1A64"/>
    <w:rsid w:val="009D1AB6"/>
    <w:rsid w:val="009D2E0A"/>
    <w:rsid w:val="009D2E89"/>
    <w:rsid w:val="009D43D5"/>
    <w:rsid w:val="009D457E"/>
    <w:rsid w:val="009D4F25"/>
    <w:rsid w:val="009D523F"/>
    <w:rsid w:val="009D5ABB"/>
    <w:rsid w:val="009D5B91"/>
    <w:rsid w:val="009D62A5"/>
    <w:rsid w:val="009D7162"/>
    <w:rsid w:val="009D753D"/>
    <w:rsid w:val="009D792E"/>
    <w:rsid w:val="009E0DFE"/>
    <w:rsid w:val="009E2F8C"/>
    <w:rsid w:val="009E31F6"/>
    <w:rsid w:val="009E4C07"/>
    <w:rsid w:val="009E5C0C"/>
    <w:rsid w:val="009E621D"/>
    <w:rsid w:val="009E6FAD"/>
    <w:rsid w:val="009E763C"/>
    <w:rsid w:val="009F06EB"/>
    <w:rsid w:val="009F1529"/>
    <w:rsid w:val="009F1D9D"/>
    <w:rsid w:val="009F1EEA"/>
    <w:rsid w:val="009F2E8A"/>
    <w:rsid w:val="009F52B1"/>
    <w:rsid w:val="00A004D3"/>
    <w:rsid w:val="00A01184"/>
    <w:rsid w:val="00A020BA"/>
    <w:rsid w:val="00A03693"/>
    <w:rsid w:val="00A037C2"/>
    <w:rsid w:val="00A03ACC"/>
    <w:rsid w:val="00A03D43"/>
    <w:rsid w:val="00A04380"/>
    <w:rsid w:val="00A050B5"/>
    <w:rsid w:val="00A05472"/>
    <w:rsid w:val="00A0571E"/>
    <w:rsid w:val="00A05C32"/>
    <w:rsid w:val="00A0653F"/>
    <w:rsid w:val="00A07157"/>
    <w:rsid w:val="00A101ED"/>
    <w:rsid w:val="00A11CD0"/>
    <w:rsid w:val="00A135DB"/>
    <w:rsid w:val="00A13775"/>
    <w:rsid w:val="00A13948"/>
    <w:rsid w:val="00A13CB0"/>
    <w:rsid w:val="00A1555B"/>
    <w:rsid w:val="00A155C5"/>
    <w:rsid w:val="00A16AD8"/>
    <w:rsid w:val="00A16EEE"/>
    <w:rsid w:val="00A17A56"/>
    <w:rsid w:val="00A200A2"/>
    <w:rsid w:val="00A20393"/>
    <w:rsid w:val="00A207D6"/>
    <w:rsid w:val="00A21626"/>
    <w:rsid w:val="00A21C95"/>
    <w:rsid w:val="00A21CF3"/>
    <w:rsid w:val="00A24813"/>
    <w:rsid w:val="00A25363"/>
    <w:rsid w:val="00A255AE"/>
    <w:rsid w:val="00A25C01"/>
    <w:rsid w:val="00A2607A"/>
    <w:rsid w:val="00A27AEC"/>
    <w:rsid w:val="00A320DB"/>
    <w:rsid w:val="00A35D16"/>
    <w:rsid w:val="00A36B17"/>
    <w:rsid w:val="00A37BCD"/>
    <w:rsid w:val="00A41689"/>
    <w:rsid w:val="00A41B8A"/>
    <w:rsid w:val="00A41EB5"/>
    <w:rsid w:val="00A42592"/>
    <w:rsid w:val="00A431C6"/>
    <w:rsid w:val="00A43C59"/>
    <w:rsid w:val="00A44401"/>
    <w:rsid w:val="00A46A88"/>
    <w:rsid w:val="00A476DF"/>
    <w:rsid w:val="00A50ECD"/>
    <w:rsid w:val="00A518F3"/>
    <w:rsid w:val="00A522E0"/>
    <w:rsid w:val="00A523BB"/>
    <w:rsid w:val="00A52729"/>
    <w:rsid w:val="00A52983"/>
    <w:rsid w:val="00A53675"/>
    <w:rsid w:val="00A53E89"/>
    <w:rsid w:val="00A5487F"/>
    <w:rsid w:val="00A564D7"/>
    <w:rsid w:val="00A56B6A"/>
    <w:rsid w:val="00A56FB7"/>
    <w:rsid w:val="00A574A1"/>
    <w:rsid w:val="00A578DC"/>
    <w:rsid w:val="00A60EE9"/>
    <w:rsid w:val="00A62809"/>
    <w:rsid w:val="00A640E2"/>
    <w:rsid w:val="00A64524"/>
    <w:rsid w:val="00A64D65"/>
    <w:rsid w:val="00A65FF9"/>
    <w:rsid w:val="00A6725B"/>
    <w:rsid w:val="00A70605"/>
    <w:rsid w:val="00A72C4B"/>
    <w:rsid w:val="00A73134"/>
    <w:rsid w:val="00A74330"/>
    <w:rsid w:val="00A74724"/>
    <w:rsid w:val="00A74D33"/>
    <w:rsid w:val="00A75C2D"/>
    <w:rsid w:val="00A76001"/>
    <w:rsid w:val="00A76BC1"/>
    <w:rsid w:val="00A77112"/>
    <w:rsid w:val="00A777B2"/>
    <w:rsid w:val="00A8101A"/>
    <w:rsid w:val="00A8133B"/>
    <w:rsid w:val="00A81D7F"/>
    <w:rsid w:val="00A82521"/>
    <w:rsid w:val="00A825D4"/>
    <w:rsid w:val="00A828F6"/>
    <w:rsid w:val="00A82B73"/>
    <w:rsid w:val="00A832A9"/>
    <w:rsid w:val="00A83958"/>
    <w:rsid w:val="00A83DC8"/>
    <w:rsid w:val="00A84D63"/>
    <w:rsid w:val="00A85316"/>
    <w:rsid w:val="00A85F14"/>
    <w:rsid w:val="00A8618D"/>
    <w:rsid w:val="00A86E8B"/>
    <w:rsid w:val="00A87164"/>
    <w:rsid w:val="00A90D09"/>
    <w:rsid w:val="00A9167A"/>
    <w:rsid w:val="00A91A7B"/>
    <w:rsid w:val="00A92B36"/>
    <w:rsid w:val="00A93072"/>
    <w:rsid w:val="00A938BD"/>
    <w:rsid w:val="00A93953"/>
    <w:rsid w:val="00A93D58"/>
    <w:rsid w:val="00A943E0"/>
    <w:rsid w:val="00A959D8"/>
    <w:rsid w:val="00A961D6"/>
    <w:rsid w:val="00A9712D"/>
    <w:rsid w:val="00A97F56"/>
    <w:rsid w:val="00AA0FAA"/>
    <w:rsid w:val="00AA113D"/>
    <w:rsid w:val="00AA309D"/>
    <w:rsid w:val="00AA3491"/>
    <w:rsid w:val="00AA359E"/>
    <w:rsid w:val="00AA5861"/>
    <w:rsid w:val="00AA6BD5"/>
    <w:rsid w:val="00AA6BD8"/>
    <w:rsid w:val="00AA6C7D"/>
    <w:rsid w:val="00AA7494"/>
    <w:rsid w:val="00AA75AC"/>
    <w:rsid w:val="00AA7FD6"/>
    <w:rsid w:val="00AB042A"/>
    <w:rsid w:val="00AB0BFE"/>
    <w:rsid w:val="00AB19EF"/>
    <w:rsid w:val="00AB1A9D"/>
    <w:rsid w:val="00AB2D34"/>
    <w:rsid w:val="00AB2DDC"/>
    <w:rsid w:val="00AB2FC5"/>
    <w:rsid w:val="00AB3219"/>
    <w:rsid w:val="00AB3430"/>
    <w:rsid w:val="00AB37B9"/>
    <w:rsid w:val="00AB4AD1"/>
    <w:rsid w:val="00AB5D4E"/>
    <w:rsid w:val="00AB5E07"/>
    <w:rsid w:val="00AB7CFA"/>
    <w:rsid w:val="00AC2528"/>
    <w:rsid w:val="00AC592E"/>
    <w:rsid w:val="00AC5B48"/>
    <w:rsid w:val="00AC7F7E"/>
    <w:rsid w:val="00AD00D2"/>
    <w:rsid w:val="00AD1450"/>
    <w:rsid w:val="00AD15C1"/>
    <w:rsid w:val="00AD1A97"/>
    <w:rsid w:val="00AD24EC"/>
    <w:rsid w:val="00AD2CCF"/>
    <w:rsid w:val="00AD47D1"/>
    <w:rsid w:val="00AD4A51"/>
    <w:rsid w:val="00AD5AD5"/>
    <w:rsid w:val="00AD6502"/>
    <w:rsid w:val="00AD73D1"/>
    <w:rsid w:val="00AD7472"/>
    <w:rsid w:val="00AE0695"/>
    <w:rsid w:val="00AE0F43"/>
    <w:rsid w:val="00AE2FFB"/>
    <w:rsid w:val="00AE36EF"/>
    <w:rsid w:val="00AE39CC"/>
    <w:rsid w:val="00AE3E7E"/>
    <w:rsid w:val="00AE460B"/>
    <w:rsid w:val="00AE4E49"/>
    <w:rsid w:val="00AE50DF"/>
    <w:rsid w:val="00AE5A0D"/>
    <w:rsid w:val="00AE6DF8"/>
    <w:rsid w:val="00AF06C7"/>
    <w:rsid w:val="00AF1315"/>
    <w:rsid w:val="00AF19BF"/>
    <w:rsid w:val="00AF1A9F"/>
    <w:rsid w:val="00AF230D"/>
    <w:rsid w:val="00AF2644"/>
    <w:rsid w:val="00AF2DC3"/>
    <w:rsid w:val="00AF2DDD"/>
    <w:rsid w:val="00AF417A"/>
    <w:rsid w:val="00AF4491"/>
    <w:rsid w:val="00AF4D8A"/>
    <w:rsid w:val="00AF6841"/>
    <w:rsid w:val="00AF77D1"/>
    <w:rsid w:val="00B00440"/>
    <w:rsid w:val="00B033E5"/>
    <w:rsid w:val="00B03A63"/>
    <w:rsid w:val="00B04146"/>
    <w:rsid w:val="00B046C1"/>
    <w:rsid w:val="00B04BE3"/>
    <w:rsid w:val="00B07353"/>
    <w:rsid w:val="00B106D8"/>
    <w:rsid w:val="00B11F66"/>
    <w:rsid w:val="00B140BD"/>
    <w:rsid w:val="00B150F4"/>
    <w:rsid w:val="00B15846"/>
    <w:rsid w:val="00B15F03"/>
    <w:rsid w:val="00B1680D"/>
    <w:rsid w:val="00B201A4"/>
    <w:rsid w:val="00B201C0"/>
    <w:rsid w:val="00B201D1"/>
    <w:rsid w:val="00B213A6"/>
    <w:rsid w:val="00B21ACB"/>
    <w:rsid w:val="00B23584"/>
    <w:rsid w:val="00B235B0"/>
    <w:rsid w:val="00B24DF6"/>
    <w:rsid w:val="00B264DD"/>
    <w:rsid w:val="00B270B6"/>
    <w:rsid w:val="00B31CC0"/>
    <w:rsid w:val="00B32553"/>
    <w:rsid w:val="00B33BDB"/>
    <w:rsid w:val="00B33FC5"/>
    <w:rsid w:val="00B34FE2"/>
    <w:rsid w:val="00B35166"/>
    <w:rsid w:val="00B357D8"/>
    <w:rsid w:val="00B360F4"/>
    <w:rsid w:val="00B36A00"/>
    <w:rsid w:val="00B37BFC"/>
    <w:rsid w:val="00B40358"/>
    <w:rsid w:val="00B41614"/>
    <w:rsid w:val="00B41DD3"/>
    <w:rsid w:val="00B41F72"/>
    <w:rsid w:val="00B42851"/>
    <w:rsid w:val="00B42F80"/>
    <w:rsid w:val="00B435CB"/>
    <w:rsid w:val="00B44F13"/>
    <w:rsid w:val="00B505C8"/>
    <w:rsid w:val="00B50AED"/>
    <w:rsid w:val="00B50C9C"/>
    <w:rsid w:val="00B50DB8"/>
    <w:rsid w:val="00B5147D"/>
    <w:rsid w:val="00B51C24"/>
    <w:rsid w:val="00B528D4"/>
    <w:rsid w:val="00B53654"/>
    <w:rsid w:val="00B53905"/>
    <w:rsid w:val="00B54721"/>
    <w:rsid w:val="00B54B5B"/>
    <w:rsid w:val="00B55222"/>
    <w:rsid w:val="00B5562E"/>
    <w:rsid w:val="00B55D65"/>
    <w:rsid w:val="00B57000"/>
    <w:rsid w:val="00B6003F"/>
    <w:rsid w:val="00B60939"/>
    <w:rsid w:val="00B60AFD"/>
    <w:rsid w:val="00B62288"/>
    <w:rsid w:val="00B62715"/>
    <w:rsid w:val="00B62FBD"/>
    <w:rsid w:val="00B65611"/>
    <w:rsid w:val="00B65612"/>
    <w:rsid w:val="00B65E7C"/>
    <w:rsid w:val="00B67728"/>
    <w:rsid w:val="00B70E8E"/>
    <w:rsid w:val="00B71E3B"/>
    <w:rsid w:val="00B7295A"/>
    <w:rsid w:val="00B74C64"/>
    <w:rsid w:val="00B759A5"/>
    <w:rsid w:val="00B75B47"/>
    <w:rsid w:val="00B75F18"/>
    <w:rsid w:val="00B762F0"/>
    <w:rsid w:val="00B76C92"/>
    <w:rsid w:val="00B805CD"/>
    <w:rsid w:val="00B806A3"/>
    <w:rsid w:val="00B80AD9"/>
    <w:rsid w:val="00B818A4"/>
    <w:rsid w:val="00B8205D"/>
    <w:rsid w:val="00B82F6F"/>
    <w:rsid w:val="00B84117"/>
    <w:rsid w:val="00B853B1"/>
    <w:rsid w:val="00B858F0"/>
    <w:rsid w:val="00B85AA2"/>
    <w:rsid w:val="00B8649C"/>
    <w:rsid w:val="00B8667B"/>
    <w:rsid w:val="00B8695D"/>
    <w:rsid w:val="00B86BEA"/>
    <w:rsid w:val="00B879F6"/>
    <w:rsid w:val="00B87F0A"/>
    <w:rsid w:val="00B90568"/>
    <w:rsid w:val="00B90831"/>
    <w:rsid w:val="00B908FF"/>
    <w:rsid w:val="00B91586"/>
    <w:rsid w:val="00B917F4"/>
    <w:rsid w:val="00B91A9B"/>
    <w:rsid w:val="00B920C4"/>
    <w:rsid w:val="00B92D0B"/>
    <w:rsid w:val="00B933B5"/>
    <w:rsid w:val="00B94945"/>
    <w:rsid w:val="00B94DD6"/>
    <w:rsid w:val="00B95607"/>
    <w:rsid w:val="00B95E05"/>
    <w:rsid w:val="00B95F21"/>
    <w:rsid w:val="00B96558"/>
    <w:rsid w:val="00B97102"/>
    <w:rsid w:val="00BA0E00"/>
    <w:rsid w:val="00BA10F4"/>
    <w:rsid w:val="00BA1DC9"/>
    <w:rsid w:val="00BA2026"/>
    <w:rsid w:val="00BA2244"/>
    <w:rsid w:val="00BA2DF5"/>
    <w:rsid w:val="00BA322D"/>
    <w:rsid w:val="00BA36DD"/>
    <w:rsid w:val="00BA4EC8"/>
    <w:rsid w:val="00BA63FA"/>
    <w:rsid w:val="00BB00B3"/>
    <w:rsid w:val="00BB0BDD"/>
    <w:rsid w:val="00BB152B"/>
    <w:rsid w:val="00BB176C"/>
    <w:rsid w:val="00BB20C3"/>
    <w:rsid w:val="00BB24DD"/>
    <w:rsid w:val="00BB2A73"/>
    <w:rsid w:val="00BB2BE9"/>
    <w:rsid w:val="00BB3A45"/>
    <w:rsid w:val="00BB3C9C"/>
    <w:rsid w:val="00BB40D2"/>
    <w:rsid w:val="00BB411F"/>
    <w:rsid w:val="00BB45EC"/>
    <w:rsid w:val="00BB4ACC"/>
    <w:rsid w:val="00BB4B9F"/>
    <w:rsid w:val="00BB6F26"/>
    <w:rsid w:val="00BB703E"/>
    <w:rsid w:val="00BB732D"/>
    <w:rsid w:val="00BB7405"/>
    <w:rsid w:val="00BC2708"/>
    <w:rsid w:val="00BC35F7"/>
    <w:rsid w:val="00BC3631"/>
    <w:rsid w:val="00BC413C"/>
    <w:rsid w:val="00BC4B26"/>
    <w:rsid w:val="00BC591F"/>
    <w:rsid w:val="00BC59EB"/>
    <w:rsid w:val="00BC6883"/>
    <w:rsid w:val="00BC7D6D"/>
    <w:rsid w:val="00BD02AB"/>
    <w:rsid w:val="00BD0AA7"/>
    <w:rsid w:val="00BD1132"/>
    <w:rsid w:val="00BD1DBB"/>
    <w:rsid w:val="00BD2108"/>
    <w:rsid w:val="00BD237E"/>
    <w:rsid w:val="00BD25B7"/>
    <w:rsid w:val="00BD4D98"/>
    <w:rsid w:val="00BD56BE"/>
    <w:rsid w:val="00BD610A"/>
    <w:rsid w:val="00BD68A3"/>
    <w:rsid w:val="00BD6938"/>
    <w:rsid w:val="00BD6CF3"/>
    <w:rsid w:val="00BD7934"/>
    <w:rsid w:val="00BE0ECA"/>
    <w:rsid w:val="00BE2180"/>
    <w:rsid w:val="00BE21F2"/>
    <w:rsid w:val="00BE3712"/>
    <w:rsid w:val="00BE4275"/>
    <w:rsid w:val="00BE48E8"/>
    <w:rsid w:val="00BE4996"/>
    <w:rsid w:val="00BE4AF4"/>
    <w:rsid w:val="00BE5346"/>
    <w:rsid w:val="00BE642E"/>
    <w:rsid w:val="00BE6BA5"/>
    <w:rsid w:val="00BF026E"/>
    <w:rsid w:val="00BF06AE"/>
    <w:rsid w:val="00BF0F95"/>
    <w:rsid w:val="00BF1A6F"/>
    <w:rsid w:val="00BF2433"/>
    <w:rsid w:val="00BF329F"/>
    <w:rsid w:val="00BF3F80"/>
    <w:rsid w:val="00BF55CF"/>
    <w:rsid w:val="00BF5BE2"/>
    <w:rsid w:val="00BF61C9"/>
    <w:rsid w:val="00BF6C94"/>
    <w:rsid w:val="00C00424"/>
    <w:rsid w:val="00C008D2"/>
    <w:rsid w:val="00C01113"/>
    <w:rsid w:val="00C0124D"/>
    <w:rsid w:val="00C02090"/>
    <w:rsid w:val="00C0454F"/>
    <w:rsid w:val="00C0485D"/>
    <w:rsid w:val="00C05751"/>
    <w:rsid w:val="00C06DB4"/>
    <w:rsid w:val="00C06F7F"/>
    <w:rsid w:val="00C101A1"/>
    <w:rsid w:val="00C1179F"/>
    <w:rsid w:val="00C12C14"/>
    <w:rsid w:val="00C13CF5"/>
    <w:rsid w:val="00C1435E"/>
    <w:rsid w:val="00C15078"/>
    <w:rsid w:val="00C15F04"/>
    <w:rsid w:val="00C1654D"/>
    <w:rsid w:val="00C16E71"/>
    <w:rsid w:val="00C16E7D"/>
    <w:rsid w:val="00C16F3F"/>
    <w:rsid w:val="00C177D8"/>
    <w:rsid w:val="00C179B3"/>
    <w:rsid w:val="00C17D43"/>
    <w:rsid w:val="00C17E3F"/>
    <w:rsid w:val="00C17FFD"/>
    <w:rsid w:val="00C200AA"/>
    <w:rsid w:val="00C20B6C"/>
    <w:rsid w:val="00C22BD5"/>
    <w:rsid w:val="00C22C79"/>
    <w:rsid w:val="00C237ED"/>
    <w:rsid w:val="00C24632"/>
    <w:rsid w:val="00C24AE1"/>
    <w:rsid w:val="00C24D2B"/>
    <w:rsid w:val="00C25418"/>
    <w:rsid w:val="00C25D9C"/>
    <w:rsid w:val="00C2778B"/>
    <w:rsid w:val="00C307B2"/>
    <w:rsid w:val="00C31649"/>
    <w:rsid w:val="00C3434C"/>
    <w:rsid w:val="00C37696"/>
    <w:rsid w:val="00C37B67"/>
    <w:rsid w:val="00C40385"/>
    <w:rsid w:val="00C4126B"/>
    <w:rsid w:val="00C41768"/>
    <w:rsid w:val="00C42D7C"/>
    <w:rsid w:val="00C4405F"/>
    <w:rsid w:val="00C45309"/>
    <w:rsid w:val="00C46172"/>
    <w:rsid w:val="00C47004"/>
    <w:rsid w:val="00C475AA"/>
    <w:rsid w:val="00C47C0F"/>
    <w:rsid w:val="00C5371E"/>
    <w:rsid w:val="00C53C98"/>
    <w:rsid w:val="00C553DA"/>
    <w:rsid w:val="00C55BFC"/>
    <w:rsid w:val="00C56225"/>
    <w:rsid w:val="00C56FCF"/>
    <w:rsid w:val="00C57B6C"/>
    <w:rsid w:val="00C614B1"/>
    <w:rsid w:val="00C622C7"/>
    <w:rsid w:val="00C628A6"/>
    <w:rsid w:val="00C632AB"/>
    <w:rsid w:val="00C64344"/>
    <w:rsid w:val="00C65108"/>
    <w:rsid w:val="00C65576"/>
    <w:rsid w:val="00C66165"/>
    <w:rsid w:val="00C67CF3"/>
    <w:rsid w:val="00C70409"/>
    <w:rsid w:val="00C7060A"/>
    <w:rsid w:val="00C707E2"/>
    <w:rsid w:val="00C7151A"/>
    <w:rsid w:val="00C717E3"/>
    <w:rsid w:val="00C71F60"/>
    <w:rsid w:val="00C72241"/>
    <w:rsid w:val="00C727BB"/>
    <w:rsid w:val="00C72B3A"/>
    <w:rsid w:val="00C73823"/>
    <w:rsid w:val="00C73C06"/>
    <w:rsid w:val="00C74699"/>
    <w:rsid w:val="00C750C8"/>
    <w:rsid w:val="00C7560F"/>
    <w:rsid w:val="00C7766A"/>
    <w:rsid w:val="00C80A0E"/>
    <w:rsid w:val="00C80A22"/>
    <w:rsid w:val="00C82052"/>
    <w:rsid w:val="00C8213F"/>
    <w:rsid w:val="00C82829"/>
    <w:rsid w:val="00C82D2B"/>
    <w:rsid w:val="00C83821"/>
    <w:rsid w:val="00C85154"/>
    <w:rsid w:val="00C86B49"/>
    <w:rsid w:val="00C8797A"/>
    <w:rsid w:val="00C900B8"/>
    <w:rsid w:val="00C90C71"/>
    <w:rsid w:val="00C9149A"/>
    <w:rsid w:val="00C91FD1"/>
    <w:rsid w:val="00C92C2F"/>
    <w:rsid w:val="00C931CF"/>
    <w:rsid w:val="00C938CF"/>
    <w:rsid w:val="00C94053"/>
    <w:rsid w:val="00C95E4E"/>
    <w:rsid w:val="00C9624D"/>
    <w:rsid w:val="00C969DA"/>
    <w:rsid w:val="00C97095"/>
    <w:rsid w:val="00C97CA5"/>
    <w:rsid w:val="00CA0D9B"/>
    <w:rsid w:val="00CA28C3"/>
    <w:rsid w:val="00CA2C26"/>
    <w:rsid w:val="00CA2C77"/>
    <w:rsid w:val="00CA2ECA"/>
    <w:rsid w:val="00CA444F"/>
    <w:rsid w:val="00CA5245"/>
    <w:rsid w:val="00CA6366"/>
    <w:rsid w:val="00CA719B"/>
    <w:rsid w:val="00CA71F4"/>
    <w:rsid w:val="00CA7B09"/>
    <w:rsid w:val="00CB12A5"/>
    <w:rsid w:val="00CB1855"/>
    <w:rsid w:val="00CB1CAC"/>
    <w:rsid w:val="00CB1F46"/>
    <w:rsid w:val="00CB20C1"/>
    <w:rsid w:val="00CB2F2A"/>
    <w:rsid w:val="00CB3503"/>
    <w:rsid w:val="00CB3AF2"/>
    <w:rsid w:val="00CB4696"/>
    <w:rsid w:val="00CB5B1A"/>
    <w:rsid w:val="00CB6B22"/>
    <w:rsid w:val="00CB7F5F"/>
    <w:rsid w:val="00CC054D"/>
    <w:rsid w:val="00CC0BE8"/>
    <w:rsid w:val="00CC0CFE"/>
    <w:rsid w:val="00CC13CC"/>
    <w:rsid w:val="00CC1B39"/>
    <w:rsid w:val="00CC1BE9"/>
    <w:rsid w:val="00CC3169"/>
    <w:rsid w:val="00CC3216"/>
    <w:rsid w:val="00CC35EA"/>
    <w:rsid w:val="00CC3848"/>
    <w:rsid w:val="00CC4828"/>
    <w:rsid w:val="00CC4D2E"/>
    <w:rsid w:val="00CC631E"/>
    <w:rsid w:val="00CC7554"/>
    <w:rsid w:val="00CD1BC7"/>
    <w:rsid w:val="00CD1C77"/>
    <w:rsid w:val="00CD3F77"/>
    <w:rsid w:val="00CD4742"/>
    <w:rsid w:val="00CD4932"/>
    <w:rsid w:val="00CD4C30"/>
    <w:rsid w:val="00CD525F"/>
    <w:rsid w:val="00CD5E6F"/>
    <w:rsid w:val="00CD6992"/>
    <w:rsid w:val="00CD6ADC"/>
    <w:rsid w:val="00CD70B3"/>
    <w:rsid w:val="00CD7193"/>
    <w:rsid w:val="00CE10CB"/>
    <w:rsid w:val="00CE1EA6"/>
    <w:rsid w:val="00CE268A"/>
    <w:rsid w:val="00CE38C8"/>
    <w:rsid w:val="00CE41EA"/>
    <w:rsid w:val="00CE4533"/>
    <w:rsid w:val="00CE4F75"/>
    <w:rsid w:val="00CE5F05"/>
    <w:rsid w:val="00CE6274"/>
    <w:rsid w:val="00CE6AA6"/>
    <w:rsid w:val="00CE77B6"/>
    <w:rsid w:val="00CE7F8C"/>
    <w:rsid w:val="00CF0981"/>
    <w:rsid w:val="00CF0A56"/>
    <w:rsid w:val="00CF190A"/>
    <w:rsid w:val="00CF2B8D"/>
    <w:rsid w:val="00CF3BFA"/>
    <w:rsid w:val="00CF4125"/>
    <w:rsid w:val="00CF456B"/>
    <w:rsid w:val="00CF5A22"/>
    <w:rsid w:val="00CF5E13"/>
    <w:rsid w:val="00CF6CDB"/>
    <w:rsid w:val="00D00DFA"/>
    <w:rsid w:val="00D00E05"/>
    <w:rsid w:val="00D0143C"/>
    <w:rsid w:val="00D01A8B"/>
    <w:rsid w:val="00D01CF3"/>
    <w:rsid w:val="00D0262E"/>
    <w:rsid w:val="00D0315F"/>
    <w:rsid w:val="00D04A5E"/>
    <w:rsid w:val="00D0527E"/>
    <w:rsid w:val="00D05E3D"/>
    <w:rsid w:val="00D06139"/>
    <w:rsid w:val="00D110BD"/>
    <w:rsid w:val="00D12E85"/>
    <w:rsid w:val="00D13675"/>
    <w:rsid w:val="00D13A50"/>
    <w:rsid w:val="00D141E1"/>
    <w:rsid w:val="00D14ADC"/>
    <w:rsid w:val="00D15288"/>
    <w:rsid w:val="00D15314"/>
    <w:rsid w:val="00D163F1"/>
    <w:rsid w:val="00D17D6C"/>
    <w:rsid w:val="00D20324"/>
    <w:rsid w:val="00D211BA"/>
    <w:rsid w:val="00D2155B"/>
    <w:rsid w:val="00D21ECD"/>
    <w:rsid w:val="00D21EEA"/>
    <w:rsid w:val="00D23D11"/>
    <w:rsid w:val="00D244B6"/>
    <w:rsid w:val="00D263BC"/>
    <w:rsid w:val="00D2754D"/>
    <w:rsid w:val="00D27B27"/>
    <w:rsid w:val="00D30A07"/>
    <w:rsid w:val="00D31A35"/>
    <w:rsid w:val="00D31F5A"/>
    <w:rsid w:val="00D32529"/>
    <w:rsid w:val="00D33BE9"/>
    <w:rsid w:val="00D33F93"/>
    <w:rsid w:val="00D357FF"/>
    <w:rsid w:val="00D37413"/>
    <w:rsid w:val="00D40506"/>
    <w:rsid w:val="00D40BCB"/>
    <w:rsid w:val="00D4220C"/>
    <w:rsid w:val="00D424C7"/>
    <w:rsid w:val="00D43B2A"/>
    <w:rsid w:val="00D43D83"/>
    <w:rsid w:val="00D4499D"/>
    <w:rsid w:val="00D44BF9"/>
    <w:rsid w:val="00D47575"/>
    <w:rsid w:val="00D50FB9"/>
    <w:rsid w:val="00D5243B"/>
    <w:rsid w:val="00D52BD2"/>
    <w:rsid w:val="00D52C6E"/>
    <w:rsid w:val="00D52FF0"/>
    <w:rsid w:val="00D533EC"/>
    <w:rsid w:val="00D535AB"/>
    <w:rsid w:val="00D53B79"/>
    <w:rsid w:val="00D54195"/>
    <w:rsid w:val="00D547DE"/>
    <w:rsid w:val="00D5568C"/>
    <w:rsid w:val="00D55738"/>
    <w:rsid w:val="00D56A95"/>
    <w:rsid w:val="00D578DE"/>
    <w:rsid w:val="00D579C8"/>
    <w:rsid w:val="00D610E4"/>
    <w:rsid w:val="00D63006"/>
    <w:rsid w:val="00D63251"/>
    <w:rsid w:val="00D6342C"/>
    <w:rsid w:val="00D63950"/>
    <w:rsid w:val="00D642D7"/>
    <w:rsid w:val="00D66869"/>
    <w:rsid w:val="00D70F16"/>
    <w:rsid w:val="00D71E47"/>
    <w:rsid w:val="00D71EA6"/>
    <w:rsid w:val="00D72F57"/>
    <w:rsid w:val="00D74C98"/>
    <w:rsid w:val="00D76A44"/>
    <w:rsid w:val="00D771C2"/>
    <w:rsid w:val="00D815EF"/>
    <w:rsid w:val="00D81D6D"/>
    <w:rsid w:val="00D81F26"/>
    <w:rsid w:val="00D82199"/>
    <w:rsid w:val="00D8219C"/>
    <w:rsid w:val="00D822F5"/>
    <w:rsid w:val="00D8402E"/>
    <w:rsid w:val="00D84FA8"/>
    <w:rsid w:val="00D86231"/>
    <w:rsid w:val="00D87705"/>
    <w:rsid w:val="00D90C5A"/>
    <w:rsid w:val="00D91923"/>
    <w:rsid w:val="00D91CDF"/>
    <w:rsid w:val="00D9338E"/>
    <w:rsid w:val="00D93753"/>
    <w:rsid w:val="00D94010"/>
    <w:rsid w:val="00D9420C"/>
    <w:rsid w:val="00D94432"/>
    <w:rsid w:val="00D94A44"/>
    <w:rsid w:val="00D94F0E"/>
    <w:rsid w:val="00D959AB"/>
    <w:rsid w:val="00D97BB4"/>
    <w:rsid w:val="00DA1527"/>
    <w:rsid w:val="00DA19EA"/>
    <w:rsid w:val="00DA1B7F"/>
    <w:rsid w:val="00DA1FEA"/>
    <w:rsid w:val="00DA221E"/>
    <w:rsid w:val="00DA24BC"/>
    <w:rsid w:val="00DA270D"/>
    <w:rsid w:val="00DA3167"/>
    <w:rsid w:val="00DA3BBF"/>
    <w:rsid w:val="00DA405B"/>
    <w:rsid w:val="00DA4DC3"/>
    <w:rsid w:val="00DA6DD5"/>
    <w:rsid w:val="00DA77A5"/>
    <w:rsid w:val="00DB0E8A"/>
    <w:rsid w:val="00DB17DB"/>
    <w:rsid w:val="00DB30DC"/>
    <w:rsid w:val="00DB3604"/>
    <w:rsid w:val="00DB3D05"/>
    <w:rsid w:val="00DB3DBF"/>
    <w:rsid w:val="00DB4735"/>
    <w:rsid w:val="00DB484F"/>
    <w:rsid w:val="00DC04F6"/>
    <w:rsid w:val="00DC0690"/>
    <w:rsid w:val="00DC14F4"/>
    <w:rsid w:val="00DC1A46"/>
    <w:rsid w:val="00DC1D65"/>
    <w:rsid w:val="00DC38AD"/>
    <w:rsid w:val="00DC3C57"/>
    <w:rsid w:val="00DC4118"/>
    <w:rsid w:val="00DC51C9"/>
    <w:rsid w:val="00DC5501"/>
    <w:rsid w:val="00DC5AF8"/>
    <w:rsid w:val="00DC5ECD"/>
    <w:rsid w:val="00DC68CD"/>
    <w:rsid w:val="00DC7154"/>
    <w:rsid w:val="00DC783B"/>
    <w:rsid w:val="00DC7E8A"/>
    <w:rsid w:val="00DD0039"/>
    <w:rsid w:val="00DD01A1"/>
    <w:rsid w:val="00DD0475"/>
    <w:rsid w:val="00DD069D"/>
    <w:rsid w:val="00DD086F"/>
    <w:rsid w:val="00DD0C5E"/>
    <w:rsid w:val="00DD0DB3"/>
    <w:rsid w:val="00DD0F78"/>
    <w:rsid w:val="00DD2407"/>
    <w:rsid w:val="00DD273C"/>
    <w:rsid w:val="00DD3F28"/>
    <w:rsid w:val="00DD4287"/>
    <w:rsid w:val="00DD4537"/>
    <w:rsid w:val="00DD4E15"/>
    <w:rsid w:val="00DD5BD8"/>
    <w:rsid w:val="00DD7817"/>
    <w:rsid w:val="00DE0C20"/>
    <w:rsid w:val="00DE1247"/>
    <w:rsid w:val="00DE1845"/>
    <w:rsid w:val="00DE1C43"/>
    <w:rsid w:val="00DE229F"/>
    <w:rsid w:val="00DE2304"/>
    <w:rsid w:val="00DE3138"/>
    <w:rsid w:val="00DE37F8"/>
    <w:rsid w:val="00DE4FCB"/>
    <w:rsid w:val="00DE5BF0"/>
    <w:rsid w:val="00DE5D07"/>
    <w:rsid w:val="00DE6135"/>
    <w:rsid w:val="00DE67C9"/>
    <w:rsid w:val="00DE72A7"/>
    <w:rsid w:val="00DE7330"/>
    <w:rsid w:val="00DE7832"/>
    <w:rsid w:val="00DF00F5"/>
    <w:rsid w:val="00DF18FC"/>
    <w:rsid w:val="00DF1E00"/>
    <w:rsid w:val="00DF31A6"/>
    <w:rsid w:val="00DF38CF"/>
    <w:rsid w:val="00DF44FC"/>
    <w:rsid w:val="00DF5BE0"/>
    <w:rsid w:val="00DF5D2B"/>
    <w:rsid w:val="00DF5FC5"/>
    <w:rsid w:val="00DF669F"/>
    <w:rsid w:val="00DF6731"/>
    <w:rsid w:val="00DF71B7"/>
    <w:rsid w:val="00DF7CF7"/>
    <w:rsid w:val="00E00A9A"/>
    <w:rsid w:val="00E00C36"/>
    <w:rsid w:val="00E00E8E"/>
    <w:rsid w:val="00E02515"/>
    <w:rsid w:val="00E039B5"/>
    <w:rsid w:val="00E0423C"/>
    <w:rsid w:val="00E05630"/>
    <w:rsid w:val="00E06795"/>
    <w:rsid w:val="00E06810"/>
    <w:rsid w:val="00E06A09"/>
    <w:rsid w:val="00E06DBB"/>
    <w:rsid w:val="00E06DD0"/>
    <w:rsid w:val="00E07067"/>
    <w:rsid w:val="00E10149"/>
    <w:rsid w:val="00E11340"/>
    <w:rsid w:val="00E1217D"/>
    <w:rsid w:val="00E122A1"/>
    <w:rsid w:val="00E13438"/>
    <w:rsid w:val="00E13B36"/>
    <w:rsid w:val="00E13E14"/>
    <w:rsid w:val="00E1425A"/>
    <w:rsid w:val="00E14390"/>
    <w:rsid w:val="00E15A85"/>
    <w:rsid w:val="00E16372"/>
    <w:rsid w:val="00E20BF1"/>
    <w:rsid w:val="00E20E4D"/>
    <w:rsid w:val="00E20ED6"/>
    <w:rsid w:val="00E21358"/>
    <w:rsid w:val="00E2137D"/>
    <w:rsid w:val="00E21CBA"/>
    <w:rsid w:val="00E2249B"/>
    <w:rsid w:val="00E22997"/>
    <w:rsid w:val="00E22A0D"/>
    <w:rsid w:val="00E244F6"/>
    <w:rsid w:val="00E26506"/>
    <w:rsid w:val="00E2746F"/>
    <w:rsid w:val="00E2771E"/>
    <w:rsid w:val="00E30327"/>
    <w:rsid w:val="00E309A1"/>
    <w:rsid w:val="00E30EC3"/>
    <w:rsid w:val="00E311EF"/>
    <w:rsid w:val="00E31923"/>
    <w:rsid w:val="00E32180"/>
    <w:rsid w:val="00E32837"/>
    <w:rsid w:val="00E32A17"/>
    <w:rsid w:val="00E32F08"/>
    <w:rsid w:val="00E33094"/>
    <w:rsid w:val="00E34126"/>
    <w:rsid w:val="00E34948"/>
    <w:rsid w:val="00E349EB"/>
    <w:rsid w:val="00E3554D"/>
    <w:rsid w:val="00E35CFE"/>
    <w:rsid w:val="00E36AF4"/>
    <w:rsid w:val="00E36C41"/>
    <w:rsid w:val="00E37569"/>
    <w:rsid w:val="00E37B70"/>
    <w:rsid w:val="00E401B2"/>
    <w:rsid w:val="00E41744"/>
    <w:rsid w:val="00E41E30"/>
    <w:rsid w:val="00E42F73"/>
    <w:rsid w:val="00E43D70"/>
    <w:rsid w:val="00E44BAB"/>
    <w:rsid w:val="00E454B3"/>
    <w:rsid w:val="00E45DB5"/>
    <w:rsid w:val="00E46556"/>
    <w:rsid w:val="00E466F3"/>
    <w:rsid w:val="00E47B2C"/>
    <w:rsid w:val="00E47D69"/>
    <w:rsid w:val="00E47D8F"/>
    <w:rsid w:val="00E51560"/>
    <w:rsid w:val="00E53FC8"/>
    <w:rsid w:val="00E54347"/>
    <w:rsid w:val="00E544FA"/>
    <w:rsid w:val="00E55424"/>
    <w:rsid w:val="00E5544B"/>
    <w:rsid w:val="00E55915"/>
    <w:rsid w:val="00E55BB5"/>
    <w:rsid w:val="00E57B70"/>
    <w:rsid w:val="00E57E72"/>
    <w:rsid w:val="00E6280B"/>
    <w:rsid w:val="00E65E79"/>
    <w:rsid w:val="00E6653C"/>
    <w:rsid w:val="00E668B2"/>
    <w:rsid w:val="00E66BA2"/>
    <w:rsid w:val="00E67416"/>
    <w:rsid w:val="00E70D89"/>
    <w:rsid w:val="00E7156A"/>
    <w:rsid w:val="00E718B6"/>
    <w:rsid w:val="00E723BA"/>
    <w:rsid w:val="00E73581"/>
    <w:rsid w:val="00E739CF"/>
    <w:rsid w:val="00E751A7"/>
    <w:rsid w:val="00E80EAA"/>
    <w:rsid w:val="00E818F5"/>
    <w:rsid w:val="00E833F7"/>
    <w:rsid w:val="00E8371E"/>
    <w:rsid w:val="00E83A42"/>
    <w:rsid w:val="00E83BDF"/>
    <w:rsid w:val="00E84C84"/>
    <w:rsid w:val="00E8738B"/>
    <w:rsid w:val="00E87A1D"/>
    <w:rsid w:val="00E9094A"/>
    <w:rsid w:val="00E90E0C"/>
    <w:rsid w:val="00E91979"/>
    <w:rsid w:val="00E91A45"/>
    <w:rsid w:val="00E91D35"/>
    <w:rsid w:val="00E91DF4"/>
    <w:rsid w:val="00E926A5"/>
    <w:rsid w:val="00E935F9"/>
    <w:rsid w:val="00E949E0"/>
    <w:rsid w:val="00EA03B7"/>
    <w:rsid w:val="00EA07E2"/>
    <w:rsid w:val="00EA1743"/>
    <w:rsid w:val="00EA17C3"/>
    <w:rsid w:val="00EA1B79"/>
    <w:rsid w:val="00EA2225"/>
    <w:rsid w:val="00EA2B66"/>
    <w:rsid w:val="00EA2CAA"/>
    <w:rsid w:val="00EA3864"/>
    <w:rsid w:val="00EA6C8E"/>
    <w:rsid w:val="00EA6E41"/>
    <w:rsid w:val="00EA763D"/>
    <w:rsid w:val="00EA7F1C"/>
    <w:rsid w:val="00EB08BB"/>
    <w:rsid w:val="00EB15B6"/>
    <w:rsid w:val="00EB1F19"/>
    <w:rsid w:val="00EB3730"/>
    <w:rsid w:val="00EB3D06"/>
    <w:rsid w:val="00EB4916"/>
    <w:rsid w:val="00EB704A"/>
    <w:rsid w:val="00EB7EC8"/>
    <w:rsid w:val="00EC00C9"/>
    <w:rsid w:val="00EC0C6C"/>
    <w:rsid w:val="00EC0DD9"/>
    <w:rsid w:val="00EC13F0"/>
    <w:rsid w:val="00EC18B7"/>
    <w:rsid w:val="00EC1996"/>
    <w:rsid w:val="00EC2649"/>
    <w:rsid w:val="00EC31ED"/>
    <w:rsid w:val="00EC3465"/>
    <w:rsid w:val="00EC3650"/>
    <w:rsid w:val="00EC3E05"/>
    <w:rsid w:val="00EC5836"/>
    <w:rsid w:val="00EC5E22"/>
    <w:rsid w:val="00EC63FB"/>
    <w:rsid w:val="00EC688C"/>
    <w:rsid w:val="00EC6A38"/>
    <w:rsid w:val="00EC6CA4"/>
    <w:rsid w:val="00ED0EF2"/>
    <w:rsid w:val="00ED142F"/>
    <w:rsid w:val="00ED14B8"/>
    <w:rsid w:val="00ED3003"/>
    <w:rsid w:val="00ED3527"/>
    <w:rsid w:val="00ED4AB0"/>
    <w:rsid w:val="00ED57EA"/>
    <w:rsid w:val="00ED5BD4"/>
    <w:rsid w:val="00ED5C8C"/>
    <w:rsid w:val="00ED5F70"/>
    <w:rsid w:val="00ED62DF"/>
    <w:rsid w:val="00ED6ADA"/>
    <w:rsid w:val="00EE07D3"/>
    <w:rsid w:val="00EE15B0"/>
    <w:rsid w:val="00EE1996"/>
    <w:rsid w:val="00EE1C01"/>
    <w:rsid w:val="00EE22AF"/>
    <w:rsid w:val="00EE4619"/>
    <w:rsid w:val="00EE7054"/>
    <w:rsid w:val="00EF0171"/>
    <w:rsid w:val="00EF1B25"/>
    <w:rsid w:val="00EF1C68"/>
    <w:rsid w:val="00EF1DA0"/>
    <w:rsid w:val="00EF433C"/>
    <w:rsid w:val="00EF4747"/>
    <w:rsid w:val="00EF4BF8"/>
    <w:rsid w:val="00EF7D05"/>
    <w:rsid w:val="00F0022D"/>
    <w:rsid w:val="00F01681"/>
    <w:rsid w:val="00F01906"/>
    <w:rsid w:val="00F02253"/>
    <w:rsid w:val="00F032D7"/>
    <w:rsid w:val="00F03C2E"/>
    <w:rsid w:val="00F04820"/>
    <w:rsid w:val="00F04A66"/>
    <w:rsid w:val="00F04B4B"/>
    <w:rsid w:val="00F0516C"/>
    <w:rsid w:val="00F067A2"/>
    <w:rsid w:val="00F07B9E"/>
    <w:rsid w:val="00F104A9"/>
    <w:rsid w:val="00F10D7D"/>
    <w:rsid w:val="00F1116F"/>
    <w:rsid w:val="00F11287"/>
    <w:rsid w:val="00F12351"/>
    <w:rsid w:val="00F1263A"/>
    <w:rsid w:val="00F13B89"/>
    <w:rsid w:val="00F144E0"/>
    <w:rsid w:val="00F153D1"/>
    <w:rsid w:val="00F15B77"/>
    <w:rsid w:val="00F17321"/>
    <w:rsid w:val="00F2032F"/>
    <w:rsid w:val="00F246CA"/>
    <w:rsid w:val="00F24837"/>
    <w:rsid w:val="00F254C6"/>
    <w:rsid w:val="00F2575F"/>
    <w:rsid w:val="00F25DEF"/>
    <w:rsid w:val="00F27135"/>
    <w:rsid w:val="00F27565"/>
    <w:rsid w:val="00F310D4"/>
    <w:rsid w:val="00F312E2"/>
    <w:rsid w:val="00F31AD3"/>
    <w:rsid w:val="00F31D5A"/>
    <w:rsid w:val="00F326E3"/>
    <w:rsid w:val="00F32B00"/>
    <w:rsid w:val="00F33975"/>
    <w:rsid w:val="00F33DE9"/>
    <w:rsid w:val="00F33ED9"/>
    <w:rsid w:val="00F35E6D"/>
    <w:rsid w:val="00F3619A"/>
    <w:rsid w:val="00F3772A"/>
    <w:rsid w:val="00F377CD"/>
    <w:rsid w:val="00F40AAA"/>
    <w:rsid w:val="00F40BA7"/>
    <w:rsid w:val="00F40F9D"/>
    <w:rsid w:val="00F4102E"/>
    <w:rsid w:val="00F41ACD"/>
    <w:rsid w:val="00F45C23"/>
    <w:rsid w:val="00F46CB6"/>
    <w:rsid w:val="00F4756D"/>
    <w:rsid w:val="00F47DE8"/>
    <w:rsid w:val="00F50391"/>
    <w:rsid w:val="00F51680"/>
    <w:rsid w:val="00F535BD"/>
    <w:rsid w:val="00F53683"/>
    <w:rsid w:val="00F539D1"/>
    <w:rsid w:val="00F53B65"/>
    <w:rsid w:val="00F542C1"/>
    <w:rsid w:val="00F55B1F"/>
    <w:rsid w:val="00F55E73"/>
    <w:rsid w:val="00F55EDA"/>
    <w:rsid w:val="00F56C80"/>
    <w:rsid w:val="00F57C30"/>
    <w:rsid w:val="00F60092"/>
    <w:rsid w:val="00F608ED"/>
    <w:rsid w:val="00F61C18"/>
    <w:rsid w:val="00F620E6"/>
    <w:rsid w:val="00F62159"/>
    <w:rsid w:val="00F623FE"/>
    <w:rsid w:val="00F62AEE"/>
    <w:rsid w:val="00F63B7D"/>
    <w:rsid w:val="00F6413E"/>
    <w:rsid w:val="00F6580B"/>
    <w:rsid w:val="00F65F4B"/>
    <w:rsid w:val="00F66B02"/>
    <w:rsid w:val="00F67A69"/>
    <w:rsid w:val="00F701FE"/>
    <w:rsid w:val="00F70604"/>
    <w:rsid w:val="00F70BFF"/>
    <w:rsid w:val="00F70C9D"/>
    <w:rsid w:val="00F719D9"/>
    <w:rsid w:val="00F73AFC"/>
    <w:rsid w:val="00F74CD9"/>
    <w:rsid w:val="00F75222"/>
    <w:rsid w:val="00F759F7"/>
    <w:rsid w:val="00F765CB"/>
    <w:rsid w:val="00F768B4"/>
    <w:rsid w:val="00F80A7B"/>
    <w:rsid w:val="00F80E5D"/>
    <w:rsid w:val="00F816C8"/>
    <w:rsid w:val="00F81C30"/>
    <w:rsid w:val="00F81E78"/>
    <w:rsid w:val="00F8233A"/>
    <w:rsid w:val="00F82671"/>
    <w:rsid w:val="00F83536"/>
    <w:rsid w:val="00F851CE"/>
    <w:rsid w:val="00F856A4"/>
    <w:rsid w:val="00F8685B"/>
    <w:rsid w:val="00F86D61"/>
    <w:rsid w:val="00F91219"/>
    <w:rsid w:val="00F915E4"/>
    <w:rsid w:val="00F91AFF"/>
    <w:rsid w:val="00F92444"/>
    <w:rsid w:val="00F92802"/>
    <w:rsid w:val="00F9363D"/>
    <w:rsid w:val="00F9393E"/>
    <w:rsid w:val="00F94526"/>
    <w:rsid w:val="00F968FB"/>
    <w:rsid w:val="00F96FD0"/>
    <w:rsid w:val="00F97A78"/>
    <w:rsid w:val="00FA0B20"/>
    <w:rsid w:val="00FA24E7"/>
    <w:rsid w:val="00FA2FE3"/>
    <w:rsid w:val="00FA5039"/>
    <w:rsid w:val="00FA5623"/>
    <w:rsid w:val="00FA59AA"/>
    <w:rsid w:val="00FA5BC2"/>
    <w:rsid w:val="00FA5EE6"/>
    <w:rsid w:val="00FA6BD3"/>
    <w:rsid w:val="00FA7956"/>
    <w:rsid w:val="00FA7B8D"/>
    <w:rsid w:val="00FA7F37"/>
    <w:rsid w:val="00FB02D1"/>
    <w:rsid w:val="00FB05D7"/>
    <w:rsid w:val="00FB1BE4"/>
    <w:rsid w:val="00FB2FB0"/>
    <w:rsid w:val="00FB2FCB"/>
    <w:rsid w:val="00FB4672"/>
    <w:rsid w:val="00FB4B3F"/>
    <w:rsid w:val="00FB5C8E"/>
    <w:rsid w:val="00FB7808"/>
    <w:rsid w:val="00FB7C55"/>
    <w:rsid w:val="00FC0E94"/>
    <w:rsid w:val="00FC0EB3"/>
    <w:rsid w:val="00FC1074"/>
    <w:rsid w:val="00FC1884"/>
    <w:rsid w:val="00FC3012"/>
    <w:rsid w:val="00FC371D"/>
    <w:rsid w:val="00FC48B5"/>
    <w:rsid w:val="00FC5CD2"/>
    <w:rsid w:val="00FC5F0B"/>
    <w:rsid w:val="00FC63CF"/>
    <w:rsid w:val="00FC78B1"/>
    <w:rsid w:val="00FD0BC0"/>
    <w:rsid w:val="00FD2100"/>
    <w:rsid w:val="00FD2332"/>
    <w:rsid w:val="00FD2496"/>
    <w:rsid w:val="00FD3419"/>
    <w:rsid w:val="00FD436C"/>
    <w:rsid w:val="00FD446D"/>
    <w:rsid w:val="00FD4ABA"/>
    <w:rsid w:val="00FD4D19"/>
    <w:rsid w:val="00FD4F2C"/>
    <w:rsid w:val="00FD6394"/>
    <w:rsid w:val="00FD7E18"/>
    <w:rsid w:val="00FD7FFE"/>
    <w:rsid w:val="00FE0E6C"/>
    <w:rsid w:val="00FE1CDC"/>
    <w:rsid w:val="00FE365D"/>
    <w:rsid w:val="00FE394B"/>
    <w:rsid w:val="00FE3F07"/>
    <w:rsid w:val="00FE407D"/>
    <w:rsid w:val="00FE5DC5"/>
    <w:rsid w:val="00FE656A"/>
    <w:rsid w:val="00FE70C3"/>
    <w:rsid w:val="00FF0326"/>
    <w:rsid w:val="00FF08F9"/>
    <w:rsid w:val="00FF1D15"/>
    <w:rsid w:val="00FF2AD9"/>
    <w:rsid w:val="00FF3526"/>
    <w:rsid w:val="00FF359F"/>
    <w:rsid w:val="00FF39FD"/>
    <w:rsid w:val="00FF3DCF"/>
    <w:rsid w:val="00FF492C"/>
    <w:rsid w:val="00FF4992"/>
    <w:rsid w:val="00FF4A21"/>
    <w:rsid w:val="00FF4A61"/>
    <w:rsid w:val="00FF58C9"/>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EB8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V50Instructions">
    <w:name w:val="V5.0 Instructions"/>
    <w:basedOn w:val="Normal"/>
    <w:link w:val="V50InstructionsChar"/>
    <w:qFormat/>
    <w:rsid w:val="00C15078"/>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C15078"/>
    <w:rPr>
      <w:rFonts w:asciiTheme="minorHAnsi" w:eastAsiaTheme="minorHAnsi" w:hAnsiTheme="minorHAnsi" w:cstheme="minorBidi"/>
      <w:color w:val="4BACC6" w:themeColor="accent5"/>
      <w:sz w:val="24"/>
      <w:szCs w:val="22"/>
      <w:lang w:eastAsia="en-US"/>
    </w:rPr>
  </w:style>
  <w:style w:type="paragraph" w:customStyle="1" w:styleId="TableFooter">
    <w:name w:val="Table Footer"/>
    <w:basedOn w:val="Normal"/>
    <w:link w:val="TableFooterChar"/>
    <w:qFormat/>
    <w:rsid w:val="00C15078"/>
    <w:pPr>
      <w:widowControl w:val="0"/>
    </w:pPr>
    <w:rPr>
      <w:rFonts w:ascii="Arial Narrow" w:hAnsi="Arial Narrow"/>
      <w:snapToGrid w:val="0"/>
      <w:sz w:val="18"/>
      <w:szCs w:val="22"/>
      <w:lang w:eastAsia="en-US"/>
    </w:rPr>
  </w:style>
  <w:style w:type="character" w:customStyle="1" w:styleId="TableFooterChar">
    <w:name w:val="Table Footer Char"/>
    <w:link w:val="TableFooter"/>
    <w:rsid w:val="00C15078"/>
    <w:rPr>
      <w:rFonts w:ascii="Arial Narrow" w:hAnsi="Arial Narrow" w:cs="Arial"/>
      <w:snapToGrid w:val="0"/>
      <w:sz w:val="18"/>
      <w:szCs w:val="22"/>
      <w:lang w:eastAsia="en-US"/>
    </w:rPr>
  </w:style>
  <w:style w:type="paragraph" w:customStyle="1" w:styleId="TableHeading">
    <w:name w:val="Table Heading"/>
    <w:basedOn w:val="Normal"/>
    <w:link w:val="TableHeadingChar"/>
    <w:qFormat/>
    <w:rsid w:val="00C15078"/>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C15078"/>
    <w:rPr>
      <w:rFonts w:ascii="Arial Narrow" w:eastAsiaTheme="minorHAnsi" w:hAnsi="Arial Narrow" w:cstheme="minorBidi"/>
      <w:b/>
      <w:szCs w:val="22"/>
      <w:lang w:eastAsia="en-US"/>
    </w:rPr>
  </w:style>
  <w:style w:type="paragraph" w:styleId="ListParagraph">
    <w:name w:val="List Paragraph"/>
    <w:aliases w:val="Numbered para,BulletPoints,Body Text Bullet Points,List Paragraph1,Bullet point,List Paragraph11,Recommendation,Section heading,Footnote,ES Paragraph,PBAC ES Paragraph,PBAC normal points,Bullet List"/>
    <w:basedOn w:val="Normal"/>
    <w:link w:val="ListParagraphChar"/>
    <w:uiPriority w:val="34"/>
    <w:qFormat/>
    <w:rsid w:val="009C2D0A"/>
    <w:pPr>
      <w:ind w:left="720"/>
      <w:contextualSpacing/>
    </w:pPr>
  </w:style>
  <w:style w:type="character" w:customStyle="1" w:styleId="COMBodyChar">
    <w:name w:val="COMBody Char"/>
    <w:basedOn w:val="DefaultParagraphFont"/>
    <w:link w:val="COMBody"/>
    <w:locked/>
    <w:rsid w:val="002A00D5"/>
    <w:rPr>
      <w:rFonts w:ascii="Calibri" w:hAnsi="Calibri" w:cs="Arial"/>
      <w:sz w:val="24"/>
    </w:rPr>
  </w:style>
  <w:style w:type="paragraph" w:customStyle="1" w:styleId="COMBody">
    <w:name w:val="COMBody"/>
    <w:basedOn w:val="Normal"/>
    <w:link w:val="COMBodyChar"/>
    <w:qFormat/>
    <w:rsid w:val="002A00D5"/>
    <w:pPr>
      <w:widowControl w:val="0"/>
      <w:snapToGrid w:val="0"/>
    </w:pPr>
    <w:rPr>
      <w:szCs w:val="20"/>
    </w:rPr>
  </w:style>
  <w:style w:type="character" w:styleId="CommentReference">
    <w:name w:val="annotation reference"/>
    <w:aliases w:val="Table Title"/>
    <w:uiPriority w:val="99"/>
    <w:qFormat/>
    <w:rsid w:val="002A00D5"/>
    <w:rPr>
      <w:rFonts w:ascii="Arial Narrow" w:hAnsi="Arial Narrow"/>
      <w:b/>
      <w:sz w:val="20"/>
      <w:szCs w:val="16"/>
    </w:rPr>
  </w:style>
  <w:style w:type="paragraph" w:customStyle="1" w:styleId="Tabletext0">
    <w:name w:val="Table text"/>
    <w:basedOn w:val="Normal"/>
    <w:link w:val="TabletextChar0"/>
    <w:uiPriority w:val="99"/>
    <w:qFormat/>
    <w:rsid w:val="002A00D5"/>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2A00D5"/>
    <w:rPr>
      <w:rFonts w:ascii="Arial Narrow" w:hAnsi="Arial Narrow"/>
      <w:szCs w:val="22"/>
      <w:lang w:eastAsia="en-US"/>
    </w:rPr>
  </w:style>
  <w:style w:type="paragraph" w:styleId="BodyText3">
    <w:name w:val="Body Text 3"/>
    <w:basedOn w:val="Normal"/>
    <w:link w:val="BodyText3Char"/>
    <w:rsid w:val="007475E2"/>
    <w:pPr>
      <w:widowControl w:val="0"/>
    </w:pPr>
    <w:rPr>
      <w:rFonts w:ascii="Times New Roman" w:hAnsi="Times New Roman" w:cs="Times New Roman"/>
      <w:snapToGrid w:val="0"/>
      <w:color w:val="0000FF"/>
      <w:szCs w:val="20"/>
      <w:lang w:eastAsia="en-US"/>
    </w:rPr>
  </w:style>
  <w:style w:type="character" w:customStyle="1" w:styleId="BodyText3Char">
    <w:name w:val="Body Text 3 Char"/>
    <w:basedOn w:val="DefaultParagraphFont"/>
    <w:link w:val="BodyText3"/>
    <w:rsid w:val="007475E2"/>
    <w:rPr>
      <w:snapToGrid w:val="0"/>
      <w:color w:val="0000FF"/>
      <w:sz w:val="24"/>
      <w:lang w:eastAsia="en-US"/>
    </w:rPr>
  </w:style>
  <w:style w:type="paragraph" w:customStyle="1" w:styleId="COMtbl-HEADLeftAligned">
    <w:name w:val="COMtbl-HEAD Left Aligned"/>
    <w:basedOn w:val="Normal"/>
    <w:qFormat/>
    <w:rsid w:val="009C219F"/>
    <w:pPr>
      <w:widowControl w:val="0"/>
      <w:tabs>
        <w:tab w:val="left" w:pos="720"/>
      </w:tabs>
      <w:jc w:val="left"/>
    </w:pPr>
    <w:rPr>
      <w:rFonts w:ascii="Arial Narrow" w:hAnsi="Arial Narrow"/>
      <w:b/>
      <w:snapToGrid w:val="0"/>
      <w:sz w:val="20"/>
      <w:szCs w:val="20"/>
      <w:lang w:eastAsia="en-US"/>
    </w:rPr>
  </w:style>
  <w:style w:type="paragraph" w:customStyle="1" w:styleId="COMtbl-HEADCentred">
    <w:name w:val="COMtbl-HEAD Centred"/>
    <w:basedOn w:val="COMtbl-HEADLeftAligned"/>
    <w:qFormat/>
    <w:rsid w:val="009C219F"/>
    <w:pPr>
      <w:jc w:val="center"/>
    </w:pPr>
  </w:style>
  <w:style w:type="paragraph" w:customStyle="1" w:styleId="COMtbl-textLeftAligned">
    <w:name w:val="COMtbl-text Left Aligned"/>
    <w:basedOn w:val="COMtbl-HEADLeftAligned"/>
    <w:qFormat/>
    <w:rsid w:val="009C219F"/>
    <w:rPr>
      <w:b w:val="0"/>
    </w:rPr>
  </w:style>
  <w:style w:type="paragraph" w:customStyle="1" w:styleId="COMtbl-textCentred">
    <w:name w:val="COMtbl-text Centred"/>
    <w:basedOn w:val="COMtbl-HEADCentred"/>
    <w:qFormat/>
    <w:rsid w:val="009C219F"/>
    <w:rPr>
      <w:b w:val="0"/>
    </w:rPr>
  </w:style>
  <w:style w:type="paragraph" w:customStyle="1" w:styleId="TableHeader">
    <w:name w:val="Table Header"/>
    <w:basedOn w:val="Normal"/>
    <w:uiPriority w:val="3"/>
    <w:rsid w:val="00A56FB7"/>
    <w:pPr>
      <w:widowControl w:val="0"/>
    </w:pPr>
    <w:rPr>
      <w:b/>
      <w:snapToGrid w:val="0"/>
      <w:sz w:val="20"/>
      <w:szCs w:val="22"/>
      <w:lang w:eastAsia="en-US"/>
    </w:rPr>
  </w:style>
  <w:style w:type="paragraph" w:styleId="FootnoteText">
    <w:name w:val="footnote text"/>
    <w:basedOn w:val="Normal"/>
    <w:link w:val="FootnoteTextChar"/>
    <w:semiHidden/>
    <w:unhideWhenUsed/>
    <w:rsid w:val="00A56FB7"/>
    <w:pPr>
      <w:widowControl w:val="0"/>
    </w:pPr>
    <w:rPr>
      <w:snapToGrid w:val="0"/>
      <w:sz w:val="20"/>
      <w:szCs w:val="20"/>
      <w:lang w:eastAsia="en-US"/>
    </w:rPr>
  </w:style>
  <w:style w:type="character" w:customStyle="1" w:styleId="FootnoteTextChar">
    <w:name w:val="Footnote Text Char"/>
    <w:basedOn w:val="DefaultParagraphFont"/>
    <w:link w:val="FootnoteText"/>
    <w:semiHidden/>
    <w:rsid w:val="00A56FB7"/>
    <w:rPr>
      <w:rFonts w:ascii="Calibri" w:hAnsi="Calibri" w:cs="Arial"/>
      <w:snapToGrid w:val="0"/>
      <w:lang w:eastAsia="en-US"/>
    </w:rPr>
  </w:style>
  <w:style w:type="character" w:styleId="FootnoteReference">
    <w:name w:val="footnote reference"/>
    <w:basedOn w:val="DefaultParagraphFont"/>
    <w:semiHidden/>
    <w:unhideWhenUsed/>
    <w:rsid w:val="00A56FB7"/>
    <w:rPr>
      <w:vertAlign w:val="superscript"/>
    </w:rPr>
  </w:style>
  <w:style w:type="paragraph" w:customStyle="1" w:styleId="PBACTableText">
    <w:name w:val="PBAC Table Text"/>
    <w:basedOn w:val="Normal"/>
    <w:link w:val="PBACTableTextChar"/>
    <w:qFormat/>
    <w:rsid w:val="00616600"/>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16600"/>
    <w:rPr>
      <w:rFonts w:ascii="Arial Narrow" w:hAnsi="Arial Narrow"/>
      <w:lang w:eastAsia="en-US"/>
    </w:rPr>
  </w:style>
  <w:style w:type="paragraph" w:styleId="CommentText">
    <w:name w:val="annotation text"/>
    <w:basedOn w:val="Normal"/>
    <w:link w:val="CommentTextChar"/>
    <w:uiPriority w:val="99"/>
    <w:unhideWhenUsed/>
    <w:rsid w:val="00360300"/>
    <w:rPr>
      <w:sz w:val="20"/>
      <w:szCs w:val="20"/>
    </w:rPr>
  </w:style>
  <w:style w:type="character" w:customStyle="1" w:styleId="CommentTextChar">
    <w:name w:val="Comment Text Char"/>
    <w:basedOn w:val="DefaultParagraphFont"/>
    <w:link w:val="CommentText"/>
    <w:uiPriority w:val="99"/>
    <w:rsid w:val="00360300"/>
    <w:rPr>
      <w:rFonts w:ascii="Calibri" w:hAnsi="Calibri" w:cs="Arial"/>
    </w:rPr>
  </w:style>
  <w:style w:type="paragraph" w:styleId="CommentSubject">
    <w:name w:val="annotation subject"/>
    <w:basedOn w:val="CommentText"/>
    <w:next w:val="CommentText"/>
    <w:link w:val="CommentSubjectChar"/>
    <w:semiHidden/>
    <w:unhideWhenUsed/>
    <w:rsid w:val="00360300"/>
    <w:rPr>
      <w:b/>
      <w:bCs/>
    </w:rPr>
  </w:style>
  <w:style w:type="character" w:customStyle="1" w:styleId="CommentSubjectChar">
    <w:name w:val="Comment Subject Char"/>
    <w:basedOn w:val="CommentTextChar"/>
    <w:link w:val="CommentSubject"/>
    <w:semiHidden/>
    <w:rsid w:val="00360300"/>
    <w:rPr>
      <w:rFonts w:ascii="Calibri" w:hAnsi="Calibri" w:cs="Arial"/>
      <w:b/>
      <w:bCs/>
    </w:rPr>
  </w:style>
  <w:style w:type="character" w:customStyle="1" w:styleId="ListParagraphChar">
    <w:name w:val="List Paragraph Char"/>
    <w:aliases w:val="Numbered para Char,BulletPoints Char,Body Text Bullet Points Char,List Paragraph1 Char,Bullet point Char,List Paragraph11 Char,Recommendation Char,Section heading Char,Footnote Char,ES Paragraph Char,PBAC ES Paragraph Char"/>
    <w:basedOn w:val="DefaultParagraphFont"/>
    <w:link w:val="ListParagraph"/>
    <w:uiPriority w:val="34"/>
    <w:qFormat/>
    <w:locked/>
    <w:rsid w:val="000455BA"/>
    <w:rPr>
      <w:rFonts w:ascii="Calibri" w:hAnsi="Calibri" w:cs="Arial"/>
      <w:sz w:val="24"/>
      <w:szCs w:val="24"/>
    </w:rPr>
  </w:style>
  <w:style w:type="character" w:customStyle="1" w:styleId="li-content">
    <w:name w:val="li-content"/>
    <w:basedOn w:val="DefaultParagraphFont"/>
    <w:rsid w:val="000455BA"/>
    <w:rPr>
      <w:color w:val="000000"/>
    </w:rPr>
  </w:style>
  <w:style w:type="paragraph" w:styleId="Header">
    <w:name w:val="header"/>
    <w:basedOn w:val="Normal"/>
    <w:link w:val="HeaderChar"/>
    <w:unhideWhenUsed/>
    <w:qFormat/>
    <w:rsid w:val="008C70CA"/>
    <w:pPr>
      <w:tabs>
        <w:tab w:val="center" w:pos="4513"/>
        <w:tab w:val="right" w:pos="9026"/>
      </w:tabs>
    </w:pPr>
  </w:style>
  <w:style w:type="character" w:customStyle="1" w:styleId="HeaderChar">
    <w:name w:val="Header Char"/>
    <w:basedOn w:val="DefaultParagraphFont"/>
    <w:link w:val="Header"/>
    <w:rsid w:val="008C70CA"/>
    <w:rPr>
      <w:rFonts w:ascii="Calibri" w:hAnsi="Calibri" w:cs="Arial"/>
      <w:sz w:val="24"/>
      <w:szCs w:val="24"/>
    </w:rPr>
  </w:style>
  <w:style w:type="paragraph" w:styleId="Footer">
    <w:name w:val="footer"/>
    <w:basedOn w:val="Normal"/>
    <w:link w:val="FooterChar"/>
    <w:uiPriority w:val="99"/>
    <w:unhideWhenUsed/>
    <w:rsid w:val="008C70CA"/>
    <w:pPr>
      <w:tabs>
        <w:tab w:val="center" w:pos="4513"/>
        <w:tab w:val="right" w:pos="9026"/>
      </w:tabs>
    </w:pPr>
  </w:style>
  <w:style w:type="character" w:customStyle="1" w:styleId="FooterChar">
    <w:name w:val="Footer Char"/>
    <w:basedOn w:val="DefaultParagraphFont"/>
    <w:link w:val="Footer"/>
    <w:uiPriority w:val="99"/>
    <w:rsid w:val="008C70CA"/>
    <w:rPr>
      <w:rFonts w:ascii="Calibri" w:hAnsi="Calibri" w:cs="Arial"/>
      <w:sz w:val="24"/>
      <w:szCs w:val="24"/>
    </w:rPr>
  </w:style>
  <w:style w:type="paragraph" w:customStyle="1" w:styleId="PbacTableHeading">
    <w:name w:val="Pbac Table Heading"/>
    <w:basedOn w:val="PBACTableText"/>
    <w:qFormat/>
    <w:rsid w:val="00312840"/>
    <w:pPr>
      <w:spacing w:before="0" w:after="80"/>
    </w:pPr>
    <w:rPr>
      <w:rFonts w:eastAsiaTheme="minorHAnsi" w:cs="Arial"/>
      <w:b/>
    </w:rPr>
  </w:style>
  <w:style w:type="paragraph" w:styleId="NormalWeb">
    <w:name w:val="Normal (Web)"/>
    <w:basedOn w:val="Normal"/>
    <w:uiPriority w:val="99"/>
    <w:unhideWhenUsed/>
    <w:rsid w:val="00312840"/>
    <w:pPr>
      <w:spacing w:after="150"/>
      <w:jc w:val="left"/>
    </w:pPr>
    <w:rPr>
      <w:rFonts w:ascii="Times New Roman" w:hAnsi="Times New Roman" w:cs="Times New Roman"/>
      <w:color w:val="222222"/>
    </w:rPr>
  </w:style>
  <w:style w:type="paragraph" w:customStyle="1" w:styleId="3Bodytext">
    <w:name w:val="3. Body text"/>
    <w:basedOn w:val="ListParagraph"/>
    <w:link w:val="3BodytextChar"/>
    <w:qFormat/>
    <w:rsid w:val="00312840"/>
    <w:pPr>
      <w:spacing w:after="120"/>
      <w:ind w:hanging="720"/>
      <w:contextualSpacing w:val="0"/>
      <w:jc w:val="left"/>
    </w:pPr>
    <w:rPr>
      <w:rFonts w:asciiTheme="minorHAnsi" w:hAnsiTheme="minorHAnsi" w:cstheme="minorBidi"/>
      <w:sz w:val="22"/>
      <w:szCs w:val="22"/>
    </w:rPr>
  </w:style>
  <w:style w:type="character" w:customStyle="1" w:styleId="3BodytextChar">
    <w:name w:val="3. Body text Char"/>
    <w:basedOn w:val="ListParagraphChar"/>
    <w:link w:val="3Bodytext"/>
    <w:rsid w:val="00312840"/>
    <w:rPr>
      <w:rFonts w:asciiTheme="minorHAnsi" w:hAnsiTheme="minorHAnsi" w:cstheme="minorBidi"/>
      <w:sz w:val="22"/>
      <w:szCs w:val="22"/>
    </w:rPr>
  </w:style>
  <w:style w:type="paragraph" w:customStyle="1" w:styleId="PBACHeading1">
    <w:name w:val="PBAC Heading 1"/>
    <w:qFormat/>
    <w:rsid w:val="0007001A"/>
    <w:pPr>
      <w:ind w:left="720" w:hanging="720"/>
      <w:outlineLvl w:val="0"/>
    </w:pPr>
    <w:rPr>
      <w:rFonts w:ascii="Calibri" w:hAnsi="Calibri" w:cs="Calibri"/>
      <w:b/>
      <w:snapToGrid w:val="0"/>
      <w:sz w:val="32"/>
      <w:szCs w:val="32"/>
      <w:lang w:eastAsia="en-US"/>
    </w:rPr>
  </w:style>
  <w:style w:type="paragraph" w:styleId="NoSpacing">
    <w:name w:val="No Spacing"/>
    <w:uiPriority w:val="1"/>
    <w:qFormat/>
    <w:rsid w:val="00617FDF"/>
    <w:rPr>
      <w:sz w:val="24"/>
      <w:szCs w:val="24"/>
      <w:lang w:eastAsia="en-US"/>
    </w:rPr>
  </w:style>
  <w:style w:type="paragraph" w:customStyle="1" w:styleId="3-BodyText">
    <w:name w:val="3-Body Text"/>
    <w:basedOn w:val="Normal"/>
    <w:qFormat/>
    <w:rsid w:val="005074FC"/>
    <w:pPr>
      <w:spacing w:after="120"/>
      <w:ind w:left="720" w:hanging="720"/>
    </w:pPr>
    <w:rPr>
      <w:rFonts w:asciiTheme="minorHAnsi" w:hAnsiTheme="minorHAns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5901202">
      <w:bodyDiv w:val="1"/>
      <w:marLeft w:val="0"/>
      <w:marRight w:val="0"/>
      <w:marTop w:val="0"/>
      <w:marBottom w:val="0"/>
      <w:divBdr>
        <w:top w:val="none" w:sz="0" w:space="0" w:color="auto"/>
        <w:left w:val="none" w:sz="0" w:space="0" w:color="auto"/>
        <w:bottom w:val="none" w:sz="0" w:space="0" w:color="auto"/>
        <w:right w:val="none" w:sz="0" w:space="0" w:color="auto"/>
      </w:divBdr>
      <w:divsChild>
        <w:div w:id="1293755348">
          <w:marLeft w:val="144"/>
          <w:marRight w:val="0"/>
          <w:marTop w:val="240"/>
          <w:marBottom w:val="40"/>
          <w:divBdr>
            <w:top w:val="none" w:sz="0" w:space="0" w:color="auto"/>
            <w:left w:val="none" w:sz="0" w:space="0" w:color="auto"/>
            <w:bottom w:val="none" w:sz="0" w:space="0" w:color="auto"/>
            <w:right w:val="none" w:sz="0" w:space="0" w:color="auto"/>
          </w:divBdr>
        </w:div>
        <w:div w:id="1658723819">
          <w:marLeft w:val="605"/>
          <w:marRight w:val="0"/>
          <w:marTop w:val="40"/>
          <w:marBottom w:val="80"/>
          <w:divBdr>
            <w:top w:val="none" w:sz="0" w:space="0" w:color="auto"/>
            <w:left w:val="none" w:sz="0" w:space="0" w:color="auto"/>
            <w:bottom w:val="none" w:sz="0" w:space="0" w:color="auto"/>
            <w:right w:val="none" w:sz="0" w:space="0" w:color="auto"/>
          </w:divBdr>
        </w:div>
        <w:div w:id="867108864">
          <w:marLeft w:val="893"/>
          <w:marRight w:val="0"/>
          <w:marTop w:val="40"/>
          <w:marBottom w:val="80"/>
          <w:divBdr>
            <w:top w:val="none" w:sz="0" w:space="0" w:color="auto"/>
            <w:left w:val="none" w:sz="0" w:space="0" w:color="auto"/>
            <w:bottom w:val="none" w:sz="0" w:space="0" w:color="auto"/>
            <w:right w:val="none" w:sz="0" w:space="0" w:color="auto"/>
          </w:divBdr>
        </w:div>
        <w:div w:id="1826622584">
          <w:marLeft w:val="893"/>
          <w:marRight w:val="0"/>
          <w:marTop w:val="40"/>
          <w:marBottom w:val="80"/>
          <w:divBdr>
            <w:top w:val="none" w:sz="0" w:space="0" w:color="auto"/>
            <w:left w:val="none" w:sz="0" w:space="0" w:color="auto"/>
            <w:bottom w:val="none" w:sz="0" w:space="0" w:color="auto"/>
            <w:right w:val="none" w:sz="0" w:space="0" w:color="auto"/>
          </w:divBdr>
        </w:div>
        <w:div w:id="777916716">
          <w:marLeft w:val="893"/>
          <w:marRight w:val="0"/>
          <w:marTop w:val="40"/>
          <w:marBottom w:val="80"/>
          <w:divBdr>
            <w:top w:val="none" w:sz="0" w:space="0" w:color="auto"/>
            <w:left w:val="none" w:sz="0" w:space="0" w:color="auto"/>
            <w:bottom w:val="none" w:sz="0" w:space="0" w:color="auto"/>
            <w:right w:val="none" w:sz="0" w:space="0" w:color="auto"/>
          </w:divBdr>
        </w:div>
        <w:div w:id="1296565765">
          <w:marLeft w:val="893"/>
          <w:marRight w:val="0"/>
          <w:marTop w:val="40"/>
          <w:marBottom w:val="8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88965656">
      <w:bodyDiv w:val="1"/>
      <w:marLeft w:val="0"/>
      <w:marRight w:val="0"/>
      <w:marTop w:val="0"/>
      <w:marBottom w:val="0"/>
      <w:divBdr>
        <w:top w:val="none" w:sz="0" w:space="0" w:color="auto"/>
        <w:left w:val="none" w:sz="0" w:space="0" w:color="auto"/>
        <w:bottom w:val="none" w:sz="0" w:space="0" w:color="auto"/>
        <w:right w:val="none" w:sz="0" w:space="0" w:color="auto"/>
      </w:divBdr>
      <w:divsChild>
        <w:div w:id="510414380">
          <w:marLeft w:val="144"/>
          <w:marRight w:val="0"/>
          <w:marTop w:val="240"/>
          <w:marBottom w:val="40"/>
          <w:divBdr>
            <w:top w:val="none" w:sz="0" w:space="0" w:color="auto"/>
            <w:left w:val="none" w:sz="0" w:space="0" w:color="auto"/>
            <w:bottom w:val="none" w:sz="0" w:space="0" w:color="auto"/>
            <w:right w:val="none" w:sz="0" w:space="0" w:color="auto"/>
          </w:divBdr>
        </w:div>
        <w:div w:id="1083452812">
          <w:marLeft w:val="605"/>
          <w:marRight w:val="0"/>
          <w:marTop w:val="40"/>
          <w:marBottom w:val="80"/>
          <w:divBdr>
            <w:top w:val="none" w:sz="0" w:space="0" w:color="auto"/>
            <w:left w:val="none" w:sz="0" w:space="0" w:color="auto"/>
            <w:bottom w:val="none" w:sz="0" w:space="0" w:color="auto"/>
            <w:right w:val="none" w:sz="0" w:space="0" w:color="auto"/>
          </w:divBdr>
        </w:div>
        <w:div w:id="1684700046">
          <w:marLeft w:val="605"/>
          <w:marRight w:val="0"/>
          <w:marTop w:val="40"/>
          <w:marBottom w:val="80"/>
          <w:divBdr>
            <w:top w:val="none" w:sz="0" w:space="0" w:color="auto"/>
            <w:left w:val="none" w:sz="0" w:space="0" w:color="auto"/>
            <w:bottom w:val="none" w:sz="0" w:space="0" w:color="auto"/>
            <w:right w:val="none" w:sz="0" w:space="0" w:color="auto"/>
          </w:divBdr>
        </w:div>
      </w:divsChild>
    </w:div>
    <w:div w:id="923419220">
      <w:bodyDiv w:val="1"/>
      <w:marLeft w:val="0"/>
      <w:marRight w:val="0"/>
      <w:marTop w:val="0"/>
      <w:marBottom w:val="0"/>
      <w:divBdr>
        <w:top w:val="none" w:sz="0" w:space="0" w:color="auto"/>
        <w:left w:val="none" w:sz="0" w:space="0" w:color="auto"/>
        <w:bottom w:val="none" w:sz="0" w:space="0" w:color="auto"/>
        <w:right w:val="none" w:sz="0" w:space="0" w:color="auto"/>
      </w:divBdr>
    </w:div>
    <w:div w:id="103619459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18728">
      <w:bodyDiv w:val="1"/>
      <w:marLeft w:val="0"/>
      <w:marRight w:val="0"/>
      <w:marTop w:val="0"/>
      <w:marBottom w:val="0"/>
      <w:divBdr>
        <w:top w:val="none" w:sz="0" w:space="0" w:color="auto"/>
        <w:left w:val="none" w:sz="0" w:space="0" w:color="auto"/>
        <w:bottom w:val="none" w:sz="0" w:space="0" w:color="auto"/>
        <w:right w:val="none" w:sz="0" w:space="0" w:color="auto"/>
      </w:divBdr>
      <w:divsChild>
        <w:div w:id="2051027209">
          <w:marLeft w:val="360"/>
          <w:marRight w:val="0"/>
          <w:marTop w:val="200"/>
          <w:marBottom w:val="0"/>
          <w:divBdr>
            <w:top w:val="none" w:sz="0" w:space="0" w:color="auto"/>
            <w:left w:val="none" w:sz="0" w:space="0" w:color="auto"/>
            <w:bottom w:val="none" w:sz="0" w:space="0" w:color="auto"/>
            <w:right w:val="none" w:sz="0" w:space="0" w:color="auto"/>
          </w:divBdr>
        </w:div>
      </w:divsChild>
    </w:div>
    <w:div w:id="1433550872">
      <w:bodyDiv w:val="1"/>
      <w:marLeft w:val="0"/>
      <w:marRight w:val="0"/>
      <w:marTop w:val="0"/>
      <w:marBottom w:val="0"/>
      <w:divBdr>
        <w:top w:val="none" w:sz="0" w:space="0" w:color="auto"/>
        <w:left w:val="none" w:sz="0" w:space="0" w:color="auto"/>
        <w:bottom w:val="none" w:sz="0" w:space="0" w:color="auto"/>
        <w:right w:val="none" w:sz="0" w:space="0" w:color="auto"/>
      </w:divBdr>
    </w:div>
    <w:div w:id="191820308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EDD45-4B98-468E-B592-BFEA43773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16108</Words>
  <Characters>91636</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2021-03-03T05:43:00Z</dcterms:created>
  <dcterms:modified xsi:type="dcterms:W3CDTF">2021-03-15T05:42:00Z</dcterms:modified>
</cp:coreProperties>
</file>