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6B435E" w:rsidRDefault="009C00B5" w:rsidP="004A6040">
      <w:pPr>
        <w:pStyle w:val="1-MainHeading"/>
      </w:pPr>
      <w:bookmarkStart w:id="0" w:name="_Toc50437744"/>
      <w:r w:rsidRPr="006B435E">
        <w:t>6.03</w:t>
      </w:r>
      <w:r w:rsidR="00163F66" w:rsidRPr="006B435E">
        <w:tab/>
      </w:r>
      <w:r w:rsidR="0049386E" w:rsidRPr="006B435E">
        <w:t>DURVALUMAB</w:t>
      </w:r>
      <w:r w:rsidR="00163F66" w:rsidRPr="006B435E">
        <w:t>,</w:t>
      </w:r>
      <w:r w:rsidR="00163F66" w:rsidRPr="006B435E">
        <w:br/>
      </w:r>
      <w:r w:rsidR="00A8663F" w:rsidRPr="006B435E">
        <w:t>S</w:t>
      </w:r>
      <w:r w:rsidR="0049386E" w:rsidRPr="006B435E">
        <w:t>olution</w:t>
      </w:r>
      <w:r w:rsidR="00A8663F" w:rsidRPr="006B435E">
        <w:t xml:space="preserve"> concentrate</w:t>
      </w:r>
      <w:r w:rsidR="0049386E" w:rsidRPr="006B435E">
        <w:t xml:space="preserve"> for</w:t>
      </w:r>
      <w:r w:rsidR="00A8663F" w:rsidRPr="006B435E">
        <w:t xml:space="preserve"> I.V.</w:t>
      </w:r>
      <w:r w:rsidR="0049386E" w:rsidRPr="006B435E">
        <w:t xml:space="preserve"> infusion</w:t>
      </w:r>
      <w:r w:rsidR="00163F66" w:rsidRPr="006B435E">
        <w:t>,</w:t>
      </w:r>
      <w:r w:rsidR="00163F66" w:rsidRPr="006B435E">
        <w:br/>
      </w:r>
      <w:r w:rsidR="00A8663F" w:rsidRPr="006B435E">
        <w:t xml:space="preserve">120 mg in </w:t>
      </w:r>
      <w:r w:rsidR="0049386E" w:rsidRPr="006B435E">
        <w:t>2.4 mL</w:t>
      </w:r>
      <w:r w:rsidR="00163F66" w:rsidRPr="006B435E">
        <w:t>,</w:t>
      </w:r>
      <w:r w:rsidR="00A8663F" w:rsidRPr="006B435E">
        <w:t xml:space="preserve"> 500 mg in 10 mL,</w:t>
      </w:r>
      <w:r w:rsidR="00163F66" w:rsidRPr="006B435E">
        <w:br/>
      </w:r>
      <w:r w:rsidR="0049386E" w:rsidRPr="006B435E">
        <w:t>Imfinzi</w:t>
      </w:r>
      <w:r w:rsidR="00B60939" w:rsidRPr="006B435E">
        <w:rPr>
          <w:vertAlign w:val="superscript"/>
        </w:rPr>
        <w:t>®</w:t>
      </w:r>
      <w:r w:rsidR="004A6040" w:rsidRPr="006B435E">
        <w:t>,</w:t>
      </w:r>
      <w:r w:rsidR="004A6040" w:rsidRPr="006B435E">
        <w:br/>
      </w:r>
      <w:r w:rsidR="005A54A0" w:rsidRPr="006B435E">
        <w:t>AstraZ</w:t>
      </w:r>
      <w:r w:rsidR="0049386E" w:rsidRPr="006B435E">
        <w:t>eneca</w:t>
      </w:r>
      <w:bookmarkEnd w:id="0"/>
      <w:r w:rsidR="005A54A0" w:rsidRPr="006B435E">
        <w:t xml:space="preserve"> Pty Ltd</w:t>
      </w:r>
    </w:p>
    <w:p w:rsidR="00B50DB8" w:rsidRPr="006B435E" w:rsidRDefault="00B50DB8" w:rsidP="004A6040">
      <w:pPr>
        <w:pStyle w:val="2-SectionHeading"/>
      </w:pPr>
      <w:bookmarkStart w:id="1" w:name="_Toc50437746"/>
      <w:r w:rsidRPr="006B435E">
        <w:t xml:space="preserve">Purpose of </w:t>
      </w:r>
      <w:r w:rsidR="00CD7193" w:rsidRPr="006B435E">
        <w:t>s</w:t>
      </w:r>
      <w:r w:rsidR="00BB3A45" w:rsidRPr="006B435E">
        <w:t>ubmission</w:t>
      </w:r>
      <w:bookmarkEnd w:id="1"/>
    </w:p>
    <w:p w:rsidR="002C2775" w:rsidRPr="006B435E" w:rsidRDefault="007170DA" w:rsidP="004E18E9">
      <w:pPr>
        <w:pStyle w:val="3-BodyText"/>
      </w:pPr>
      <w:r w:rsidRPr="006B435E">
        <w:t xml:space="preserve">The submission requested </w:t>
      </w:r>
      <w:r w:rsidR="00D7129E" w:rsidRPr="006B435E">
        <w:t xml:space="preserve">a </w:t>
      </w:r>
      <w:r w:rsidR="008B1757" w:rsidRPr="006B435E">
        <w:t>Section 100</w:t>
      </w:r>
      <w:r w:rsidR="00D7129E" w:rsidRPr="006B435E">
        <w:t xml:space="preserve"> Efficient Funding of Chemotherapy</w:t>
      </w:r>
      <w:r w:rsidR="008B1757" w:rsidRPr="006B435E">
        <w:t xml:space="preserve"> listing for </w:t>
      </w:r>
      <w:r w:rsidR="00D7129E" w:rsidRPr="006B435E">
        <w:t>durvalumab</w:t>
      </w:r>
      <w:r w:rsidR="008B1757" w:rsidRPr="006B435E">
        <w:t xml:space="preserve"> </w:t>
      </w:r>
      <w:r w:rsidR="00D7129E" w:rsidRPr="006B435E">
        <w:t xml:space="preserve">in combination with etoposide plus platinum based chemotherapy </w:t>
      </w:r>
      <w:r w:rsidR="008B1757" w:rsidRPr="006B435E">
        <w:t xml:space="preserve">for </w:t>
      </w:r>
      <w:r w:rsidR="00D7129E" w:rsidRPr="006B435E">
        <w:t>the</w:t>
      </w:r>
      <w:r w:rsidR="0050174E" w:rsidRPr="006B435E">
        <w:t xml:space="preserve"> </w:t>
      </w:r>
      <w:r w:rsidR="008B1757" w:rsidRPr="006B435E">
        <w:t xml:space="preserve">treatment of </w:t>
      </w:r>
      <w:r w:rsidR="00D7129E" w:rsidRPr="006B435E">
        <w:t xml:space="preserve">extensive </w:t>
      </w:r>
      <w:r w:rsidR="00AD6B38" w:rsidRPr="006B435E">
        <w:t xml:space="preserve">stage </w:t>
      </w:r>
      <w:r w:rsidR="00D7129E" w:rsidRPr="006B435E">
        <w:t>small cell lung cancer (ES-SCL</w:t>
      </w:r>
      <w:r w:rsidR="00AD6B38" w:rsidRPr="006B435E">
        <w:t>C</w:t>
      </w:r>
      <w:r w:rsidR="00D7129E" w:rsidRPr="006B435E">
        <w:t>)</w:t>
      </w:r>
      <w:r w:rsidR="00AD6B38" w:rsidRPr="006B435E">
        <w:t>.</w:t>
      </w:r>
    </w:p>
    <w:p w:rsidR="00C2778B" w:rsidRPr="006B435E" w:rsidRDefault="005750C5" w:rsidP="004E18E9">
      <w:pPr>
        <w:pStyle w:val="3-BodyText"/>
      </w:pPr>
      <w:r w:rsidRPr="006B435E">
        <w:t xml:space="preserve">Listing was requested on the basis of a cost-minimisation versus </w:t>
      </w:r>
      <w:r w:rsidR="00D7129E" w:rsidRPr="006B435E">
        <w:t>atezolizumab in combination with etoposide plus platinum based chemotherapy</w:t>
      </w:r>
      <w:r w:rsidRPr="006B435E">
        <w:t xml:space="preserve">. </w:t>
      </w:r>
    </w:p>
    <w:p w:rsidR="008B1757" w:rsidRPr="006B435E" w:rsidRDefault="008B1757" w:rsidP="004A6040">
      <w:pPr>
        <w:pStyle w:val="TableFigureHeading"/>
        <w:rPr>
          <w:rStyle w:val="CommentReference"/>
          <w:b/>
          <w:szCs w:val="24"/>
        </w:rPr>
      </w:pPr>
      <w:r w:rsidRPr="006B435E">
        <w:rPr>
          <w:rStyle w:val="CommentReference"/>
          <w:b/>
          <w:szCs w:val="24"/>
        </w:rPr>
        <w:t xml:space="preserve">Table </w:t>
      </w:r>
      <w:r w:rsidR="00634094" w:rsidRPr="006B435E">
        <w:rPr>
          <w:rStyle w:val="CommentReference"/>
          <w:b/>
          <w:szCs w:val="24"/>
        </w:rPr>
        <w:t>1</w:t>
      </w:r>
      <w:r w:rsidRPr="006B435E">
        <w:rPr>
          <w:rStyle w:val="CommentReference"/>
          <w:b/>
          <w:szCs w:val="24"/>
        </w:rPr>
        <w:t>:</w:t>
      </w:r>
      <w:r w:rsidR="00BC591F" w:rsidRPr="006B435E">
        <w:rPr>
          <w:rStyle w:val="CommentReference"/>
          <w:b/>
          <w:szCs w:val="24"/>
        </w:rPr>
        <w:t xml:space="preserve"> </w:t>
      </w:r>
      <w:r w:rsidRPr="006B435E">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B9240F" w:rsidRPr="006B435E" w:rsidTr="00B9240F">
        <w:tc>
          <w:tcPr>
            <w:tcW w:w="1668" w:type="dxa"/>
            <w:vAlign w:val="center"/>
          </w:tcPr>
          <w:p w:rsidR="00B9240F" w:rsidRPr="006B435E" w:rsidRDefault="00B9240F" w:rsidP="00B9240F">
            <w:pPr>
              <w:pStyle w:val="In-tableHeading"/>
              <w:rPr>
                <w:lang w:val="en-AU"/>
              </w:rPr>
            </w:pPr>
            <w:r w:rsidRPr="006B435E">
              <w:rPr>
                <w:lang w:val="en-AU"/>
              </w:rPr>
              <w:t>Component</w:t>
            </w:r>
          </w:p>
        </w:tc>
        <w:tc>
          <w:tcPr>
            <w:tcW w:w="7488" w:type="dxa"/>
            <w:vAlign w:val="center"/>
          </w:tcPr>
          <w:p w:rsidR="00B9240F" w:rsidRPr="006B435E" w:rsidRDefault="00B9240F" w:rsidP="00B9240F">
            <w:pPr>
              <w:pStyle w:val="In-tableHeading"/>
              <w:rPr>
                <w:lang w:val="en-AU"/>
              </w:rPr>
            </w:pPr>
            <w:r w:rsidRPr="006B435E">
              <w:rPr>
                <w:lang w:val="en-AU"/>
              </w:rPr>
              <w:t>Description</w:t>
            </w:r>
          </w:p>
        </w:tc>
      </w:tr>
      <w:tr w:rsidR="00B9240F" w:rsidRPr="006B435E" w:rsidTr="00B9240F">
        <w:tc>
          <w:tcPr>
            <w:tcW w:w="1668" w:type="dxa"/>
            <w:vAlign w:val="center"/>
          </w:tcPr>
          <w:p w:rsidR="00B9240F" w:rsidRPr="006B435E" w:rsidRDefault="00B9240F" w:rsidP="00B9240F">
            <w:pPr>
              <w:pStyle w:val="TableText0"/>
            </w:pPr>
            <w:r w:rsidRPr="006B435E">
              <w:t>Population</w:t>
            </w:r>
          </w:p>
        </w:tc>
        <w:tc>
          <w:tcPr>
            <w:tcW w:w="7488" w:type="dxa"/>
            <w:vAlign w:val="center"/>
          </w:tcPr>
          <w:p w:rsidR="00B9240F" w:rsidRPr="006B435E" w:rsidRDefault="00B9240F" w:rsidP="00B9240F">
            <w:pPr>
              <w:pStyle w:val="TableText0"/>
            </w:pPr>
            <w:r w:rsidRPr="006B435E">
              <w:t>Patients with ES-SCLC who have not received prior treatment.</w:t>
            </w:r>
          </w:p>
        </w:tc>
      </w:tr>
      <w:tr w:rsidR="00B9240F" w:rsidRPr="006B435E" w:rsidTr="00B9240F">
        <w:tc>
          <w:tcPr>
            <w:tcW w:w="1668" w:type="dxa"/>
            <w:vAlign w:val="center"/>
          </w:tcPr>
          <w:p w:rsidR="00B9240F" w:rsidRPr="006B435E" w:rsidRDefault="00B9240F" w:rsidP="00B9240F">
            <w:pPr>
              <w:pStyle w:val="TableText0"/>
            </w:pPr>
            <w:r w:rsidRPr="006B435E">
              <w:t>Intervention</w:t>
            </w:r>
          </w:p>
        </w:tc>
        <w:tc>
          <w:tcPr>
            <w:tcW w:w="7488" w:type="dxa"/>
            <w:vAlign w:val="center"/>
          </w:tcPr>
          <w:p w:rsidR="00B9240F" w:rsidRPr="006B435E" w:rsidRDefault="00B9240F" w:rsidP="00B9240F">
            <w:pPr>
              <w:pStyle w:val="TableText0"/>
            </w:pPr>
            <w:r w:rsidRPr="006B435E">
              <w:t>Durvalumab plus etoposide and platinum chemotherapy (EP) for 4 cycles followed by durvalumab maintenance monotherapy until progression.</w:t>
            </w:r>
          </w:p>
        </w:tc>
      </w:tr>
      <w:tr w:rsidR="00B9240F" w:rsidRPr="006B435E" w:rsidTr="00B9240F">
        <w:tc>
          <w:tcPr>
            <w:tcW w:w="1668" w:type="dxa"/>
            <w:vAlign w:val="center"/>
          </w:tcPr>
          <w:p w:rsidR="00B9240F" w:rsidRPr="006B435E" w:rsidRDefault="00B9240F" w:rsidP="00B9240F">
            <w:pPr>
              <w:pStyle w:val="TableText0"/>
            </w:pPr>
            <w:r w:rsidRPr="006B435E">
              <w:t>Comparator</w:t>
            </w:r>
          </w:p>
        </w:tc>
        <w:tc>
          <w:tcPr>
            <w:tcW w:w="7488" w:type="dxa"/>
            <w:vAlign w:val="center"/>
          </w:tcPr>
          <w:p w:rsidR="00B9240F" w:rsidRPr="006B435E" w:rsidRDefault="00B9240F" w:rsidP="00B9240F">
            <w:pPr>
              <w:pStyle w:val="TableText0"/>
            </w:pPr>
            <w:r w:rsidRPr="006B435E">
              <w:t>Atezolizumab plus EP.</w:t>
            </w:r>
          </w:p>
        </w:tc>
      </w:tr>
      <w:tr w:rsidR="00B9240F" w:rsidRPr="006B435E" w:rsidTr="00B9240F">
        <w:tc>
          <w:tcPr>
            <w:tcW w:w="1668" w:type="dxa"/>
            <w:vAlign w:val="center"/>
          </w:tcPr>
          <w:p w:rsidR="00B9240F" w:rsidRPr="006B435E" w:rsidRDefault="00B9240F" w:rsidP="00B9240F">
            <w:pPr>
              <w:pStyle w:val="TableText0"/>
            </w:pPr>
            <w:r w:rsidRPr="006B435E">
              <w:t>Outcomes</w:t>
            </w:r>
          </w:p>
        </w:tc>
        <w:tc>
          <w:tcPr>
            <w:tcW w:w="7488" w:type="dxa"/>
            <w:vAlign w:val="center"/>
          </w:tcPr>
          <w:p w:rsidR="00B9240F" w:rsidRPr="006B435E" w:rsidRDefault="00B9240F" w:rsidP="00B9240F">
            <w:pPr>
              <w:pStyle w:val="TableText0"/>
            </w:pPr>
            <w:r w:rsidRPr="006B435E">
              <w:t>Primary outcome: OS.</w:t>
            </w:r>
          </w:p>
          <w:p w:rsidR="00B9240F" w:rsidRPr="006B435E" w:rsidRDefault="00B9240F" w:rsidP="00B9240F">
            <w:pPr>
              <w:pStyle w:val="TableText0"/>
            </w:pPr>
            <w:r w:rsidRPr="006B435E">
              <w:t>Secondary outcomes: PFS, ORR, APF6, OS at 18 months.</w:t>
            </w:r>
          </w:p>
        </w:tc>
      </w:tr>
      <w:tr w:rsidR="00B9240F" w:rsidRPr="006B435E" w:rsidTr="00B9240F">
        <w:tc>
          <w:tcPr>
            <w:tcW w:w="1668" w:type="dxa"/>
            <w:vAlign w:val="center"/>
          </w:tcPr>
          <w:p w:rsidR="00B9240F" w:rsidRPr="006B435E" w:rsidRDefault="00B9240F" w:rsidP="00B9240F">
            <w:pPr>
              <w:pStyle w:val="TableText0"/>
            </w:pPr>
            <w:r w:rsidRPr="006B435E">
              <w:t>Clinical claim</w:t>
            </w:r>
          </w:p>
        </w:tc>
        <w:tc>
          <w:tcPr>
            <w:tcW w:w="7488" w:type="dxa"/>
            <w:vAlign w:val="center"/>
          </w:tcPr>
          <w:p w:rsidR="00B9240F" w:rsidRPr="006B435E" w:rsidRDefault="00B9240F" w:rsidP="00B9240F">
            <w:pPr>
              <w:pStyle w:val="TableText0"/>
            </w:pPr>
            <w:r w:rsidRPr="006B435E">
              <w:t>Durvalumab plus etoposide plus platinum chemotherapy is non-inferior in efficacy and safety to atezolizumab plus etoposide plus platinum chemotherapy for the treatment of ES-SCLC.</w:t>
            </w:r>
          </w:p>
        </w:tc>
      </w:tr>
    </w:tbl>
    <w:p w:rsidR="00B9240F" w:rsidRPr="006B435E" w:rsidRDefault="00B9240F" w:rsidP="00B9240F">
      <w:pPr>
        <w:pStyle w:val="TableFigureFooter"/>
        <w:spacing w:after="0"/>
      </w:pPr>
      <w:r w:rsidRPr="006B435E">
        <w:t xml:space="preserve">Source: Table 1.1.1., p2 of the submission. </w:t>
      </w:r>
    </w:p>
    <w:p w:rsidR="00B9240F" w:rsidRPr="006B435E" w:rsidRDefault="00B9240F" w:rsidP="00AD6B38">
      <w:pPr>
        <w:pStyle w:val="TableFigureFooter"/>
      </w:pPr>
      <w:r w:rsidRPr="006B435E">
        <w:t xml:space="preserve">APF6 = Alive and progression free at 6 months; APF12 = alive and progression free at 12 months; ES-SCLC = extensive stage small cell lung cancer, EP = etoposide plus platinum chemotherapy; HRQoL = health-related quality of life; ORR = objective response rate; OS = overall survival; PFS = Progression-free survival. </w:t>
      </w:r>
    </w:p>
    <w:p w:rsidR="005C25FF" w:rsidRPr="006B435E" w:rsidRDefault="005C25FF" w:rsidP="004A6040">
      <w:pPr>
        <w:pStyle w:val="2-SectionHeading"/>
      </w:pPr>
      <w:bookmarkStart w:id="2" w:name="_Toc50437747"/>
      <w:r w:rsidRPr="006B435E">
        <w:t>Background</w:t>
      </w:r>
      <w:bookmarkEnd w:id="2"/>
    </w:p>
    <w:p w:rsidR="005C25FF" w:rsidRPr="006B435E" w:rsidRDefault="005C25FF" w:rsidP="004A6040">
      <w:pPr>
        <w:pStyle w:val="4-SubsectionHeading"/>
      </w:pPr>
      <w:bookmarkStart w:id="3" w:name="_Toc22897638"/>
      <w:bookmarkStart w:id="4" w:name="_Toc50437748"/>
      <w:r w:rsidRPr="006B435E">
        <w:t>Registration status</w:t>
      </w:r>
      <w:bookmarkEnd w:id="3"/>
      <w:bookmarkEnd w:id="4"/>
    </w:p>
    <w:p w:rsidR="00A97DDB" w:rsidRPr="006B435E" w:rsidRDefault="005C25FF" w:rsidP="00FA571B">
      <w:pPr>
        <w:pStyle w:val="3-BodyText"/>
      </w:pPr>
      <w:r w:rsidRPr="006B435E">
        <w:t xml:space="preserve">The submission was made under </w:t>
      </w:r>
      <w:r w:rsidR="00E244F6" w:rsidRPr="006B435E">
        <w:t xml:space="preserve">the </w:t>
      </w:r>
      <w:r w:rsidRPr="006B435E">
        <w:t>TGA/PBAC Parallel Process.</w:t>
      </w:r>
      <w:r w:rsidRPr="006B435E">
        <w:rPr>
          <w:i/>
        </w:rPr>
        <w:t xml:space="preserve"> </w:t>
      </w:r>
      <w:r w:rsidR="009B018E" w:rsidRPr="006B435E">
        <w:t xml:space="preserve">At the time of </w:t>
      </w:r>
      <w:r w:rsidR="00795CCB" w:rsidRPr="006B435E">
        <w:t xml:space="preserve">PBAC </w:t>
      </w:r>
      <w:r w:rsidR="009B018E" w:rsidRPr="006B435E">
        <w:t xml:space="preserve">consideration the </w:t>
      </w:r>
      <w:r w:rsidR="00EE3E4E" w:rsidRPr="006B435E">
        <w:t xml:space="preserve">TGA </w:t>
      </w:r>
      <w:r w:rsidR="00D7129E" w:rsidRPr="006B435E">
        <w:t>Delegate’s Overview</w:t>
      </w:r>
      <w:r w:rsidR="009B018E" w:rsidRPr="006B435E">
        <w:t xml:space="preserve"> was available. </w:t>
      </w:r>
      <w:r w:rsidR="004E4E65" w:rsidRPr="006B435E">
        <w:t xml:space="preserve">The </w:t>
      </w:r>
      <w:r w:rsidR="009B018E" w:rsidRPr="006B435E">
        <w:t xml:space="preserve">Delegate </w:t>
      </w:r>
      <w:r w:rsidR="004E4E65" w:rsidRPr="006B435E">
        <w:t>noted that</w:t>
      </w:r>
      <w:r w:rsidR="00EE3E4E" w:rsidRPr="006B435E">
        <w:t>:</w:t>
      </w:r>
      <w:r w:rsidR="004E4E65" w:rsidRPr="006B435E">
        <w:t xml:space="preserve"> </w:t>
      </w:r>
    </w:p>
    <w:p w:rsidR="00A97DDB" w:rsidRPr="006B435E" w:rsidRDefault="004E4E65" w:rsidP="00EE3E4E">
      <w:pPr>
        <w:pStyle w:val="3-BodyText"/>
        <w:numPr>
          <w:ilvl w:val="0"/>
          <w:numId w:val="10"/>
        </w:numPr>
        <w:ind w:left="1134"/>
      </w:pPr>
      <w:r w:rsidRPr="006B435E">
        <w:t xml:space="preserve">in the CASPIAN study four cycles of </w:t>
      </w:r>
      <w:r w:rsidR="00EE3E4E" w:rsidRPr="006B435E">
        <w:rPr>
          <w:color w:val="000000" w:themeColor="text1"/>
        </w:rPr>
        <w:t xml:space="preserve">etoposide plus platinum-based chemotherapy (EP) </w:t>
      </w:r>
      <w:r w:rsidRPr="006B435E">
        <w:t xml:space="preserve">was used in the durvalumab arm, whereas up to six cycles were used in the </w:t>
      </w:r>
      <w:r w:rsidR="00EE3E4E" w:rsidRPr="006B435E">
        <w:t>EP</w:t>
      </w:r>
      <w:r w:rsidRPr="006B435E">
        <w:t xml:space="preserve"> alone arm</w:t>
      </w:r>
      <w:r w:rsidR="00EE3E4E" w:rsidRPr="006B435E">
        <w:t>. The delegate requested ACM comment on</w:t>
      </w:r>
      <w:r w:rsidR="009B018E" w:rsidRPr="006B435E">
        <w:t xml:space="preserve"> the generalisability of the</w:t>
      </w:r>
      <w:r w:rsidR="00EE3E4E" w:rsidRPr="006B435E">
        <w:t>se</w:t>
      </w:r>
      <w:r w:rsidR="009B018E" w:rsidRPr="006B435E">
        <w:t xml:space="preserve"> treatment regimens to the Australian context</w:t>
      </w:r>
      <w:r w:rsidR="00A97DDB" w:rsidRPr="006B435E">
        <w:t>;</w:t>
      </w:r>
      <w:r w:rsidR="00EE3E4E" w:rsidRPr="006B435E">
        <w:t xml:space="preserve"> and</w:t>
      </w:r>
    </w:p>
    <w:p w:rsidR="00A97DDB" w:rsidRPr="006B435E" w:rsidRDefault="00EE3E4E" w:rsidP="00EE3E4E">
      <w:pPr>
        <w:pStyle w:val="3-BodyText"/>
        <w:numPr>
          <w:ilvl w:val="0"/>
          <w:numId w:val="10"/>
        </w:numPr>
        <w:ind w:left="1134"/>
      </w:pPr>
      <w:r w:rsidRPr="006B435E">
        <w:t>t</w:t>
      </w:r>
      <w:r w:rsidR="009B018E" w:rsidRPr="006B435E">
        <w:t>here was</w:t>
      </w:r>
      <w:r w:rsidR="00E54049" w:rsidRPr="006B435E">
        <w:t xml:space="preserve"> a</w:t>
      </w:r>
      <w:r w:rsidR="009B018E" w:rsidRPr="006B435E">
        <w:t xml:space="preserve"> stati</w:t>
      </w:r>
      <w:r w:rsidR="00E54049" w:rsidRPr="006B435E">
        <w:t>sti</w:t>
      </w:r>
      <w:r w:rsidR="009B018E" w:rsidRPr="006B435E">
        <w:t>cally significant difference in overall survival for the two treatment arms in the CASPIAN trial</w:t>
      </w:r>
      <w:r w:rsidRPr="006B435E">
        <w:t>,</w:t>
      </w:r>
      <w:r w:rsidR="009B018E" w:rsidRPr="006B435E">
        <w:t xml:space="preserve"> however the additional benefit in terms of life gain appears modest</w:t>
      </w:r>
      <w:r w:rsidRPr="006B435E">
        <w:t>. The delegate requested ACM comment on whether the benefit is clinically meaningful</w:t>
      </w:r>
      <w:r w:rsidR="00A97DDB" w:rsidRPr="006B435E">
        <w:t xml:space="preserve">. </w:t>
      </w:r>
    </w:p>
    <w:p w:rsidR="00AD5070" w:rsidRPr="006B435E" w:rsidRDefault="00A97DDB" w:rsidP="00AD5070">
      <w:pPr>
        <w:pStyle w:val="ListParagraph"/>
        <w:ind w:left="709"/>
      </w:pPr>
      <w:r w:rsidRPr="006B435E">
        <w:lastRenderedPageBreak/>
        <w:t xml:space="preserve">Overall the TGA delegate </w:t>
      </w:r>
      <w:r w:rsidR="004E4E65" w:rsidRPr="006B435E">
        <w:t>considered that</w:t>
      </w:r>
      <w:r w:rsidR="009B018E" w:rsidRPr="006B435E">
        <w:t>, subject to the advice from the ACM, there is no reason not to approve for the requested indication.</w:t>
      </w:r>
      <w:r w:rsidR="004E4E65" w:rsidRPr="006B435E">
        <w:t xml:space="preserve"> </w:t>
      </w:r>
    </w:p>
    <w:p w:rsidR="009E215B" w:rsidRPr="00671912" w:rsidRDefault="00AD5070" w:rsidP="00671912">
      <w:pPr>
        <w:rPr>
          <w:i/>
        </w:rPr>
      </w:pPr>
      <w:r w:rsidRPr="006B435E">
        <w:rPr>
          <w:i/>
        </w:rPr>
        <w:t>For more detail on PBAC’s v</w:t>
      </w:r>
      <w:r w:rsidR="00671912">
        <w:rPr>
          <w:i/>
        </w:rPr>
        <w:t>iew, see section 7 PBAC outcome.</w:t>
      </w:r>
    </w:p>
    <w:p w:rsidR="00B60939" w:rsidRPr="006B435E" w:rsidRDefault="00B50DB8" w:rsidP="004E18E9">
      <w:pPr>
        <w:pStyle w:val="2-SectionHeading"/>
      </w:pPr>
      <w:bookmarkStart w:id="5" w:name="_Toc50437749"/>
      <w:r w:rsidRPr="006B435E">
        <w:t>Requested listing</w:t>
      </w:r>
      <w:bookmarkEnd w:id="5"/>
    </w:p>
    <w:p w:rsidR="00617E12" w:rsidRPr="006B435E" w:rsidRDefault="00617E12" w:rsidP="00617E12">
      <w:pPr>
        <w:rPr>
          <w:i/>
        </w:rPr>
      </w:pPr>
    </w:p>
    <w:tbl>
      <w:tblPr>
        <w:tblW w:w="9094" w:type="dxa"/>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1701"/>
        <w:gridCol w:w="993"/>
        <w:gridCol w:w="2409"/>
        <w:gridCol w:w="1639"/>
        <w:gridCol w:w="84"/>
      </w:tblGrid>
      <w:tr w:rsidR="00D7129E" w:rsidRPr="006B435E" w:rsidTr="00795CCB">
        <w:trPr>
          <w:gridAfter w:val="1"/>
          <w:wAfter w:w="84" w:type="dxa"/>
        </w:trPr>
        <w:tc>
          <w:tcPr>
            <w:tcW w:w="2268" w:type="dxa"/>
          </w:tcPr>
          <w:p w:rsidR="00D7129E" w:rsidRPr="006B435E" w:rsidRDefault="00D7129E" w:rsidP="00D6634A">
            <w:pPr>
              <w:pStyle w:val="TableText0"/>
              <w:rPr>
                <w:b/>
              </w:rPr>
            </w:pPr>
            <w:r w:rsidRPr="006B435E">
              <w:rPr>
                <w:b/>
              </w:rPr>
              <w:t>Name, restriction, manner of administration, form</w:t>
            </w:r>
          </w:p>
        </w:tc>
        <w:tc>
          <w:tcPr>
            <w:tcW w:w="1701" w:type="dxa"/>
          </w:tcPr>
          <w:p w:rsidR="00D7129E" w:rsidRPr="006B435E" w:rsidRDefault="00D7129E" w:rsidP="00795CCB">
            <w:pPr>
              <w:pStyle w:val="TableText0"/>
              <w:rPr>
                <w:b/>
              </w:rPr>
            </w:pPr>
            <w:r w:rsidRPr="006B435E">
              <w:rPr>
                <w:b/>
              </w:rPr>
              <w:t xml:space="preserve">Maximum amount </w:t>
            </w:r>
          </w:p>
        </w:tc>
        <w:tc>
          <w:tcPr>
            <w:tcW w:w="993" w:type="dxa"/>
          </w:tcPr>
          <w:p w:rsidR="00D7129E" w:rsidRPr="006B435E" w:rsidRDefault="00D7129E" w:rsidP="00D6634A">
            <w:pPr>
              <w:pStyle w:val="TableText0"/>
              <w:rPr>
                <w:b/>
              </w:rPr>
            </w:pPr>
            <w:r w:rsidRPr="006B435E">
              <w:rPr>
                <w:b/>
              </w:rPr>
              <w:t>No. of repeats</w:t>
            </w:r>
          </w:p>
        </w:tc>
        <w:tc>
          <w:tcPr>
            <w:tcW w:w="2409" w:type="dxa"/>
          </w:tcPr>
          <w:p w:rsidR="00D7129E" w:rsidRPr="006B435E" w:rsidRDefault="00D7129E" w:rsidP="00D6634A">
            <w:pPr>
              <w:pStyle w:val="TableText0"/>
              <w:rPr>
                <w:b/>
              </w:rPr>
            </w:pPr>
            <w:r w:rsidRPr="006B435E">
              <w:rPr>
                <w:b/>
              </w:rPr>
              <w:t>Dispensed price for maximum amount</w:t>
            </w:r>
          </w:p>
        </w:tc>
        <w:tc>
          <w:tcPr>
            <w:tcW w:w="1639" w:type="dxa"/>
          </w:tcPr>
          <w:p w:rsidR="00D7129E" w:rsidRPr="006B435E" w:rsidRDefault="00D7129E" w:rsidP="00D6634A">
            <w:pPr>
              <w:pStyle w:val="TableText0"/>
              <w:rPr>
                <w:b/>
              </w:rPr>
            </w:pPr>
            <w:r w:rsidRPr="006B435E">
              <w:rPr>
                <w:b/>
              </w:rPr>
              <w:t>Proprietary name and manufacturer</w:t>
            </w:r>
          </w:p>
        </w:tc>
      </w:tr>
      <w:tr w:rsidR="00D7129E" w:rsidRPr="006B435E" w:rsidTr="00795CCB">
        <w:trPr>
          <w:gridAfter w:val="1"/>
          <w:wAfter w:w="84" w:type="dxa"/>
        </w:trPr>
        <w:tc>
          <w:tcPr>
            <w:tcW w:w="2268" w:type="dxa"/>
            <w:vAlign w:val="center"/>
          </w:tcPr>
          <w:p w:rsidR="00D7129E" w:rsidRPr="006B435E" w:rsidRDefault="00D7129E" w:rsidP="00D6634A">
            <w:pPr>
              <w:pStyle w:val="Tabletext"/>
              <w:keepNext/>
            </w:pPr>
            <w:r w:rsidRPr="006B435E">
              <w:t>Durvalumab</w:t>
            </w:r>
          </w:p>
          <w:p w:rsidR="00D7129E" w:rsidRPr="006B435E" w:rsidRDefault="00D7129E" w:rsidP="00D6634A">
            <w:pPr>
              <w:pStyle w:val="Tabletext"/>
              <w:keepNext/>
              <w:rPr>
                <w:u w:val="single"/>
              </w:rPr>
            </w:pPr>
            <w:r w:rsidRPr="006B435E">
              <w:rPr>
                <w:u w:val="single"/>
              </w:rPr>
              <w:t>Initial:</w:t>
            </w:r>
          </w:p>
          <w:p w:rsidR="00D7129E" w:rsidRPr="006B435E" w:rsidRDefault="00D7129E" w:rsidP="00D6634A">
            <w:pPr>
              <w:pStyle w:val="Tabletext"/>
              <w:keepNext/>
            </w:pPr>
            <w:r w:rsidRPr="006B435E">
              <w:t>Solution for infusion,</w:t>
            </w:r>
          </w:p>
          <w:p w:rsidR="00D7129E" w:rsidRPr="006B435E" w:rsidRDefault="00D7129E" w:rsidP="00D6634A">
            <w:pPr>
              <w:pStyle w:val="Tabletext"/>
              <w:keepNext/>
            </w:pPr>
            <w:r w:rsidRPr="006B435E">
              <w:t xml:space="preserve"> 500mg/10mL</w:t>
            </w:r>
          </w:p>
          <w:p w:rsidR="00D7129E" w:rsidRPr="006B435E" w:rsidRDefault="00D7129E" w:rsidP="00D6634A">
            <w:pPr>
              <w:pStyle w:val="Tabletext"/>
              <w:keepNext/>
            </w:pPr>
            <w:r w:rsidRPr="006B435E">
              <w:t>120 mg/2.4mL</w:t>
            </w:r>
          </w:p>
          <w:p w:rsidR="00D7129E" w:rsidRPr="006B435E" w:rsidRDefault="00D7129E" w:rsidP="00D6634A">
            <w:pPr>
              <w:pStyle w:val="Tabletext"/>
              <w:keepNext/>
              <w:rPr>
                <w:u w:val="single"/>
              </w:rPr>
            </w:pPr>
            <w:r w:rsidRPr="006B435E">
              <w:rPr>
                <w:u w:val="single"/>
              </w:rPr>
              <w:t>Continuing</w:t>
            </w:r>
          </w:p>
          <w:p w:rsidR="00D7129E" w:rsidRPr="006B435E" w:rsidRDefault="00D7129E" w:rsidP="00D6634A">
            <w:pPr>
              <w:pStyle w:val="Tabletext"/>
              <w:keepNext/>
            </w:pPr>
            <w:r w:rsidRPr="006B435E">
              <w:t>Solution for infusion,</w:t>
            </w:r>
          </w:p>
          <w:p w:rsidR="00D7129E" w:rsidRPr="006B435E" w:rsidRDefault="00D7129E" w:rsidP="00D6634A">
            <w:pPr>
              <w:pStyle w:val="Tabletext"/>
              <w:keepNext/>
            </w:pPr>
            <w:r w:rsidRPr="006B435E">
              <w:t xml:space="preserve"> 500mg/10mL</w:t>
            </w:r>
          </w:p>
          <w:p w:rsidR="00D7129E" w:rsidRPr="006B435E" w:rsidRDefault="00D7129E" w:rsidP="00D6634A">
            <w:pPr>
              <w:pStyle w:val="Tabletext"/>
              <w:keepNext/>
            </w:pPr>
            <w:r w:rsidRPr="006B435E">
              <w:t>120 mg/2.4mL</w:t>
            </w:r>
          </w:p>
          <w:p w:rsidR="00D6634A" w:rsidRPr="006B435E" w:rsidRDefault="00D6634A" w:rsidP="00D6634A">
            <w:pPr>
              <w:pStyle w:val="Tabletext"/>
              <w:keepNext/>
            </w:pPr>
          </w:p>
        </w:tc>
        <w:tc>
          <w:tcPr>
            <w:tcW w:w="1701" w:type="dxa"/>
            <w:vAlign w:val="center"/>
          </w:tcPr>
          <w:p w:rsidR="00D7129E" w:rsidRPr="006B435E" w:rsidRDefault="00D7129E" w:rsidP="00D6634A">
            <w:pPr>
              <w:pStyle w:val="Tabletext"/>
              <w:keepNext/>
              <w:jc w:val="center"/>
            </w:pPr>
          </w:p>
          <w:p w:rsidR="00D7129E" w:rsidRPr="006B435E" w:rsidRDefault="00D7129E" w:rsidP="00D6634A">
            <w:pPr>
              <w:pStyle w:val="Tabletext"/>
              <w:keepNext/>
              <w:jc w:val="center"/>
            </w:pPr>
          </w:p>
          <w:p w:rsidR="00D7129E" w:rsidRPr="006B435E" w:rsidRDefault="00D7129E" w:rsidP="00D6634A">
            <w:pPr>
              <w:pStyle w:val="Tabletext"/>
              <w:keepNext/>
              <w:jc w:val="center"/>
            </w:pPr>
            <w:r w:rsidRPr="006B435E">
              <w:t>1500 mg</w:t>
            </w:r>
          </w:p>
          <w:p w:rsidR="00D7129E" w:rsidRPr="006B435E" w:rsidRDefault="00D7129E" w:rsidP="00D6634A">
            <w:pPr>
              <w:pStyle w:val="Tabletext"/>
              <w:keepNext/>
              <w:jc w:val="center"/>
            </w:pPr>
          </w:p>
          <w:p w:rsidR="00D7129E" w:rsidRPr="006B435E" w:rsidRDefault="00D7129E" w:rsidP="00D6634A">
            <w:pPr>
              <w:pStyle w:val="Tabletext"/>
              <w:keepNext/>
              <w:jc w:val="center"/>
            </w:pPr>
          </w:p>
          <w:p w:rsidR="00D7129E" w:rsidRPr="006B435E" w:rsidRDefault="00D7129E" w:rsidP="00D6634A">
            <w:pPr>
              <w:pStyle w:val="Tabletext"/>
              <w:keepNext/>
              <w:jc w:val="center"/>
            </w:pPr>
          </w:p>
          <w:p w:rsidR="00D7129E" w:rsidRPr="006B435E" w:rsidRDefault="00D7129E" w:rsidP="00D6634A">
            <w:pPr>
              <w:pStyle w:val="Tabletext"/>
              <w:keepNext/>
              <w:jc w:val="center"/>
            </w:pPr>
            <w:r w:rsidRPr="006B435E">
              <w:t>1500 mg</w:t>
            </w:r>
          </w:p>
          <w:p w:rsidR="00D7129E" w:rsidRPr="006B435E" w:rsidRDefault="00D7129E" w:rsidP="00D6634A">
            <w:pPr>
              <w:pStyle w:val="Tabletext"/>
              <w:keepNext/>
              <w:jc w:val="center"/>
            </w:pPr>
          </w:p>
        </w:tc>
        <w:tc>
          <w:tcPr>
            <w:tcW w:w="993" w:type="dxa"/>
            <w:vAlign w:val="center"/>
          </w:tcPr>
          <w:p w:rsidR="00D7129E" w:rsidRPr="006B435E" w:rsidRDefault="00D7129E" w:rsidP="00D6634A">
            <w:pPr>
              <w:pStyle w:val="Tabletext"/>
              <w:keepNext/>
              <w:jc w:val="center"/>
            </w:pPr>
          </w:p>
          <w:p w:rsidR="00D7129E" w:rsidRPr="006B435E" w:rsidRDefault="00D7129E" w:rsidP="00D6634A">
            <w:pPr>
              <w:pStyle w:val="Tabletext"/>
              <w:keepNext/>
              <w:jc w:val="center"/>
            </w:pPr>
          </w:p>
          <w:p w:rsidR="00D7129E" w:rsidRPr="006B435E" w:rsidRDefault="00D7129E" w:rsidP="00D6634A">
            <w:pPr>
              <w:pStyle w:val="Tabletext"/>
              <w:keepNext/>
              <w:jc w:val="center"/>
            </w:pPr>
            <w:r w:rsidRPr="006B435E">
              <w:t>3</w:t>
            </w:r>
          </w:p>
          <w:p w:rsidR="00D7129E" w:rsidRPr="006B435E" w:rsidRDefault="00D7129E" w:rsidP="00D6634A">
            <w:pPr>
              <w:pStyle w:val="Tabletext"/>
              <w:keepNext/>
              <w:jc w:val="center"/>
            </w:pPr>
          </w:p>
          <w:p w:rsidR="00D7129E" w:rsidRPr="006B435E" w:rsidRDefault="00D7129E" w:rsidP="00D6634A">
            <w:pPr>
              <w:pStyle w:val="Tabletext"/>
              <w:keepNext/>
              <w:jc w:val="center"/>
            </w:pPr>
          </w:p>
          <w:p w:rsidR="00D7129E" w:rsidRPr="006B435E" w:rsidRDefault="00D7129E" w:rsidP="00D6634A">
            <w:pPr>
              <w:pStyle w:val="Tabletext"/>
              <w:keepNext/>
              <w:jc w:val="center"/>
            </w:pPr>
          </w:p>
          <w:p w:rsidR="00D7129E" w:rsidRPr="006B435E" w:rsidRDefault="00D7129E" w:rsidP="00D6634A">
            <w:pPr>
              <w:pStyle w:val="Tabletext"/>
              <w:keepNext/>
              <w:jc w:val="center"/>
            </w:pPr>
            <w:r w:rsidRPr="006B435E">
              <w:t>5</w:t>
            </w:r>
          </w:p>
          <w:p w:rsidR="00D7129E" w:rsidRPr="006B435E" w:rsidRDefault="00D7129E" w:rsidP="00D6634A">
            <w:pPr>
              <w:pStyle w:val="Tabletext"/>
              <w:keepNext/>
              <w:jc w:val="center"/>
            </w:pPr>
          </w:p>
        </w:tc>
        <w:tc>
          <w:tcPr>
            <w:tcW w:w="2409" w:type="dxa"/>
            <w:vAlign w:val="center"/>
          </w:tcPr>
          <w:p w:rsidR="00D7129E" w:rsidRPr="006B435E" w:rsidRDefault="00D7129E" w:rsidP="00D6634A">
            <w:pPr>
              <w:pStyle w:val="Tabletext"/>
              <w:keepNext/>
              <w:jc w:val="center"/>
            </w:pPr>
          </w:p>
          <w:p w:rsidR="00D7129E" w:rsidRPr="006B435E" w:rsidRDefault="00D7129E" w:rsidP="00D6634A">
            <w:pPr>
              <w:pStyle w:val="Tabletext"/>
              <w:keepNext/>
              <w:jc w:val="center"/>
            </w:pPr>
          </w:p>
          <w:p w:rsidR="00D7129E" w:rsidRPr="006B435E" w:rsidRDefault="00D7129E" w:rsidP="00D6634A">
            <w:pPr>
              <w:pStyle w:val="Tabletext"/>
              <w:keepNext/>
              <w:jc w:val="center"/>
            </w:pPr>
            <w:r w:rsidRPr="006B435E">
              <w:t>$</w:t>
            </w:r>
            <w:r w:rsidR="00E020BB">
              <w:rPr>
                <w:noProof/>
                <w:color w:val="000000"/>
                <w:highlight w:val="black"/>
              </w:rPr>
              <w:t>'''''''''''''''''''''''''</w:t>
            </w:r>
            <w:r w:rsidRPr="006B435E">
              <w:t xml:space="preserve"> (public</w:t>
            </w:r>
            <w:r w:rsidR="00795CCB" w:rsidRPr="006B435E">
              <w:t xml:space="preserve"> hospital</w:t>
            </w:r>
            <w:r w:rsidRPr="006B435E">
              <w:t>)</w:t>
            </w:r>
          </w:p>
          <w:p w:rsidR="00D7129E" w:rsidRPr="006B435E" w:rsidRDefault="00D7129E" w:rsidP="00D6634A">
            <w:pPr>
              <w:pStyle w:val="Tabletext"/>
              <w:keepNext/>
              <w:jc w:val="center"/>
            </w:pPr>
            <w:r w:rsidRPr="006B435E">
              <w:t>$</w:t>
            </w:r>
            <w:r w:rsidR="00E020BB">
              <w:rPr>
                <w:noProof/>
                <w:color w:val="000000"/>
                <w:highlight w:val="black"/>
              </w:rPr>
              <w:t>''''''''''''''''''''''''</w:t>
            </w:r>
            <w:r w:rsidRPr="006B435E">
              <w:t xml:space="preserve"> (private</w:t>
            </w:r>
            <w:r w:rsidR="00795CCB" w:rsidRPr="006B435E">
              <w:t xml:space="preserve"> hospital</w:t>
            </w:r>
            <w:r w:rsidRPr="006B435E">
              <w:t>)</w:t>
            </w:r>
          </w:p>
          <w:p w:rsidR="00D7129E" w:rsidRPr="006B435E" w:rsidRDefault="00D7129E" w:rsidP="00D6634A">
            <w:pPr>
              <w:pStyle w:val="Tabletext"/>
              <w:keepNext/>
              <w:jc w:val="center"/>
            </w:pPr>
          </w:p>
          <w:p w:rsidR="00D7129E" w:rsidRPr="006B435E" w:rsidRDefault="00D7129E" w:rsidP="00D6634A">
            <w:pPr>
              <w:pStyle w:val="Tabletext"/>
              <w:keepNext/>
              <w:jc w:val="center"/>
            </w:pPr>
          </w:p>
          <w:p w:rsidR="00D7129E" w:rsidRPr="006B435E" w:rsidRDefault="00D7129E" w:rsidP="00D6634A">
            <w:pPr>
              <w:pStyle w:val="Tabletext"/>
              <w:keepNext/>
              <w:jc w:val="center"/>
            </w:pPr>
            <w:r w:rsidRPr="006B435E">
              <w:t>$</w:t>
            </w:r>
            <w:r w:rsidR="00E020BB">
              <w:rPr>
                <w:noProof/>
                <w:color w:val="000000"/>
                <w:highlight w:val="black"/>
              </w:rPr>
              <w:t>''''''''''''''''''''''''</w:t>
            </w:r>
            <w:r w:rsidRPr="006B435E">
              <w:t xml:space="preserve"> (public</w:t>
            </w:r>
            <w:r w:rsidR="00795CCB" w:rsidRPr="006B435E">
              <w:t xml:space="preserve"> hospital</w:t>
            </w:r>
            <w:r w:rsidRPr="006B435E">
              <w:t>)</w:t>
            </w:r>
          </w:p>
          <w:p w:rsidR="00D7129E" w:rsidRPr="006B435E" w:rsidRDefault="00D7129E" w:rsidP="00D6634A">
            <w:pPr>
              <w:pStyle w:val="Tabletext"/>
              <w:keepNext/>
              <w:jc w:val="center"/>
            </w:pPr>
            <w:r w:rsidRPr="006B435E">
              <w:t>$</w:t>
            </w:r>
            <w:r w:rsidR="00E020BB">
              <w:rPr>
                <w:noProof/>
                <w:color w:val="000000"/>
                <w:highlight w:val="black"/>
              </w:rPr>
              <w:t>'''''''''''''''''''''''''</w:t>
            </w:r>
            <w:r w:rsidRPr="006B435E">
              <w:t xml:space="preserve"> (private</w:t>
            </w:r>
            <w:r w:rsidR="00795CCB" w:rsidRPr="006B435E">
              <w:t xml:space="preserve"> hospital</w:t>
            </w:r>
            <w:r w:rsidRPr="006B435E">
              <w:t>)</w:t>
            </w:r>
          </w:p>
          <w:p w:rsidR="00D7129E" w:rsidRPr="006B435E" w:rsidRDefault="00D7129E" w:rsidP="00D6634A">
            <w:pPr>
              <w:pStyle w:val="Tabletext"/>
              <w:keepNext/>
              <w:jc w:val="center"/>
            </w:pPr>
          </w:p>
        </w:tc>
        <w:tc>
          <w:tcPr>
            <w:tcW w:w="1639" w:type="dxa"/>
            <w:vAlign w:val="center"/>
          </w:tcPr>
          <w:p w:rsidR="00D7129E" w:rsidRPr="006B435E" w:rsidRDefault="00D7129E" w:rsidP="00D6634A">
            <w:pPr>
              <w:pStyle w:val="Tabletext"/>
              <w:keepNext/>
              <w:jc w:val="center"/>
            </w:pPr>
            <w:r w:rsidRPr="006B435E">
              <w:t>Imfinzi, AstraZeneca</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Category / Program:</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 xml:space="preserve">Section 100 – Efficient Funding of Chemotherapy </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Prescriber type: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Dental  </w:t>
            </w:r>
            <w:r w:rsidRPr="006B435E">
              <w:fldChar w:fldCharType="begin">
                <w:ffData>
                  <w:name w:val="Check1"/>
                  <w:enabled/>
                  <w:calcOnExit w:val="0"/>
                  <w:checkBox>
                    <w:sizeAuto/>
                    <w:default w:val="1"/>
                  </w:checkBox>
                </w:ffData>
              </w:fldChar>
            </w:r>
            <w:r w:rsidRPr="006B435E">
              <w:instrText xml:space="preserve"> FORMCHECKBOX </w:instrText>
            </w:r>
            <w:r w:rsidR="005B4049">
              <w:fldChar w:fldCharType="separate"/>
            </w:r>
            <w:r w:rsidRPr="006B435E">
              <w:fldChar w:fldCharType="end"/>
            </w:r>
            <w:r w:rsidRPr="006B435E">
              <w:t xml:space="preserve">Medical Practitioners  </w:t>
            </w: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Nurse practitioners </w:t>
            </w:r>
          </w:p>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Optometrists </w:t>
            </w: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Midwives</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Severity:</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Extensive stage primary</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Condition: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Small cell carcinoma of the lung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PBS Indication: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Extensive stage primary small cell carcinoma of the lung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Treatment phase: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Initial</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i/>
              </w:rPr>
            </w:pPr>
            <w:r w:rsidRPr="006B435E">
              <w:rPr>
                <w:b/>
              </w:rPr>
              <w:t>Restriction: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Restricted benefit</w:t>
            </w:r>
          </w:p>
          <w:p w:rsidR="00A91FD9" w:rsidRPr="006B435E" w:rsidRDefault="00A91FD9" w:rsidP="00A91FD9">
            <w:pPr>
              <w:pStyle w:val="TableText0"/>
              <w:keepNext w:val="0"/>
              <w:widowControl w:val="0"/>
            </w:pPr>
            <w:r w:rsidRPr="006B435E">
              <w:fldChar w:fldCharType="begin">
                <w:ffData>
                  <w:name w:val=""/>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Authority Required - In Writing</w:t>
            </w:r>
          </w:p>
          <w:p w:rsidR="00A91FD9" w:rsidRPr="006B435E" w:rsidRDefault="00A91FD9" w:rsidP="00A91FD9">
            <w:pPr>
              <w:pStyle w:val="TableText0"/>
              <w:keepNext w:val="0"/>
              <w:widowControl w:val="0"/>
            </w:pPr>
            <w:r w:rsidRPr="006B435E">
              <w:fldChar w:fldCharType="begin">
                <w:ffData>
                  <w:name w:val="Check3"/>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Authority Required – Telephone, Electronic</w:t>
            </w:r>
          </w:p>
          <w:p w:rsidR="00A91FD9" w:rsidRPr="006B435E" w:rsidRDefault="00A91FD9" w:rsidP="00A91FD9">
            <w:pPr>
              <w:pStyle w:val="TableText0"/>
              <w:keepNext w:val="0"/>
              <w:widowControl w:val="0"/>
            </w:pPr>
            <w:r w:rsidRPr="006B435E">
              <w:fldChar w:fldCharType="begin">
                <w:ffData>
                  <w:name w:val="Check5"/>
                  <w:enabled/>
                  <w:calcOnExit w:val="0"/>
                  <w:checkBox>
                    <w:sizeAuto/>
                    <w:default w:val="1"/>
                  </w:checkBox>
                </w:ffData>
              </w:fldChar>
            </w:r>
            <w:r w:rsidRPr="006B435E">
              <w:instrText xml:space="preserve"> FORMCHECKBOX </w:instrText>
            </w:r>
            <w:r w:rsidR="005B4049">
              <w:fldChar w:fldCharType="separate"/>
            </w:r>
            <w:r w:rsidRPr="006B435E">
              <w:fldChar w:fldCharType="end"/>
            </w:r>
            <w:r w:rsidRPr="006B435E">
              <w:t>Streamlined</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Clinical criteria:</w:t>
            </w:r>
          </w:p>
          <w:p w:rsidR="00A91FD9" w:rsidRPr="006B435E" w:rsidRDefault="00A91FD9" w:rsidP="00A91FD9">
            <w:pPr>
              <w:pStyle w:val="TableText0"/>
              <w:keepNext w:val="0"/>
              <w:widowControl w:val="0"/>
              <w:rPr>
                <w:i/>
              </w:rPr>
            </w:pP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The condition must be previously untreated AND</w:t>
            </w:r>
          </w:p>
          <w:p w:rsidR="00A91FD9" w:rsidRPr="006B435E" w:rsidRDefault="00A91FD9" w:rsidP="00A91FD9">
            <w:pPr>
              <w:pStyle w:val="TableText0"/>
              <w:keepNext w:val="0"/>
              <w:widowControl w:val="0"/>
            </w:pPr>
            <w:r w:rsidRPr="006B435E">
              <w:t>Patient must have a WHO performance status of 0 or 1 AND</w:t>
            </w:r>
          </w:p>
          <w:p w:rsidR="00A91FD9" w:rsidRPr="006B435E" w:rsidRDefault="00A91FD9" w:rsidP="00A91FD9">
            <w:pPr>
              <w:pStyle w:val="TableText0"/>
              <w:keepNext w:val="0"/>
              <w:widowControl w:val="0"/>
              <w:rPr>
                <w:rFonts w:cs="Arial"/>
              </w:rPr>
            </w:pPr>
            <w:r w:rsidRPr="006B435E">
              <w:t>The treatment must be in combination with etoposide and a platinum-based antineoplastic drug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Administrative Advice: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No increase in the maximum quantity or number of units may be authorised</w:t>
            </w:r>
          </w:p>
          <w:p w:rsidR="00A91FD9" w:rsidRPr="006B435E" w:rsidRDefault="00A91FD9" w:rsidP="00A91FD9">
            <w:pPr>
              <w:pStyle w:val="TableText0"/>
              <w:keepNext w:val="0"/>
              <w:widowControl w:val="0"/>
            </w:pPr>
            <w:r w:rsidRPr="006B435E">
              <w:t>No increase in the maximum number of repeats will be authorised</w:t>
            </w:r>
          </w:p>
          <w:p w:rsidR="00A91FD9" w:rsidRPr="006B435E" w:rsidRDefault="00A91FD9" w:rsidP="00A91FD9">
            <w:pPr>
              <w:pStyle w:val="TableText0"/>
              <w:keepNext w:val="0"/>
              <w:widowControl w:val="0"/>
            </w:pPr>
            <w:r w:rsidRPr="006B435E">
              <w:t>Special pricing arrangements apply</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Category / Program:</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 xml:space="preserve">Section 100 – Efficient Funding of Chemotherapy </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Prescriber type: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Dental  </w:t>
            </w:r>
            <w:r w:rsidRPr="006B435E">
              <w:fldChar w:fldCharType="begin">
                <w:ffData>
                  <w:name w:val="Check1"/>
                  <w:enabled/>
                  <w:calcOnExit w:val="0"/>
                  <w:checkBox>
                    <w:sizeAuto/>
                    <w:default w:val="1"/>
                  </w:checkBox>
                </w:ffData>
              </w:fldChar>
            </w:r>
            <w:r w:rsidRPr="006B435E">
              <w:instrText xml:space="preserve"> FORMCHECKBOX </w:instrText>
            </w:r>
            <w:r w:rsidR="005B4049">
              <w:fldChar w:fldCharType="separate"/>
            </w:r>
            <w:r w:rsidRPr="006B435E">
              <w:fldChar w:fldCharType="end"/>
            </w:r>
            <w:r w:rsidRPr="006B435E">
              <w:t xml:space="preserve">Medical Practitioners  </w:t>
            </w: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Nurse practitioners </w:t>
            </w:r>
          </w:p>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Optometrists </w:t>
            </w: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Midwives</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Severity:</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Extensive stage primary</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Condition: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Small cell carcinoma of the lung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PBS Indication: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Extensive stage primary small cell carcinoma of the lung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Treatment phase: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Continuing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Restriction: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Restricted benefit</w:t>
            </w:r>
          </w:p>
          <w:p w:rsidR="00A91FD9" w:rsidRPr="006B435E" w:rsidRDefault="00A91FD9" w:rsidP="00A91FD9">
            <w:pPr>
              <w:pStyle w:val="TableText0"/>
              <w:keepNext w:val="0"/>
              <w:widowControl w:val="0"/>
            </w:pPr>
            <w:r w:rsidRPr="006B435E">
              <w:fldChar w:fldCharType="begin">
                <w:ffData>
                  <w:name w:val=""/>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Authority Required - In Writing</w:t>
            </w:r>
          </w:p>
          <w:p w:rsidR="00A91FD9" w:rsidRPr="006B435E" w:rsidRDefault="00A91FD9" w:rsidP="00A91FD9">
            <w:pPr>
              <w:pStyle w:val="TableText0"/>
              <w:keepNext w:val="0"/>
              <w:widowControl w:val="0"/>
            </w:pPr>
            <w:r w:rsidRPr="006B435E">
              <w:fldChar w:fldCharType="begin">
                <w:ffData>
                  <w:name w:val="Check3"/>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Authority Required – Telephone, Electronic</w:t>
            </w:r>
          </w:p>
          <w:p w:rsidR="00A91FD9" w:rsidRPr="006B435E" w:rsidRDefault="00A91FD9" w:rsidP="00A91FD9">
            <w:pPr>
              <w:pStyle w:val="TableText0"/>
              <w:keepNext w:val="0"/>
              <w:widowControl w:val="0"/>
            </w:pPr>
            <w:r w:rsidRPr="006B435E">
              <w:fldChar w:fldCharType="begin">
                <w:ffData>
                  <w:name w:val="Check5"/>
                  <w:enabled/>
                  <w:calcOnExit w:val="0"/>
                  <w:checkBox>
                    <w:sizeAuto/>
                    <w:default w:val="1"/>
                  </w:checkBox>
                </w:ffData>
              </w:fldChar>
            </w:r>
            <w:r w:rsidRPr="006B435E">
              <w:instrText xml:space="preserve"> FORMCHECKBOX </w:instrText>
            </w:r>
            <w:r w:rsidR="005B4049">
              <w:fldChar w:fldCharType="separate"/>
            </w:r>
            <w:r w:rsidRPr="006B435E">
              <w:fldChar w:fldCharType="end"/>
            </w:r>
            <w:r w:rsidRPr="006B435E">
              <w:t>Streamlined</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lastRenderedPageBreak/>
              <w:t>Clinical criteria:</w:t>
            </w:r>
          </w:p>
          <w:p w:rsidR="00A91FD9" w:rsidRPr="006B435E" w:rsidRDefault="00A91FD9" w:rsidP="00A91FD9">
            <w:pPr>
              <w:pStyle w:val="TableText0"/>
              <w:keepNext w:val="0"/>
              <w:widowControl w:val="0"/>
              <w:rPr>
                <w:b/>
              </w:rPr>
            </w:pP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The treatment must be as monotherapy AND</w:t>
            </w:r>
          </w:p>
          <w:p w:rsidR="00A91FD9" w:rsidRPr="006B435E" w:rsidRDefault="00A91FD9" w:rsidP="00A91FD9">
            <w:pPr>
              <w:pStyle w:val="TableText0"/>
              <w:keepNext w:val="0"/>
              <w:widowControl w:val="0"/>
            </w:pPr>
            <w:r w:rsidRPr="006B435E">
              <w:t>Patient must have previously received PBS</w:t>
            </w:r>
            <w:r w:rsidRPr="006B435E">
              <w:noBreakHyphen/>
              <w:t>subsidised treatment with this drug for this condition AND</w:t>
            </w:r>
          </w:p>
          <w:p w:rsidR="00A91FD9" w:rsidRPr="006B435E" w:rsidRDefault="00A91FD9" w:rsidP="00A91FD9">
            <w:pPr>
              <w:pStyle w:val="TableText0"/>
              <w:keepNext w:val="0"/>
              <w:widowControl w:val="0"/>
            </w:pPr>
            <w:r w:rsidRPr="006B435E">
              <w:t>Patient must not have developed disease progression while being treated with this drug for this condition</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Administrative Advice: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No increase in the maximum quantity or number of units may be authorised</w:t>
            </w:r>
          </w:p>
          <w:p w:rsidR="00A91FD9" w:rsidRPr="006B435E" w:rsidRDefault="00A91FD9" w:rsidP="00A91FD9">
            <w:pPr>
              <w:pStyle w:val="TableText0"/>
              <w:keepNext w:val="0"/>
              <w:widowControl w:val="0"/>
            </w:pPr>
            <w:r w:rsidRPr="006B435E">
              <w:t>No increase in the maximum number of repeats will be authorised</w:t>
            </w:r>
          </w:p>
          <w:p w:rsidR="00A91FD9" w:rsidRPr="006B435E" w:rsidRDefault="00A91FD9" w:rsidP="00A91FD9">
            <w:pPr>
              <w:pStyle w:val="TableText0"/>
              <w:keepNext w:val="0"/>
              <w:widowControl w:val="0"/>
            </w:pPr>
            <w:r w:rsidRPr="006B435E">
              <w:t>Special pricing arrangements apply</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Category / Program:</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 xml:space="preserve">Section 100 – Efficient Funding of Chemotherapy </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Prescriber type: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Dental  </w:t>
            </w:r>
            <w:r w:rsidRPr="006B435E">
              <w:fldChar w:fldCharType="begin">
                <w:ffData>
                  <w:name w:val="Check1"/>
                  <w:enabled/>
                  <w:calcOnExit w:val="0"/>
                  <w:checkBox>
                    <w:sizeAuto/>
                    <w:default w:val="1"/>
                  </w:checkBox>
                </w:ffData>
              </w:fldChar>
            </w:r>
            <w:r w:rsidRPr="006B435E">
              <w:instrText xml:space="preserve"> FORMCHECKBOX </w:instrText>
            </w:r>
            <w:r w:rsidR="005B4049">
              <w:fldChar w:fldCharType="separate"/>
            </w:r>
            <w:r w:rsidRPr="006B435E">
              <w:fldChar w:fldCharType="end"/>
            </w:r>
            <w:r w:rsidRPr="006B435E">
              <w:t xml:space="preserve">Medical Practitioners  </w:t>
            </w: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Nurse practitioners </w:t>
            </w:r>
          </w:p>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 xml:space="preserve">Optometrists </w:t>
            </w: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Midwives</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Severity:</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Extensive stage primary</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Condition: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Small cell carcinoma of the lung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PBS Indication: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Extensive stage primary small cell carcinoma of the lung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Treatment phase: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Grandfathering</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Restriction:</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fldChar w:fldCharType="begin">
                <w:ffData>
                  <w:name w:val="Check1"/>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Restricted benefit</w:t>
            </w:r>
          </w:p>
          <w:p w:rsidR="00A91FD9" w:rsidRPr="006B435E" w:rsidRDefault="00A91FD9" w:rsidP="00A91FD9">
            <w:pPr>
              <w:pStyle w:val="TableText0"/>
              <w:keepNext w:val="0"/>
              <w:widowControl w:val="0"/>
            </w:pPr>
            <w:r w:rsidRPr="006B435E">
              <w:fldChar w:fldCharType="begin">
                <w:ffData>
                  <w:name w:val=""/>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Authority Required - In Writing</w:t>
            </w:r>
          </w:p>
          <w:p w:rsidR="00A91FD9" w:rsidRPr="006B435E" w:rsidRDefault="00A91FD9" w:rsidP="00A91FD9">
            <w:pPr>
              <w:pStyle w:val="TableText0"/>
              <w:keepNext w:val="0"/>
              <w:widowControl w:val="0"/>
            </w:pPr>
            <w:r w:rsidRPr="006B435E">
              <w:fldChar w:fldCharType="begin">
                <w:ffData>
                  <w:name w:val="Check3"/>
                  <w:enabled/>
                  <w:calcOnExit w:val="0"/>
                  <w:checkBox>
                    <w:sizeAuto/>
                    <w:default w:val="0"/>
                  </w:checkBox>
                </w:ffData>
              </w:fldChar>
            </w:r>
            <w:r w:rsidRPr="006B435E">
              <w:instrText xml:space="preserve"> FORMCHECKBOX </w:instrText>
            </w:r>
            <w:r w:rsidR="005B4049">
              <w:fldChar w:fldCharType="separate"/>
            </w:r>
            <w:r w:rsidRPr="006B435E">
              <w:fldChar w:fldCharType="end"/>
            </w:r>
            <w:r w:rsidRPr="006B435E">
              <w:t>Authority Required – Telephone, Electronic</w:t>
            </w:r>
          </w:p>
          <w:p w:rsidR="00A91FD9" w:rsidRPr="006B435E" w:rsidRDefault="00A91FD9" w:rsidP="00A91FD9">
            <w:pPr>
              <w:pStyle w:val="TableText0"/>
              <w:keepNext w:val="0"/>
              <w:widowControl w:val="0"/>
            </w:pPr>
            <w:r w:rsidRPr="006B435E">
              <w:fldChar w:fldCharType="begin">
                <w:ffData>
                  <w:name w:val="Check5"/>
                  <w:enabled/>
                  <w:calcOnExit w:val="0"/>
                  <w:checkBox>
                    <w:sizeAuto/>
                    <w:default w:val="1"/>
                  </w:checkBox>
                </w:ffData>
              </w:fldChar>
            </w:r>
            <w:r w:rsidRPr="006B435E">
              <w:instrText xml:space="preserve"> FORMCHECKBOX </w:instrText>
            </w:r>
            <w:r w:rsidR="005B4049">
              <w:fldChar w:fldCharType="separate"/>
            </w:r>
            <w:r w:rsidRPr="006B435E">
              <w:fldChar w:fldCharType="end"/>
            </w:r>
            <w:r w:rsidRPr="006B435E">
              <w:t>Streamlined</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Clinical criteria:</w:t>
            </w:r>
          </w:p>
          <w:p w:rsidR="00A91FD9" w:rsidRPr="006B435E" w:rsidRDefault="00A91FD9" w:rsidP="00A91FD9">
            <w:pPr>
              <w:pStyle w:val="TableText0"/>
              <w:keepNext w:val="0"/>
              <w:widowControl w:val="0"/>
              <w:rPr>
                <w:b/>
              </w:rPr>
            </w:pP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Patient must have received non PBS subsidised treatment with this drug for this condition prior to [DATE] AND</w:t>
            </w:r>
          </w:p>
          <w:p w:rsidR="00A91FD9" w:rsidRPr="006B435E" w:rsidRDefault="00A91FD9" w:rsidP="00A91FD9">
            <w:pPr>
              <w:pStyle w:val="TableText0"/>
              <w:keepNext w:val="0"/>
              <w:widowControl w:val="0"/>
            </w:pPr>
            <w:r w:rsidRPr="006B435E">
              <w:t>The condition must have been untreated prior to initiating non PBS subsidised treatment with this drug for this condition AND</w:t>
            </w:r>
          </w:p>
          <w:p w:rsidR="00A91FD9" w:rsidRPr="006B435E" w:rsidRDefault="00A91FD9" w:rsidP="00A91FD9">
            <w:pPr>
              <w:pStyle w:val="TableText0"/>
              <w:keepNext w:val="0"/>
              <w:widowControl w:val="0"/>
            </w:pPr>
            <w:r w:rsidRPr="006B435E">
              <w:t>Patient must not have developed disease progression while being treated with this drug for this condition AND</w:t>
            </w:r>
          </w:p>
          <w:p w:rsidR="00A91FD9" w:rsidRPr="006B435E" w:rsidRDefault="00A91FD9" w:rsidP="00A91FD9">
            <w:pPr>
              <w:pStyle w:val="TableText0"/>
              <w:keepNext w:val="0"/>
              <w:widowControl w:val="0"/>
            </w:pPr>
            <w:r w:rsidRPr="006B435E">
              <w:t>Patient must have had a WHO performance status of 0 or 1 at the time non PBS subsidised treatment with this drug for this condition was initiated AND</w:t>
            </w:r>
          </w:p>
          <w:p w:rsidR="00A91FD9" w:rsidRPr="006B435E" w:rsidRDefault="00A91FD9" w:rsidP="00A91FD9">
            <w:pPr>
              <w:pStyle w:val="TableText0"/>
              <w:keepNext w:val="0"/>
              <w:widowControl w:val="0"/>
            </w:pPr>
            <w:r w:rsidRPr="006B435E">
              <w:t>The treatment must be in combination with etoposide and a platinum based antineoplastic if the patient is yet to complete their first 4 cycles of treatment OR</w:t>
            </w:r>
          </w:p>
          <w:p w:rsidR="00A91FD9" w:rsidRPr="006B435E" w:rsidRDefault="00A91FD9" w:rsidP="00A91FD9">
            <w:pPr>
              <w:pStyle w:val="TableText0"/>
              <w:keepNext w:val="0"/>
              <w:widowControl w:val="0"/>
            </w:pPr>
            <w:r w:rsidRPr="006B435E">
              <w:t>The treatment must be as monotherapy if being administered as maintenance therapy.</w:t>
            </w:r>
          </w:p>
          <w:p w:rsidR="00A91FD9" w:rsidRPr="006B435E" w:rsidRDefault="00A91FD9" w:rsidP="00A91FD9">
            <w:pPr>
              <w:pStyle w:val="TableText0"/>
              <w:keepNext w:val="0"/>
              <w:widowControl w:val="0"/>
            </w:pPr>
            <w:r w:rsidRPr="006B435E">
              <w:t>A patient may qualify for PBS subsidised treatment under this restriction once only.</w:t>
            </w:r>
          </w:p>
          <w:p w:rsidR="00A91FD9" w:rsidRPr="006B435E" w:rsidRDefault="00A91FD9" w:rsidP="00A91FD9">
            <w:pPr>
              <w:pStyle w:val="TableText0"/>
              <w:keepNext w:val="0"/>
              <w:widowControl w:val="0"/>
            </w:pPr>
            <w:r w:rsidRPr="006B435E">
              <w:t>For continuing PBS subsidised treatment, a Grandfathered patient must qualify under the Continuing treatment criteria.</w:t>
            </w:r>
          </w:p>
        </w:tc>
      </w:tr>
      <w:tr w:rsidR="00A91FD9" w:rsidRPr="006B435E" w:rsidTr="006F037F">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268" w:type="dxa"/>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rPr>
                <w:b/>
              </w:rPr>
            </w:pPr>
            <w:r w:rsidRPr="006B435E">
              <w:rPr>
                <w:b/>
              </w:rPr>
              <w:t>Administrative Advice:</w:t>
            </w:r>
          </w:p>
        </w:tc>
        <w:tc>
          <w:tcPr>
            <w:tcW w:w="6826" w:type="dxa"/>
            <w:gridSpan w:val="5"/>
            <w:tcBorders>
              <w:top w:val="single" w:sz="4" w:space="0" w:color="auto"/>
              <w:left w:val="single" w:sz="4" w:space="0" w:color="auto"/>
              <w:bottom w:val="single" w:sz="4" w:space="0" w:color="auto"/>
              <w:right w:val="single" w:sz="4" w:space="0" w:color="auto"/>
            </w:tcBorders>
          </w:tcPr>
          <w:p w:rsidR="00A91FD9" w:rsidRPr="006B435E" w:rsidRDefault="00A91FD9" w:rsidP="00A91FD9">
            <w:pPr>
              <w:pStyle w:val="TableText0"/>
              <w:keepNext w:val="0"/>
              <w:widowControl w:val="0"/>
            </w:pPr>
            <w:r w:rsidRPr="006B435E">
              <w:t>No increase in the maximum quantity or number of units may be authorised</w:t>
            </w:r>
          </w:p>
          <w:p w:rsidR="00A91FD9" w:rsidRPr="006B435E" w:rsidRDefault="00A91FD9" w:rsidP="00A91FD9">
            <w:pPr>
              <w:pStyle w:val="TableText0"/>
              <w:keepNext w:val="0"/>
              <w:widowControl w:val="0"/>
            </w:pPr>
            <w:r w:rsidRPr="006B435E">
              <w:t>No increase in the maximum number of repeats will be authorised</w:t>
            </w:r>
          </w:p>
          <w:p w:rsidR="00A91FD9" w:rsidRPr="006B435E" w:rsidRDefault="00A91FD9" w:rsidP="00A91FD9">
            <w:pPr>
              <w:pStyle w:val="TableText0"/>
              <w:keepNext w:val="0"/>
              <w:widowControl w:val="0"/>
            </w:pPr>
            <w:r w:rsidRPr="006B435E">
              <w:t>Special pricing arrangements apply</w:t>
            </w:r>
          </w:p>
        </w:tc>
      </w:tr>
    </w:tbl>
    <w:p w:rsidR="00B60939" w:rsidRPr="006B435E" w:rsidRDefault="00A91FD9" w:rsidP="00745275">
      <w:pPr>
        <w:pStyle w:val="TableFigureFooter"/>
      </w:pPr>
      <w:r w:rsidRPr="006B435E">
        <w:t>Source: Tables 1.4.2 -1.4.4, p11-13 of the submission.</w:t>
      </w:r>
    </w:p>
    <w:p w:rsidR="00745275" w:rsidRPr="006B435E" w:rsidRDefault="00745275" w:rsidP="00745275">
      <w:pPr>
        <w:pStyle w:val="3-BodyText"/>
      </w:pPr>
      <w:r w:rsidRPr="006B435E">
        <w:t xml:space="preserve">The submission </w:t>
      </w:r>
      <w:r w:rsidR="00EE3E4E" w:rsidRPr="006B435E">
        <w:t xml:space="preserve">did </w:t>
      </w:r>
      <w:r w:rsidRPr="006B435E">
        <w:t>not request a specific effective price</w:t>
      </w:r>
      <w:r w:rsidR="00B777C5" w:rsidRPr="006B435E">
        <w:t>. A</w:t>
      </w:r>
      <w:r w:rsidRPr="006B435E">
        <w:t xml:space="preserve"> cost-minimisation price against atezolizumab is requested and would be finalised when the effective atezolizumab price is made available. </w:t>
      </w:r>
    </w:p>
    <w:p w:rsidR="00745275" w:rsidRPr="006B435E" w:rsidRDefault="00172425" w:rsidP="00745275">
      <w:pPr>
        <w:pStyle w:val="3-BodyText"/>
        <w:rPr>
          <w:color w:val="000000" w:themeColor="text1"/>
        </w:rPr>
      </w:pPr>
      <w:r w:rsidRPr="006B435E">
        <w:rPr>
          <w:color w:val="000000" w:themeColor="text1"/>
        </w:rPr>
        <w:t xml:space="preserve">The </w:t>
      </w:r>
      <w:r w:rsidR="00BE044D" w:rsidRPr="006B435E">
        <w:rPr>
          <w:color w:val="000000" w:themeColor="text1"/>
        </w:rPr>
        <w:t xml:space="preserve">proposed </w:t>
      </w:r>
      <w:r w:rsidRPr="006B435E">
        <w:rPr>
          <w:color w:val="000000" w:themeColor="text1"/>
        </w:rPr>
        <w:t xml:space="preserve">initial criteria </w:t>
      </w:r>
      <w:r w:rsidR="004D63A9" w:rsidRPr="006B435E">
        <w:rPr>
          <w:color w:val="000000" w:themeColor="text1"/>
        </w:rPr>
        <w:t xml:space="preserve">are </w:t>
      </w:r>
      <w:r w:rsidRPr="006B435E">
        <w:rPr>
          <w:color w:val="000000" w:themeColor="text1"/>
        </w:rPr>
        <w:t>consistent with the inclusion criteria of the CASPIAN trial</w:t>
      </w:r>
      <w:r w:rsidR="00E54049" w:rsidRPr="006B435E">
        <w:rPr>
          <w:color w:val="000000" w:themeColor="text1"/>
        </w:rPr>
        <w:t>,</w:t>
      </w:r>
      <w:r w:rsidR="004D63A9" w:rsidRPr="006B435E">
        <w:rPr>
          <w:color w:val="000000" w:themeColor="text1"/>
        </w:rPr>
        <w:t xml:space="preserve"> and </w:t>
      </w:r>
      <w:r w:rsidR="00E54049" w:rsidRPr="006B435E">
        <w:rPr>
          <w:color w:val="000000" w:themeColor="text1"/>
        </w:rPr>
        <w:t>the initial and continuation criteria</w:t>
      </w:r>
      <w:r w:rsidR="004D63A9" w:rsidRPr="006B435E">
        <w:rPr>
          <w:color w:val="000000" w:themeColor="text1"/>
        </w:rPr>
        <w:t xml:space="preserve"> are consistent the requested TGA indication</w:t>
      </w:r>
      <w:r w:rsidRPr="006B435E">
        <w:rPr>
          <w:color w:val="000000" w:themeColor="text1"/>
        </w:rPr>
        <w:t xml:space="preserve">. </w:t>
      </w:r>
    </w:p>
    <w:p w:rsidR="00AD5070" w:rsidRPr="006B435E" w:rsidRDefault="00701A53" w:rsidP="00AD5070">
      <w:pPr>
        <w:pStyle w:val="3-BodyText"/>
        <w:rPr>
          <w:color w:val="000000" w:themeColor="text1"/>
        </w:rPr>
      </w:pPr>
      <w:r w:rsidRPr="006B435E">
        <w:rPr>
          <w:color w:val="000000" w:themeColor="text1"/>
        </w:rPr>
        <w:t xml:space="preserve">The wording of the requested restriction is </w:t>
      </w:r>
      <w:r w:rsidR="00735BF3" w:rsidRPr="006B435E">
        <w:rPr>
          <w:color w:val="000000" w:themeColor="text1"/>
        </w:rPr>
        <w:t>identical to</w:t>
      </w:r>
      <w:r w:rsidRPr="006B435E">
        <w:rPr>
          <w:color w:val="000000" w:themeColor="text1"/>
        </w:rPr>
        <w:t xml:space="preserve"> that of the atezolizumab listing for ES-SCLC. </w:t>
      </w:r>
      <w:r w:rsidR="00B502A4" w:rsidRPr="006B435E">
        <w:rPr>
          <w:color w:val="000000" w:themeColor="text1"/>
        </w:rPr>
        <w:t>The PBAC considered that it would be appropriate for the durvalumab restrictions to be aligned with the current atezolizumab restrictions for the same indication</w:t>
      </w:r>
      <w:r w:rsidR="00735BF3" w:rsidRPr="006B435E">
        <w:rPr>
          <w:color w:val="000000" w:themeColor="text1"/>
        </w:rPr>
        <w:t>, as proposed</w:t>
      </w:r>
      <w:r w:rsidR="00DF3903" w:rsidRPr="006B435E">
        <w:rPr>
          <w:color w:val="000000" w:themeColor="text1"/>
        </w:rPr>
        <w:t xml:space="preserve"> in the submission</w:t>
      </w:r>
      <w:r w:rsidR="00B502A4" w:rsidRPr="006B435E">
        <w:rPr>
          <w:color w:val="000000" w:themeColor="text1"/>
        </w:rPr>
        <w:t>.</w:t>
      </w:r>
    </w:p>
    <w:p w:rsidR="00745275" w:rsidRPr="00671912" w:rsidRDefault="00AD5070" w:rsidP="00671912">
      <w:pPr>
        <w:rPr>
          <w:i/>
        </w:rPr>
      </w:pPr>
      <w:r w:rsidRPr="006B435E">
        <w:rPr>
          <w:i/>
        </w:rPr>
        <w:lastRenderedPageBreak/>
        <w:t>For more detail on PBAC’s view, see section 7 PBAC outcome.</w:t>
      </w:r>
    </w:p>
    <w:p w:rsidR="00B50DB8" w:rsidRPr="006B435E" w:rsidRDefault="00203181" w:rsidP="004E18E9">
      <w:pPr>
        <w:pStyle w:val="2-SectionHeading"/>
      </w:pPr>
      <w:bookmarkStart w:id="6" w:name="_Toc50437750"/>
      <w:r w:rsidRPr="006B435E">
        <w:t xml:space="preserve">Population and </w:t>
      </w:r>
      <w:r w:rsidR="008E0D3C" w:rsidRPr="006B435E">
        <w:t>d</w:t>
      </w:r>
      <w:r w:rsidRPr="006B435E">
        <w:t>isease</w:t>
      </w:r>
      <w:bookmarkEnd w:id="6"/>
    </w:p>
    <w:p w:rsidR="00683A3B" w:rsidRPr="006B435E" w:rsidRDefault="00683A3B" w:rsidP="00683A3B">
      <w:pPr>
        <w:pStyle w:val="3-BodyText"/>
      </w:pPr>
      <w:r w:rsidRPr="006B435E">
        <w:t xml:space="preserve">Lung cancer is the leading cause of cancer mortality in Australia with 20 percent of cancer-related deaths due to lung cancer (AIHW 2017). Small cell lung cancer (SCLC) is a high grade neuroendocrine tumour, distinct from low-grade typical carcinoid neuroendocrine tumours. This form of cancer is characterised by small, round cells found centrally in the bronchi (Cancer Australia 2011; AIHW 2011) SCLC accounts for 11- 12% of all cases of lung cancer in Australia (AIHW analysis 2017). </w:t>
      </w:r>
    </w:p>
    <w:p w:rsidR="00683A3B" w:rsidRPr="006B435E" w:rsidRDefault="00683A3B" w:rsidP="00683A3B">
      <w:pPr>
        <w:pStyle w:val="3-BodyText"/>
      </w:pPr>
      <w:r w:rsidRPr="006B435E">
        <w:t>SCLC is classified as limited stage (LS</w:t>
      </w:r>
      <w:r w:rsidR="00AD6B38" w:rsidRPr="006B435E">
        <w:t>)</w:t>
      </w:r>
      <w:r w:rsidRPr="006B435E">
        <w:t xml:space="preserve"> or extensive stage (ES)</w:t>
      </w:r>
      <w:r w:rsidR="00AD6B38" w:rsidRPr="006B435E">
        <w:t>.</w:t>
      </w:r>
      <w:r w:rsidRPr="006B435E">
        <w:t xml:space="preserve"> LS-SCLC corresponds to stages I to III cancer and is characterised by localised or locally advanced tumours in the lung only. ES-SCLC is locally advanced or metastatic and therefore equates to Stage IIIb or Stage IV disease (NCCN 2020). LS-SCLC can be treated surgically or radiologically, ES</w:t>
      </w:r>
      <w:r w:rsidR="00AD6B38" w:rsidRPr="006B435E">
        <w:t>-</w:t>
      </w:r>
      <w:r w:rsidRPr="006B435E">
        <w:t>SCLC is typically considered inoperable</w:t>
      </w:r>
      <w:r w:rsidR="00E911B2" w:rsidRPr="006B435E">
        <w:t xml:space="preserve"> and incurable</w:t>
      </w:r>
      <w:r w:rsidRPr="006B435E">
        <w:t xml:space="preserve">. </w:t>
      </w:r>
    </w:p>
    <w:p w:rsidR="00683A3B" w:rsidRPr="006B435E" w:rsidRDefault="00683A3B" w:rsidP="00683A3B">
      <w:pPr>
        <w:pStyle w:val="3-BodyText"/>
      </w:pPr>
      <w:r w:rsidRPr="006B435E">
        <w:t xml:space="preserve">Approximately 80% of cases of </w:t>
      </w:r>
      <w:r w:rsidR="00471A2A">
        <w:t>SCLC</w:t>
      </w:r>
      <w:r w:rsidRPr="006B435E">
        <w:t xml:space="preserve"> are diagnosed in late stage disease, when tumours have spread locally or metastasised (AIHW 2011).</w:t>
      </w:r>
    </w:p>
    <w:p w:rsidR="00683A3B" w:rsidRPr="006B435E" w:rsidRDefault="00683A3B" w:rsidP="00683A3B">
      <w:pPr>
        <w:pStyle w:val="3-BodyText"/>
      </w:pPr>
      <w:r w:rsidRPr="006B435E">
        <w:rPr>
          <w:color w:val="000000" w:themeColor="text1"/>
        </w:rPr>
        <w:t xml:space="preserve">Durvalumab is proposed to be used </w:t>
      </w:r>
      <w:r w:rsidR="000A1788" w:rsidRPr="006B435E">
        <w:rPr>
          <w:color w:val="000000" w:themeColor="text1"/>
        </w:rPr>
        <w:t xml:space="preserve">initially </w:t>
      </w:r>
      <w:r w:rsidRPr="006B435E">
        <w:rPr>
          <w:color w:val="000000" w:themeColor="text1"/>
        </w:rPr>
        <w:t xml:space="preserve">in combination </w:t>
      </w:r>
      <w:r w:rsidR="00AD6B38" w:rsidRPr="006B435E">
        <w:rPr>
          <w:color w:val="000000" w:themeColor="text1"/>
        </w:rPr>
        <w:t xml:space="preserve">EP </w:t>
      </w:r>
      <w:r w:rsidRPr="006B435E">
        <w:rPr>
          <w:color w:val="000000" w:themeColor="text1"/>
        </w:rPr>
        <w:t>in the first</w:t>
      </w:r>
      <w:r w:rsidR="00AD6B38" w:rsidRPr="006B435E">
        <w:rPr>
          <w:color w:val="000000" w:themeColor="text1"/>
        </w:rPr>
        <w:t>-</w:t>
      </w:r>
      <w:r w:rsidRPr="006B435E">
        <w:rPr>
          <w:color w:val="000000" w:themeColor="text1"/>
        </w:rPr>
        <w:t xml:space="preserve">line treatment of patients with </w:t>
      </w:r>
      <w:r w:rsidRPr="006B435E">
        <w:t>ES-SCLC</w:t>
      </w:r>
      <w:r w:rsidR="000A1788" w:rsidRPr="006B435E">
        <w:t>, then as monotherapy as maintenance treatment</w:t>
      </w:r>
      <w:r w:rsidRPr="006B435E">
        <w:t>.</w:t>
      </w:r>
    </w:p>
    <w:p w:rsidR="00683A3B" w:rsidRPr="006B435E" w:rsidRDefault="00683A3B" w:rsidP="00683A3B">
      <w:pPr>
        <w:pStyle w:val="3-BodyText"/>
      </w:pPr>
      <w:r w:rsidRPr="006B435E">
        <w:rPr>
          <w:color w:val="000000" w:themeColor="text1"/>
        </w:rPr>
        <w:t>Durvalumab is</w:t>
      </w:r>
      <w:r w:rsidRPr="006B435E">
        <w:t xml:space="preserve"> a human monoclonal antibody (mAb) of the IgG1 kappa subclass that specifically binds human programmed cell death ligand</w:t>
      </w:r>
      <w:r w:rsidRPr="006B435E">
        <w:noBreakHyphen/>
        <w:t>1 (PD</w:t>
      </w:r>
      <w:r w:rsidRPr="006B435E">
        <w:noBreakHyphen/>
        <w:t>L1).</w:t>
      </w:r>
    </w:p>
    <w:p w:rsidR="00AD5070" w:rsidRPr="006B435E" w:rsidRDefault="00AD5070" w:rsidP="00AD5070">
      <w:pPr>
        <w:rPr>
          <w:i/>
        </w:rPr>
      </w:pPr>
      <w:r w:rsidRPr="006B435E">
        <w:rPr>
          <w:i/>
        </w:rPr>
        <w:t>For more detail on PBAC’s view, see section 7 PBAC outcome.</w:t>
      </w:r>
    </w:p>
    <w:p w:rsidR="00B50DB8" w:rsidRPr="006B435E" w:rsidRDefault="00B50DB8" w:rsidP="004E18E9">
      <w:pPr>
        <w:pStyle w:val="2-SectionHeading"/>
      </w:pPr>
      <w:bookmarkStart w:id="7" w:name="_Toc50437751"/>
      <w:r w:rsidRPr="006B435E">
        <w:t>Comparator</w:t>
      </w:r>
      <w:bookmarkEnd w:id="7"/>
    </w:p>
    <w:p w:rsidR="00844371" w:rsidRPr="006B435E" w:rsidRDefault="00844371" w:rsidP="00AD6B38">
      <w:pPr>
        <w:pStyle w:val="3-BodyText"/>
        <w:spacing w:after="0"/>
        <w:rPr>
          <w:snapToGrid/>
        </w:rPr>
      </w:pPr>
      <w:r w:rsidRPr="006B435E">
        <w:t xml:space="preserve">The submission nominated atezolizumab in combination with </w:t>
      </w:r>
      <w:r w:rsidR="00BE044D" w:rsidRPr="006B435E">
        <w:t>EP</w:t>
      </w:r>
      <w:r w:rsidRPr="006B435E">
        <w:t xml:space="preserve"> as the main comparator. The main arguments provided in support of this nomination were:</w:t>
      </w:r>
    </w:p>
    <w:p w:rsidR="00844371" w:rsidRPr="006B435E" w:rsidRDefault="00844371" w:rsidP="00AD6B38">
      <w:pPr>
        <w:pStyle w:val="ListParagraph"/>
        <w:numPr>
          <w:ilvl w:val="0"/>
          <w:numId w:val="17"/>
        </w:numPr>
        <w:spacing w:after="0"/>
        <w:ind w:left="993" w:hanging="284"/>
      </w:pPr>
      <w:r w:rsidRPr="006B435E">
        <w:t xml:space="preserve">Both atezolizumab and durvalumab are </w:t>
      </w:r>
      <w:r w:rsidR="00E911B2" w:rsidRPr="006B435E">
        <w:t xml:space="preserve">immune checkpoint inhibitors targeting </w:t>
      </w:r>
      <w:r w:rsidRPr="006B435E">
        <w:t>PD</w:t>
      </w:r>
      <w:r w:rsidR="00AD6B38" w:rsidRPr="006B435E">
        <w:t>-</w:t>
      </w:r>
      <w:r w:rsidRPr="006B435E">
        <w:t>L1</w:t>
      </w:r>
      <w:r w:rsidR="00E911B2" w:rsidRPr="006B435E">
        <w:t>,</w:t>
      </w:r>
      <w:r w:rsidRPr="006B435E">
        <w:t xml:space="preserve"> intended for use in combination with EP</w:t>
      </w:r>
      <w:r w:rsidR="00AD6B38" w:rsidRPr="006B435E">
        <w:t>.</w:t>
      </w:r>
    </w:p>
    <w:p w:rsidR="00844371" w:rsidRPr="006B435E" w:rsidRDefault="00844371" w:rsidP="00AD6B38">
      <w:pPr>
        <w:pStyle w:val="ListParagraph"/>
        <w:numPr>
          <w:ilvl w:val="0"/>
          <w:numId w:val="17"/>
        </w:numPr>
        <w:spacing w:after="0"/>
        <w:ind w:left="993" w:hanging="284"/>
      </w:pPr>
      <w:r w:rsidRPr="006B435E">
        <w:t xml:space="preserve">Atezolizumab is </w:t>
      </w:r>
      <w:r w:rsidR="00DF3903" w:rsidRPr="006B435E">
        <w:t xml:space="preserve">PBS </w:t>
      </w:r>
      <w:r w:rsidRPr="006B435E">
        <w:t>listed for the treatment of ES</w:t>
      </w:r>
      <w:r w:rsidRPr="006B435E">
        <w:noBreakHyphen/>
        <w:t>SCLC</w:t>
      </w:r>
      <w:r w:rsidR="00AD6B38" w:rsidRPr="006B435E">
        <w:t>.</w:t>
      </w:r>
    </w:p>
    <w:p w:rsidR="00844371" w:rsidRPr="006B435E" w:rsidRDefault="00844371" w:rsidP="00AD6B38">
      <w:pPr>
        <w:pStyle w:val="ListParagraph"/>
        <w:numPr>
          <w:ilvl w:val="0"/>
          <w:numId w:val="17"/>
        </w:numPr>
        <w:ind w:left="993" w:hanging="284"/>
      </w:pPr>
      <w:r w:rsidRPr="006B435E">
        <w:t>Durvalumab is of the same drug class as atezolizumab, and durvalumab is seeking reimbursement for the same indication as atezolizumab</w:t>
      </w:r>
      <w:r w:rsidR="00AD6B38" w:rsidRPr="006B435E">
        <w:t>.</w:t>
      </w:r>
    </w:p>
    <w:p w:rsidR="00844371" w:rsidRPr="006B435E" w:rsidRDefault="004923E5" w:rsidP="00B777C5">
      <w:pPr>
        <w:pStyle w:val="3-BodyText"/>
      </w:pPr>
      <w:r w:rsidRPr="006B435E">
        <w:t>The ESC considered t</w:t>
      </w:r>
      <w:r w:rsidR="00844371" w:rsidRPr="006B435E">
        <w:t xml:space="preserve">he nomination of atezolizumab in combination with EP </w:t>
      </w:r>
      <w:r w:rsidR="004D63A9" w:rsidRPr="006B435E">
        <w:t xml:space="preserve">as the comparator </w:t>
      </w:r>
      <w:r w:rsidR="00AD6B38" w:rsidRPr="006B435E">
        <w:t>wa</w:t>
      </w:r>
      <w:r w:rsidR="00844371" w:rsidRPr="006B435E">
        <w:t xml:space="preserve">s </w:t>
      </w:r>
      <w:r w:rsidRPr="006B435E">
        <w:t xml:space="preserve">appropriate given this regimen is currently PBS </w:t>
      </w:r>
      <w:r w:rsidR="002024B4" w:rsidRPr="006B435E">
        <w:t xml:space="preserve">listed </w:t>
      </w:r>
      <w:r w:rsidR="004D63A9" w:rsidRPr="006B435E">
        <w:t>for the same indication</w:t>
      </w:r>
      <w:r w:rsidR="00441A1F" w:rsidRPr="006B435E">
        <w:t xml:space="preserve"> and is the treatment most likely be replaced by listing of durvalumab.</w:t>
      </w:r>
    </w:p>
    <w:p w:rsidR="00AD5070" w:rsidRPr="006B435E" w:rsidRDefault="00844371" w:rsidP="00AD5070">
      <w:pPr>
        <w:pStyle w:val="3-BodyText"/>
      </w:pPr>
      <w:r w:rsidRPr="006B435E">
        <w:t>The submission also identified pembrolizumab as a potential near market comparator for ES-SCLC. The submission concluded, however, that given the primary endpoint in the KEYNOTE 604 trial, overall survival, was not met</w:t>
      </w:r>
      <w:r w:rsidR="00A91FD9" w:rsidRPr="006B435E">
        <w:t xml:space="preserve"> (the improvement in survival was not statistically significant)</w:t>
      </w:r>
      <w:r w:rsidRPr="006B435E">
        <w:t>, it was unlikely that pembrolizumab would</w:t>
      </w:r>
      <w:r w:rsidR="00A91FD9" w:rsidRPr="006B435E">
        <w:t xml:space="preserve"> be submitted to the PBAC for this indication in the near future. </w:t>
      </w:r>
    </w:p>
    <w:p w:rsidR="00AD5070" w:rsidRPr="006B435E" w:rsidRDefault="00AD5070" w:rsidP="00AD5070">
      <w:pPr>
        <w:rPr>
          <w:i/>
        </w:rPr>
      </w:pPr>
      <w:r w:rsidRPr="006B435E">
        <w:rPr>
          <w:i/>
        </w:rPr>
        <w:lastRenderedPageBreak/>
        <w:t>For more detail on PBAC’s view, see section 7 PBAC outcome.</w:t>
      </w:r>
    </w:p>
    <w:p w:rsidR="00223D5A" w:rsidRPr="006B435E" w:rsidRDefault="00223D5A" w:rsidP="00223D5A">
      <w:pPr>
        <w:pStyle w:val="2-SectionHeading"/>
        <w:numPr>
          <w:ilvl w:val="0"/>
          <w:numId w:val="1"/>
        </w:numPr>
      </w:pPr>
      <w:bookmarkStart w:id="8" w:name="_Toc50437752"/>
      <w:bookmarkStart w:id="9" w:name="_Toc22897640"/>
      <w:r w:rsidRPr="006B435E">
        <w:t>Consideration of the evidence</w:t>
      </w:r>
      <w:bookmarkEnd w:id="8"/>
    </w:p>
    <w:p w:rsidR="00AD5070" w:rsidRPr="006B435E" w:rsidRDefault="00AD5070" w:rsidP="00671912">
      <w:pPr>
        <w:pStyle w:val="4-SubsectionHeading"/>
        <w:rPr>
          <w:snapToGrid w:val="0"/>
        </w:rPr>
      </w:pPr>
      <w:bookmarkStart w:id="10" w:name="_Toc50437753"/>
      <w:r w:rsidRPr="006B435E">
        <w:rPr>
          <w:snapToGrid w:val="0"/>
        </w:rPr>
        <w:t>Sponsor hearing</w:t>
      </w:r>
    </w:p>
    <w:p w:rsidR="00AD5070" w:rsidRPr="006B435E" w:rsidRDefault="00AD5070" w:rsidP="00AD5070">
      <w:pPr>
        <w:widowControl w:val="0"/>
        <w:numPr>
          <w:ilvl w:val="1"/>
          <w:numId w:val="1"/>
        </w:numPr>
        <w:spacing w:after="120"/>
        <w:rPr>
          <w:rFonts w:asciiTheme="minorHAnsi" w:hAnsiTheme="minorHAnsi"/>
          <w:bCs/>
          <w:snapToGrid w:val="0"/>
        </w:rPr>
      </w:pPr>
      <w:r w:rsidRPr="006B435E">
        <w:rPr>
          <w:rFonts w:asciiTheme="minorHAnsi" w:hAnsiTheme="minorHAnsi"/>
          <w:bCs/>
          <w:snapToGrid w:val="0"/>
        </w:rPr>
        <w:t>The</w:t>
      </w:r>
      <w:r w:rsidR="00DF3903" w:rsidRPr="006B435E">
        <w:rPr>
          <w:rFonts w:asciiTheme="minorHAnsi" w:hAnsiTheme="minorHAnsi"/>
          <w:bCs/>
          <w:snapToGrid w:val="0"/>
        </w:rPr>
        <w:t>re was no hearing for this item</w:t>
      </w:r>
      <w:r w:rsidRPr="006B435E">
        <w:rPr>
          <w:rFonts w:asciiTheme="minorHAnsi" w:hAnsiTheme="minorHAnsi"/>
          <w:bCs/>
          <w:snapToGrid w:val="0"/>
        </w:rPr>
        <w:t>.</w:t>
      </w:r>
    </w:p>
    <w:p w:rsidR="00AD5070" w:rsidRPr="006B435E" w:rsidRDefault="00AD5070" w:rsidP="00671912">
      <w:pPr>
        <w:pStyle w:val="4-SubsectionHeading"/>
        <w:rPr>
          <w:snapToGrid w:val="0"/>
        </w:rPr>
      </w:pPr>
      <w:r w:rsidRPr="006B435E">
        <w:rPr>
          <w:snapToGrid w:val="0"/>
        </w:rPr>
        <w:t>Consumer comments</w:t>
      </w:r>
    </w:p>
    <w:p w:rsidR="00AD5070" w:rsidRPr="006B435E" w:rsidRDefault="00AD5070" w:rsidP="00AD5070">
      <w:pPr>
        <w:widowControl w:val="0"/>
        <w:numPr>
          <w:ilvl w:val="1"/>
          <w:numId w:val="1"/>
        </w:numPr>
        <w:spacing w:after="120"/>
        <w:rPr>
          <w:rFonts w:asciiTheme="minorHAnsi" w:hAnsiTheme="minorHAnsi"/>
          <w:bCs/>
          <w:snapToGrid w:val="0"/>
        </w:rPr>
      </w:pPr>
      <w:r w:rsidRPr="006B435E">
        <w:rPr>
          <w:rFonts w:asciiTheme="minorHAnsi" w:hAnsiTheme="minorHAnsi"/>
          <w:bCs/>
          <w:snapToGrid w:val="0"/>
        </w:rPr>
        <w:t xml:space="preserve">The PBAC noted and welcomed the input from </w:t>
      </w:r>
      <w:r w:rsidR="00682BA0" w:rsidRPr="006B435E">
        <w:rPr>
          <w:rFonts w:asciiTheme="minorHAnsi" w:hAnsiTheme="minorHAnsi"/>
          <w:bCs/>
          <w:snapToGrid w:val="0"/>
        </w:rPr>
        <w:t>three</w:t>
      </w:r>
      <w:r w:rsidRPr="006B435E">
        <w:rPr>
          <w:rFonts w:asciiTheme="minorHAnsi" w:hAnsiTheme="minorHAnsi"/>
          <w:bCs/>
          <w:snapToGrid w:val="0"/>
        </w:rPr>
        <w:t xml:space="preserve"> organisations via the Consumer Comments facility on the PBS website</w:t>
      </w:r>
      <w:r w:rsidR="00682BA0" w:rsidRPr="006B435E">
        <w:rPr>
          <w:rFonts w:asciiTheme="minorHAnsi" w:hAnsiTheme="minorHAnsi"/>
          <w:bCs/>
          <w:snapToGrid w:val="0"/>
        </w:rPr>
        <w:t>, in support of the durvalumab submission</w:t>
      </w:r>
      <w:r w:rsidRPr="006B435E">
        <w:rPr>
          <w:rFonts w:asciiTheme="minorHAnsi" w:hAnsiTheme="minorHAnsi"/>
          <w:bCs/>
          <w:snapToGrid w:val="0"/>
        </w:rPr>
        <w:t xml:space="preserve">. </w:t>
      </w:r>
      <w:r w:rsidR="00682BA0" w:rsidRPr="006B435E">
        <w:rPr>
          <w:rFonts w:asciiTheme="minorHAnsi" w:hAnsiTheme="minorHAnsi"/>
          <w:bCs/>
          <w:snapToGrid w:val="0"/>
        </w:rPr>
        <w:t>Comments from Lung Foundation Australia and Rare Cancers Australia noted the importance</w:t>
      </w:r>
      <w:r w:rsidR="00DF3903" w:rsidRPr="006B435E">
        <w:rPr>
          <w:rFonts w:asciiTheme="minorHAnsi" w:hAnsiTheme="minorHAnsi"/>
          <w:bCs/>
          <w:snapToGrid w:val="0"/>
        </w:rPr>
        <w:t>,</w:t>
      </w:r>
      <w:r w:rsidR="00682BA0" w:rsidRPr="006B435E">
        <w:rPr>
          <w:rFonts w:asciiTheme="minorHAnsi" w:hAnsiTheme="minorHAnsi"/>
          <w:bCs/>
          <w:snapToGrid w:val="0"/>
        </w:rPr>
        <w:t xml:space="preserve"> </w:t>
      </w:r>
      <w:r w:rsidR="00DF3903" w:rsidRPr="006B435E">
        <w:rPr>
          <w:rFonts w:asciiTheme="minorHAnsi" w:hAnsiTheme="minorHAnsi"/>
          <w:bCs/>
          <w:snapToGrid w:val="0"/>
        </w:rPr>
        <w:t xml:space="preserve">to patients, </w:t>
      </w:r>
      <w:r w:rsidR="00682BA0" w:rsidRPr="006B435E">
        <w:rPr>
          <w:rFonts w:asciiTheme="minorHAnsi" w:hAnsiTheme="minorHAnsi"/>
          <w:bCs/>
          <w:snapToGrid w:val="0"/>
        </w:rPr>
        <w:t xml:space="preserve">of access to </w:t>
      </w:r>
      <w:r w:rsidR="00DD5D20" w:rsidRPr="006B435E">
        <w:rPr>
          <w:rFonts w:asciiTheme="minorHAnsi" w:hAnsiTheme="minorHAnsi"/>
          <w:bCs/>
          <w:snapToGrid w:val="0"/>
        </w:rPr>
        <w:t xml:space="preserve">additional effective therapies for SCLC, even where there is no clinical difference between treatments. The comments noted that durvalumab was considered to improve overall survival, with a favourable side effect profile compared with chemotherapy alone. </w:t>
      </w:r>
    </w:p>
    <w:p w:rsidR="00AD5070" w:rsidRPr="006B435E" w:rsidRDefault="00AD5070" w:rsidP="00F64287">
      <w:pPr>
        <w:pStyle w:val="3-BodyText"/>
      </w:pPr>
      <w:r w:rsidRPr="006B435E">
        <w:t xml:space="preserve">The Medical Oncology Group of Australia (MOGA) also expressed its support for the </w:t>
      </w:r>
      <w:r w:rsidR="00DD5D20" w:rsidRPr="006B435E">
        <w:t>durvalumab</w:t>
      </w:r>
      <w:r w:rsidRPr="006B435E">
        <w:t xml:space="preserve"> submission. The PBAC noted that the MOGA presented a European Society for Medical Oncology Magnitude of Clinical Benefit Scale (ESMO-MCBS) </w:t>
      </w:r>
      <w:r w:rsidR="00F64287" w:rsidRPr="006B435E">
        <w:t>for durvalumab, which was limited to 3</w:t>
      </w:r>
      <w:r w:rsidRPr="006B435E">
        <w:t xml:space="preserve"> (out of a maximum of 5, where 5 and 4 represent the grades with substantial improvement)</w:t>
      </w:r>
      <w:r w:rsidR="00F64287" w:rsidRPr="006B435E">
        <w:rPr>
          <w:rStyle w:val="FootnoteReference"/>
        </w:rPr>
        <w:footnoteReference w:id="1"/>
      </w:r>
      <w:r w:rsidRPr="006B435E">
        <w:t xml:space="preserve">, based on a comparison with </w:t>
      </w:r>
      <w:r w:rsidR="00F64287" w:rsidRPr="006B435E">
        <w:t>chemotherapy alone in the CASPIAN trial</w:t>
      </w:r>
      <w:r w:rsidR="006B435E">
        <w:t xml:space="preserve">. </w:t>
      </w:r>
    </w:p>
    <w:p w:rsidR="00B60939" w:rsidRPr="006B435E" w:rsidRDefault="00B60939" w:rsidP="002E4F02">
      <w:pPr>
        <w:pStyle w:val="4-SubsectionHeading"/>
      </w:pPr>
      <w:r w:rsidRPr="006B435E">
        <w:t>Clinical trial</w:t>
      </w:r>
      <w:bookmarkEnd w:id="9"/>
      <w:r w:rsidR="00844371" w:rsidRPr="006B435E">
        <w:t>s</w:t>
      </w:r>
      <w:bookmarkEnd w:id="10"/>
    </w:p>
    <w:p w:rsidR="007F1017" w:rsidRPr="006B435E" w:rsidRDefault="00844371" w:rsidP="002E4F02">
      <w:pPr>
        <w:pStyle w:val="3-BodyText"/>
        <w:rPr>
          <w:color w:val="000000" w:themeColor="text1"/>
        </w:rPr>
      </w:pPr>
      <w:r w:rsidRPr="006B435E">
        <w:rPr>
          <w:color w:val="000000" w:themeColor="text1"/>
        </w:rPr>
        <w:t xml:space="preserve">The submission was based on the CASPIAN trial (N=537), a Phase III, open label, randomised controlled trial, which directly compared durvalumab plus EP with EP alone. The indirect comparison against </w:t>
      </w:r>
      <w:r w:rsidR="0021637A" w:rsidRPr="006B435E">
        <w:rPr>
          <w:color w:val="000000" w:themeColor="text1"/>
        </w:rPr>
        <w:t>atezolizumab</w:t>
      </w:r>
      <w:r w:rsidRPr="006B435E">
        <w:rPr>
          <w:color w:val="000000" w:themeColor="text1"/>
        </w:rPr>
        <w:t xml:space="preserve"> was based on CASPIAN as well as </w:t>
      </w:r>
      <w:r w:rsidR="002E4F4F" w:rsidRPr="006B435E">
        <w:rPr>
          <w:color w:val="000000" w:themeColor="text1"/>
        </w:rPr>
        <w:t>IMpower</w:t>
      </w:r>
      <w:r w:rsidRPr="006B435E">
        <w:rPr>
          <w:color w:val="000000" w:themeColor="text1"/>
        </w:rPr>
        <w:t>133, a double blind randomised controlled trial (N=403) comparing atezolizumab plus EP versus EP alone. Though CASPIAN was a three arm trial, the tremelimumab + durvalumab arm is not relevant to the submission (</w:t>
      </w:r>
      <w:r w:rsidR="00AD6B38" w:rsidRPr="006B435E">
        <w:rPr>
          <w:color w:val="000000" w:themeColor="text1"/>
        </w:rPr>
        <w:t>t</w:t>
      </w:r>
      <w:r w:rsidRPr="006B435E">
        <w:rPr>
          <w:color w:val="000000" w:themeColor="text1"/>
        </w:rPr>
        <w:t>he N values are based on the two relevant arms of the CASPIAN trial).</w:t>
      </w:r>
    </w:p>
    <w:p w:rsidR="00862502" w:rsidRPr="006B435E" w:rsidRDefault="00A73134" w:rsidP="002E4F02">
      <w:pPr>
        <w:pStyle w:val="3-BodyText"/>
      </w:pPr>
      <w:r w:rsidRPr="006B435E">
        <w:rPr>
          <w:snapToGrid/>
        </w:rPr>
        <w:t>Details of the trials</w:t>
      </w:r>
      <w:r w:rsidR="00844371" w:rsidRPr="006B435E">
        <w:rPr>
          <w:snapToGrid/>
        </w:rPr>
        <w:t xml:space="preserve"> </w:t>
      </w:r>
      <w:r w:rsidRPr="006B435E">
        <w:rPr>
          <w:snapToGrid/>
        </w:rPr>
        <w:t xml:space="preserve">presented in the submission are provided in </w:t>
      </w:r>
      <w:r w:rsidR="00977E4F" w:rsidRPr="006B435E">
        <w:t>Table 2</w:t>
      </w:r>
      <w:r w:rsidRPr="006B435E">
        <w:t>.</w:t>
      </w:r>
    </w:p>
    <w:p w:rsidR="00723863" w:rsidRDefault="00723863">
      <w:pPr>
        <w:jc w:val="left"/>
        <w:rPr>
          <w:rStyle w:val="CommentReference"/>
          <w:rFonts w:eastAsiaTheme="majorEastAsia" w:cstheme="majorBidi"/>
          <w:bCs/>
          <w:szCs w:val="24"/>
        </w:rPr>
      </w:pPr>
      <w:bookmarkStart w:id="11" w:name="_Ref49791315"/>
      <w:r>
        <w:rPr>
          <w:rStyle w:val="CommentReference"/>
          <w:b w:val="0"/>
          <w:szCs w:val="24"/>
        </w:rPr>
        <w:br w:type="page"/>
      </w:r>
    </w:p>
    <w:p w:rsidR="008E0D3C" w:rsidRPr="006B435E" w:rsidRDefault="008E0D3C" w:rsidP="00AD6B38">
      <w:pPr>
        <w:pStyle w:val="TableFigureHeading"/>
        <w:keepNext w:val="0"/>
        <w:rPr>
          <w:rStyle w:val="CommentReference"/>
          <w:b/>
          <w:szCs w:val="24"/>
        </w:rPr>
      </w:pPr>
      <w:r w:rsidRPr="006B435E">
        <w:rPr>
          <w:rStyle w:val="CommentReference"/>
          <w:b/>
          <w:szCs w:val="24"/>
        </w:rPr>
        <w:lastRenderedPageBreak/>
        <w:t xml:space="preserve">Table </w:t>
      </w:r>
      <w:r w:rsidR="00634094" w:rsidRPr="006B435E">
        <w:rPr>
          <w:rStyle w:val="CommentReference"/>
          <w:b/>
          <w:szCs w:val="24"/>
        </w:rPr>
        <w:t>2</w:t>
      </w:r>
      <w:bookmarkEnd w:id="11"/>
      <w:r w:rsidRPr="006B435E">
        <w:rPr>
          <w:rStyle w:val="CommentReference"/>
          <w:b/>
          <w:szCs w:val="24"/>
        </w:rPr>
        <w:t>:</w:t>
      </w:r>
      <w:r w:rsidR="00BC591F" w:rsidRPr="006B435E">
        <w:rPr>
          <w:rStyle w:val="CommentReference"/>
          <w:b/>
          <w:szCs w:val="24"/>
        </w:rPr>
        <w:t xml:space="preserve"> </w:t>
      </w:r>
      <w:r w:rsidRPr="006B435E">
        <w:rPr>
          <w:rStyle w:val="CommentReference"/>
          <w:b/>
          <w:szCs w:val="24"/>
        </w:rPr>
        <w:t>Trials</w:t>
      </w:r>
      <w:r w:rsidR="00844371" w:rsidRPr="006B435E">
        <w:rPr>
          <w:rStyle w:val="CommentReference"/>
          <w:b/>
          <w:szCs w:val="24"/>
        </w:rPr>
        <w:t xml:space="preserve"> </w:t>
      </w:r>
      <w:r w:rsidRPr="006B435E">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D6B38" w:rsidRPr="006B435E" w:rsidTr="009C00B5">
        <w:trPr>
          <w:tblHeader/>
        </w:trPr>
        <w:tc>
          <w:tcPr>
            <w:tcW w:w="796" w:type="pct"/>
            <w:vAlign w:val="center"/>
          </w:tcPr>
          <w:p w:rsidR="00AD6B38" w:rsidRPr="006B435E" w:rsidRDefault="00AD6B38" w:rsidP="009C00B5">
            <w:pPr>
              <w:pStyle w:val="In-tableHeading"/>
              <w:keepNext w:val="0"/>
              <w:rPr>
                <w:lang w:val="en-AU"/>
              </w:rPr>
            </w:pPr>
            <w:r w:rsidRPr="006B435E">
              <w:rPr>
                <w:lang w:val="en-AU"/>
              </w:rPr>
              <w:t>Trial</w:t>
            </w:r>
          </w:p>
        </w:tc>
        <w:tc>
          <w:tcPr>
            <w:tcW w:w="3027" w:type="pct"/>
            <w:vAlign w:val="center"/>
          </w:tcPr>
          <w:p w:rsidR="00AD6B38" w:rsidRPr="006B435E" w:rsidRDefault="00AD6B38" w:rsidP="009C00B5">
            <w:pPr>
              <w:pStyle w:val="In-tableHeading"/>
              <w:keepNext w:val="0"/>
              <w:jc w:val="center"/>
              <w:rPr>
                <w:lang w:val="en-AU"/>
              </w:rPr>
            </w:pPr>
            <w:r w:rsidRPr="006B435E">
              <w:rPr>
                <w:lang w:val="en-AU"/>
              </w:rPr>
              <w:t>Protocol title/ Publication title</w:t>
            </w:r>
          </w:p>
        </w:tc>
        <w:tc>
          <w:tcPr>
            <w:tcW w:w="1177" w:type="pct"/>
            <w:vAlign w:val="center"/>
          </w:tcPr>
          <w:p w:rsidR="00AD6B38" w:rsidRPr="006B435E" w:rsidRDefault="00AD6B38" w:rsidP="009C00B5">
            <w:pPr>
              <w:pStyle w:val="In-tableHeading"/>
              <w:keepNext w:val="0"/>
              <w:jc w:val="center"/>
              <w:rPr>
                <w:lang w:val="en-AU"/>
              </w:rPr>
            </w:pPr>
            <w:r w:rsidRPr="006B435E">
              <w:rPr>
                <w:lang w:val="en-AU"/>
              </w:rPr>
              <w:t>Publication citation</w:t>
            </w:r>
          </w:p>
        </w:tc>
      </w:tr>
      <w:tr w:rsidR="00AD6B38" w:rsidRPr="006B435E" w:rsidTr="009C00B5">
        <w:tc>
          <w:tcPr>
            <w:tcW w:w="796" w:type="pct"/>
            <w:vMerge w:val="restart"/>
          </w:tcPr>
          <w:p w:rsidR="00AD6B38" w:rsidRPr="006B435E" w:rsidRDefault="00AD6B38" w:rsidP="009C00B5">
            <w:pPr>
              <w:pStyle w:val="TableText0"/>
              <w:keepNext w:val="0"/>
            </w:pPr>
            <w:r w:rsidRPr="006B435E">
              <w:t>CASPIAN</w:t>
            </w:r>
          </w:p>
          <w:p w:rsidR="00AD6B38" w:rsidRPr="006B435E" w:rsidRDefault="00AD6B38" w:rsidP="009C00B5">
            <w:pPr>
              <w:pStyle w:val="TableText0"/>
            </w:pPr>
            <w:r w:rsidRPr="006B435E">
              <w:t>NCT03043872</w:t>
            </w:r>
          </w:p>
        </w:tc>
        <w:tc>
          <w:tcPr>
            <w:tcW w:w="3027" w:type="pct"/>
            <w:tcBorders>
              <w:bottom w:val="nil"/>
            </w:tcBorders>
          </w:tcPr>
          <w:p w:rsidR="00AD6B38" w:rsidRPr="006B435E" w:rsidRDefault="00AD6B38" w:rsidP="009C00B5">
            <w:pPr>
              <w:pStyle w:val="TableText0"/>
              <w:keepNext w:val="0"/>
              <w:spacing w:after="40"/>
              <w:rPr>
                <w:szCs w:val="18"/>
              </w:rPr>
            </w:pPr>
            <w:r w:rsidRPr="006B435E">
              <w:rPr>
                <w:szCs w:val="18"/>
              </w:rPr>
              <w:t xml:space="preserve">A Phase III, Randomized, Multicenter, Open Label, Comparative Study to Determine the Efficacy of Durvalumab or Durvalumab and Tremelimumab in Combination With Platinum Based Chemotherapy for the First Line Treatment in Patients with Extensive stage Small Cell Lung Cancer (SCLC) (CASPIAN). Version 5, </w:t>
            </w:r>
          </w:p>
        </w:tc>
        <w:tc>
          <w:tcPr>
            <w:tcW w:w="1177" w:type="pct"/>
            <w:tcBorders>
              <w:bottom w:val="nil"/>
            </w:tcBorders>
          </w:tcPr>
          <w:p w:rsidR="00AD6B38" w:rsidRPr="006B435E" w:rsidRDefault="00AD6B38" w:rsidP="009C00B5">
            <w:pPr>
              <w:pStyle w:val="TableText0"/>
              <w:keepNext w:val="0"/>
            </w:pPr>
            <w:r w:rsidRPr="006B435E">
              <w:rPr>
                <w:szCs w:val="18"/>
              </w:rPr>
              <w:t>29 November 2019.</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rPr>
                <w:szCs w:val="18"/>
              </w:rPr>
            </w:pPr>
            <w:r w:rsidRPr="006B435E">
              <w:rPr>
                <w:szCs w:val="18"/>
              </w:rPr>
              <w:t>A Phase III, Randomized, Multicenter, Open Label, Comparative Study to Determine the Efficacy of Durvalumab or Durvalumab and Tremelimumab in Combination With Platinum Based Chemotherapy for the First Line Treatment in Patients with Extensive stage Small Cell Lung Cancer (SCLC) (CASPIAN). Edition 1,.</w:t>
            </w:r>
          </w:p>
        </w:tc>
        <w:tc>
          <w:tcPr>
            <w:tcW w:w="1177" w:type="pct"/>
            <w:tcBorders>
              <w:top w:val="nil"/>
              <w:bottom w:val="nil"/>
            </w:tcBorders>
          </w:tcPr>
          <w:p w:rsidR="00AD6B38" w:rsidRPr="006B435E" w:rsidRDefault="00AD6B38" w:rsidP="009C00B5">
            <w:pPr>
              <w:pStyle w:val="TableText0"/>
              <w:keepNext w:val="0"/>
              <w:rPr>
                <w:szCs w:val="18"/>
              </w:rPr>
            </w:pPr>
            <w:r w:rsidRPr="006B435E">
              <w:rPr>
                <w:szCs w:val="18"/>
              </w:rPr>
              <w:t>5 September 2019</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rPr>
                <w:szCs w:val="18"/>
              </w:rPr>
            </w:pPr>
            <w:r w:rsidRPr="006B435E">
              <w:rPr>
                <w:szCs w:val="18"/>
              </w:rPr>
              <w:t xml:space="preserve">Nishio M, Ji JH, Hotta K, Chiu CH, Lee JS, Azuma K, et al. Overall survival with first line durvalumab plus platinum etoposide in patients with extensive stage (ES) SCLC in CASPIAN: subgroup findings from Asia. </w:t>
            </w:r>
          </w:p>
        </w:tc>
        <w:tc>
          <w:tcPr>
            <w:tcW w:w="1177" w:type="pct"/>
            <w:tcBorders>
              <w:top w:val="nil"/>
              <w:bottom w:val="nil"/>
            </w:tcBorders>
          </w:tcPr>
          <w:p w:rsidR="00AD6B38" w:rsidRPr="006B435E" w:rsidRDefault="00AD6B38" w:rsidP="009C00B5">
            <w:pPr>
              <w:pStyle w:val="TableText0"/>
              <w:keepNext w:val="0"/>
              <w:rPr>
                <w:i/>
                <w:szCs w:val="18"/>
              </w:rPr>
            </w:pPr>
            <w:r w:rsidRPr="006B435E">
              <w:rPr>
                <w:szCs w:val="18"/>
              </w:rPr>
              <w:t>Annals of oncology. 2019;30:ix197</w:t>
            </w:r>
            <w:r w:rsidRPr="006B435E">
              <w:rPr>
                <w:rFonts w:ascii="Cambria Math" w:hAnsi="Cambria Math" w:cs="Cambria Math"/>
                <w:szCs w:val="18"/>
              </w:rPr>
              <w:t>‐</w:t>
            </w:r>
            <w:r w:rsidRPr="006B435E">
              <w:rPr>
                <w:szCs w:val="18"/>
              </w:rPr>
              <w:t>ix8.</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rPr>
                <w:szCs w:val="18"/>
              </w:rPr>
            </w:pPr>
            <w:r w:rsidRPr="006B435E">
              <w:rPr>
                <w:szCs w:val="18"/>
              </w:rPr>
              <w:t xml:space="preserve">Özgüroğlu M, Goldman JW, Reinmuth N, Chen Y, Dvorkin M, Trukhin D, et al. First line durvalumab plus platinum etoposide in extensive stage (ES) SCLC: safety, pharmacokinetics (PK) and immunogenicity in CASPIAN. </w:t>
            </w:r>
          </w:p>
        </w:tc>
        <w:tc>
          <w:tcPr>
            <w:tcW w:w="1177" w:type="pct"/>
            <w:tcBorders>
              <w:top w:val="nil"/>
              <w:bottom w:val="nil"/>
            </w:tcBorders>
          </w:tcPr>
          <w:p w:rsidR="00AD6B38" w:rsidRPr="006B435E" w:rsidRDefault="00AD6B38" w:rsidP="009C00B5">
            <w:pPr>
              <w:pStyle w:val="TableText0"/>
              <w:keepNext w:val="0"/>
              <w:rPr>
                <w:i/>
                <w:szCs w:val="18"/>
              </w:rPr>
            </w:pPr>
            <w:r w:rsidRPr="006B435E">
              <w:rPr>
                <w:szCs w:val="18"/>
              </w:rPr>
              <w:t>Annals of oncology. 2019;30:xi66</w:t>
            </w:r>
            <w:r w:rsidRPr="006B435E">
              <w:rPr>
                <w:rFonts w:ascii="Cambria Math" w:hAnsi="Cambria Math" w:cs="Cambria Math"/>
                <w:szCs w:val="18"/>
              </w:rPr>
              <w:t>‐</w:t>
            </w:r>
            <w:r w:rsidRPr="006B435E">
              <w:rPr>
                <w:szCs w:val="18"/>
              </w:rPr>
              <w:t>.</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rPr>
                <w:szCs w:val="18"/>
              </w:rPr>
            </w:pPr>
            <w:r w:rsidRPr="006B435E">
              <w:rPr>
                <w:szCs w:val="18"/>
              </w:rPr>
              <w:t xml:space="preserve">Paz Ares L, Chen Y, Reinmuth N, Hotta K, Trukhin D, Statsenko G, et al. PL02.11 Overall Survival with Durvalumab Plus Etoposide Platinum in First Line Extensive Stage SCLC: results from the CASPIAN Study. </w:t>
            </w:r>
          </w:p>
        </w:tc>
        <w:tc>
          <w:tcPr>
            <w:tcW w:w="1177" w:type="pct"/>
            <w:tcBorders>
              <w:top w:val="nil"/>
              <w:bottom w:val="nil"/>
            </w:tcBorders>
          </w:tcPr>
          <w:p w:rsidR="00AD6B38" w:rsidRPr="006B435E" w:rsidRDefault="00AD6B38" w:rsidP="009C00B5">
            <w:pPr>
              <w:pStyle w:val="TableText0"/>
              <w:keepNext w:val="0"/>
              <w:rPr>
                <w:szCs w:val="18"/>
              </w:rPr>
            </w:pPr>
            <w:r w:rsidRPr="006B435E">
              <w:rPr>
                <w:szCs w:val="18"/>
              </w:rPr>
              <w:t>Journal of Thoracic Oncology. 2019;14(10):S7</w:t>
            </w:r>
            <w:r w:rsidRPr="006B435E">
              <w:rPr>
                <w:rFonts w:ascii="Cambria Math" w:hAnsi="Cambria Math" w:cs="Cambria Math"/>
                <w:szCs w:val="18"/>
              </w:rPr>
              <w:t>‐</w:t>
            </w:r>
            <w:r w:rsidRPr="006B435E">
              <w:rPr>
                <w:szCs w:val="18"/>
              </w:rPr>
              <w:t>S8.</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rPr>
                <w:szCs w:val="18"/>
              </w:rPr>
            </w:pPr>
            <w:r w:rsidRPr="006B435E">
              <w:rPr>
                <w:szCs w:val="18"/>
              </w:rPr>
              <w:t xml:space="preserve">Paz Ares L, Dvorkin M, Chen Y, Reinmuth N, Hotta K, Trukhin D, et al. Durvalumab plus platinum–etoposide versus platinum–etoposide in first line treatment of extensive stage small cell lung cancer (CASPIAN): a randomised, controlled, open label, phase 3 trial. </w:t>
            </w:r>
          </w:p>
        </w:tc>
        <w:tc>
          <w:tcPr>
            <w:tcW w:w="1177" w:type="pct"/>
            <w:tcBorders>
              <w:top w:val="nil"/>
              <w:bottom w:val="nil"/>
            </w:tcBorders>
          </w:tcPr>
          <w:p w:rsidR="00AD6B38" w:rsidRPr="006B435E" w:rsidRDefault="00AD6B38" w:rsidP="009C00B5">
            <w:pPr>
              <w:pStyle w:val="TableText0"/>
              <w:keepNext w:val="0"/>
              <w:rPr>
                <w:i/>
                <w:szCs w:val="18"/>
              </w:rPr>
            </w:pPr>
            <w:r w:rsidRPr="006B435E">
              <w:rPr>
                <w:szCs w:val="18"/>
              </w:rPr>
              <w:t>The Lancet. 2019; 394(10212): 1929 39.</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rPr>
                <w:szCs w:val="18"/>
              </w:rPr>
            </w:pPr>
            <w:r w:rsidRPr="006B435E">
              <w:rPr>
                <w:szCs w:val="18"/>
              </w:rPr>
              <w:t xml:space="preserve">Paz Ares L, Goldman JW, Garassino MC, Dvorkin M, Trukhin D, Statsenko G, et al. PD L1 expression, patterns of progression and patient reported outcomes (PROs) with durvalumab plus platinum etoposide in ES SCLC: Results from CASPIAN. </w:t>
            </w:r>
          </w:p>
        </w:tc>
        <w:tc>
          <w:tcPr>
            <w:tcW w:w="1177" w:type="pct"/>
            <w:tcBorders>
              <w:top w:val="nil"/>
              <w:bottom w:val="nil"/>
            </w:tcBorders>
          </w:tcPr>
          <w:p w:rsidR="00AD6B38" w:rsidRPr="006B435E" w:rsidRDefault="00AD6B38" w:rsidP="009C00B5">
            <w:pPr>
              <w:pStyle w:val="TableText0"/>
              <w:keepNext w:val="0"/>
              <w:rPr>
                <w:i/>
                <w:szCs w:val="18"/>
              </w:rPr>
            </w:pPr>
            <w:r w:rsidRPr="006B435E">
              <w:rPr>
                <w:szCs w:val="18"/>
              </w:rPr>
              <w:t>Annals of Oncology. 2019; 30:v928 v9.</w:t>
            </w:r>
          </w:p>
        </w:tc>
      </w:tr>
      <w:tr w:rsidR="00AD6B38" w:rsidRPr="006B435E" w:rsidTr="009C00B5">
        <w:tc>
          <w:tcPr>
            <w:tcW w:w="796" w:type="pct"/>
            <w:vMerge/>
            <w:tcBorders>
              <w:bottom w:val="single" w:sz="4" w:space="0" w:color="auto"/>
            </w:tcBorders>
            <w:vAlign w:val="center"/>
          </w:tcPr>
          <w:p w:rsidR="00AD6B38" w:rsidRPr="006B435E" w:rsidRDefault="00AD6B38" w:rsidP="009C00B5">
            <w:pPr>
              <w:pStyle w:val="TableText0"/>
              <w:keepNext w:val="0"/>
            </w:pPr>
          </w:p>
        </w:tc>
        <w:tc>
          <w:tcPr>
            <w:tcW w:w="3027" w:type="pct"/>
            <w:tcBorders>
              <w:top w:val="nil"/>
              <w:bottom w:val="single" w:sz="4" w:space="0" w:color="auto"/>
            </w:tcBorders>
          </w:tcPr>
          <w:p w:rsidR="00AD6B38" w:rsidRPr="006B435E" w:rsidRDefault="00AD6B38" w:rsidP="009C00B5">
            <w:pPr>
              <w:pStyle w:val="TableText0"/>
              <w:keepNext w:val="0"/>
              <w:rPr>
                <w:szCs w:val="18"/>
              </w:rPr>
            </w:pPr>
            <w:r w:rsidRPr="006B435E">
              <w:rPr>
                <w:szCs w:val="18"/>
              </w:rPr>
              <w:t xml:space="preserve">Reinmuth N, Paz Ares L, Chen Y, Hotta K, Trukhin D, Statsenko G, et al. Caspian: OS results from a randomised phase 3 study of first line durvalumab ± tremelimumab + chemotherapy in ES SCLC. </w:t>
            </w:r>
          </w:p>
        </w:tc>
        <w:tc>
          <w:tcPr>
            <w:tcW w:w="1177" w:type="pct"/>
            <w:tcBorders>
              <w:top w:val="nil"/>
              <w:bottom w:val="single" w:sz="4" w:space="0" w:color="auto"/>
            </w:tcBorders>
          </w:tcPr>
          <w:p w:rsidR="00AD6B38" w:rsidRPr="006B435E" w:rsidRDefault="00AD6B38" w:rsidP="009C00B5">
            <w:pPr>
              <w:pStyle w:val="TableText0"/>
              <w:keepNext w:val="0"/>
              <w:rPr>
                <w:i/>
                <w:szCs w:val="18"/>
              </w:rPr>
            </w:pPr>
            <w:r w:rsidRPr="006B435E">
              <w:rPr>
                <w:szCs w:val="18"/>
              </w:rPr>
              <w:t>Oncology Research and Treatment. 2020;43:115.</w:t>
            </w:r>
          </w:p>
        </w:tc>
      </w:tr>
      <w:tr w:rsidR="00AD6B38" w:rsidRPr="006B435E" w:rsidTr="009C00B5">
        <w:tc>
          <w:tcPr>
            <w:tcW w:w="796" w:type="pct"/>
            <w:vMerge w:val="restart"/>
          </w:tcPr>
          <w:p w:rsidR="00AD6B38" w:rsidRPr="006B435E" w:rsidRDefault="00AD6B38" w:rsidP="009C00B5">
            <w:pPr>
              <w:pStyle w:val="TableText0"/>
              <w:keepNext w:val="0"/>
            </w:pPr>
            <w:r w:rsidRPr="006B435E">
              <w:t>IMpower133</w:t>
            </w:r>
          </w:p>
          <w:p w:rsidR="00AD6B38" w:rsidRPr="006B435E" w:rsidRDefault="00AD6B38" w:rsidP="009C00B5">
            <w:pPr>
              <w:pStyle w:val="TableText0"/>
            </w:pPr>
            <w:r w:rsidRPr="006B435E">
              <w:t>NCT02763579</w:t>
            </w:r>
          </w:p>
        </w:tc>
        <w:tc>
          <w:tcPr>
            <w:tcW w:w="3027" w:type="pct"/>
            <w:tcBorders>
              <w:bottom w:val="nil"/>
            </w:tcBorders>
          </w:tcPr>
          <w:p w:rsidR="00AD6B38" w:rsidRPr="006B435E" w:rsidRDefault="00AD6B38" w:rsidP="009C00B5">
            <w:pPr>
              <w:pStyle w:val="TableText0"/>
              <w:keepNext w:val="0"/>
              <w:spacing w:after="40"/>
            </w:pPr>
            <w:r w:rsidRPr="006B435E">
              <w:t>Califano R, Kazarnowicz A, Karaseva N, Sanchez A, Liu SV, Horn L, et al. IMpower133: patient reported outcomes (PROs) in a ph1/3 study of first line (1L) atezolizumab (atezo) 1 carboplatin 1 etoposide (CP/ET) in extensive stage SCLC (ES SCLC)..</w:t>
            </w:r>
          </w:p>
        </w:tc>
        <w:tc>
          <w:tcPr>
            <w:tcW w:w="1177" w:type="pct"/>
            <w:tcBorders>
              <w:bottom w:val="nil"/>
            </w:tcBorders>
          </w:tcPr>
          <w:p w:rsidR="00AD6B38" w:rsidRPr="006B435E" w:rsidRDefault="00AD6B38" w:rsidP="009C00B5">
            <w:pPr>
              <w:pStyle w:val="TableText0"/>
              <w:keepNext w:val="0"/>
              <w:spacing w:after="40"/>
            </w:pPr>
            <w:r w:rsidRPr="006B435E">
              <w:t>Annals of Oncology. 2018;29:x20</w:t>
            </w:r>
          </w:p>
        </w:tc>
      </w:tr>
      <w:tr w:rsidR="00AD6B38" w:rsidRPr="006B435E" w:rsidTr="009C00B5">
        <w:tc>
          <w:tcPr>
            <w:tcW w:w="796" w:type="pct"/>
            <w:vMerge/>
            <w:vAlign w:val="center"/>
          </w:tcPr>
          <w:p w:rsidR="00AD6B38" w:rsidRPr="006B435E" w:rsidRDefault="00AD6B38" w:rsidP="009C00B5">
            <w:pPr>
              <w:pStyle w:val="TableText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Horn L, Mansfield AS, Szczęsna A, Havel L, Krzakowski M, Hochmair MJ, et al. First Line Atezolizumab plus Chemotherapy in Extensive Stage Small Cell Lung Cancer. </w:t>
            </w:r>
          </w:p>
        </w:tc>
        <w:tc>
          <w:tcPr>
            <w:tcW w:w="1177" w:type="pct"/>
            <w:tcBorders>
              <w:top w:val="nil"/>
              <w:bottom w:val="nil"/>
            </w:tcBorders>
          </w:tcPr>
          <w:p w:rsidR="00AD6B38" w:rsidRPr="006B435E" w:rsidRDefault="00AD6B38" w:rsidP="009C00B5">
            <w:pPr>
              <w:pStyle w:val="TableText0"/>
              <w:keepNext w:val="0"/>
              <w:spacing w:after="40"/>
            </w:pPr>
            <w:r w:rsidRPr="006B435E">
              <w:t>New England journal of medicine. 2018;379(23):2220</w:t>
            </w:r>
            <w:r w:rsidRPr="006B435E">
              <w:rPr>
                <w:rFonts w:ascii="Cambria Math" w:hAnsi="Cambria Math" w:cs="Cambria Math"/>
              </w:rPr>
              <w:t>‐</w:t>
            </w:r>
            <w:r w:rsidRPr="006B435E">
              <w:t>9. [Plus clinical study protocol &amp; supp.material]</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Horn L, Reck M, Mok TSK, Johnson M, Waterkamp D, Lam S, et al. A Phase III study of atezolizumab with carboplatin plus etoposide in patients with extensive stage small cell lung cancer (IMpower133). </w:t>
            </w:r>
          </w:p>
        </w:tc>
        <w:tc>
          <w:tcPr>
            <w:tcW w:w="1177" w:type="pct"/>
            <w:tcBorders>
              <w:top w:val="nil"/>
              <w:bottom w:val="nil"/>
            </w:tcBorders>
          </w:tcPr>
          <w:p w:rsidR="00AD6B38" w:rsidRPr="006B435E" w:rsidRDefault="00AD6B38" w:rsidP="009C00B5">
            <w:pPr>
              <w:pStyle w:val="TableText0"/>
              <w:keepNext w:val="0"/>
              <w:spacing w:after="40"/>
              <w:rPr>
                <w:i/>
                <w:szCs w:val="18"/>
              </w:rPr>
            </w:pPr>
            <w:r w:rsidRPr="006B435E">
              <w:t>Annals of Oncology. 2016;27:vi496.</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Reck M et al. IMpower133: Updated overall survival (OS) analysis of first line (1L) atezolizumab (atezo) 1 carboplatin 1 etoposide in extensive stage SCLC (ES SCLC). </w:t>
            </w:r>
          </w:p>
        </w:tc>
        <w:tc>
          <w:tcPr>
            <w:tcW w:w="1177" w:type="pct"/>
            <w:tcBorders>
              <w:top w:val="nil"/>
              <w:bottom w:val="nil"/>
            </w:tcBorders>
          </w:tcPr>
          <w:p w:rsidR="00AD6B38" w:rsidRPr="006B435E" w:rsidRDefault="00AD6B38" w:rsidP="009C00B5">
            <w:pPr>
              <w:pStyle w:val="TableText0"/>
              <w:keepNext w:val="0"/>
              <w:spacing w:after="40"/>
              <w:rPr>
                <w:i/>
                <w:szCs w:val="18"/>
              </w:rPr>
            </w:pPr>
            <w:r w:rsidRPr="006B435E">
              <w:t>Annals of Oncology 2019; 30 (Supplement 5): v710–v717. Abstract 1736O.</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Reck M et al. IMpower133: updated overall survival (OS) analysis of first line (1L) atezolizumab (atezo) + carboplatin + etoposide in extensive stage SCLC (ES SCLC). </w:t>
            </w:r>
          </w:p>
        </w:tc>
        <w:tc>
          <w:tcPr>
            <w:tcW w:w="1177" w:type="pct"/>
            <w:tcBorders>
              <w:top w:val="nil"/>
              <w:bottom w:val="nil"/>
            </w:tcBorders>
          </w:tcPr>
          <w:p w:rsidR="00AD6B38" w:rsidRPr="006B435E" w:rsidRDefault="00AD6B38" w:rsidP="009C00B5">
            <w:pPr>
              <w:pStyle w:val="TableText0"/>
              <w:keepNext w:val="0"/>
              <w:spacing w:after="40"/>
              <w:rPr>
                <w:i/>
                <w:szCs w:val="18"/>
              </w:rPr>
            </w:pPr>
            <w:r w:rsidRPr="006B435E">
              <w:t xml:space="preserve">European Society of Medical Oncology Annual </w:t>
            </w:r>
            <w:r w:rsidRPr="006B435E">
              <w:lastRenderedPageBreak/>
              <w:t>Meeting, 2019. Barcelona, Spain.</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Kawashima Y, Sugawara S, Atagi S, Akamatsu H, Sakai H, Okamoto I, et al. Subgroup Analysis of Japanese Patients in a Phase I/III Study of Atezolizumab in ES SCLC (IMpower133). </w:t>
            </w:r>
          </w:p>
        </w:tc>
        <w:tc>
          <w:tcPr>
            <w:tcW w:w="1177" w:type="pct"/>
            <w:tcBorders>
              <w:top w:val="nil"/>
              <w:bottom w:val="nil"/>
            </w:tcBorders>
          </w:tcPr>
          <w:p w:rsidR="00AD6B38" w:rsidRPr="006B435E" w:rsidRDefault="00AD6B38" w:rsidP="009C00B5">
            <w:pPr>
              <w:pStyle w:val="TableText0"/>
              <w:keepNext w:val="0"/>
              <w:spacing w:after="40"/>
              <w:rPr>
                <w:i/>
                <w:szCs w:val="18"/>
              </w:rPr>
            </w:pPr>
            <w:r w:rsidRPr="006B435E">
              <w:t>Annals of Oncology. 2019;30:vi114</w:t>
            </w:r>
            <w:r w:rsidRPr="006B435E">
              <w:rPr>
                <w:rFonts w:ascii="Cambria Math" w:hAnsi="Cambria Math" w:cs="Cambria Math"/>
              </w:rPr>
              <w:t>‐</w:t>
            </w:r>
            <w:r w:rsidRPr="006B435E">
              <w:t>vi5.</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Liu S, Mansfield A, Szczesna A, Havel L, Krzakowski M, Hochmair M, et al. IMpower133: primary PFS, OS and Safety in a PH1/3 Study of 1L Atezolizumab + Carboplatin + Etoposide in Extensive Stage SCLC. </w:t>
            </w:r>
          </w:p>
        </w:tc>
        <w:tc>
          <w:tcPr>
            <w:tcW w:w="1177" w:type="pct"/>
            <w:tcBorders>
              <w:top w:val="nil"/>
              <w:bottom w:val="nil"/>
            </w:tcBorders>
          </w:tcPr>
          <w:p w:rsidR="00AD6B38" w:rsidRPr="006B435E" w:rsidRDefault="00AD6B38" w:rsidP="009C00B5">
            <w:pPr>
              <w:pStyle w:val="TableText0"/>
              <w:keepNext w:val="0"/>
              <w:spacing w:after="40"/>
              <w:rPr>
                <w:i/>
                <w:szCs w:val="18"/>
              </w:rPr>
            </w:pPr>
            <w:r w:rsidRPr="006B435E">
              <w:t>Journal of thoracic oncology. 2018;13(10):S185</w:t>
            </w:r>
            <w:r w:rsidRPr="006B435E">
              <w:rPr>
                <w:rFonts w:ascii="Cambria Math" w:hAnsi="Cambria Math" w:cs="Cambria Math"/>
              </w:rPr>
              <w:t>‐</w:t>
            </w:r>
            <w:r w:rsidRPr="006B435E">
              <w:t>S6.</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Mansfield AS, Kazarnowicz A, Karaseva N, Sanchez A, De Boer R, Andric Z, et al. Safety and patient reported outcomes of atezolizumab, carboplatin, and etoposide in extensive stage small cell lung cancer (IMpower133): a randomized phase I/III trial. </w:t>
            </w:r>
          </w:p>
        </w:tc>
        <w:tc>
          <w:tcPr>
            <w:tcW w:w="1177" w:type="pct"/>
            <w:tcBorders>
              <w:top w:val="nil"/>
              <w:bottom w:val="nil"/>
            </w:tcBorders>
          </w:tcPr>
          <w:p w:rsidR="00AD6B38" w:rsidRPr="006B435E" w:rsidRDefault="00AD6B38" w:rsidP="009C00B5">
            <w:pPr>
              <w:pStyle w:val="TableText0"/>
              <w:keepNext w:val="0"/>
              <w:spacing w:after="40"/>
              <w:rPr>
                <w:i/>
                <w:szCs w:val="18"/>
              </w:rPr>
            </w:pPr>
            <w:r w:rsidRPr="006B435E">
              <w:t>Annals of oncology. 2020;31(2):310</w:t>
            </w:r>
            <w:r w:rsidRPr="006B435E">
              <w:rPr>
                <w:rFonts w:ascii="Cambria Math" w:hAnsi="Cambria Math" w:cs="Cambria Math"/>
              </w:rPr>
              <w:t>‐</w:t>
            </w:r>
            <w:r w:rsidRPr="006B435E">
              <w:t>7.</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Mansfield AS, Liu SV, Szczesna A, Havel L, Krakowski M, Hochmair MJ, et al. IMpower133: primary efficacy and safety + CNS related adverse events in a Ph1/3 study of first line (1L) atezolizumab (atezo) + carboplatin + etoposide in extensive stage SCLC (ES SCLC). </w:t>
            </w:r>
          </w:p>
        </w:tc>
        <w:tc>
          <w:tcPr>
            <w:tcW w:w="1177" w:type="pct"/>
            <w:tcBorders>
              <w:top w:val="nil"/>
              <w:bottom w:val="nil"/>
            </w:tcBorders>
          </w:tcPr>
          <w:p w:rsidR="00AD6B38" w:rsidRPr="006B435E" w:rsidRDefault="00AD6B38" w:rsidP="009C00B5">
            <w:pPr>
              <w:pStyle w:val="TableText0"/>
              <w:keepNext w:val="0"/>
              <w:spacing w:after="40"/>
              <w:rPr>
                <w:i/>
                <w:szCs w:val="18"/>
              </w:rPr>
            </w:pPr>
            <w:r w:rsidRPr="006B435E">
              <w:t>Cancer Research. 2019;79(13).</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rPr>
                <w:szCs w:val="18"/>
              </w:rPr>
            </w:pPr>
            <w:r w:rsidRPr="006B435E">
              <w:t xml:space="preserve">Mok TSK, Reck M, Horn L, Lam S, Shames DS, Liu J, et al. IMpower133: primary efficacy and safety + CNS related adverse events in a phase I/III study of first line (1L) atezolizumab + carboplatin + etoposide in extensive stage SCLC (ES SCLC). </w:t>
            </w:r>
          </w:p>
        </w:tc>
        <w:tc>
          <w:tcPr>
            <w:tcW w:w="1177" w:type="pct"/>
            <w:tcBorders>
              <w:top w:val="nil"/>
              <w:bottom w:val="nil"/>
            </w:tcBorders>
          </w:tcPr>
          <w:p w:rsidR="00AD6B38" w:rsidRPr="006B435E" w:rsidRDefault="00AD6B38" w:rsidP="009C00B5">
            <w:pPr>
              <w:pStyle w:val="TableText0"/>
              <w:keepNext w:val="0"/>
              <w:spacing w:after="40"/>
            </w:pPr>
            <w:r w:rsidRPr="006B435E">
              <w:t>Annals of oncology. 2018;29.</w:t>
            </w:r>
          </w:p>
        </w:tc>
      </w:tr>
      <w:tr w:rsidR="00AD6B38" w:rsidRPr="006B435E" w:rsidTr="009C00B5">
        <w:tc>
          <w:tcPr>
            <w:tcW w:w="796" w:type="pct"/>
            <w:vMerge/>
            <w:vAlign w:val="center"/>
          </w:tcPr>
          <w:p w:rsidR="00AD6B38" w:rsidRPr="006B435E" w:rsidRDefault="00AD6B38" w:rsidP="009C00B5">
            <w:pPr>
              <w:pStyle w:val="TableText0"/>
              <w:keepNext w:val="0"/>
            </w:pPr>
          </w:p>
        </w:tc>
        <w:tc>
          <w:tcPr>
            <w:tcW w:w="3027" w:type="pct"/>
            <w:tcBorders>
              <w:top w:val="nil"/>
              <w:bottom w:val="nil"/>
            </w:tcBorders>
          </w:tcPr>
          <w:p w:rsidR="00AD6B38" w:rsidRPr="006B435E" w:rsidRDefault="00AD6B38" w:rsidP="009C00B5">
            <w:pPr>
              <w:pStyle w:val="TableText0"/>
              <w:keepNext w:val="0"/>
              <w:spacing w:after="40"/>
            </w:pPr>
            <w:r w:rsidRPr="006B435E">
              <w:t xml:space="preserve">Nishio M, Sugawara S, Atagi S, Akamatsu H, Sakai H, Okamoto I, et al. Subgroup Analysis of Japanese Patients in a Phase III Study of Atezolizumab in Extensive stage Small cell Lung Cancer (IMpower133). </w:t>
            </w:r>
          </w:p>
        </w:tc>
        <w:tc>
          <w:tcPr>
            <w:tcW w:w="1177" w:type="pct"/>
            <w:tcBorders>
              <w:top w:val="nil"/>
              <w:bottom w:val="nil"/>
            </w:tcBorders>
          </w:tcPr>
          <w:p w:rsidR="00AD6B38" w:rsidRPr="006B435E" w:rsidRDefault="00AD6B38" w:rsidP="009C00B5">
            <w:pPr>
              <w:pStyle w:val="TableText0"/>
              <w:keepNext w:val="0"/>
              <w:spacing w:after="40"/>
            </w:pPr>
            <w:r w:rsidRPr="006B435E">
              <w:t>Clinical Lung Cancer. 2019.</w:t>
            </w:r>
          </w:p>
        </w:tc>
      </w:tr>
      <w:tr w:rsidR="00AD6B38" w:rsidRPr="006B435E" w:rsidTr="009C00B5">
        <w:tc>
          <w:tcPr>
            <w:tcW w:w="796" w:type="pct"/>
            <w:vMerge/>
            <w:tcBorders>
              <w:bottom w:val="single" w:sz="4" w:space="0" w:color="auto"/>
            </w:tcBorders>
            <w:vAlign w:val="center"/>
          </w:tcPr>
          <w:p w:rsidR="00AD6B38" w:rsidRPr="006B435E" w:rsidRDefault="00AD6B38" w:rsidP="009C00B5">
            <w:pPr>
              <w:pStyle w:val="TableText0"/>
              <w:keepNext w:val="0"/>
            </w:pPr>
          </w:p>
        </w:tc>
        <w:tc>
          <w:tcPr>
            <w:tcW w:w="3027" w:type="pct"/>
            <w:tcBorders>
              <w:top w:val="nil"/>
              <w:bottom w:val="single" w:sz="4" w:space="0" w:color="auto"/>
            </w:tcBorders>
          </w:tcPr>
          <w:p w:rsidR="00AD6B38" w:rsidRPr="006B435E" w:rsidRDefault="00AD6B38" w:rsidP="009C00B5">
            <w:pPr>
              <w:pStyle w:val="TableText0"/>
              <w:keepNext w:val="0"/>
              <w:rPr>
                <w:szCs w:val="18"/>
              </w:rPr>
            </w:pPr>
            <w:r w:rsidRPr="006B435E">
              <w:t xml:space="preserve">Reck M, Liu SV, Mansfield AS, Mok TSK, Scherpereel A, Reinmuth N, et al. IMpower133: updated overall survival (OS) analysis of first line (1L) atezolizumab (atezo) 1 carboplatin 1 etoposide in extensive stage SCLC (ES SCLC). </w:t>
            </w:r>
          </w:p>
        </w:tc>
        <w:tc>
          <w:tcPr>
            <w:tcW w:w="1177" w:type="pct"/>
            <w:tcBorders>
              <w:top w:val="nil"/>
              <w:bottom w:val="single" w:sz="4" w:space="0" w:color="auto"/>
            </w:tcBorders>
          </w:tcPr>
          <w:p w:rsidR="00AD6B38" w:rsidRPr="006B435E" w:rsidRDefault="00AD6B38" w:rsidP="009C00B5">
            <w:pPr>
              <w:pStyle w:val="TableText0"/>
              <w:keepNext w:val="0"/>
            </w:pPr>
            <w:r w:rsidRPr="006B435E">
              <w:t>Annals of Oncology. 2019;30:v710</w:t>
            </w:r>
            <w:r w:rsidRPr="006B435E">
              <w:rPr>
                <w:rFonts w:ascii="Cambria Math" w:hAnsi="Cambria Math" w:cs="Cambria Math"/>
              </w:rPr>
              <w:t>‐</w:t>
            </w:r>
            <w:r w:rsidRPr="006B435E">
              <w:t>v1.</w:t>
            </w:r>
          </w:p>
        </w:tc>
      </w:tr>
    </w:tbl>
    <w:p w:rsidR="00844371" w:rsidRPr="006B435E" w:rsidRDefault="00844371" w:rsidP="00AD6B38">
      <w:pPr>
        <w:pStyle w:val="TableFigureFooter"/>
        <w:contextualSpacing w:val="0"/>
        <w:rPr>
          <w:sz w:val="20"/>
        </w:rPr>
      </w:pPr>
      <w:r w:rsidRPr="006B435E">
        <w:t xml:space="preserve">Source: Table 2.2.1, pp18-19 of the submission. </w:t>
      </w:r>
    </w:p>
    <w:p w:rsidR="007F1017" w:rsidRPr="006B435E" w:rsidRDefault="008F120A" w:rsidP="00EC5836">
      <w:pPr>
        <w:pStyle w:val="3-BodyText"/>
      </w:pPr>
      <w:r w:rsidRPr="006B435E">
        <w:t>The key features of the randomised trial</w:t>
      </w:r>
      <w:r w:rsidR="00844371" w:rsidRPr="006B435E">
        <w:t>s</w:t>
      </w:r>
      <w:r w:rsidRPr="006B435E">
        <w:t xml:space="preserve"> are summarised in</w:t>
      </w:r>
      <w:r w:rsidR="00977E4F" w:rsidRPr="006B435E">
        <w:t xml:space="preserve"> Table 3</w:t>
      </w:r>
      <w:r w:rsidR="006B435E">
        <w:t xml:space="preserve">. </w:t>
      </w:r>
    </w:p>
    <w:p w:rsidR="007F1017" w:rsidRPr="006B435E" w:rsidRDefault="007F1017" w:rsidP="00EC5836">
      <w:pPr>
        <w:pStyle w:val="TableFigureHeading"/>
        <w:rPr>
          <w:rStyle w:val="CommentReference"/>
          <w:b/>
          <w:szCs w:val="24"/>
        </w:rPr>
      </w:pPr>
      <w:bookmarkStart w:id="12" w:name="_Ref49791348"/>
      <w:r w:rsidRPr="006B435E">
        <w:rPr>
          <w:rStyle w:val="CommentReference"/>
          <w:b/>
          <w:szCs w:val="24"/>
        </w:rPr>
        <w:t xml:space="preserve">Table </w:t>
      </w:r>
      <w:r w:rsidR="00634094" w:rsidRPr="006B435E">
        <w:rPr>
          <w:rStyle w:val="CommentReference"/>
          <w:b/>
          <w:szCs w:val="24"/>
        </w:rPr>
        <w:t>3</w:t>
      </w:r>
      <w:bookmarkEnd w:id="12"/>
      <w:r w:rsidRPr="006B435E">
        <w:rPr>
          <w:rStyle w:val="CommentReference"/>
          <w:b/>
          <w:szCs w:val="24"/>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9"/>
        <w:gridCol w:w="853"/>
        <w:gridCol w:w="1426"/>
        <w:gridCol w:w="1131"/>
        <w:gridCol w:w="1560"/>
        <w:gridCol w:w="1147"/>
        <w:gridCol w:w="1591"/>
      </w:tblGrid>
      <w:tr w:rsidR="00844371" w:rsidRPr="006B435E" w:rsidTr="005D1CEA">
        <w:trPr>
          <w:tblHeader/>
        </w:trPr>
        <w:tc>
          <w:tcPr>
            <w:tcW w:w="726" w:type="pct"/>
            <w:shd w:val="clear" w:color="auto" w:fill="auto"/>
            <w:vAlign w:val="center"/>
          </w:tcPr>
          <w:p w:rsidR="00844371" w:rsidRPr="006B435E" w:rsidRDefault="00844371" w:rsidP="005D1CEA">
            <w:pPr>
              <w:pStyle w:val="In-tableHeading"/>
              <w:rPr>
                <w:lang w:val="en-AU"/>
              </w:rPr>
            </w:pPr>
            <w:r w:rsidRPr="006B435E">
              <w:rPr>
                <w:lang w:val="en-AU"/>
              </w:rPr>
              <w:t>Trial</w:t>
            </w:r>
          </w:p>
        </w:tc>
        <w:tc>
          <w:tcPr>
            <w:tcW w:w="473" w:type="pct"/>
            <w:shd w:val="clear" w:color="auto" w:fill="auto"/>
            <w:vAlign w:val="center"/>
          </w:tcPr>
          <w:p w:rsidR="00844371" w:rsidRPr="006B435E" w:rsidRDefault="00844371" w:rsidP="005D1CEA">
            <w:pPr>
              <w:pStyle w:val="In-tableHeading"/>
              <w:jc w:val="center"/>
              <w:rPr>
                <w:lang w:val="en-AU"/>
              </w:rPr>
            </w:pPr>
            <w:r w:rsidRPr="006B435E">
              <w:rPr>
                <w:lang w:val="en-AU"/>
              </w:rPr>
              <w:t>N</w:t>
            </w:r>
          </w:p>
        </w:tc>
        <w:tc>
          <w:tcPr>
            <w:tcW w:w="791" w:type="pct"/>
            <w:shd w:val="clear" w:color="auto" w:fill="auto"/>
            <w:vAlign w:val="center"/>
          </w:tcPr>
          <w:p w:rsidR="00844371" w:rsidRPr="006B435E" w:rsidRDefault="00844371" w:rsidP="005D1CEA">
            <w:pPr>
              <w:pStyle w:val="In-tableHeading"/>
              <w:jc w:val="center"/>
              <w:rPr>
                <w:lang w:val="en-AU"/>
              </w:rPr>
            </w:pPr>
            <w:r w:rsidRPr="006B435E">
              <w:rPr>
                <w:lang w:val="en-AU"/>
              </w:rPr>
              <w:t>Design/ duration</w:t>
            </w:r>
          </w:p>
        </w:tc>
        <w:tc>
          <w:tcPr>
            <w:tcW w:w="627" w:type="pct"/>
            <w:shd w:val="clear" w:color="auto" w:fill="auto"/>
            <w:vAlign w:val="center"/>
          </w:tcPr>
          <w:p w:rsidR="00844371" w:rsidRPr="006B435E" w:rsidRDefault="00844371" w:rsidP="005D1CEA">
            <w:pPr>
              <w:pStyle w:val="In-tableHeading"/>
              <w:jc w:val="center"/>
              <w:rPr>
                <w:lang w:val="en-AU"/>
              </w:rPr>
            </w:pPr>
            <w:r w:rsidRPr="006B435E">
              <w:rPr>
                <w:lang w:val="en-AU"/>
              </w:rPr>
              <w:t>Risk of bias</w:t>
            </w:r>
          </w:p>
        </w:tc>
        <w:tc>
          <w:tcPr>
            <w:tcW w:w="865" w:type="pct"/>
            <w:shd w:val="clear" w:color="auto" w:fill="auto"/>
            <w:vAlign w:val="center"/>
          </w:tcPr>
          <w:p w:rsidR="00844371" w:rsidRPr="006B435E" w:rsidRDefault="00844371" w:rsidP="005D1CEA">
            <w:pPr>
              <w:pStyle w:val="In-tableHeading"/>
              <w:jc w:val="center"/>
              <w:rPr>
                <w:lang w:val="en-AU"/>
              </w:rPr>
            </w:pPr>
            <w:r w:rsidRPr="006B435E">
              <w:rPr>
                <w:lang w:val="en-AU"/>
              </w:rPr>
              <w:t>Patient population</w:t>
            </w:r>
          </w:p>
        </w:tc>
        <w:tc>
          <w:tcPr>
            <w:tcW w:w="636" w:type="pct"/>
            <w:shd w:val="clear" w:color="auto" w:fill="auto"/>
            <w:vAlign w:val="center"/>
          </w:tcPr>
          <w:p w:rsidR="00844371" w:rsidRPr="006B435E" w:rsidRDefault="00844371" w:rsidP="005D1CEA">
            <w:pPr>
              <w:pStyle w:val="In-tableHeading"/>
              <w:jc w:val="center"/>
              <w:rPr>
                <w:lang w:val="en-AU"/>
              </w:rPr>
            </w:pPr>
            <w:r w:rsidRPr="006B435E">
              <w:rPr>
                <w:lang w:val="en-AU"/>
              </w:rPr>
              <w:t>Outcomes</w:t>
            </w:r>
          </w:p>
        </w:tc>
        <w:tc>
          <w:tcPr>
            <w:tcW w:w="882" w:type="pct"/>
            <w:shd w:val="clear" w:color="auto" w:fill="auto"/>
            <w:vAlign w:val="center"/>
          </w:tcPr>
          <w:p w:rsidR="00844371" w:rsidRPr="006B435E" w:rsidRDefault="00844371" w:rsidP="005D1CEA">
            <w:pPr>
              <w:pStyle w:val="In-tableHeading"/>
              <w:jc w:val="center"/>
              <w:rPr>
                <w:lang w:val="en-AU"/>
              </w:rPr>
            </w:pPr>
            <w:r w:rsidRPr="006B435E">
              <w:rPr>
                <w:lang w:val="en-AU"/>
              </w:rPr>
              <w:t>Use in modelled evaluation</w:t>
            </w:r>
          </w:p>
        </w:tc>
      </w:tr>
      <w:tr w:rsidR="00844371" w:rsidRPr="006B435E" w:rsidTr="005D1CEA">
        <w:tc>
          <w:tcPr>
            <w:tcW w:w="5000" w:type="pct"/>
            <w:gridSpan w:val="7"/>
            <w:shd w:val="clear" w:color="auto" w:fill="auto"/>
            <w:vAlign w:val="center"/>
          </w:tcPr>
          <w:p w:rsidR="00844371" w:rsidRPr="006B435E" w:rsidRDefault="00844371" w:rsidP="00A7525E">
            <w:pPr>
              <w:pStyle w:val="In-tableHeading"/>
              <w:rPr>
                <w:lang w:val="en-AU"/>
              </w:rPr>
            </w:pPr>
            <w:r w:rsidRPr="006B435E">
              <w:rPr>
                <w:lang w:val="en-AU"/>
              </w:rPr>
              <w:t xml:space="preserve">Durvalumab </w:t>
            </w:r>
            <w:r w:rsidR="00A7525E" w:rsidRPr="006B435E">
              <w:rPr>
                <w:lang w:val="en-AU"/>
              </w:rPr>
              <w:t xml:space="preserve">1500 mg </w:t>
            </w:r>
            <w:r w:rsidRPr="006B435E">
              <w:rPr>
                <w:lang w:val="en-AU"/>
              </w:rPr>
              <w:t xml:space="preserve">plus EP </w:t>
            </w:r>
            <w:r w:rsidR="00A7525E" w:rsidRPr="006B435E">
              <w:rPr>
                <w:lang w:val="en-AU"/>
              </w:rPr>
              <w:t xml:space="preserve">q3w (up to 4 cycles) followed by durvalumab 1500 q4w </w:t>
            </w:r>
            <w:r w:rsidRPr="006B435E">
              <w:rPr>
                <w:lang w:val="en-AU"/>
              </w:rPr>
              <w:t>versus EP alone</w:t>
            </w:r>
          </w:p>
        </w:tc>
      </w:tr>
      <w:tr w:rsidR="00844371" w:rsidRPr="006B435E" w:rsidTr="005D1CEA">
        <w:tc>
          <w:tcPr>
            <w:tcW w:w="726" w:type="pct"/>
            <w:shd w:val="clear" w:color="auto" w:fill="auto"/>
            <w:vAlign w:val="center"/>
          </w:tcPr>
          <w:p w:rsidR="00844371" w:rsidRPr="006B435E" w:rsidRDefault="00844371" w:rsidP="005D1CEA">
            <w:pPr>
              <w:pStyle w:val="TableText0"/>
            </w:pPr>
            <w:r w:rsidRPr="006B435E">
              <w:t>CASPIAN</w:t>
            </w:r>
          </w:p>
        </w:tc>
        <w:tc>
          <w:tcPr>
            <w:tcW w:w="473" w:type="pct"/>
            <w:shd w:val="clear" w:color="auto" w:fill="auto"/>
            <w:vAlign w:val="center"/>
          </w:tcPr>
          <w:p w:rsidR="00844371" w:rsidRPr="006B435E" w:rsidRDefault="00844371" w:rsidP="005D1CEA">
            <w:pPr>
              <w:pStyle w:val="TableText0"/>
              <w:jc w:val="center"/>
            </w:pPr>
            <w:r w:rsidRPr="006B435E">
              <w:t>537</w:t>
            </w:r>
          </w:p>
        </w:tc>
        <w:tc>
          <w:tcPr>
            <w:tcW w:w="791" w:type="pct"/>
            <w:shd w:val="clear" w:color="auto" w:fill="auto"/>
            <w:vAlign w:val="center"/>
          </w:tcPr>
          <w:p w:rsidR="00844371" w:rsidRPr="006B435E" w:rsidRDefault="00844371" w:rsidP="005D1CEA">
            <w:pPr>
              <w:pStyle w:val="TableText0"/>
              <w:jc w:val="center"/>
            </w:pPr>
            <w:r w:rsidRPr="006B435E">
              <w:t>R, MC, OL</w:t>
            </w:r>
          </w:p>
          <w:p w:rsidR="00844371" w:rsidRPr="006B435E" w:rsidRDefault="00844371" w:rsidP="005D1CEA">
            <w:pPr>
              <w:pStyle w:val="TableText0"/>
              <w:jc w:val="center"/>
            </w:pPr>
            <w:r w:rsidRPr="006B435E">
              <w:t>25.1 months*</w:t>
            </w:r>
          </w:p>
        </w:tc>
        <w:tc>
          <w:tcPr>
            <w:tcW w:w="627" w:type="pct"/>
            <w:shd w:val="clear" w:color="auto" w:fill="auto"/>
            <w:vAlign w:val="center"/>
          </w:tcPr>
          <w:p w:rsidR="00844371" w:rsidRPr="006B435E" w:rsidRDefault="00844371" w:rsidP="005D1CEA">
            <w:pPr>
              <w:pStyle w:val="TableText0"/>
              <w:jc w:val="center"/>
            </w:pPr>
            <w:r w:rsidRPr="006B435E">
              <w:t>Low</w:t>
            </w:r>
          </w:p>
        </w:tc>
        <w:tc>
          <w:tcPr>
            <w:tcW w:w="865" w:type="pct"/>
            <w:shd w:val="clear" w:color="auto" w:fill="auto"/>
            <w:vAlign w:val="center"/>
          </w:tcPr>
          <w:p w:rsidR="00844371" w:rsidRPr="006B435E" w:rsidRDefault="00844371" w:rsidP="005D1CEA">
            <w:pPr>
              <w:pStyle w:val="TableText0"/>
              <w:jc w:val="center"/>
            </w:pPr>
            <w:r w:rsidRPr="006B435E">
              <w:t>ES-SCLC</w:t>
            </w:r>
          </w:p>
        </w:tc>
        <w:tc>
          <w:tcPr>
            <w:tcW w:w="636" w:type="pct"/>
            <w:shd w:val="clear" w:color="auto" w:fill="auto"/>
            <w:vAlign w:val="center"/>
          </w:tcPr>
          <w:p w:rsidR="00844371" w:rsidRPr="006B435E" w:rsidRDefault="00844371" w:rsidP="005D1CEA">
            <w:pPr>
              <w:pStyle w:val="TableText0"/>
              <w:jc w:val="center"/>
            </w:pPr>
            <w:r w:rsidRPr="006B435E">
              <w:t>OS, PFS</w:t>
            </w:r>
          </w:p>
        </w:tc>
        <w:tc>
          <w:tcPr>
            <w:tcW w:w="882" w:type="pct"/>
            <w:shd w:val="clear" w:color="auto" w:fill="auto"/>
            <w:vAlign w:val="center"/>
          </w:tcPr>
          <w:p w:rsidR="00844371" w:rsidRPr="006B435E" w:rsidRDefault="00844371" w:rsidP="005D1CEA">
            <w:pPr>
              <w:pStyle w:val="TableText0"/>
              <w:jc w:val="center"/>
            </w:pPr>
            <w:r w:rsidRPr="006B435E">
              <w:t>NA</w:t>
            </w:r>
          </w:p>
        </w:tc>
      </w:tr>
      <w:tr w:rsidR="00844371" w:rsidRPr="006B435E" w:rsidTr="005D1CEA">
        <w:tc>
          <w:tcPr>
            <w:tcW w:w="5000" w:type="pct"/>
            <w:gridSpan w:val="7"/>
            <w:shd w:val="clear" w:color="auto" w:fill="auto"/>
            <w:vAlign w:val="center"/>
          </w:tcPr>
          <w:p w:rsidR="00844371" w:rsidRPr="006B435E" w:rsidRDefault="00844371" w:rsidP="005D1CEA">
            <w:pPr>
              <w:pStyle w:val="In-tableHeading"/>
              <w:rPr>
                <w:lang w:val="en-AU"/>
              </w:rPr>
            </w:pPr>
            <w:r w:rsidRPr="006B435E">
              <w:rPr>
                <w:lang w:val="en-AU"/>
              </w:rPr>
              <w:t xml:space="preserve">Atezolizumab </w:t>
            </w:r>
            <w:r w:rsidR="00A7525E" w:rsidRPr="006B435E">
              <w:rPr>
                <w:lang w:val="en-AU"/>
              </w:rPr>
              <w:t xml:space="preserve">1200 mg </w:t>
            </w:r>
            <w:r w:rsidRPr="006B435E">
              <w:rPr>
                <w:lang w:val="en-AU"/>
              </w:rPr>
              <w:t xml:space="preserve">plus EP </w:t>
            </w:r>
            <w:r w:rsidR="00A7525E" w:rsidRPr="006B435E">
              <w:rPr>
                <w:lang w:val="en-AU"/>
              </w:rPr>
              <w:t xml:space="preserve">q3w (4-6 cycles) followed by atezolizumab 1200 mg q3w </w:t>
            </w:r>
            <w:r w:rsidRPr="006B435E">
              <w:rPr>
                <w:lang w:val="en-AU"/>
              </w:rPr>
              <w:t xml:space="preserve">versus EP alone </w:t>
            </w:r>
          </w:p>
        </w:tc>
      </w:tr>
      <w:tr w:rsidR="00844371" w:rsidRPr="006B435E" w:rsidTr="005D1CEA">
        <w:tc>
          <w:tcPr>
            <w:tcW w:w="726" w:type="pct"/>
            <w:shd w:val="clear" w:color="auto" w:fill="auto"/>
            <w:vAlign w:val="center"/>
          </w:tcPr>
          <w:p w:rsidR="00844371" w:rsidRPr="006B435E" w:rsidRDefault="002E4F4F" w:rsidP="005D1CEA">
            <w:pPr>
              <w:pStyle w:val="TableText0"/>
            </w:pPr>
            <w:r w:rsidRPr="006B435E">
              <w:t>IMpower</w:t>
            </w:r>
            <w:r w:rsidR="00844371" w:rsidRPr="006B435E">
              <w:t>133</w:t>
            </w:r>
          </w:p>
        </w:tc>
        <w:tc>
          <w:tcPr>
            <w:tcW w:w="473" w:type="pct"/>
            <w:shd w:val="clear" w:color="auto" w:fill="auto"/>
            <w:vAlign w:val="center"/>
          </w:tcPr>
          <w:p w:rsidR="00844371" w:rsidRPr="006B435E" w:rsidRDefault="00844371" w:rsidP="005D1CEA">
            <w:pPr>
              <w:pStyle w:val="TableText0"/>
              <w:jc w:val="center"/>
            </w:pPr>
            <w:r w:rsidRPr="006B435E">
              <w:t>403</w:t>
            </w:r>
          </w:p>
        </w:tc>
        <w:tc>
          <w:tcPr>
            <w:tcW w:w="791" w:type="pct"/>
            <w:shd w:val="clear" w:color="auto" w:fill="auto"/>
            <w:vAlign w:val="center"/>
          </w:tcPr>
          <w:p w:rsidR="00844371" w:rsidRPr="006B435E" w:rsidRDefault="00844371" w:rsidP="005D1CEA">
            <w:pPr>
              <w:pStyle w:val="TableText0"/>
              <w:jc w:val="center"/>
            </w:pPr>
            <w:r w:rsidRPr="006B435E">
              <w:t>R, MC, DB, 22.9 months</w:t>
            </w:r>
          </w:p>
        </w:tc>
        <w:tc>
          <w:tcPr>
            <w:tcW w:w="627" w:type="pct"/>
            <w:shd w:val="clear" w:color="auto" w:fill="auto"/>
            <w:vAlign w:val="center"/>
          </w:tcPr>
          <w:p w:rsidR="00844371" w:rsidRPr="006B435E" w:rsidRDefault="00844371" w:rsidP="005D1CEA">
            <w:pPr>
              <w:pStyle w:val="TableText0"/>
              <w:jc w:val="center"/>
            </w:pPr>
            <w:r w:rsidRPr="006B435E">
              <w:t>Low</w:t>
            </w:r>
          </w:p>
        </w:tc>
        <w:tc>
          <w:tcPr>
            <w:tcW w:w="865" w:type="pct"/>
            <w:shd w:val="clear" w:color="auto" w:fill="auto"/>
            <w:vAlign w:val="center"/>
          </w:tcPr>
          <w:p w:rsidR="00844371" w:rsidRPr="006B435E" w:rsidRDefault="00844371" w:rsidP="005D1CEA">
            <w:pPr>
              <w:pStyle w:val="TableText0"/>
              <w:jc w:val="center"/>
            </w:pPr>
            <w:r w:rsidRPr="006B435E">
              <w:t>ES-SCLC</w:t>
            </w:r>
          </w:p>
        </w:tc>
        <w:tc>
          <w:tcPr>
            <w:tcW w:w="636" w:type="pct"/>
            <w:shd w:val="clear" w:color="auto" w:fill="auto"/>
            <w:vAlign w:val="center"/>
          </w:tcPr>
          <w:p w:rsidR="00844371" w:rsidRPr="006B435E" w:rsidRDefault="00844371" w:rsidP="005D1CEA">
            <w:pPr>
              <w:pStyle w:val="TableText0"/>
              <w:jc w:val="center"/>
            </w:pPr>
            <w:r w:rsidRPr="006B435E">
              <w:t>OS, PFS</w:t>
            </w:r>
          </w:p>
        </w:tc>
        <w:tc>
          <w:tcPr>
            <w:tcW w:w="882" w:type="pct"/>
            <w:shd w:val="clear" w:color="auto" w:fill="auto"/>
            <w:vAlign w:val="center"/>
          </w:tcPr>
          <w:p w:rsidR="00844371" w:rsidRPr="006B435E" w:rsidRDefault="00844371" w:rsidP="005D1CEA">
            <w:pPr>
              <w:pStyle w:val="TableText0"/>
              <w:jc w:val="center"/>
            </w:pPr>
            <w:r w:rsidRPr="006B435E">
              <w:t>NA</w:t>
            </w:r>
          </w:p>
        </w:tc>
      </w:tr>
    </w:tbl>
    <w:p w:rsidR="00844371" w:rsidRPr="006B435E" w:rsidRDefault="00844371" w:rsidP="00844371">
      <w:pPr>
        <w:pStyle w:val="TableFigureFooter"/>
      </w:pPr>
      <w:r w:rsidRPr="006B435E">
        <w:t>Source: pp19-29 of the submission.</w:t>
      </w:r>
    </w:p>
    <w:p w:rsidR="00844371" w:rsidRPr="006B435E" w:rsidRDefault="00844371" w:rsidP="00844371">
      <w:pPr>
        <w:pStyle w:val="TableFigureFooter"/>
      </w:pPr>
      <w:r w:rsidRPr="006B435E">
        <w:t>DB = double blind; ES-SCLC = extensive stage – small cell lung cancer; MC = multi-centre; NA = not applicable; OL = open label; OS = overall survival; PFS = progression-free survival; R = randomised</w:t>
      </w:r>
      <w:r w:rsidR="00A7525E" w:rsidRPr="006B435E">
        <w:t>; q3w = every 3 weeks; q4w = every 4 weeks</w:t>
      </w:r>
      <w:r w:rsidRPr="006B435E">
        <w:t>.</w:t>
      </w:r>
    </w:p>
    <w:p w:rsidR="00844371" w:rsidRPr="006B435E" w:rsidRDefault="00844371" w:rsidP="00AD6B38">
      <w:pPr>
        <w:pStyle w:val="TableFigureFooter"/>
        <w:tabs>
          <w:tab w:val="left" w:pos="284"/>
        </w:tabs>
        <w:contextualSpacing w:val="0"/>
        <w:rPr>
          <w:szCs w:val="18"/>
        </w:rPr>
      </w:pPr>
      <w:r w:rsidRPr="006B435E">
        <w:rPr>
          <w:szCs w:val="18"/>
        </w:rPr>
        <w:t>*</w:t>
      </w:r>
      <w:r w:rsidR="00AD6B38" w:rsidRPr="006B435E">
        <w:rPr>
          <w:szCs w:val="18"/>
        </w:rPr>
        <w:tab/>
      </w:r>
      <w:r w:rsidRPr="006B435E">
        <w:rPr>
          <w:szCs w:val="18"/>
        </w:rPr>
        <w:t>median follow-up</w:t>
      </w:r>
    </w:p>
    <w:p w:rsidR="00844371" w:rsidRPr="006B435E" w:rsidRDefault="00844371" w:rsidP="00AD6B38">
      <w:pPr>
        <w:pStyle w:val="3-BodyText"/>
      </w:pPr>
      <w:r w:rsidRPr="006B435E">
        <w:t xml:space="preserve">Though CASPIAN was open label, which carries a risk of bias for secondary efficacy outcomes such as progression free survival and safety outcomes, the open label nature of the trial </w:t>
      </w:r>
      <w:r w:rsidR="0090344B" w:rsidRPr="006B435E">
        <w:t>is unlikely to</w:t>
      </w:r>
      <w:r w:rsidRPr="006B435E">
        <w:t xml:space="preserve"> </w:t>
      </w:r>
      <w:r w:rsidR="006E3D01" w:rsidRPr="006B435E">
        <w:t xml:space="preserve">substantially </w:t>
      </w:r>
      <w:r w:rsidRPr="006B435E">
        <w:t>affect the primary outcome of overall survival.</w:t>
      </w:r>
    </w:p>
    <w:p w:rsidR="00B60939" w:rsidRPr="006B435E" w:rsidRDefault="00B60939" w:rsidP="00EC5836">
      <w:pPr>
        <w:pStyle w:val="4-SubsectionHeading"/>
      </w:pPr>
      <w:bookmarkStart w:id="13" w:name="_Toc22897641"/>
      <w:bookmarkStart w:id="14" w:name="_Toc50437754"/>
      <w:r w:rsidRPr="006B435E">
        <w:lastRenderedPageBreak/>
        <w:t>Comparative effectiveness</w:t>
      </w:r>
      <w:bookmarkEnd w:id="13"/>
      <w:bookmarkEnd w:id="14"/>
    </w:p>
    <w:p w:rsidR="00844371" w:rsidRPr="006B435E" w:rsidRDefault="00977E4F" w:rsidP="00844371">
      <w:pPr>
        <w:pStyle w:val="3-BodyText"/>
      </w:pPr>
      <w:r w:rsidRPr="006B435E">
        <w:t xml:space="preserve">Table 4 </w:t>
      </w:r>
      <w:r w:rsidR="00844371" w:rsidRPr="006B435E">
        <w:t xml:space="preserve">presents the OS results of the CASPIAN and </w:t>
      </w:r>
      <w:r w:rsidR="002E4F4F" w:rsidRPr="006B435E">
        <w:t>IMpower</w:t>
      </w:r>
      <w:r w:rsidR="00844371" w:rsidRPr="006B435E">
        <w:t>133 trials at the interim and final analyses of each trial.</w:t>
      </w:r>
    </w:p>
    <w:p w:rsidR="00E01C8F" w:rsidRPr="006B435E" w:rsidRDefault="00E01C8F" w:rsidP="00E01C8F">
      <w:pPr>
        <w:pStyle w:val="TableFigureHeading"/>
      </w:pPr>
      <w:r w:rsidRPr="006B435E">
        <w:rPr>
          <w:rStyle w:val="CommentReference"/>
          <w:b/>
          <w:szCs w:val="24"/>
        </w:rPr>
        <w:t xml:space="preserve">Table </w:t>
      </w:r>
      <w:r w:rsidR="00634094" w:rsidRPr="006B435E">
        <w:rPr>
          <w:rStyle w:val="CommentReference"/>
          <w:b/>
          <w:szCs w:val="24"/>
        </w:rPr>
        <w:t>4</w:t>
      </w:r>
      <w:r w:rsidRPr="006B435E">
        <w:rPr>
          <w:rStyle w:val="CommentReference"/>
          <w:b/>
          <w:szCs w:val="24"/>
        </w:rPr>
        <w:t xml:space="preserve">: Results of OS in the CASPIAN and IMpower133 trials </w:t>
      </w:r>
    </w:p>
    <w:tbl>
      <w:tblPr>
        <w:tblStyle w:val="AZTable"/>
        <w:tblW w:w="5000" w:type="pct"/>
        <w:tblCellMar>
          <w:left w:w="29" w:type="dxa"/>
          <w:right w:w="29" w:type="dxa"/>
        </w:tblCellMar>
        <w:tblLook w:val="04A0" w:firstRow="1" w:lastRow="0" w:firstColumn="1" w:lastColumn="0" w:noHBand="0" w:noVBand="1"/>
        <w:tblCaption w:val="Table 4: Results of OS in the CASPIAN and IMpower133 trials "/>
      </w:tblPr>
      <w:tblGrid>
        <w:gridCol w:w="1413"/>
        <w:gridCol w:w="1277"/>
        <w:gridCol w:w="1273"/>
        <w:gridCol w:w="1279"/>
        <w:gridCol w:w="1275"/>
        <w:gridCol w:w="1142"/>
        <w:gridCol w:w="1358"/>
      </w:tblGrid>
      <w:tr w:rsidR="00E01C8F" w:rsidRPr="006B435E" w:rsidTr="00D55AFC">
        <w:trPr>
          <w:cnfStyle w:val="100000000000" w:firstRow="1" w:lastRow="0" w:firstColumn="0" w:lastColumn="0" w:oddVBand="0" w:evenVBand="0" w:oddHBand="0" w:evenHBand="0" w:firstRowFirstColumn="0" w:firstRowLastColumn="0" w:lastRowFirstColumn="0" w:lastRowLastColumn="0"/>
          <w:tblHeader/>
        </w:trPr>
        <w:tc>
          <w:tcPr>
            <w:tcW w:w="784" w:type="pct"/>
            <w:vMerge w:val="restart"/>
          </w:tcPr>
          <w:p w:rsidR="00E01C8F" w:rsidRPr="006B435E" w:rsidRDefault="00E01C8F" w:rsidP="00A91FD9">
            <w:pPr>
              <w:pStyle w:val="TableHeading0"/>
              <w:rPr>
                <w:sz w:val="20"/>
              </w:rPr>
            </w:pPr>
            <w:r w:rsidRPr="006B435E">
              <w:rPr>
                <w:sz w:val="20"/>
              </w:rPr>
              <w:t>Outcome</w:t>
            </w:r>
          </w:p>
        </w:tc>
        <w:tc>
          <w:tcPr>
            <w:tcW w:w="2123" w:type="pct"/>
            <w:gridSpan w:val="3"/>
          </w:tcPr>
          <w:p w:rsidR="00E01C8F" w:rsidRPr="006B435E" w:rsidRDefault="00E01C8F" w:rsidP="00A91FD9">
            <w:pPr>
              <w:pStyle w:val="TableHeading0"/>
              <w:jc w:val="center"/>
              <w:rPr>
                <w:sz w:val="20"/>
              </w:rPr>
            </w:pPr>
            <w:r w:rsidRPr="006B435E">
              <w:rPr>
                <w:sz w:val="20"/>
              </w:rPr>
              <w:t>CASPIAN</w:t>
            </w:r>
          </w:p>
        </w:tc>
        <w:tc>
          <w:tcPr>
            <w:tcW w:w="2093" w:type="pct"/>
            <w:gridSpan w:val="3"/>
          </w:tcPr>
          <w:p w:rsidR="00E01C8F" w:rsidRPr="006B435E" w:rsidRDefault="00E01C8F" w:rsidP="00A91FD9">
            <w:pPr>
              <w:pStyle w:val="TableHeading0"/>
              <w:jc w:val="center"/>
              <w:rPr>
                <w:sz w:val="20"/>
              </w:rPr>
            </w:pPr>
            <w:r w:rsidRPr="006B435E">
              <w:rPr>
                <w:sz w:val="20"/>
              </w:rPr>
              <w:t>IMPower133</w:t>
            </w:r>
          </w:p>
        </w:tc>
      </w:tr>
      <w:tr w:rsidR="00E01C8F" w:rsidRPr="006B435E" w:rsidTr="00D55AFC">
        <w:trPr>
          <w:cnfStyle w:val="100000000000" w:firstRow="1" w:lastRow="0" w:firstColumn="0" w:lastColumn="0" w:oddVBand="0" w:evenVBand="0" w:oddHBand="0" w:evenHBand="0" w:firstRowFirstColumn="0" w:firstRowLastColumn="0" w:lastRowFirstColumn="0" w:lastRowLastColumn="0"/>
          <w:tblHeader/>
        </w:trPr>
        <w:tc>
          <w:tcPr>
            <w:tcW w:w="784" w:type="pct"/>
            <w:vMerge/>
          </w:tcPr>
          <w:p w:rsidR="00E01C8F" w:rsidRPr="006B435E" w:rsidRDefault="00E01C8F" w:rsidP="00A91FD9">
            <w:pPr>
              <w:pStyle w:val="TableHeading0"/>
              <w:rPr>
                <w:sz w:val="20"/>
              </w:rPr>
            </w:pPr>
          </w:p>
        </w:tc>
        <w:tc>
          <w:tcPr>
            <w:tcW w:w="708" w:type="pct"/>
          </w:tcPr>
          <w:p w:rsidR="00E01C8F" w:rsidRPr="006B435E" w:rsidRDefault="00E01C8F" w:rsidP="00A91FD9">
            <w:pPr>
              <w:pStyle w:val="TableHeading0"/>
              <w:jc w:val="center"/>
              <w:rPr>
                <w:sz w:val="20"/>
              </w:rPr>
            </w:pPr>
            <w:r w:rsidRPr="006B435E">
              <w:rPr>
                <w:sz w:val="20"/>
              </w:rPr>
              <w:t>D + EP</w:t>
            </w:r>
          </w:p>
          <w:p w:rsidR="00E01C8F" w:rsidRPr="006B435E" w:rsidRDefault="00E01C8F" w:rsidP="00A91FD9">
            <w:pPr>
              <w:pStyle w:val="TableHeading0"/>
              <w:jc w:val="center"/>
              <w:rPr>
                <w:sz w:val="20"/>
              </w:rPr>
            </w:pPr>
            <w:r w:rsidRPr="006B435E">
              <w:rPr>
                <w:sz w:val="20"/>
              </w:rPr>
              <w:t>268</w:t>
            </w:r>
          </w:p>
        </w:tc>
        <w:tc>
          <w:tcPr>
            <w:tcW w:w="706" w:type="pct"/>
          </w:tcPr>
          <w:p w:rsidR="00E01C8F" w:rsidRPr="006B435E" w:rsidRDefault="00E01C8F" w:rsidP="00A91FD9">
            <w:pPr>
              <w:pStyle w:val="TableHeading0"/>
              <w:jc w:val="center"/>
              <w:rPr>
                <w:sz w:val="20"/>
              </w:rPr>
            </w:pPr>
            <w:r w:rsidRPr="006B435E">
              <w:rPr>
                <w:sz w:val="20"/>
              </w:rPr>
              <w:t>EP</w:t>
            </w:r>
          </w:p>
          <w:p w:rsidR="00E01C8F" w:rsidRPr="006B435E" w:rsidRDefault="00E01C8F" w:rsidP="00A91FD9">
            <w:pPr>
              <w:pStyle w:val="TableHeading0"/>
              <w:jc w:val="center"/>
              <w:rPr>
                <w:sz w:val="20"/>
              </w:rPr>
            </w:pPr>
            <w:r w:rsidRPr="006B435E">
              <w:rPr>
                <w:sz w:val="20"/>
              </w:rPr>
              <w:t>269</w:t>
            </w:r>
          </w:p>
        </w:tc>
        <w:tc>
          <w:tcPr>
            <w:tcW w:w="709" w:type="pct"/>
          </w:tcPr>
          <w:p w:rsidR="00E01C8F" w:rsidRPr="006B435E" w:rsidRDefault="00E01C8F" w:rsidP="00A91FD9">
            <w:pPr>
              <w:pStyle w:val="TableHeading0"/>
              <w:jc w:val="center"/>
              <w:rPr>
                <w:sz w:val="20"/>
              </w:rPr>
            </w:pPr>
            <w:r w:rsidRPr="006B435E">
              <w:rPr>
                <w:sz w:val="20"/>
              </w:rPr>
              <w:t>HR (95% CI)</w:t>
            </w:r>
          </w:p>
          <w:p w:rsidR="00E01C8F" w:rsidRPr="006B435E" w:rsidRDefault="00E01C8F" w:rsidP="00A91FD9">
            <w:pPr>
              <w:pStyle w:val="TableHeading0"/>
              <w:jc w:val="center"/>
              <w:rPr>
                <w:sz w:val="20"/>
              </w:rPr>
            </w:pPr>
            <w:r w:rsidRPr="006B435E">
              <w:rPr>
                <w:sz w:val="20"/>
              </w:rPr>
              <w:t>P-value</w:t>
            </w:r>
          </w:p>
        </w:tc>
        <w:tc>
          <w:tcPr>
            <w:tcW w:w="707" w:type="pct"/>
          </w:tcPr>
          <w:p w:rsidR="00E01C8F" w:rsidRPr="006B435E" w:rsidRDefault="00E01C8F" w:rsidP="00A91FD9">
            <w:pPr>
              <w:pStyle w:val="TableHeading0"/>
              <w:jc w:val="center"/>
              <w:rPr>
                <w:sz w:val="20"/>
              </w:rPr>
            </w:pPr>
            <w:r w:rsidRPr="006B435E">
              <w:rPr>
                <w:sz w:val="20"/>
              </w:rPr>
              <w:t>A + EP</w:t>
            </w:r>
          </w:p>
          <w:p w:rsidR="00E01C8F" w:rsidRPr="006B435E" w:rsidRDefault="00E01C8F" w:rsidP="00A91FD9">
            <w:pPr>
              <w:pStyle w:val="TableHeading0"/>
              <w:jc w:val="center"/>
              <w:rPr>
                <w:sz w:val="20"/>
              </w:rPr>
            </w:pPr>
            <w:r w:rsidRPr="006B435E">
              <w:rPr>
                <w:sz w:val="20"/>
              </w:rPr>
              <w:t>201</w:t>
            </w:r>
          </w:p>
        </w:tc>
        <w:tc>
          <w:tcPr>
            <w:tcW w:w="633" w:type="pct"/>
          </w:tcPr>
          <w:p w:rsidR="00E01C8F" w:rsidRPr="006B435E" w:rsidRDefault="00E01C8F" w:rsidP="00A91FD9">
            <w:pPr>
              <w:pStyle w:val="TableHeading0"/>
              <w:jc w:val="center"/>
              <w:rPr>
                <w:sz w:val="20"/>
              </w:rPr>
            </w:pPr>
            <w:r w:rsidRPr="006B435E">
              <w:rPr>
                <w:sz w:val="20"/>
              </w:rPr>
              <w:t>EP</w:t>
            </w:r>
          </w:p>
          <w:p w:rsidR="00E01C8F" w:rsidRPr="006B435E" w:rsidRDefault="00E01C8F" w:rsidP="00A91FD9">
            <w:pPr>
              <w:pStyle w:val="TableHeading0"/>
              <w:jc w:val="center"/>
              <w:rPr>
                <w:sz w:val="20"/>
              </w:rPr>
            </w:pPr>
            <w:r w:rsidRPr="006B435E">
              <w:rPr>
                <w:sz w:val="20"/>
              </w:rPr>
              <w:t>202</w:t>
            </w:r>
          </w:p>
        </w:tc>
        <w:tc>
          <w:tcPr>
            <w:tcW w:w="753" w:type="pct"/>
          </w:tcPr>
          <w:p w:rsidR="00E01C8F" w:rsidRPr="006B435E" w:rsidRDefault="00E01C8F" w:rsidP="00A91FD9">
            <w:pPr>
              <w:pStyle w:val="TableHeading0"/>
              <w:jc w:val="center"/>
              <w:rPr>
                <w:sz w:val="20"/>
              </w:rPr>
            </w:pPr>
            <w:r w:rsidRPr="006B435E">
              <w:rPr>
                <w:sz w:val="20"/>
              </w:rPr>
              <w:t>HR (95% CI)</w:t>
            </w:r>
          </w:p>
          <w:p w:rsidR="00E01C8F" w:rsidRPr="006B435E" w:rsidRDefault="00E01C8F" w:rsidP="00A91FD9">
            <w:pPr>
              <w:pStyle w:val="TableHeading0"/>
              <w:jc w:val="center"/>
              <w:rPr>
                <w:sz w:val="20"/>
              </w:rPr>
            </w:pPr>
            <w:r w:rsidRPr="006B435E">
              <w:rPr>
                <w:sz w:val="20"/>
              </w:rPr>
              <w:t>P-value</w:t>
            </w:r>
          </w:p>
        </w:tc>
      </w:tr>
      <w:tr w:rsidR="00E01C8F" w:rsidRPr="006B435E" w:rsidTr="00D55AFC">
        <w:tc>
          <w:tcPr>
            <w:tcW w:w="784" w:type="pct"/>
            <w:vAlign w:val="center"/>
          </w:tcPr>
          <w:p w:rsidR="00E01C8F" w:rsidRPr="006B435E" w:rsidRDefault="00E01C8F" w:rsidP="00A91FD9">
            <w:pPr>
              <w:pStyle w:val="TableText0"/>
              <w:rPr>
                <w:b/>
                <w:sz w:val="20"/>
                <w:szCs w:val="20"/>
              </w:rPr>
            </w:pPr>
            <w:r w:rsidRPr="006B435E">
              <w:rPr>
                <w:b/>
                <w:sz w:val="20"/>
                <w:szCs w:val="20"/>
              </w:rPr>
              <w:t>Analysis</w:t>
            </w:r>
          </w:p>
        </w:tc>
        <w:tc>
          <w:tcPr>
            <w:tcW w:w="2123" w:type="pct"/>
            <w:gridSpan w:val="3"/>
            <w:vAlign w:val="center"/>
          </w:tcPr>
          <w:p w:rsidR="00E01C8F" w:rsidRPr="006B435E" w:rsidRDefault="00E01C8F" w:rsidP="00A91FD9">
            <w:pPr>
              <w:pStyle w:val="TableText0"/>
              <w:jc w:val="center"/>
              <w:rPr>
                <w:b/>
                <w:szCs w:val="20"/>
              </w:rPr>
            </w:pPr>
            <w:r w:rsidRPr="006B435E">
              <w:rPr>
                <w:b/>
                <w:sz w:val="20"/>
                <w:szCs w:val="20"/>
              </w:rPr>
              <w:t>Interim (median 14.2 months follow</w:t>
            </w:r>
            <w:r w:rsidRPr="006B435E">
              <w:rPr>
                <w:b/>
                <w:sz w:val="20"/>
                <w:szCs w:val="20"/>
              </w:rPr>
              <w:noBreakHyphen/>
              <w:t>up)</w:t>
            </w:r>
          </w:p>
        </w:tc>
        <w:tc>
          <w:tcPr>
            <w:tcW w:w="2093" w:type="pct"/>
            <w:gridSpan w:val="3"/>
            <w:vAlign w:val="center"/>
          </w:tcPr>
          <w:p w:rsidR="00E01C8F" w:rsidRPr="006B435E" w:rsidRDefault="00E01C8F" w:rsidP="00A91FD9">
            <w:pPr>
              <w:pStyle w:val="TableText0"/>
              <w:jc w:val="center"/>
              <w:rPr>
                <w:b/>
                <w:sz w:val="20"/>
                <w:szCs w:val="20"/>
              </w:rPr>
            </w:pPr>
            <w:r w:rsidRPr="006B435E">
              <w:rPr>
                <w:b/>
                <w:sz w:val="20"/>
                <w:szCs w:val="20"/>
              </w:rPr>
              <w:t>Interim (median 13.9 months follow</w:t>
            </w:r>
            <w:r w:rsidRPr="006B435E">
              <w:rPr>
                <w:b/>
                <w:sz w:val="20"/>
                <w:szCs w:val="20"/>
              </w:rPr>
              <w:noBreakHyphen/>
              <w:t>up)</w:t>
            </w:r>
          </w:p>
        </w:tc>
      </w:tr>
      <w:tr w:rsidR="00E01C8F" w:rsidRPr="006B435E" w:rsidTr="00D55AFC">
        <w:tc>
          <w:tcPr>
            <w:tcW w:w="784" w:type="pct"/>
          </w:tcPr>
          <w:p w:rsidR="00E01C8F" w:rsidRPr="006B435E" w:rsidRDefault="00E01C8F" w:rsidP="00D55AFC">
            <w:pPr>
              <w:pStyle w:val="TableText0"/>
              <w:rPr>
                <w:sz w:val="20"/>
                <w:szCs w:val="20"/>
              </w:rPr>
            </w:pPr>
            <w:r w:rsidRPr="006B435E">
              <w:rPr>
                <w:sz w:val="20"/>
                <w:szCs w:val="20"/>
              </w:rPr>
              <w:t>Events</w:t>
            </w:r>
            <w:r w:rsidR="00D55AFC">
              <w:rPr>
                <w:sz w:val="20"/>
                <w:szCs w:val="20"/>
              </w:rPr>
              <w:t xml:space="preserve">, </w:t>
            </w:r>
            <w:r w:rsidRPr="006B435E">
              <w:rPr>
                <w:sz w:val="20"/>
                <w:szCs w:val="20"/>
              </w:rPr>
              <w:t>n/N (%)</w:t>
            </w:r>
          </w:p>
        </w:tc>
        <w:tc>
          <w:tcPr>
            <w:tcW w:w="708" w:type="pct"/>
            <w:vAlign w:val="center"/>
          </w:tcPr>
          <w:p w:rsidR="00E01C8F" w:rsidRPr="006B435E" w:rsidRDefault="00E01C8F" w:rsidP="00A91FD9">
            <w:pPr>
              <w:pStyle w:val="TableText0"/>
              <w:jc w:val="center"/>
              <w:rPr>
                <w:sz w:val="20"/>
                <w:szCs w:val="20"/>
              </w:rPr>
            </w:pPr>
            <w:r w:rsidRPr="006B435E">
              <w:rPr>
                <w:sz w:val="20"/>
                <w:szCs w:val="20"/>
              </w:rPr>
              <w:t>155/268 (57.8)</w:t>
            </w:r>
          </w:p>
        </w:tc>
        <w:tc>
          <w:tcPr>
            <w:tcW w:w="706" w:type="pct"/>
            <w:vAlign w:val="center"/>
          </w:tcPr>
          <w:p w:rsidR="00E01C8F" w:rsidRPr="006B435E" w:rsidRDefault="00E01C8F" w:rsidP="00A91FD9">
            <w:pPr>
              <w:pStyle w:val="TableText0"/>
              <w:jc w:val="center"/>
              <w:rPr>
                <w:sz w:val="20"/>
                <w:szCs w:val="20"/>
              </w:rPr>
            </w:pPr>
            <w:r w:rsidRPr="006B435E">
              <w:rPr>
                <w:sz w:val="20"/>
                <w:szCs w:val="20"/>
              </w:rPr>
              <w:t>181/269 (67.3)</w:t>
            </w:r>
          </w:p>
        </w:tc>
        <w:tc>
          <w:tcPr>
            <w:tcW w:w="709" w:type="pct"/>
            <w:vMerge w:val="restart"/>
            <w:vAlign w:val="center"/>
          </w:tcPr>
          <w:p w:rsidR="00E01C8F" w:rsidRPr="006B435E" w:rsidRDefault="00E01C8F" w:rsidP="00A91FD9">
            <w:pPr>
              <w:pStyle w:val="TableText0"/>
              <w:jc w:val="center"/>
              <w:rPr>
                <w:b/>
                <w:bCs w:val="0"/>
                <w:sz w:val="20"/>
                <w:szCs w:val="20"/>
              </w:rPr>
            </w:pPr>
            <w:r w:rsidRPr="006B435E">
              <w:rPr>
                <w:b/>
                <w:bCs w:val="0"/>
                <w:sz w:val="20"/>
                <w:szCs w:val="20"/>
              </w:rPr>
              <w:t>0.73 (0.59, 0.91)</w:t>
            </w:r>
          </w:p>
          <w:p w:rsidR="00E01C8F" w:rsidRPr="006B435E" w:rsidRDefault="00E01C8F" w:rsidP="00A91FD9">
            <w:pPr>
              <w:pStyle w:val="TableText0"/>
              <w:jc w:val="center"/>
              <w:rPr>
                <w:sz w:val="20"/>
                <w:szCs w:val="20"/>
              </w:rPr>
            </w:pPr>
            <w:r w:rsidRPr="006B435E">
              <w:rPr>
                <w:b/>
                <w:bCs w:val="0"/>
                <w:sz w:val="20"/>
                <w:szCs w:val="20"/>
              </w:rPr>
              <w:t>0.0047</w:t>
            </w:r>
          </w:p>
        </w:tc>
        <w:tc>
          <w:tcPr>
            <w:tcW w:w="707" w:type="pct"/>
            <w:vAlign w:val="center"/>
          </w:tcPr>
          <w:p w:rsidR="00E01C8F" w:rsidRPr="006B435E" w:rsidRDefault="00E01C8F" w:rsidP="00A91FD9">
            <w:pPr>
              <w:pStyle w:val="TableText0"/>
              <w:jc w:val="center"/>
              <w:rPr>
                <w:sz w:val="20"/>
                <w:szCs w:val="20"/>
              </w:rPr>
            </w:pPr>
            <w:r w:rsidRPr="006B435E">
              <w:rPr>
                <w:sz w:val="20"/>
                <w:szCs w:val="20"/>
              </w:rPr>
              <w:t>104 (51.7)</w:t>
            </w:r>
          </w:p>
        </w:tc>
        <w:tc>
          <w:tcPr>
            <w:tcW w:w="633" w:type="pct"/>
            <w:vAlign w:val="center"/>
          </w:tcPr>
          <w:p w:rsidR="00E01C8F" w:rsidRPr="006B435E" w:rsidRDefault="00E01C8F" w:rsidP="00A91FD9">
            <w:pPr>
              <w:pStyle w:val="TableText0"/>
              <w:jc w:val="center"/>
              <w:rPr>
                <w:sz w:val="20"/>
                <w:szCs w:val="20"/>
              </w:rPr>
            </w:pPr>
            <w:r w:rsidRPr="006B435E">
              <w:rPr>
                <w:sz w:val="20"/>
                <w:szCs w:val="20"/>
              </w:rPr>
              <w:t>134 (66.3)</w:t>
            </w:r>
          </w:p>
        </w:tc>
        <w:tc>
          <w:tcPr>
            <w:tcW w:w="753" w:type="pct"/>
            <w:vMerge w:val="restart"/>
            <w:vAlign w:val="center"/>
          </w:tcPr>
          <w:p w:rsidR="00E01C8F" w:rsidRPr="006B435E" w:rsidRDefault="00E01C8F" w:rsidP="00A91FD9">
            <w:pPr>
              <w:pStyle w:val="TableText0"/>
              <w:jc w:val="center"/>
              <w:rPr>
                <w:b/>
                <w:bCs w:val="0"/>
                <w:sz w:val="20"/>
                <w:szCs w:val="20"/>
              </w:rPr>
            </w:pPr>
            <w:r w:rsidRPr="006B435E">
              <w:rPr>
                <w:b/>
                <w:bCs w:val="0"/>
                <w:sz w:val="20"/>
                <w:szCs w:val="20"/>
              </w:rPr>
              <w:t>0.70 (0.55, 0.91)</w:t>
            </w:r>
          </w:p>
          <w:p w:rsidR="00E01C8F" w:rsidRPr="006B435E" w:rsidRDefault="00E01C8F" w:rsidP="00A91FD9">
            <w:pPr>
              <w:pStyle w:val="TableText0"/>
              <w:jc w:val="center"/>
              <w:rPr>
                <w:sz w:val="20"/>
                <w:szCs w:val="20"/>
              </w:rPr>
            </w:pPr>
            <w:r w:rsidRPr="006B435E">
              <w:rPr>
                <w:b/>
                <w:bCs w:val="0"/>
                <w:sz w:val="20"/>
                <w:szCs w:val="20"/>
              </w:rPr>
              <w:t>0.0069</w:t>
            </w:r>
          </w:p>
        </w:tc>
      </w:tr>
      <w:tr w:rsidR="00E01C8F" w:rsidRPr="006B435E" w:rsidTr="00D55AFC">
        <w:tc>
          <w:tcPr>
            <w:tcW w:w="784" w:type="pct"/>
          </w:tcPr>
          <w:p w:rsidR="00E01C8F" w:rsidRPr="006B435E" w:rsidRDefault="00E01C8F" w:rsidP="00D55AFC">
            <w:pPr>
              <w:pStyle w:val="TableText0"/>
              <w:rPr>
                <w:sz w:val="20"/>
                <w:szCs w:val="20"/>
              </w:rPr>
            </w:pPr>
            <w:r w:rsidRPr="006B435E">
              <w:rPr>
                <w:sz w:val="20"/>
                <w:szCs w:val="20"/>
              </w:rPr>
              <w:t>Median OS, months</w:t>
            </w:r>
            <w:r w:rsidR="00D55AFC">
              <w:rPr>
                <w:sz w:val="20"/>
                <w:szCs w:val="20"/>
              </w:rPr>
              <w:t xml:space="preserve"> </w:t>
            </w:r>
            <w:r w:rsidRPr="006B435E">
              <w:rPr>
                <w:sz w:val="20"/>
                <w:szCs w:val="20"/>
              </w:rPr>
              <w:t>(95% CI)</w:t>
            </w:r>
          </w:p>
        </w:tc>
        <w:tc>
          <w:tcPr>
            <w:tcW w:w="708" w:type="pct"/>
            <w:vAlign w:val="center"/>
          </w:tcPr>
          <w:p w:rsidR="00E01C8F" w:rsidRPr="006B435E" w:rsidRDefault="00E01C8F" w:rsidP="00A91FD9">
            <w:pPr>
              <w:pStyle w:val="TableText0"/>
              <w:jc w:val="center"/>
              <w:rPr>
                <w:sz w:val="20"/>
                <w:szCs w:val="20"/>
              </w:rPr>
            </w:pPr>
            <w:r w:rsidRPr="006B435E">
              <w:rPr>
                <w:sz w:val="20"/>
                <w:szCs w:val="20"/>
              </w:rPr>
              <w:t>13.0</w:t>
            </w:r>
          </w:p>
          <w:p w:rsidR="00E01C8F" w:rsidRPr="006B435E" w:rsidRDefault="00E01C8F" w:rsidP="00A91FD9">
            <w:pPr>
              <w:pStyle w:val="TableText0"/>
              <w:jc w:val="center"/>
              <w:rPr>
                <w:sz w:val="20"/>
                <w:szCs w:val="20"/>
              </w:rPr>
            </w:pPr>
            <w:r w:rsidRPr="006B435E">
              <w:rPr>
                <w:sz w:val="20"/>
                <w:szCs w:val="20"/>
              </w:rPr>
              <w:t>(11.5, 14.8)</w:t>
            </w:r>
          </w:p>
        </w:tc>
        <w:tc>
          <w:tcPr>
            <w:tcW w:w="706" w:type="pct"/>
            <w:vAlign w:val="center"/>
          </w:tcPr>
          <w:p w:rsidR="00E01C8F" w:rsidRPr="006B435E" w:rsidRDefault="00E01C8F" w:rsidP="00A91FD9">
            <w:pPr>
              <w:pStyle w:val="TableText0"/>
              <w:jc w:val="center"/>
              <w:rPr>
                <w:sz w:val="20"/>
                <w:szCs w:val="20"/>
              </w:rPr>
            </w:pPr>
            <w:r w:rsidRPr="006B435E">
              <w:rPr>
                <w:sz w:val="20"/>
                <w:szCs w:val="20"/>
              </w:rPr>
              <w:t>10.3</w:t>
            </w:r>
          </w:p>
          <w:p w:rsidR="00E01C8F" w:rsidRPr="006B435E" w:rsidRDefault="00E01C8F" w:rsidP="00A91FD9">
            <w:pPr>
              <w:pStyle w:val="TableText0"/>
              <w:jc w:val="center"/>
              <w:rPr>
                <w:sz w:val="20"/>
                <w:szCs w:val="20"/>
              </w:rPr>
            </w:pPr>
            <w:r w:rsidRPr="006B435E">
              <w:rPr>
                <w:sz w:val="20"/>
                <w:szCs w:val="20"/>
              </w:rPr>
              <w:t>(9.3, 11.2)</w:t>
            </w:r>
          </w:p>
        </w:tc>
        <w:tc>
          <w:tcPr>
            <w:tcW w:w="709" w:type="pct"/>
            <w:vMerge/>
          </w:tcPr>
          <w:p w:rsidR="00E01C8F" w:rsidRPr="006B435E" w:rsidRDefault="00E01C8F" w:rsidP="00A91FD9">
            <w:pPr>
              <w:pStyle w:val="TableText0"/>
              <w:jc w:val="center"/>
              <w:rPr>
                <w:sz w:val="20"/>
                <w:szCs w:val="20"/>
              </w:rPr>
            </w:pPr>
          </w:p>
        </w:tc>
        <w:tc>
          <w:tcPr>
            <w:tcW w:w="707" w:type="pct"/>
            <w:vAlign w:val="center"/>
          </w:tcPr>
          <w:p w:rsidR="00E01C8F" w:rsidRPr="006B435E" w:rsidRDefault="00E01C8F" w:rsidP="00A91FD9">
            <w:pPr>
              <w:pStyle w:val="TableText0"/>
              <w:jc w:val="center"/>
              <w:rPr>
                <w:sz w:val="20"/>
                <w:szCs w:val="20"/>
              </w:rPr>
            </w:pPr>
            <w:r w:rsidRPr="006B435E">
              <w:rPr>
                <w:sz w:val="20"/>
                <w:szCs w:val="20"/>
              </w:rPr>
              <w:t>12.3</w:t>
            </w:r>
            <w:r w:rsidRPr="006B435E">
              <w:rPr>
                <w:sz w:val="20"/>
                <w:szCs w:val="20"/>
              </w:rPr>
              <w:br/>
              <w:t>(10.8, 15.9)</w:t>
            </w:r>
          </w:p>
        </w:tc>
        <w:tc>
          <w:tcPr>
            <w:tcW w:w="633" w:type="pct"/>
            <w:vAlign w:val="center"/>
          </w:tcPr>
          <w:p w:rsidR="00E01C8F" w:rsidRPr="006B435E" w:rsidRDefault="00E01C8F" w:rsidP="00A91FD9">
            <w:pPr>
              <w:pStyle w:val="TableText0"/>
              <w:jc w:val="center"/>
              <w:rPr>
                <w:sz w:val="20"/>
                <w:szCs w:val="20"/>
              </w:rPr>
            </w:pPr>
            <w:r w:rsidRPr="006B435E">
              <w:rPr>
                <w:sz w:val="20"/>
                <w:szCs w:val="20"/>
              </w:rPr>
              <w:t>10.3</w:t>
            </w:r>
            <w:r w:rsidRPr="006B435E">
              <w:rPr>
                <w:sz w:val="20"/>
                <w:szCs w:val="20"/>
              </w:rPr>
              <w:br/>
              <w:t>(9.3, 11.3)</w:t>
            </w:r>
          </w:p>
        </w:tc>
        <w:tc>
          <w:tcPr>
            <w:tcW w:w="753" w:type="pct"/>
            <w:vMerge/>
          </w:tcPr>
          <w:p w:rsidR="00E01C8F" w:rsidRPr="006B435E" w:rsidRDefault="00E01C8F" w:rsidP="00A91FD9">
            <w:pPr>
              <w:pStyle w:val="TableText0"/>
              <w:jc w:val="center"/>
              <w:rPr>
                <w:sz w:val="20"/>
                <w:szCs w:val="20"/>
              </w:rPr>
            </w:pPr>
          </w:p>
        </w:tc>
      </w:tr>
      <w:tr w:rsidR="00E01C8F" w:rsidRPr="006B435E" w:rsidTr="00D55AFC">
        <w:tc>
          <w:tcPr>
            <w:tcW w:w="784" w:type="pct"/>
            <w:vAlign w:val="center"/>
          </w:tcPr>
          <w:p w:rsidR="00E01C8F" w:rsidRPr="006B435E" w:rsidRDefault="00E01C8F" w:rsidP="00A91FD9">
            <w:pPr>
              <w:pStyle w:val="TableText0"/>
              <w:rPr>
                <w:b/>
                <w:sz w:val="20"/>
                <w:szCs w:val="20"/>
              </w:rPr>
            </w:pPr>
            <w:r w:rsidRPr="006B435E">
              <w:rPr>
                <w:b/>
                <w:sz w:val="20"/>
                <w:szCs w:val="20"/>
              </w:rPr>
              <w:t>Analysis</w:t>
            </w:r>
          </w:p>
        </w:tc>
        <w:tc>
          <w:tcPr>
            <w:tcW w:w="2123" w:type="pct"/>
            <w:gridSpan w:val="3"/>
            <w:vAlign w:val="center"/>
          </w:tcPr>
          <w:p w:rsidR="00E01C8F" w:rsidRPr="006B435E" w:rsidRDefault="00E01C8F" w:rsidP="00A91FD9">
            <w:pPr>
              <w:pStyle w:val="TableText0"/>
              <w:jc w:val="center"/>
              <w:rPr>
                <w:b/>
                <w:szCs w:val="20"/>
              </w:rPr>
            </w:pPr>
            <w:r w:rsidRPr="006B435E">
              <w:rPr>
                <w:b/>
                <w:sz w:val="20"/>
                <w:szCs w:val="20"/>
              </w:rPr>
              <w:t>Final (median 25.1 months follow</w:t>
            </w:r>
            <w:r w:rsidRPr="006B435E">
              <w:rPr>
                <w:b/>
                <w:sz w:val="20"/>
                <w:szCs w:val="20"/>
              </w:rPr>
              <w:noBreakHyphen/>
              <w:t>up)</w:t>
            </w:r>
          </w:p>
        </w:tc>
        <w:tc>
          <w:tcPr>
            <w:tcW w:w="2093" w:type="pct"/>
            <w:gridSpan w:val="3"/>
            <w:vAlign w:val="center"/>
          </w:tcPr>
          <w:p w:rsidR="00E01C8F" w:rsidRPr="006B435E" w:rsidRDefault="00E01C8F" w:rsidP="00A91FD9">
            <w:pPr>
              <w:pStyle w:val="TableText0"/>
              <w:jc w:val="center"/>
              <w:rPr>
                <w:b/>
                <w:sz w:val="20"/>
                <w:szCs w:val="20"/>
              </w:rPr>
            </w:pPr>
            <w:r w:rsidRPr="006B435E">
              <w:rPr>
                <w:b/>
                <w:sz w:val="20"/>
                <w:szCs w:val="20"/>
              </w:rPr>
              <w:t>Final (median 22.9 months follow</w:t>
            </w:r>
            <w:r w:rsidRPr="006B435E">
              <w:rPr>
                <w:b/>
                <w:sz w:val="20"/>
                <w:szCs w:val="20"/>
              </w:rPr>
              <w:noBreakHyphen/>
              <w:t>up)</w:t>
            </w:r>
          </w:p>
        </w:tc>
      </w:tr>
      <w:tr w:rsidR="00E01C8F" w:rsidRPr="006B435E" w:rsidTr="00D55AFC">
        <w:tc>
          <w:tcPr>
            <w:tcW w:w="784" w:type="pct"/>
          </w:tcPr>
          <w:p w:rsidR="00E01C8F" w:rsidRPr="006B435E" w:rsidRDefault="00E01C8F" w:rsidP="00D55AFC">
            <w:pPr>
              <w:pStyle w:val="TableText0"/>
              <w:rPr>
                <w:sz w:val="20"/>
                <w:szCs w:val="20"/>
              </w:rPr>
            </w:pPr>
            <w:r w:rsidRPr="006B435E">
              <w:rPr>
                <w:sz w:val="20"/>
                <w:szCs w:val="20"/>
              </w:rPr>
              <w:t>Events</w:t>
            </w:r>
            <w:r w:rsidR="00D55AFC">
              <w:rPr>
                <w:sz w:val="20"/>
                <w:szCs w:val="20"/>
              </w:rPr>
              <w:t xml:space="preserve">, </w:t>
            </w:r>
            <w:r w:rsidRPr="006B435E">
              <w:rPr>
                <w:sz w:val="20"/>
                <w:szCs w:val="20"/>
              </w:rPr>
              <w:t>n/N (%)</w:t>
            </w:r>
          </w:p>
        </w:tc>
        <w:tc>
          <w:tcPr>
            <w:tcW w:w="708" w:type="pct"/>
            <w:vAlign w:val="center"/>
          </w:tcPr>
          <w:p w:rsidR="00E01C8F" w:rsidRPr="006B435E" w:rsidRDefault="00E01C8F" w:rsidP="00A91FD9">
            <w:pPr>
              <w:pStyle w:val="TableText0"/>
              <w:jc w:val="center"/>
              <w:rPr>
                <w:sz w:val="20"/>
                <w:szCs w:val="20"/>
              </w:rPr>
            </w:pPr>
            <w:r w:rsidRPr="006B435E">
              <w:rPr>
                <w:sz w:val="20"/>
                <w:szCs w:val="20"/>
              </w:rPr>
              <w:t>210/268 (78.4)</w:t>
            </w:r>
          </w:p>
        </w:tc>
        <w:tc>
          <w:tcPr>
            <w:tcW w:w="706" w:type="pct"/>
            <w:vAlign w:val="center"/>
          </w:tcPr>
          <w:p w:rsidR="00E01C8F" w:rsidRPr="006B435E" w:rsidRDefault="00E01C8F" w:rsidP="00A91FD9">
            <w:pPr>
              <w:pStyle w:val="TableText0"/>
              <w:jc w:val="center"/>
              <w:rPr>
                <w:sz w:val="20"/>
                <w:szCs w:val="20"/>
              </w:rPr>
            </w:pPr>
            <w:r w:rsidRPr="006B435E">
              <w:rPr>
                <w:sz w:val="20"/>
                <w:szCs w:val="20"/>
              </w:rPr>
              <w:t>231/269 (85.9)</w:t>
            </w:r>
          </w:p>
        </w:tc>
        <w:tc>
          <w:tcPr>
            <w:tcW w:w="709" w:type="pct"/>
            <w:vMerge w:val="restart"/>
            <w:vAlign w:val="center"/>
          </w:tcPr>
          <w:p w:rsidR="00E01C8F" w:rsidRPr="006B435E" w:rsidRDefault="00E01C8F" w:rsidP="00A91FD9">
            <w:pPr>
              <w:pStyle w:val="TableText0"/>
              <w:jc w:val="center"/>
              <w:rPr>
                <w:b/>
                <w:bCs w:val="0"/>
                <w:sz w:val="20"/>
                <w:szCs w:val="20"/>
              </w:rPr>
            </w:pPr>
            <w:r w:rsidRPr="006B435E">
              <w:rPr>
                <w:b/>
                <w:bCs w:val="0"/>
                <w:sz w:val="20"/>
                <w:szCs w:val="20"/>
              </w:rPr>
              <w:t>0.75 (0.63, 0.91)</w:t>
            </w:r>
          </w:p>
          <w:p w:rsidR="00E01C8F" w:rsidRPr="006B435E" w:rsidRDefault="00E01C8F" w:rsidP="00A91FD9">
            <w:pPr>
              <w:pStyle w:val="TableText0"/>
              <w:jc w:val="center"/>
              <w:rPr>
                <w:sz w:val="20"/>
                <w:szCs w:val="20"/>
              </w:rPr>
            </w:pPr>
            <w:r w:rsidRPr="006B435E">
              <w:rPr>
                <w:b/>
                <w:bCs w:val="0"/>
                <w:sz w:val="20"/>
                <w:szCs w:val="20"/>
              </w:rPr>
              <w:t>0.0032</w:t>
            </w:r>
          </w:p>
        </w:tc>
        <w:tc>
          <w:tcPr>
            <w:tcW w:w="1340" w:type="pct"/>
            <w:gridSpan w:val="2"/>
            <w:vAlign w:val="center"/>
          </w:tcPr>
          <w:p w:rsidR="00E01C8F" w:rsidRPr="006B435E" w:rsidRDefault="00E01C8F" w:rsidP="00A91FD9">
            <w:pPr>
              <w:pStyle w:val="TableText0"/>
              <w:jc w:val="center"/>
              <w:rPr>
                <w:sz w:val="20"/>
                <w:szCs w:val="20"/>
              </w:rPr>
            </w:pPr>
            <w:r w:rsidRPr="006B435E">
              <w:rPr>
                <w:sz w:val="20"/>
                <w:szCs w:val="20"/>
              </w:rPr>
              <w:t>At least 306 events</w:t>
            </w:r>
            <w:r w:rsidRPr="006B435E">
              <w:rPr>
                <w:sz w:val="20"/>
                <w:szCs w:val="20"/>
                <w:vertAlign w:val="superscript"/>
              </w:rPr>
              <w:t>a</w:t>
            </w:r>
          </w:p>
        </w:tc>
        <w:tc>
          <w:tcPr>
            <w:tcW w:w="753" w:type="pct"/>
            <w:vMerge w:val="restart"/>
            <w:vAlign w:val="center"/>
          </w:tcPr>
          <w:p w:rsidR="00E01C8F" w:rsidRPr="006B435E" w:rsidRDefault="00E01C8F" w:rsidP="00A91FD9">
            <w:pPr>
              <w:pStyle w:val="TableText0"/>
              <w:jc w:val="center"/>
              <w:rPr>
                <w:b/>
                <w:bCs w:val="0"/>
                <w:sz w:val="20"/>
                <w:szCs w:val="20"/>
              </w:rPr>
            </w:pPr>
            <w:r w:rsidRPr="006B435E">
              <w:rPr>
                <w:b/>
                <w:bCs w:val="0"/>
                <w:sz w:val="20"/>
                <w:szCs w:val="20"/>
              </w:rPr>
              <w:t>0.76 (0.60, 0.95)</w:t>
            </w:r>
          </w:p>
          <w:p w:rsidR="00E01C8F" w:rsidRPr="006B435E" w:rsidRDefault="00E01C8F" w:rsidP="00A91FD9">
            <w:pPr>
              <w:pStyle w:val="TableText0"/>
              <w:jc w:val="center"/>
              <w:rPr>
                <w:sz w:val="20"/>
                <w:szCs w:val="20"/>
              </w:rPr>
            </w:pPr>
            <w:r w:rsidRPr="006B435E">
              <w:rPr>
                <w:b/>
                <w:bCs w:val="0"/>
                <w:sz w:val="20"/>
                <w:szCs w:val="20"/>
              </w:rPr>
              <w:t>0.0154</w:t>
            </w:r>
          </w:p>
        </w:tc>
      </w:tr>
      <w:tr w:rsidR="00E01C8F" w:rsidRPr="006B435E" w:rsidTr="00D55AFC">
        <w:tc>
          <w:tcPr>
            <w:tcW w:w="784" w:type="pct"/>
          </w:tcPr>
          <w:p w:rsidR="00E01C8F" w:rsidRPr="006B435E" w:rsidRDefault="00E01C8F" w:rsidP="00D55AFC">
            <w:pPr>
              <w:pStyle w:val="TableText0"/>
              <w:rPr>
                <w:sz w:val="20"/>
                <w:szCs w:val="20"/>
              </w:rPr>
            </w:pPr>
            <w:r w:rsidRPr="006B435E">
              <w:rPr>
                <w:sz w:val="20"/>
                <w:szCs w:val="20"/>
              </w:rPr>
              <w:t>Median OS, months</w:t>
            </w:r>
            <w:r w:rsidR="00D55AFC">
              <w:rPr>
                <w:sz w:val="20"/>
                <w:szCs w:val="20"/>
              </w:rPr>
              <w:t xml:space="preserve">, </w:t>
            </w:r>
            <w:r w:rsidRPr="006B435E">
              <w:rPr>
                <w:sz w:val="20"/>
                <w:szCs w:val="20"/>
              </w:rPr>
              <w:t>(95% CI)</w:t>
            </w:r>
          </w:p>
        </w:tc>
        <w:tc>
          <w:tcPr>
            <w:tcW w:w="708" w:type="pct"/>
            <w:vAlign w:val="center"/>
          </w:tcPr>
          <w:p w:rsidR="00E01C8F" w:rsidRPr="006B435E" w:rsidRDefault="00E01C8F" w:rsidP="00A91FD9">
            <w:pPr>
              <w:pStyle w:val="TableText0"/>
              <w:jc w:val="center"/>
              <w:rPr>
                <w:sz w:val="20"/>
                <w:szCs w:val="20"/>
              </w:rPr>
            </w:pPr>
            <w:r w:rsidRPr="006B435E">
              <w:rPr>
                <w:sz w:val="20"/>
                <w:szCs w:val="20"/>
              </w:rPr>
              <w:t>12.9</w:t>
            </w:r>
          </w:p>
          <w:p w:rsidR="00E01C8F" w:rsidRPr="006B435E" w:rsidRDefault="00E01C8F" w:rsidP="00A91FD9">
            <w:pPr>
              <w:pStyle w:val="TableText0"/>
              <w:jc w:val="center"/>
              <w:rPr>
                <w:sz w:val="20"/>
                <w:szCs w:val="20"/>
              </w:rPr>
            </w:pPr>
            <w:r w:rsidRPr="006B435E">
              <w:rPr>
                <w:sz w:val="20"/>
                <w:szCs w:val="20"/>
              </w:rPr>
              <w:t>(11.3, 14.7)</w:t>
            </w:r>
          </w:p>
        </w:tc>
        <w:tc>
          <w:tcPr>
            <w:tcW w:w="706" w:type="pct"/>
            <w:vAlign w:val="center"/>
          </w:tcPr>
          <w:p w:rsidR="00E01C8F" w:rsidRPr="006B435E" w:rsidRDefault="00E01C8F" w:rsidP="00A91FD9">
            <w:pPr>
              <w:pStyle w:val="TableText0"/>
              <w:jc w:val="center"/>
              <w:rPr>
                <w:sz w:val="20"/>
                <w:szCs w:val="20"/>
              </w:rPr>
            </w:pPr>
            <w:r w:rsidRPr="006B435E">
              <w:rPr>
                <w:sz w:val="20"/>
                <w:szCs w:val="20"/>
              </w:rPr>
              <w:t>10.5</w:t>
            </w:r>
          </w:p>
          <w:p w:rsidR="00E01C8F" w:rsidRPr="006B435E" w:rsidRDefault="00E01C8F" w:rsidP="00A91FD9">
            <w:pPr>
              <w:pStyle w:val="TableText0"/>
              <w:jc w:val="center"/>
              <w:rPr>
                <w:sz w:val="20"/>
                <w:szCs w:val="20"/>
              </w:rPr>
            </w:pPr>
            <w:r w:rsidRPr="006B435E">
              <w:rPr>
                <w:sz w:val="20"/>
                <w:szCs w:val="20"/>
              </w:rPr>
              <w:t>(9.3, 11.2)</w:t>
            </w:r>
          </w:p>
        </w:tc>
        <w:tc>
          <w:tcPr>
            <w:tcW w:w="709" w:type="pct"/>
            <w:vMerge/>
          </w:tcPr>
          <w:p w:rsidR="00E01C8F" w:rsidRPr="006B435E" w:rsidRDefault="00E01C8F" w:rsidP="00A91FD9">
            <w:pPr>
              <w:pStyle w:val="TableText0"/>
              <w:jc w:val="center"/>
              <w:rPr>
                <w:sz w:val="20"/>
                <w:szCs w:val="20"/>
              </w:rPr>
            </w:pPr>
          </w:p>
        </w:tc>
        <w:tc>
          <w:tcPr>
            <w:tcW w:w="707" w:type="pct"/>
            <w:vAlign w:val="center"/>
          </w:tcPr>
          <w:p w:rsidR="00E01C8F" w:rsidRPr="006B435E" w:rsidRDefault="00E01C8F" w:rsidP="00A91FD9">
            <w:pPr>
              <w:pStyle w:val="TableText0"/>
              <w:jc w:val="center"/>
              <w:rPr>
                <w:sz w:val="20"/>
                <w:szCs w:val="20"/>
              </w:rPr>
            </w:pPr>
            <w:r w:rsidRPr="006B435E">
              <w:rPr>
                <w:sz w:val="20"/>
                <w:szCs w:val="20"/>
              </w:rPr>
              <w:t>12.3 (10.8,15.8)</w:t>
            </w:r>
          </w:p>
        </w:tc>
        <w:tc>
          <w:tcPr>
            <w:tcW w:w="633" w:type="pct"/>
            <w:vAlign w:val="center"/>
          </w:tcPr>
          <w:p w:rsidR="00E01C8F" w:rsidRPr="006B435E" w:rsidRDefault="00E01C8F" w:rsidP="00A91FD9">
            <w:pPr>
              <w:pStyle w:val="TableText0"/>
              <w:jc w:val="center"/>
              <w:rPr>
                <w:sz w:val="20"/>
                <w:szCs w:val="20"/>
              </w:rPr>
            </w:pPr>
            <w:r w:rsidRPr="006B435E">
              <w:rPr>
                <w:sz w:val="20"/>
                <w:szCs w:val="20"/>
              </w:rPr>
              <w:t>10.3 (9.3,11.3)</w:t>
            </w:r>
          </w:p>
        </w:tc>
        <w:tc>
          <w:tcPr>
            <w:tcW w:w="753" w:type="pct"/>
            <w:vMerge/>
          </w:tcPr>
          <w:p w:rsidR="00E01C8F" w:rsidRPr="006B435E" w:rsidRDefault="00E01C8F" w:rsidP="00A91FD9">
            <w:pPr>
              <w:pStyle w:val="TableText0"/>
              <w:jc w:val="center"/>
              <w:rPr>
                <w:sz w:val="20"/>
                <w:szCs w:val="20"/>
              </w:rPr>
            </w:pPr>
          </w:p>
        </w:tc>
      </w:tr>
    </w:tbl>
    <w:p w:rsidR="00E01C8F" w:rsidRPr="006B435E" w:rsidRDefault="00E01C8F" w:rsidP="00E01C8F">
      <w:pPr>
        <w:pStyle w:val="TableFigureFooter"/>
      </w:pPr>
      <w:r w:rsidRPr="006B435E">
        <w:t>Source: Table 2.5.1, p39 of the submission</w:t>
      </w:r>
    </w:p>
    <w:p w:rsidR="00E01C8F" w:rsidRPr="006B435E" w:rsidRDefault="00E01C8F" w:rsidP="00E01C8F">
      <w:pPr>
        <w:pStyle w:val="TableFigureFooter"/>
      </w:pPr>
      <w:r w:rsidRPr="006B435E">
        <w:t>Bold typography represents statistically significant differences</w:t>
      </w:r>
    </w:p>
    <w:p w:rsidR="00E01C8F" w:rsidRPr="006B435E" w:rsidRDefault="00E01C8F" w:rsidP="00E01C8F">
      <w:pPr>
        <w:pStyle w:val="TableFigureFooter"/>
      </w:pPr>
      <w:r w:rsidRPr="006B435E">
        <w:t>A = atezolizumab; CI = confidence interval; D= durvalumab; EP = etoposide plus platinum-based chemotherapy; HR = hazard ratio; OS = overall survival</w:t>
      </w:r>
    </w:p>
    <w:p w:rsidR="00844371" w:rsidRPr="006B435E" w:rsidRDefault="00E01C8F" w:rsidP="00AD6B38">
      <w:pPr>
        <w:pStyle w:val="TableFigureFooter"/>
        <w:tabs>
          <w:tab w:val="left" w:pos="284"/>
        </w:tabs>
      </w:pPr>
      <w:r w:rsidRPr="006B435E">
        <w:rPr>
          <w:vertAlign w:val="superscript"/>
        </w:rPr>
        <w:t>a</w:t>
      </w:r>
      <w:r w:rsidRPr="006B435E">
        <w:rPr>
          <w:vertAlign w:val="superscript"/>
        </w:rPr>
        <w:tab/>
      </w:r>
      <w:r w:rsidRPr="006B435E">
        <w:t>separate event rates not reported.</w:t>
      </w:r>
    </w:p>
    <w:p w:rsidR="00844371" w:rsidRPr="006B435E" w:rsidRDefault="00844371" w:rsidP="00844371">
      <w:pPr>
        <w:pStyle w:val="3-BodyText"/>
      </w:pPr>
      <w:r w:rsidRPr="006B435E">
        <w:t>In the CASPIAN trial, durvalumab plus EP demonstrated a significantly improved overall survival compared with EP alone (HR 0.75 95% CI [0.63, 0.91] at final analysis).</w:t>
      </w:r>
      <w:r w:rsidR="00D80BD3" w:rsidRPr="006B435E">
        <w:t xml:space="preserve"> </w:t>
      </w:r>
    </w:p>
    <w:p w:rsidR="00844371" w:rsidRPr="006B435E" w:rsidRDefault="00844371" w:rsidP="00844371">
      <w:pPr>
        <w:pStyle w:val="3-BodyText"/>
      </w:pPr>
      <w:r w:rsidRPr="006B435E">
        <w:t xml:space="preserve">In the </w:t>
      </w:r>
      <w:r w:rsidR="002E4F4F" w:rsidRPr="006B435E">
        <w:t>IMpower</w:t>
      </w:r>
      <w:r w:rsidRPr="006B435E">
        <w:t>133 trial, atezolizumab plus carboplatin</w:t>
      </w:r>
      <w:r w:rsidRPr="006B435E">
        <w:noBreakHyphen/>
        <w:t>etoposide chemotherapy demonstrated a significantly improved overall survival compared with placebo plus carboplatin</w:t>
      </w:r>
      <w:r w:rsidRPr="006B435E">
        <w:noBreakHyphen/>
        <w:t>etoposide</w:t>
      </w:r>
      <w:r w:rsidR="00DF3903" w:rsidRPr="006B435E">
        <w:t xml:space="preserve"> </w:t>
      </w:r>
      <w:r w:rsidRPr="006B435E">
        <w:t>(HR 0.76 95% CI [0.60, 0.95] at final analysis).</w:t>
      </w:r>
    </w:p>
    <w:p w:rsidR="00844371" w:rsidRPr="006B435E" w:rsidRDefault="00977E4F" w:rsidP="00844371">
      <w:pPr>
        <w:pStyle w:val="3-BodyText"/>
      </w:pPr>
      <w:r w:rsidRPr="006B435E">
        <w:t>Figure 1 and Figure 2 p</w:t>
      </w:r>
      <w:r w:rsidR="00844371" w:rsidRPr="006B435E">
        <w:t xml:space="preserve">resent the OS Kaplan Meier curves for the CASPIAN and </w:t>
      </w:r>
      <w:r w:rsidR="002E4F4F" w:rsidRPr="006B435E">
        <w:t>IMpower</w:t>
      </w:r>
      <w:r w:rsidR="00844371" w:rsidRPr="006B435E">
        <w:t>133 trials, respectively.</w:t>
      </w:r>
    </w:p>
    <w:p w:rsidR="00844371" w:rsidRPr="006B435E" w:rsidRDefault="00844371" w:rsidP="001615E3">
      <w:pPr>
        <w:keepNext/>
        <w:keepLines/>
      </w:pPr>
    </w:p>
    <w:p w:rsidR="00844371" w:rsidRPr="006B435E" w:rsidRDefault="00844371" w:rsidP="001615E3">
      <w:pPr>
        <w:pStyle w:val="TableFigureHeading"/>
        <w:keepLines/>
      </w:pPr>
      <w:bookmarkStart w:id="15" w:name="_Ref49791448"/>
      <w:r w:rsidRPr="006B435E">
        <w:t>Figure 1</w:t>
      </w:r>
      <w:bookmarkEnd w:id="15"/>
      <w:r w:rsidRPr="006B435E">
        <w:t>: Kaplan–Meier curve for OS from the CASPIAN trial, final analysis</w:t>
      </w:r>
      <w:r w:rsidR="001615E3" w:rsidRPr="006B435E">
        <w:t xml:space="preserve"> </w:t>
      </w:r>
      <w:r w:rsidRPr="006B435E">
        <w:t>(27 January 2020)</w:t>
      </w:r>
    </w:p>
    <w:p w:rsidR="001615E3" w:rsidRPr="006B435E" w:rsidRDefault="001615E3" w:rsidP="001615E3">
      <w:pPr>
        <w:pStyle w:val="TableFigureFooter"/>
        <w:keepNext/>
        <w:keepLines/>
        <w:jc w:val="left"/>
      </w:pPr>
      <w:r w:rsidRPr="006B435E">
        <w:rPr>
          <w:noProof/>
        </w:rPr>
        <w:drawing>
          <wp:inline distT="0" distB="0" distL="0" distR="0" wp14:anchorId="5A428A6A" wp14:editId="45C4EBAF">
            <wp:extent cx="5731510" cy="2637155"/>
            <wp:effectExtent l="0" t="0" r="2540" b="0"/>
            <wp:docPr id="3" name="Picture 3" title="Figure 1: Kaplan–Meier curve for OS from the CASPIAN trial, final analysis (27 Januar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37155"/>
                    </a:xfrm>
                    <a:prstGeom prst="rect">
                      <a:avLst/>
                    </a:prstGeom>
                    <a:noFill/>
                    <a:ln>
                      <a:noFill/>
                    </a:ln>
                  </pic:spPr>
                </pic:pic>
              </a:graphicData>
            </a:graphic>
          </wp:inline>
        </w:drawing>
      </w:r>
    </w:p>
    <w:p w:rsidR="001615E3" w:rsidRPr="006B435E" w:rsidRDefault="001615E3" w:rsidP="001615E3">
      <w:pPr>
        <w:pStyle w:val="TableFigureFooter"/>
        <w:keepNext/>
        <w:keepLines/>
        <w:jc w:val="left"/>
      </w:pPr>
    </w:p>
    <w:p w:rsidR="00844371" w:rsidRPr="006B435E" w:rsidRDefault="00844371" w:rsidP="001615E3">
      <w:pPr>
        <w:pStyle w:val="TableFigureFooter"/>
        <w:keepNext/>
        <w:keepLines/>
        <w:jc w:val="left"/>
      </w:pPr>
      <w:r w:rsidRPr="006B435E">
        <w:t xml:space="preserve">Source: </w:t>
      </w:r>
      <w:r w:rsidR="001615E3" w:rsidRPr="006B435E">
        <w:t xml:space="preserve">Figure </w:t>
      </w:r>
      <w:r w:rsidRPr="006B435E">
        <w:t>2.5.1, p40 of the submission.</w:t>
      </w:r>
    </w:p>
    <w:p w:rsidR="00844371" w:rsidRPr="006B435E" w:rsidRDefault="00844371" w:rsidP="00D55AFC">
      <w:pPr>
        <w:pStyle w:val="TableFigureFooter"/>
        <w:keepNext/>
        <w:keepLines/>
        <w:jc w:val="left"/>
      </w:pPr>
      <w:r w:rsidRPr="006B435E">
        <w:t>CI = confidence interval; D = durvalumab; EP = etoposide plus platinum based chemotherapy; mOS = median overall survival; OS = overall survival.</w:t>
      </w:r>
      <w:r w:rsidR="00D55AFC">
        <w:t xml:space="preserve"> </w:t>
      </w:r>
    </w:p>
    <w:p w:rsidR="00844371" w:rsidRPr="006B435E" w:rsidRDefault="00844371" w:rsidP="00844371">
      <w:pPr>
        <w:pStyle w:val="TableFigureFooter"/>
        <w:jc w:val="center"/>
      </w:pPr>
    </w:p>
    <w:p w:rsidR="00844371" w:rsidRPr="006B435E" w:rsidRDefault="00844371" w:rsidP="00FF50D7">
      <w:pPr>
        <w:pStyle w:val="TableFigureHeading"/>
      </w:pPr>
      <w:bookmarkStart w:id="16" w:name="_Ref49791454"/>
      <w:r w:rsidRPr="006B435E">
        <w:t>Figure 2</w:t>
      </w:r>
      <w:bookmarkEnd w:id="16"/>
      <w:r w:rsidRPr="006B435E">
        <w:t xml:space="preserve">: Kaplan–Meier curve for OS from the </w:t>
      </w:r>
      <w:r w:rsidR="002E4F4F" w:rsidRPr="006B435E">
        <w:t>IMpower</w:t>
      </w:r>
      <w:r w:rsidRPr="006B435E">
        <w:t>133 trial, final analysis (24 January 2019)</w:t>
      </w:r>
    </w:p>
    <w:p w:rsidR="001615E3" w:rsidRPr="006B435E" w:rsidRDefault="001615E3" w:rsidP="00FF50D7">
      <w:pPr>
        <w:pStyle w:val="TableFigureFooter"/>
        <w:jc w:val="left"/>
      </w:pPr>
      <w:r w:rsidRPr="006B435E">
        <w:rPr>
          <w:b/>
          <w:iCs/>
          <w:noProof/>
          <w:color w:val="000000" w:themeColor="text1"/>
          <w:szCs w:val="18"/>
        </w:rPr>
        <w:drawing>
          <wp:inline distT="0" distB="0" distL="0" distR="0" wp14:anchorId="6D1E5213" wp14:editId="3F3FA20E">
            <wp:extent cx="5731510" cy="2544445"/>
            <wp:effectExtent l="0" t="0" r="2540" b="8255"/>
            <wp:docPr id="4" name="Picture 4" title="Figure 2: Kaplan–Meier curve for OS from the IMpower133 trial, final analysis (24 Jan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544445"/>
                    </a:xfrm>
                    <a:prstGeom prst="rect">
                      <a:avLst/>
                    </a:prstGeom>
                    <a:noFill/>
                    <a:ln>
                      <a:noFill/>
                    </a:ln>
                  </pic:spPr>
                </pic:pic>
              </a:graphicData>
            </a:graphic>
          </wp:inline>
        </w:drawing>
      </w:r>
    </w:p>
    <w:p w:rsidR="00844371" w:rsidRPr="006B435E" w:rsidRDefault="00844371" w:rsidP="00FF50D7">
      <w:pPr>
        <w:pStyle w:val="TableFigureFooter"/>
        <w:jc w:val="left"/>
      </w:pPr>
      <w:r w:rsidRPr="006B435E">
        <w:t>Source: Figure 2.5.2, p40 of the submission.</w:t>
      </w:r>
    </w:p>
    <w:p w:rsidR="00844371" w:rsidRPr="006B435E" w:rsidRDefault="00844371" w:rsidP="00FF50D7">
      <w:pPr>
        <w:pStyle w:val="TableFigureFooter"/>
        <w:jc w:val="left"/>
      </w:pPr>
      <w:r w:rsidRPr="006B435E">
        <w:t>CI=confidence interval; CP = carboplatin; ET = etoposide; mo=months; OS = overall survival</w:t>
      </w:r>
    </w:p>
    <w:p w:rsidR="001615E3" w:rsidRPr="006B435E" w:rsidRDefault="001615E3" w:rsidP="00FF50D7">
      <w:pPr>
        <w:pStyle w:val="TableFigureFooter"/>
        <w:jc w:val="left"/>
      </w:pPr>
    </w:p>
    <w:p w:rsidR="00E01C8F" w:rsidRPr="006B435E" w:rsidRDefault="00844371" w:rsidP="00061875">
      <w:pPr>
        <w:pStyle w:val="3-BodyText"/>
      </w:pPr>
      <w:r w:rsidRPr="006B435E">
        <w:t xml:space="preserve">Both durvalumab and atezolizumab in combination with </w:t>
      </w:r>
      <w:r w:rsidR="004D63A9" w:rsidRPr="006B435E">
        <w:t>EP</w:t>
      </w:r>
      <w:r w:rsidRPr="006B435E">
        <w:t xml:space="preserve"> were </w:t>
      </w:r>
      <w:r w:rsidR="00FF50D7" w:rsidRPr="006B435E">
        <w:t xml:space="preserve">also </w:t>
      </w:r>
      <w:r w:rsidRPr="006B435E">
        <w:t xml:space="preserve">associated with improvement in </w:t>
      </w:r>
      <w:r w:rsidR="00F9230C" w:rsidRPr="006B435E">
        <w:t>p</w:t>
      </w:r>
      <w:r w:rsidRPr="006B435E">
        <w:t xml:space="preserve">rogression free survival compared to </w:t>
      </w:r>
      <w:r w:rsidR="004D63A9" w:rsidRPr="006B435E">
        <w:t>EP</w:t>
      </w:r>
      <w:r w:rsidRPr="006B435E">
        <w:t xml:space="preserve"> alone. </w:t>
      </w:r>
    </w:p>
    <w:p w:rsidR="00F22789" w:rsidRPr="006B435E" w:rsidRDefault="00FF50D7" w:rsidP="00F22789">
      <w:pPr>
        <w:pStyle w:val="3-BodyText"/>
        <w:rPr>
          <w:rStyle w:val="CommentReference"/>
          <w:b w:val="0"/>
          <w:sz w:val="18"/>
          <w:szCs w:val="22"/>
        </w:rPr>
      </w:pPr>
      <w:r w:rsidRPr="006B435E">
        <w:rPr>
          <w:rStyle w:val="CommentReference"/>
          <w:rFonts w:asciiTheme="minorHAnsi" w:hAnsiTheme="minorHAnsi" w:cstheme="minorHAnsi"/>
          <w:b w:val="0"/>
          <w:sz w:val="24"/>
          <w:szCs w:val="24"/>
        </w:rPr>
        <w:t>Table 5</w:t>
      </w:r>
      <w:r w:rsidR="00F22789" w:rsidRPr="006B435E">
        <w:rPr>
          <w:rStyle w:val="CommentReference"/>
          <w:rFonts w:asciiTheme="minorHAnsi" w:hAnsiTheme="minorHAnsi" w:cstheme="minorHAnsi"/>
          <w:b w:val="0"/>
          <w:sz w:val="24"/>
          <w:szCs w:val="24"/>
        </w:rPr>
        <w:t xml:space="preserve"> presents the result of the indirect comparison for OS and PFS</w:t>
      </w:r>
      <w:r w:rsidR="00061875" w:rsidRPr="006B435E">
        <w:rPr>
          <w:rStyle w:val="CommentReference"/>
          <w:rFonts w:asciiTheme="minorHAnsi" w:hAnsiTheme="minorHAnsi" w:cstheme="minorHAnsi"/>
          <w:b w:val="0"/>
          <w:sz w:val="24"/>
          <w:szCs w:val="24"/>
        </w:rPr>
        <w:t>.</w:t>
      </w:r>
    </w:p>
    <w:p w:rsidR="00F22789" w:rsidRPr="006B435E" w:rsidRDefault="00F22789" w:rsidP="00F22789">
      <w:pPr>
        <w:pStyle w:val="TableFigureHeading"/>
        <w:rPr>
          <w:rStyle w:val="CommentReference"/>
          <w:b/>
          <w:szCs w:val="24"/>
        </w:rPr>
      </w:pPr>
      <w:bookmarkStart w:id="17" w:name="_Ref49866659"/>
      <w:bookmarkStart w:id="18" w:name="_Ref49866651"/>
      <w:r w:rsidRPr="006B435E">
        <w:rPr>
          <w:rStyle w:val="CommentReference"/>
          <w:b/>
          <w:szCs w:val="24"/>
        </w:rPr>
        <w:lastRenderedPageBreak/>
        <w:t xml:space="preserve">Table </w:t>
      </w:r>
      <w:r w:rsidR="00634094" w:rsidRPr="006B435E">
        <w:rPr>
          <w:rStyle w:val="CommentReference"/>
          <w:b/>
          <w:szCs w:val="24"/>
        </w:rPr>
        <w:t>5</w:t>
      </w:r>
      <w:bookmarkEnd w:id="17"/>
      <w:r w:rsidRPr="006B435E">
        <w:rPr>
          <w:rStyle w:val="CommentReference"/>
          <w:b/>
          <w:szCs w:val="24"/>
        </w:rPr>
        <w:t>: Results of the indirect comparison</w:t>
      </w:r>
      <w:bookmarkEnd w:id="18"/>
      <w:r w:rsidRPr="006B435E">
        <w:rPr>
          <w:rStyle w:val="CommentReference"/>
          <w:b/>
          <w:szCs w:val="24"/>
        </w:rPr>
        <w:t xml:space="preserve"> – OS, PFS</w:t>
      </w:r>
    </w:p>
    <w:tbl>
      <w:tblPr>
        <w:tblStyle w:val="AZTable"/>
        <w:tblW w:w="5000" w:type="pct"/>
        <w:tblCellMar>
          <w:left w:w="28" w:type="dxa"/>
          <w:right w:w="28" w:type="dxa"/>
        </w:tblCellMar>
        <w:tblLook w:val="04A0" w:firstRow="1" w:lastRow="0" w:firstColumn="1" w:lastColumn="0" w:noHBand="0" w:noVBand="1"/>
        <w:tblCaption w:val="Table 5: Results of the indirect comparison – OS, PFS"/>
      </w:tblPr>
      <w:tblGrid>
        <w:gridCol w:w="2405"/>
        <w:gridCol w:w="2204"/>
        <w:gridCol w:w="2204"/>
        <w:gridCol w:w="2204"/>
      </w:tblGrid>
      <w:tr w:rsidR="00D16E73" w:rsidRPr="006B435E" w:rsidTr="005B4049">
        <w:trPr>
          <w:cnfStyle w:val="100000000000" w:firstRow="1" w:lastRow="0" w:firstColumn="0" w:lastColumn="0" w:oddVBand="0" w:evenVBand="0" w:oddHBand="0" w:evenHBand="0" w:firstRowFirstColumn="0" w:firstRowLastColumn="0" w:lastRowFirstColumn="0" w:lastRowLastColumn="0"/>
          <w:tblHeader/>
        </w:trPr>
        <w:tc>
          <w:tcPr>
            <w:tcW w:w="1334" w:type="pct"/>
            <w:tcBorders>
              <w:bottom w:val="single" w:sz="4" w:space="0" w:color="auto"/>
            </w:tcBorders>
          </w:tcPr>
          <w:p w:rsidR="00D16E73" w:rsidRPr="006B435E" w:rsidRDefault="00D16E73" w:rsidP="00B25F95">
            <w:pPr>
              <w:pStyle w:val="TableHeading0"/>
              <w:rPr>
                <w:sz w:val="20"/>
              </w:rPr>
            </w:pPr>
            <w:r w:rsidRPr="006B435E">
              <w:rPr>
                <w:sz w:val="20"/>
              </w:rPr>
              <w:t>Trial ID, outcome</w:t>
            </w:r>
          </w:p>
        </w:tc>
        <w:tc>
          <w:tcPr>
            <w:tcW w:w="1222" w:type="pct"/>
            <w:tcBorders>
              <w:bottom w:val="single" w:sz="4" w:space="0" w:color="auto"/>
            </w:tcBorders>
          </w:tcPr>
          <w:p w:rsidR="00D16E73" w:rsidRPr="006B435E" w:rsidRDefault="00D16E73" w:rsidP="00B25F95">
            <w:pPr>
              <w:pStyle w:val="TableHeading0"/>
              <w:jc w:val="center"/>
              <w:rPr>
                <w:sz w:val="20"/>
              </w:rPr>
            </w:pPr>
            <w:r w:rsidRPr="006B435E">
              <w:rPr>
                <w:sz w:val="20"/>
              </w:rPr>
              <w:t>Intervention arm</w:t>
            </w:r>
          </w:p>
          <w:p w:rsidR="00D16E73" w:rsidRPr="006B435E" w:rsidRDefault="00D16E73" w:rsidP="00B25F95">
            <w:pPr>
              <w:pStyle w:val="TableHeading0"/>
              <w:jc w:val="center"/>
              <w:rPr>
                <w:sz w:val="20"/>
              </w:rPr>
            </w:pPr>
            <w:r w:rsidRPr="006B435E">
              <w:rPr>
                <w:sz w:val="20"/>
              </w:rPr>
              <w:t>Median, months (95% CI)</w:t>
            </w:r>
          </w:p>
        </w:tc>
        <w:tc>
          <w:tcPr>
            <w:tcW w:w="1222" w:type="pct"/>
            <w:tcBorders>
              <w:bottom w:val="single" w:sz="4" w:space="0" w:color="auto"/>
            </w:tcBorders>
          </w:tcPr>
          <w:p w:rsidR="00D16E73" w:rsidRPr="006B435E" w:rsidRDefault="00D16E73" w:rsidP="00B25F95">
            <w:pPr>
              <w:pStyle w:val="TableHeading0"/>
              <w:jc w:val="center"/>
              <w:rPr>
                <w:sz w:val="20"/>
              </w:rPr>
            </w:pPr>
            <w:r w:rsidRPr="006B435E">
              <w:rPr>
                <w:sz w:val="20"/>
              </w:rPr>
              <w:t>Control arm</w:t>
            </w:r>
          </w:p>
          <w:p w:rsidR="00D16E73" w:rsidRPr="006B435E" w:rsidRDefault="00D16E73" w:rsidP="00B25F95">
            <w:pPr>
              <w:pStyle w:val="TableHeading0"/>
              <w:jc w:val="center"/>
              <w:rPr>
                <w:sz w:val="20"/>
              </w:rPr>
            </w:pPr>
            <w:r w:rsidRPr="006B435E">
              <w:rPr>
                <w:sz w:val="20"/>
              </w:rPr>
              <w:t>Median, months (95% CI)</w:t>
            </w:r>
          </w:p>
        </w:tc>
        <w:tc>
          <w:tcPr>
            <w:tcW w:w="1222" w:type="pct"/>
            <w:tcBorders>
              <w:bottom w:val="single" w:sz="4" w:space="0" w:color="auto"/>
            </w:tcBorders>
          </w:tcPr>
          <w:p w:rsidR="00D16E73" w:rsidRPr="006B435E" w:rsidRDefault="00D16E73" w:rsidP="00B25F95">
            <w:pPr>
              <w:pStyle w:val="TableHeading0"/>
              <w:jc w:val="center"/>
              <w:rPr>
                <w:sz w:val="20"/>
              </w:rPr>
            </w:pPr>
            <w:r w:rsidRPr="006B435E">
              <w:rPr>
                <w:sz w:val="20"/>
              </w:rPr>
              <w:t>HR (95% CI)</w:t>
            </w:r>
          </w:p>
        </w:tc>
      </w:tr>
      <w:tr w:rsidR="00D16E73" w:rsidRPr="006B435E" w:rsidTr="005B4049">
        <w:trPr>
          <w:trHeight w:val="70"/>
        </w:trPr>
        <w:tc>
          <w:tcPr>
            <w:tcW w:w="1334" w:type="pct"/>
            <w:tcBorders>
              <w:right w:val="nil"/>
            </w:tcBorders>
          </w:tcPr>
          <w:p w:rsidR="00D16E73" w:rsidRPr="006B435E" w:rsidRDefault="00D16E73" w:rsidP="00B25F95">
            <w:pPr>
              <w:pStyle w:val="TableText0"/>
              <w:rPr>
                <w:b/>
                <w:sz w:val="20"/>
                <w:szCs w:val="20"/>
              </w:rPr>
            </w:pPr>
            <w:r w:rsidRPr="006B435E">
              <w:rPr>
                <w:b/>
                <w:sz w:val="20"/>
                <w:szCs w:val="20"/>
              </w:rPr>
              <w:t>Overall survival</w:t>
            </w:r>
          </w:p>
        </w:tc>
        <w:tc>
          <w:tcPr>
            <w:tcW w:w="1222" w:type="pct"/>
            <w:tcBorders>
              <w:left w:val="nil"/>
              <w:right w:val="nil"/>
            </w:tcBorders>
          </w:tcPr>
          <w:p w:rsidR="00D16E73" w:rsidRPr="006B435E" w:rsidRDefault="00D16E73" w:rsidP="00B25F95">
            <w:pPr>
              <w:pStyle w:val="TableText0"/>
              <w:jc w:val="center"/>
              <w:rPr>
                <w:b/>
                <w:sz w:val="20"/>
                <w:szCs w:val="20"/>
              </w:rPr>
            </w:pPr>
          </w:p>
        </w:tc>
        <w:tc>
          <w:tcPr>
            <w:tcW w:w="1222" w:type="pct"/>
            <w:tcBorders>
              <w:left w:val="nil"/>
              <w:right w:val="nil"/>
            </w:tcBorders>
          </w:tcPr>
          <w:p w:rsidR="00D16E73" w:rsidRPr="006B435E" w:rsidRDefault="00D16E73" w:rsidP="00B25F95">
            <w:pPr>
              <w:pStyle w:val="TableText0"/>
              <w:jc w:val="center"/>
              <w:rPr>
                <w:b/>
                <w:sz w:val="20"/>
                <w:szCs w:val="20"/>
              </w:rPr>
            </w:pPr>
          </w:p>
        </w:tc>
        <w:tc>
          <w:tcPr>
            <w:tcW w:w="1222" w:type="pct"/>
            <w:tcBorders>
              <w:left w:val="nil"/>
            </w:tcBorders>
          </w:tcPr>
          <w:p w:rsidR="00D16E73" w:rsidRPr="006B435E" w:rsidRDefault="00D16E73" w:rsidP="00B25F95">
            <w:pPr>
              <w:pStyle w:val="TableText0"/>
              <w:jc w:val="center"/>
              <w:rPr>
                <w:b/>
                <w:sz w:val="20"/>
                <w:szCs w:val="20"/>
              </w:rPr>
            </w:pPr>
          </w:p>
        </w:tc>
      </w:tr>
      <w:tr w:rsidR="00D16E73" w:rsidRPr="006B435E" w:rsidTr="005B4049">
        <w:trPr>
          <w:trHeight w:val="70"/>
        </w:trPr>
        <w:tc>
          <w:tcPr>
            <w:tcW w:w="1334" w:type="pct"/>
          </w:tcPr>
          <w:p w:rsidR="00D16E73" w:rsidRPr="006B435E" w:rsidRDefault="00D16E73" w:rsidP="00B25F95">
            <w:pPr>
              <w:pStyle w:val="TableText0"/>
              <w:rPr>
                <w:sz w:val="20"/>
                <w:szCs w:val="20"/>
              </w:rPr>
            </w:pPr>
            <w:r w:rsidRPr="006B435E">
              <w:rPr>
                <w:sz w:val="20"/>
                <w:szCs w:val="20"/>
              </w:rPr>
              <w:t>CASPIAN</w:t>
            </w:r>
          </w:p>
        </w:tc>
        <w:tc>
          <w:tcPr>
            <w:tcW w:w="1222" w:type="pct"/>
          </w:tcPr>
          <w:p w:rsidR="00D16E73" w:rsidRPr="006B435E" w:rsidRDefault="00D16E73" w:rsidP="00B25F95">
            <w:pPr>
              <w:pStyle w:val="TableText0"/>
              <w:jc w:val="center"/>
              <w:rPr>
                <w:sz w:val="20"/>
                <w:szCs w:val="20"/>
              </w:rPr>
            </w:pPr>
            <w:r w:rsidRPr="006B435E">
              <w:rPr>
                <w:sz w:val="20"/>
                <w:szCs w:val="20"/>
              </w:rPr>
              <w:t>12.9 (11.3, 14.7)</w:t>
            </w:r>
          </w:p>
        </w:tc>
        <w:tc>
          <w:tcPr>
            <w:tcW w:w="1222" w:type="pct"/>
          </w:tcPr>
          <w:p w:rsidR="00D16E73" w:rsidRPr="006B435E" w:rsidRDefault="00D16E73" w:rsidP="00B25F95">
            <w:pPr>
              <w:pStyle w:val="TableText0"/>
              <w:jc w:val="center"/>
              <w:rPr>
                <w:sz w:val="20"/>
                <w:szCs w:val="20"/>
              </w:rPr>
            </w:pPr>
            <w:r w:rsidRPr="006B435E">
              <w:rPr>
                <w:sz w:val="20"/>
                <w:szCs w:val="20"/>
              </w:rPr>
              <w:t>10.5 (9.3, 11.2)</w:t>
            </w:r>
          </w:p>
        </w:tc>
        <w:tc>
          <w:tcPr>
            <w:tcW w:w="1222" w:type="pct"/>
          </w:tcPr>
          <w:p w:rsidR="00D16E73" w:rsidRPr="006B435E" w:rsidRDefault="00D16E73" w:rsidP="00B25F95">
            <w:pPr>
              <w:pStyle w:val="TableText0"/>
              <w:jc w:val="center"/>
              <w:rPr>
                <w:b/>
                <w:bCs w:val="0"/>
                <w:sz w:val="20"/>
                <w:szCs w:val="20"/>
              </w:rPr>
            </w:pPr>
            <w:r w:rsidRPr="006B435E">
              <w:rPr>
                <w:b/>
                <w:bCs w:val="0"/>
                <w:sz w:val="20"/>
                <w:szCs w:val="20"/>
              </w:rPr>
              <w:t>0.75 (0.63, 0.91)</w:t>
            </w:r>
          </w:p>
        </w:tc>
      </w:tr>
      <w:tr w:rsidR="00D16E73" w:rsidRPr="006B435E" w:rsidTr="005B4049">
        <w:trPr>
          <w:trHeight w:val="70"/>
        </w:trPr>
        <w:tc>
          <w:tcPr>
            <w:tcW w:w="1334" w:type="pct"/>
          </w:tcPr>
          <w:p w:rsidR="00D16E73" w:rsidRPr="006B435E" w:rsidRDefault="00D16E73" w:rsidP="00B25F95">
            <w:pPr>
              <w:pStyle w:val="TableText0"/>
              <w:rPr>
                <w:sz w:val="20"/>
                <w:szCs w:val="20"/>
              </w:rPr>
            </w:pPr>
            <w:r w:rsidRPr="006B435E">
              <w:rPr>
                <w:sz w:val="20"/>
                <w:szCs w:val="20"/>
              </w:rPr>
              <w:t>IMpower133</w:t>
            </w:r>
          </w:p>
        </w:tc>
        <w:tc>
          <w:tcPr>
            <w:tcW w:w="1222" w:type="pct"/>
          </w:tcPr>
          <w:p w:rsidR="00D16E73" w:rsidRPr="006B435E" w:rsidRDefault="00D16E73" w:rsidP="00B25F95">
            <w:pPr>
              <w:pStyle w:val="TableText0"/>
              <w:jc w:val="center"/>
              <w:rPr>
                <w:sz w:val="20"/>
                <w:szCs w:val="20"/>
              </w:rPr>
            </w:pPr>
            <w:r w:rsidRPr="006B435E">
              <w:rPr>
                <w:sz w:val="20"/>
                <w:szCs w:val="20"/>
              </w:rPr>
              <w:t>12.3 (10.8, 15.8)</w:t>
            </w:r>
          </w:p>
        </w:tc>
        <w:tc>
          <w:tcPr>
            <w:tcW w:w="1222" w:type="pct"/>
          </w:tcPr>
          <w:p w:rsidR="00D16E73" w:rsidRPr="006B435E" w:rsidRDefault="00D16E73" w:rsidP="00B25F95">
            <w:pPr>
              <w:pStyle w:val="TableText0"/>
              <w:jc w:val="center"/>
              <w:rPr>
                <w:sz w:val="20"/>
                <w:szCs w:val="20"/>
              </w:rPr>
            </w:pPr>
            <w:r w:rsidRPr="006B435E">
              <w:rPr>
                <w:sz w:val="20"/>
                <w:szCs w:val="20"/>
              </w:rPr>
              <w:t>10.3 (9.3, 11.3)</w:t>
            </w:r>
          </w:p>
        </w:tc>
        <w:tc>
          <w:tcPr>
            <w:tcW w:w="1222" w:type="pct"/>
          </w:tcPr>
          <w:p w:rsidR="00D16E73" w:rsidRPr="006B435E" w:rsidRDefault="00D16E73" w:rsidP="00B25F95">
            <w:pPr>
              <w:pStyle w:val="TableText0"/>
              <w:jc w:val="center"/>
              <w:rPr>
                <w:b/>
                <w:bCs w:val="0"/>
                <w:sz w:val="20"/>
                <w:szCs w:val="20"/>
              </w:rPr>
            </w:pPr>
            <w:r w:rsidRPr="006B435E">
              <w:rPr>
                <w:b/>
                <w:bCs w:val="0"/>
                <w:sz w:val="20"/>
                <w:szCs w:val="20"/>
              </w:rPr>
              <w:t>0.76 (0.60, 0.95)</w:t>
            </w:r>
          </w:p>
        </w:tc>
      </w:tr>
      <w:tr w:rsidR="00D16E73" w:rsidRPr="006B435E" w:rsidTr="005B4049">
        <w:tc>
          <w:tcPr>
            <w:tcW w:w="3778" w:type="pct"/>
            <w:gridSpan w:val="3"/>
            <w:tcBorders>
              <w:bottom w:val="single" w:sz="4" w:space="0" w:color="auto"/>
            </w:tcBorders>
            <w:vAlign w:val="center"/>
          </w:tcPr>
          <w:p w:rsidR="00D16E73" w:rsidRPr="006B435E" w:rsidRDefault="00D16E73" w:rsidP="00B25F95">
            <w:pPr>
              <w:pStyle w:val="TableText0"/>
              <w:jc w:val="right"/>
              <w:rPr>
                <w:sz w:val="20"/>
                <w:szCs w:val="20"/>
              </w:rPr>
            </w:pPr>
            <w:r w:rsidRPr="006B435E">
              <w:rPr>
                <w:sz w:val="20"/>
                <w:szCs w:val="20"/>
              </w:rPr>
              <w:t>Indirect estimate of effect</w:t>
            </w:r>
          </w:p>
        </w:tc>
        <w:tc>
          <w:tcPr>
            <w:tcW w:w="1222" w:type="pct"/>
            <w:tcBorders>
              <w:bottom w:val="single" w:sz="4" w:space="0" w:color="auto"/>
            </w:tcBorders>
          </w:tcPr>
          <w:p w:rsidR="00D16E73" w:rsidRPr="006B435E" w:rsidRDefault="00D16E73" w:rsidP="00B25F95">
            <w:pPr>
              <w:pStyle w:val="TableText0"/>
              <w:jc w:val="center"/>
              <w:rPr>
                <w:sz w:val="20"/>
                <w:szCs w:val="20"/>
                <w:highlight w:val="yellow"/>
              </w:rPr>
            </w:pPr>
            <w:r w:rsidRPr="006B435E">
              <w:rPr>
                <w:sz w:val="20"/>
                <w:szCs w:val="20"/>
              </w:rPr>
              <w:t>0.99 (0.73, 1.33)</w:t>
            </w:r>
          </w:p>
        </w:tc>
      </w:tr>
      <w:tr w:rsidR="00D16E73" w:rsidRPr="006B435E" w:rsidTr="005B4049">
        <w:tc>
          <w:tcPr>
            <w:tcW w:w="1334" w:type="pct"/>
            <w:tcBorders>
              <w:right w:val="nil"/>
            </w:tcBorders>
          </w:tcPr>
          <w:p w:rsidR="00D16E73" w:rsidRPr="006B435E" w:rsidRDefault="00D16E73" w:rsidP="00B25F95">
            <w:pPr>
              <w:pStyle w:val="TableText0"/>
              <w:rPr>
                <w:b/>
                <w:sz w:val="20"/>
                <w:szCs w:val="20"/>
              </w:rPr>
            </w:pPr>
            <w:r w:rsidRPr="006B435E">
              <w:rPr>
                <w:b/>
                <w:sz w:val="20"/>
                <w:szCs w:val="20"/>
              </w:rPr>
              <w:t>Progression free survival</w:t>
            </w:r>
          </w:p>
        </w:tc>
        <w:tc>
          <w:tcPr>
            <w:tcW w:w="1222" w:type="pct"/>
            <w:tcBorders>
              <w:left w:val="nil"/>
              <w:right w:val="nil"/>
            </w:tcBorders>
          </w:tcPr>
          <w:p w:rsidR="00D16E73" w:rsidRPr="006B435E" w:rsidRDefault="00D16E73" w:rsidP="00B25F95">
            <w:pPr>
              <w:pStyle w:val="TableText0"/>
              <w:jc w:val="center"/>
              <w:rPr>
                <w:b/>
                <w:w w:val="99"/>
                <w:sz w:val="20"/>
                <w:szCs w:val="20"/>
              </w:rPr>
            </w:pPr>
          </w:p>
        </w:tc>
        <w:tc>
          <w:tcPr>
            <w:tcW w:w="1222" w:type="pct"/>
            <w:tcBorders>
              <w:left w:val="nil"/>
              <w:right w:val="nil"/>
            </w:tcBorders>
          </w:tcPr>
          <w:p w:rsidR="00D16E73" w:rsidRPr="006B435E" w:rsidRDefault="00D16E73" w:rsidP="00B25F95">
            <w:pPr>
              <w:pStyle w:val="TableText0"/>
              <w:jc w:val="center"/>
              <w:rPr>
                <w:b/>
                <w:w w:val="99"/>
                <w:sz w:val="20"/>
                <w:szCs w:val="20"/>
              </w:rPr>
            </w:pPr>
          </w:p>
        </w:tc>
        <w:tc>
          <w:tcPr>
            <w:tcW w:w="1222" w:type="pct"/>
            <w:tcBorders>
              <w:left w:val="nil"/>
            </w:tcBorders>
          </w:tcPr>
          <w:p w:rsidR="00D16E73" w:rsidRPr="006B435E" w:rsidRDefault="00D16E73" w:rsidP="00B25F95">
            <w:pPr>
              <w:pStyle w:val="TableText0"/>
              <w:jc w:val="center"/>
              <w:rPr>
                <w:b/>
                <w:sz w:val="20"/>
                <w:szCs w:val="20"/>
              </w:rPr>
            </w:pPr>
          </w:p>
        </w:tc>
      </w:tr>
      <w:tr w:rsidR="00D16E73" w:rsidRPr="006B435E" w:rsidTr="005B4049">
        <w:trPr>
          <w:trHeight w:val="70"/>
        </w:trPr>
        <w:tc>
          <w:tcPr>
            <w:tcW w:w="1334" w:type="pct"/>
          </w:tcPr>
          <w:p w:rsidR="00D16E73" w:rsidRPr="006B435E" w:rsidRDefault="00D16E73" w:rsidP="00B25F95">
            <w:pPr>
              <w:pStyle w:val="TableText0"/>
              <w:rPr>
                <w:sz w:val="20"/>
                <w:szCs w:val="20"/>
              </w:rPr>
            </w:pPr>
            <w:r w:rsidRPr="006B435E">
              <w:rPr>
                <w:sz w:val="20"/>
                <w:szCs w:val="20"/>
              </w:rPr>
              <w:t>CASPIAN</w:t>
            </w:r>
          </w:p>
        </w:tc>
        <w:tc>
          <w:tcPr>
            <w:tcW w:w="1222" w:type="pct"/>
          </w:tcPr>
          <w:p w:rsidR="00D16E73" w:rsidRPr="006B435E" w:rsidRDefault="00D16E73" w:rsidP="00B25F95">
            <w:pPr>
              <w:pStyle w:val="TableText0"/>
              <w:jc w:val="center"/>
              <w:rPr>
                <w:sz w:val="20"/>
                <w:szCs w:val="20"/>
              </w:rPr>
            </w:pPr>
            <w:r w:rsidRPr="006B435E">
              <w:rPr>
                <w:sz w:val="20"/>
                <w:szCs w:val="20"/>
              </w:rPr>
              <w:t>5.1 (4.7, 6.2)</w:t>
            </w:r>
          </w:p>
        </w:tc>
        <w:tc>
          <w:tcPr>
            <w:tcW w:w="1222" w:type="pct"/>
          </w:tcPr>
          <w:p w:rsidR="00D16E73" w:rsidRPr="006B435E" w:rsidRDefault="00D16E73" w:rsidP="00B25F95">
            <w:pPr>
              <w:pStyle w:val="TableText0"/>
              <w:jc w:val="center"/>
              <w:rPr>
                <w:sz w:val="20"/>
                <w:szCs w:val="20"/>
              </w:rPr>
            </w:pPr>
            <w:r w:rsidRPr="006B435E">
              <w:rPr>
                <w:sz w:val="20"/>
                <w:szCs w:val="20"/>
              </w:rPr>
              <w:t>5.4 (4.8, 6.2)</w:t>
            </w:r>
          </w:p>
        </w:tc>
        <w:tc>
          <w:tcPr>
            <w:tcW w:w="1222" w:type="pct"/>
          </w:tcPr>
          <w:p w:rsidR="00D16E73" w:rsidRPr="006B435E" w:rsidRDefault="00D16E73" w:rsidP="00B25F95">
            <w:pPr>
              <w:pStyle w:val="TableText0"/>
              <w:jc w:val="center"/>
              <w:rPr>
                <w:b/>
                <w:bCs w:val="0"/>
                <w:sz w:val="20"/>
                <w:szCs w:val="20"/>
              </w:rPr>
            </w:pPr>
            <w:r w:rsidRPr="006B435E">
              <w:rPr>
                <w:b/>
                <w:bCs w:val="0"/>
                <w:sz w:val="20"/>
                <w:szCs w:val="20"/>
              </w:rPr>
              <w:t>0.78 (0.65, 0.94)</w:t>
            </w:r>
          </w:p>
        </w:tc>
      </w:tr>
      <w:tr w:rsidR="00D16E73" w:rsidRPr="006B435E" w:rsidTr="005B4049">
        <w:trPr>
          <w:trHeight w:val="70"/>
        </w:trPr>
        <w:tc>
          <w:tcPr>
            <w:tcW w:w="1334" w:type="pct"/>
          </w:tcPr>
          <w:p w:rsidR="00D16E73" w:rsidRPr="006B435E" w:rsidRDefault="00D16E73" w:rsidP="00B25F95">
            <w:pPr>
              <w:pStyle w:val="TableText0"/>
              <w:rPr>
                <w:sz w:val="20"/>
                <w:szCs w:val="20"/>
              </w:rPr>
            </w:pPr>
            <w:r w:rsidRPr="006B435E">
              <w:rPr>
                <w:sz w:val="20"/>
                <w:szCs w:val="20"/>
              </w:rPr>
              <w:t>IMpower133</w:t>
            </w:r>
          </w:p>
        </w:tc>
        <w:tc>
          <w:tcPr>
            <w:tcW w:w="1222" w:type="pct"/>
          </w:tcPr>
          <w:p w:rsidR="00D16E73" w:rsidRPr="006B435E" w:rsidRDefault="00D16E73" w:rsidP="00B25F95">
            <w:pPr>
              <w:pStyle w:val="TableText0"/>
              <w:jc w:val="center"/>
              <w:rPr>
                <w:sz w:val="20"/>
                <w:szCs w:val="20"/>
              </w:rPr>
            </w:pPr>
            <w:r w:rsidRPr="006B435E">
              <w:rPr>
                <w:sz w:val="20"/>
                <w:szCs w:val="20"/>
              </w:rPr>
              <w:t>5.2 (4.4, 5.6)</w:t>
            </w:r>
          </w:p>
        </w:tc>
        <w:tc>
          <w:tcPr>
            <w:tcW w:w="1222" w:type="pct"/>
          </w:tcPr>
          <w:p w:rsidR="00D16E73" w:rsidRPr="006B435E" w:rsidRDefault="00D16E73" w:rsidP="00B25F95">
            <w:pPr>
              <w:pStyle w:val="TableText0"/>
              <w:jc w:val="center"/>
              <w:rPr>
                <w:sz w:val="20"/>
                <w:szCs w:val="20"/>
              </w:rPr>
            </w:pPr>
            <w:r w:rsidRPr="006B435E">
              <w:rPr>
                <w:sz w:val="20"/>
                <w:szCs w:val="20"/>
              </w:rPr>
              <w:t>4.3 (4.2, 4.5)</w:t>
            </w:r>
          </w:p>
        </w:tc>
        <w:tc>
          <w:tcPr>
            <w:tcW w:w="1222" w:type="pct"/>
          </w:tcPr>
          <w:p w:rsidR="00D16E73" w:rsidRPr="006B435E" w:rsidRDefault="00D16E73" w:rsidP="00B25F95">
            <w:pPr>
              <w:pStyle w:val="TableText0"/>
              <w:jc w:val="center"/>
              <w:rPr>
                <w:b/>
                <w:bCs w:val="0"/>
                <w:sz w:val="20"/>
                <w:szCs w:val="20"/>
              </w:rPr>
            </w:pPr>
            <w:r w:rsidRPr="006B435E">
              <w:rPr>
                <w:b/>
                <w:bCs w:val="0"/>
                <w:sz w:val="20"/>
                <w:szCs w:val="20"/>
              </w:rPr>
              <w:t>0.77 (0.62, 0.96)</w:t>
            </w:r>
          </w:p>
        </w:tc>
      </w:tr>
      <w:tr w:rsidR="00D16E73" w:rsidRPr="006B435E" w:rsidTr="005B4049">
        <w:tc>
          <w:tcPr>
            <w:tcW w:w="3778" w:type="pct"/>
            <w:gridSpan w:val="3"/>
            <w:tcBorders>
              <w:bottom w:val="single" w:sz="4" w:space="0" w:color="auto"/>
            </w:tcBorders>
            <w:vAlign w:val="center"/>
          </w:tcPr>
          <w:p w:rsidR="00D16E73" w:rsidRPr="006B435E" w:rsidRDefault="00D16E73" w:rsidP="00B25F95">
            <w:pPr>
              <w:pStyle w:val="TableText0"/>
              <w:jc w:val="right"/>
              <w:rPr>
                <w:sz w:val="20"/>
                <w:szCs w:val="20"/>
              </w:rPr>
            </w:pPr>
            <w:r w:rsidRPr="006B435E">
              <w:rPr>
                <w:sz w:val="20"/>
                <w:szCs w:val="20"/>
              </w:rPr>
              <w:t xml:space="preserve">Indirect estimate of effect </w:t>
            </w:r>
          </w:p>
        </w:tc>
        <w:tc>
          <w:tcPr>
            <w:tcW w:w="1222" w:type="pct"/>
            <w:tcBorders>
              <w:bottom w:val="single" w:sz="4" w:space="0" w:color="auto"/>
            </w:tcBorders>
          </w:tcPr>
          <w:p w:rsidR="00D16E73" w:rsidRPr="006B435E" w:rsidRDefault="00D16E73" w:rsidP="00B25F95">
            <w:pPr>
              <w:pStyle w:val="Tabletext"/>
              <w:jc w:val="center"/>
              <w:rPr>
                <w:szCs w:val="20"/>
                <w:highlight w:val="yellow"/>
              </w:rPr>
            </w:pPr>
            <w:r w:rsidRPr="006B435E">
              <w:rPr>
                <w:szCs w:val="20"/>
              </w:rPr>
              <w:t>1.01 (0.76, 1.35)</w:t>
            </w:r>
          </w:p>
        </w:tc>
      </w:tr>
    </w:tbl>
    <w:p w:rsidR="00D16E73" w:rsidRPr="006B435E" w:rsidRDefault="00D16E73" w:rsidP="00D16E73">
      <w:pPr>
        <w:pStyle w:val="TableFigureFooter"/>
      </w:pPr>
      <w:r w:rsidRPr="006B435E">
        <w:t>Source: Tables 2.6.2 – 2.6.4, pp55-56 of the submission.</w:t>
      </w:r>
    </w:p>
    <w:p w:rsidR="00D16E73" w:rsidRPr="006B435E" w:rsidRDefault="00D16E73" w:rsidP="00D16E73">
      <w:pPr>
        <w:pStyle w:val="TableFigureFooter"/>
      </w:pPr>
      <w:r w:rsidRPr="006B435E">
        <w:t>Bold typography represents statistically significant differences</w:t>
      </w:r>
    </w:p>
    <w:p w:rsidR="00D16E73" w:rsidRPr="006B435E" w:rsidRDefault="00D16E73" w:rsidP="00FF50D7">
      <w:pPr>
        <w:pStyle w:val="TableFigureFooter"/>
      </w:pPr>
      <w:r w:rsidRPr="006B435E">
        <w:t>A = atezolizumab; CI = confidence interval;  D = durvalumab; EP = etoposide plus platinum-based chemotherapy; HR = hazard ratio; OS = overall survival; PFS = progression free survival</w:t>
      </w:r>
    </w:p>
    <w:p w:rsidR="0034541E" w:rsidRPr="006B435E" w:rsidRDefault="000B2E26" w:rsidP="00403CA7">
      <w:pPr>
        <w:pStyle w:val="3-BodyText"/>
      </w:pPr>
      <w:r w:rsidRPr="006B435E">
        <w:t>The ESC considered there remains a small degree of uncertainty around the claim of non-inferiority, insofar as there is no international consensus for an acceptable non-inferiority margin in SCLC.</w:t>
      </w:r>
    </w:p>
    <w:p w:rsidR="00403CA7" w:rsidRPr="006B435E" w:rsidRDefault="00403CA7" w:rsidP="00403CA7">
      <w:pPr>
        <w:pStyle w:val="3-BodyText"/>
      </w:pPr>
      <w:r w:rsidRPr="006B435E">
        <w:t>The</w:t>
      </w:r>
      <w:r w:rsidR="004D63A9" w:rsidRPr="006B435E">
        <w:t xml:space="preserve"> ESC noted that the</w:t>
      </w:r>
      <w:r w:rsidRPr="006B435E">
        <w:t xml:space="preserve">se trials were not prospectively powered to answer the question of non-inferiority between </w:t>
      </w:r>
      <w:r w:rsidR="00E911B2" w:rsidRPr="006B435E">
        <w:t>atezolizumab and durvalumab</w:t>
      </w:r>
      <w:r w:rsidR="00FB2390" w:rsidRPr="006B435E">
        <w:t>.</w:t>
      </w:r>
      <w:r w:rsidRPr="006B435E">
        <w:t xml:space="preserve"> </w:t>
      </w:r>
      <w:r w:rsidR="00FB2390" w:rsidRPr="006B435E">
        <w:t>However</w:t>
      </w:r>
      <w:r w:rsidRPr="006B435E">
        <w:t xml:space="preserve">, the OS HRs and 95% CIs for both IMpower133 and CASPIAN were </w:t>
      </w:r>
      <w:r w:rsidR="00BF3159" w:rsidRPr="006B435E">
        <w:t xml:space="preserve">very </w:t>
      </w:r>
      <w:r w:rsidR="00FB2390" w:rsidRPr="006B435E">
        <w:t>similar</w:t>
      </w:r>
      <w:r w:rsidRPr="006B435E">
        <w:t xml:space="preserve">. This, in combination with the similarity in trial design and patient populations, </w:t>
      </w:r>
      <w:r w:rsidR="00FB2390" w:rsidRPr="006B435E">
        <w:t xml:space="preserve">and mechanism of action of the two medicines, </w:t>
      </w:r>
      <w:r w:rsidRPr="006B435E">
        <w:t xml:space="preserve">suggest that the claim of comparative effectiveness is </w:t>
      </w:r>
      <w:r w:rsidR="002024B4" w:rsidRPr="006B435E">
        <w:t xml:space="preserve">likely </w:t>
      </w:r>
      <w:r w:rsidRPr="006B435E">
        <w:t>reasonable.</w:t>
      </w:r>
    </w:p>
    <w:p w:rsidR="00A7525E" w:rsidRPr="006B435E" w:rsidRDefault="00A7525E" w:rsidP="00403CA7">
      <w:pPr>
        <w:pStyle w:val="3-BodyText"/>
      </w:pPr>
      <w:r w:rsidRPr="006B435E">
        <w:t>The PBAC noted that the atezolizumab dosing regimen in the IMpower133 trial was not the same as the dosing regimen compared in calculation of equi-effective doses as proposed in the</w:t>
      </w:r>
      <w:r w:rsidR="00C229A0">
        <w:t xml:space="preserve"> pre-sub-committee response</w:t>
      </w:r>
      <w:r w:rsidRPr="006B435E">
        <w:t xml:space="preserve"> </w:t>
      </w:r>
      <w:r w:rsidR="00C229A0">
        <w:t>(</w:t>
      </w:r>
      <w:r w:rsidRPr="006B435E">
        <w:t>PSCR</w:t>
      </w:r>
      <w:r w:rsidR="00C229A0">
        <w:t>)</w:t>
      </w:r>
      <w:r w:rsidRPr="006B435E">
        <w:t>.</w:t>
      </w:r>
    </w:p>
    <w:p w:rsidR="00B60939" w:rsidRPr="006B435E" w:rsidRDefault="00B60939" w:rsidP="00D86231">
      <w:pPr>
        <w:pStyle w:val="4-SubsectionHeading"/>
      </w:pPr>
      <w:bookmarkStart w:id="19" w:name="_Toc22897642"/>
      <w:bookmarkStart w:id="20" w:name="_Toc50437755"/>
      <w:r w:rsidRPr="006B435E">
        <w:t>Comparative harms</w:t>
      </w:r>
      <w:bookmarkEnd w:id="19"/>
      <w:bookmarkEnd w:id="20"/>
    </w:p>
    <w:p w:rsidR="00202595" w:rsidRPr="006B435E" w:rsidRDefault="00FF50D7" w:rsidP="00FF50D7">
      <w:pPr>
        <w:pStyle w:val="3-BodyText"/>
      </w:pPr>
      <w:r w:rsidRPr="006B435E">
        <w:t>Table 6</w:t>
      </w:r>
      <w:r w:rsidR="00977E4F" w:rsidRPr="006B435E">
        <w:t xml:space="preserve"> </w:t>
      </w:r>
      <w:r w:rsidR="00202595" w:rsidRPr="006B435E">
        <w:t>presents key safety outcomes from the CASPIAN trial. Almost all patients in each trial experienced at least one AE. These were primarily Grade 1 or 2 in severity. There were no significant differences in the rate of most events (AEs) between arms with the exception of immune mediated AEs (imAEs), hyperthyroidism and hypothyroidism.</w:t>
      </w:r>
    </w:p>
    <w:p w:rsidR="00202595" w:rsidRPr="006B435E" w:rsidRDefault="00202595" w:rsidP="00202595">
      <w:pPr>
        <w:pStyle w:val="TableFigureHeading"/>
      </w:pPr>
      <w:bookmarkStart w:id="21" w:name="_Ref49791588"/>
      <w:r w:rsidRPr="006B435E">
        <w:lastRenderedPageBreak/>
        <w:t>Table</w:t>
      </w:r>
      <w:r w:rsidRPr="006B435E">
        <w:rPr>
          <w:rStyle w:val="CommentReference"/>
          <w:b/>
          <w:szCs w:val="24"/>
        </w:rPr>
        <w:t xml:space="preserve"> </w:t>
      </w:r>
      <w:r w:rsidR="00634094" w:rsidRPr="006B435E">
        <w:rPr>
          <w:rStyle w:val="CommentReference"/>
          <w:b/>
          <w:szCs w:val="24"/>
        </w:rPr>
        <w:t>6</w:t>
      </w:r>
      <w:bookmarkEnd w:id="21"/>
      <w:r w:rsidRPr="006B435E">
        <w:t>: Key safety outcomes in the CASPIAN trial</w:t>
      </w:r>
    </w:p>
    <w:tbl>
      <w:tblPr>
        <w:tblStyle w:val="TableGrid"/>
        <w:tblW w:w="5000" w:type="pct"/>
        <w:tblLook w:val="04A0" w:firstRow="1" w:lastRow="0" w:firstColumn="1" w:lastColumn="0" w:noHBand="0" w:noVBand="1"/>
        <w:tblCaption w:val="Table 6: Key safety outcomes in the CASPIAN trial"/>
      </w:tblPr>
      <w:tblGrid>
        <w:gridCol w:w="4009"/>
        <w:gridCol w:w="1423"/>
        <w:gridCol w:w="1423"/>
        <w:gridCol w:w="2162"/>
      </w:tblGrid>
      <w:tr w:rsidR="00202595" w:rsidRPr="006B435E" w:rsidTr="005B4049">
        <w:trPr>
          <w:trHeight w:val="70"/>
          <w:tblHeader/>
        </w:trPr>
        <w:tc>
          <w:tcPr>
            <w:tcW w:w="2223" w:type="pct"/>
            <w:vAlign w:val="center"/>
          </w:tcPr>
          <w:p w:rsidR="00202595" w:rsidRPr="006B435E" w:rsidRDefault="00202595" w:rsidP="00FF50D7">
            <w:pPr>
              <w:pStyle w:val="TableHeading0"/>
              <w:spacing w:before="0" w:after="0"/>
            </w:pPr>
            <w:r w:rsidRPr="006B435E">
              <w:t>AE, n (%)</w:t>
            </w:r>
          </w:p>
        </w:tc>
        <w:tc>
          <w:tcPr>
            <w:tcW w:w="789" w:type="pct"/>
          </w:tcPr>
          <w:p w:rsidR="00202595" w:rsidRPr="006B435E" w:rsidRDefault="00202595" w:rsidP="00FF50D7">
            <w:pPr>
              <w:pStyle w:val="TableHeading0"/>
              <w:spacing w:before="0" w:after="0"/>
              <w:jc w:val="center"/>
            </w:pPr>
            <w:r w:rsidRPr="006B435E">
              <w:t>D+EP</w:t>
            </w:r>
            <w:r w:rsidR="00FF50D7" w:rsidRPr="006B435E">
              <w:t xml:space="preserve">; </w:t>
            </w:r>
            <w:r w:rsidRPr="006B435E">
              <w:t>N=265</w:t>
            </w:r>
          </w:p>
        </w:tc>
        <w:tc>
          <w:tcPr>
            <w:tcW w:w="789" w:type="pct"/>
          </w:tcPr>
          <w:p w:rsidR="00202595" w:rsidRPr="006B435E" w:rsidRDefault="00202595" w:rsidP="00FF50D7">
            <w:pPr>
              <w:pStyle w:val="TableHeading0"/>
              <w:spacing w:before="0" w:after="0"/>
              <w:jc w:val="center"/>
            </w:pPr>
            <w:r w:rsidRPr="006B435E">
              <w:t>EP</w:t>
            </w:r>
            <w:r w:rsidR="00FF50D7" w:rsidRPr="006B435E">
              <w:t xml:space="preserve">; </w:t>
            </w:r>
            <w:r w:rsidRPr="006B435E">
              <w:t>N=265</w:t>
            </w:r>
          </w:p>
        </w:tc>
        <w:tc>
          <w:tcPr>
            <w:tcW w:w="1199" w:type="pct"/>
          </w:tcPr>
          <w:p w:rsidR="00202595" w:rsidRPr="006B435E" w:rsidRDefault="00202595" w:rsidP="00FF50D7">
            <w:pPr>
              <w:pStyle w:val="TableHeading0"/>
              <w:spacing w:before="0" w:after="0"/>
              <w:jc w:val="center"/>
            </w:pPr>
            <w:r w:rsidRPr="006B435E">
              <w:t>Within</w:t>
            </w:r>
            <w:r w:rsidRPr="006B435E">
              <w:noBreakHyphen/>
              <w:t>trial OR</w:t>
            </w:r>
            <w:r w:rsidR="00FF50D7" w:rsidRPr="006B435E">
              <w:t xml:space="preserve"> </w:t>
            </w:r>
            <w:r w:rsidRPr="006B435E">
              <w:t>(95% CI)</w:t>
            </w:r>
          </w:p>
        </w:tc>
      </w:tr>
      <w:tr w:rsidR="00202595" w:rsidRPr="006B435E" w:rsidTr="005D1CEA">
        <w:tc>
          <w:tcPr>
            <w:tcW w:w="5000" w:type="pct"/>
            <w:gridSpan w:val="4"/>
          </w:tcPr>
          <w:p w:rsidR="00202595" w:rsidRPr="006B435E" w:rsidRDefault="00202595" w:rsidP="00FF50D7">
            <w:pPr>
              <w:pStyle w:val="TableText0"/>
            </w:pPr>
            <w:r w:rsidRPr="006B435E">
              <w:t>Final analyses</w:t>
            </w:r>
          </w:p>
        </w:tc>
      </w:tr>
      <w:tr w:rsidR="00202595" w:rsidRPr="006B435E" w:rsidTr="005D1CEA">
        <w:tc>
          <w:tcPr>
            <w:tcW w:w="2223" w:type="pct"/>
          </w:tcPr>
          <w:p w:rsidR="00202595" w:rsidRPr="006B435E" w:rsidRDefault="00202595" w:rsidP="00FF50D7">
            <w:pPr>
              <w:pStyle w:val="TableText0"/>
            </w:pPr>
            <w:r w:rsidRPr="006B435E">
              <w:t>Any AE</w:t>
            </w:r>
          </w:p>
        </w:tc>
        <w:tc>
          <w:tcPr>
            <w:tcW w:w="789" w:type="pct"/>
          </w:tcPr>
          <w:p w:rsidR="00202595" w:rsidRPr="006B435E" w:rsidRDefault="00202595" w:rsidP="00FF50D7">
            <w:pPr>
              <w:pStyle w:val="TableText0"/>
              <w:jc w:val="center"/>
            </w:pPr>
            <w:r w:rsidRPr="006B435E">
              <w:t>260 (98.11)</w:t>
            </w:r>
          </w:p>
        </w:tc>
        <w:tc>
          <w:tcPr>
            <w:tcW w:w="789" w:type="pct"/>
          </w:tcPr>
          <w:p w:rsidR="00202595" w:rsidRPr="006B435E" w:rsidRDefault="00202595" w:rsidP="00FF50D7">
            <w:pPr>
              <w:pStyle w:val="TableText0"/>
              <w:jc w:val="center"/>
            </w:pPr>
            <w:r w:rsidRPr="006B435E">
              <w:t>258 (96.99)</w:t>
            </w:r>
          </w:p>
        </w:tc>
        <w:tc>
          <w:tcPr>
            <w:tcW w:w="1199" w:type="pct"/>
          </w:tcPr>
          <w:p w:rsidR="00202595" w:rsidRPr="006B435E" w:rsidRDefault="00202595" w:rsidP="00FF50D7">
            <w:pPr>
              <w:pStyle w:val="TableText0"/>
              <w:jc w:val="center"/>
            </w:pPr>
            <w:r w:rsidRPr="006B435E">
              <w:t>1.61 (0.52, 4.99)</w:t>
            </w:r>
          </w:p>
        </w:tc>
      </w:tr>
      <w:tr w:rsidR="00202595" w:rsidRPr="006B435E" w:rsidTr="005D1CEA">
        <w:tc>
          <w:tcPr>
            <w:tcW w:w="2223" w:type="pct"/>
          </w:tcPr>
          <w:p w:rsidR="00202595" w:rsidRPr="006B435E" w:rsidRDefault="00202595" w:rsidP="00FF50D7">
            <w:pPr>
              <w:pStyle w:val="TableText0"/>
            </w:pPr>
            <w:r w:rsidRPr="006B435E">
              <w:t>Any AE, Grade 3/4</w:t>
            </w:r>
          </w:p>
        </w:tc>
        <w:tc>
          <w:tcPr>
            <w:tcW w:w="789" w:type="pct"/>
          </w:tcPr>
          <w:p w:rsidR="00202595" w:rsidRPr="006B435E" w:rsidRDefault="00202595" w:rsidP="00FF50D7">
            <w:pPr>
              <w:pStyle w:val="TableText0"/>
              <w:jc w:val="center"/>
            </w:pPr>
            <w:r w:rsidRPr="006B435E">
              <w:t>165 (62.26)</w:t>
            </w:r>
          </w:p>
        </w:tc>
        <w:tc>
          <w:tcPr>
            <w:tcW w:w="789" w:type="pct"/>
          </w:tcPr>
          <w:p w:rsidR="00202595" w:rsidRPr="006B435E" w:rsidRDefault="00202595" w:rsidP="00FF50D7">
            <w:pPr>
              <w:pStyle w:val="TableText0"/>
              <w:jc w:val="center"/>
            </w:pPr>
            <w:r w:rsidRPr="006B435E">
              <w:t>167 (62.78)</w:t>
            </w:r>
          </w:p>
        </w:tc>
        <w:tc>
          <w:tcPr>
            <w:tcW w:w="1199" w:type="pct"/>
          </w:tcPr>
          <w:p w:rsidR="00202595" w:rsidRPr="006B435E" w:rsidRDefault="00202595" w:rsidP="00FF50D7">
            <w:pPr>
              <w:pStyle w:val="TableText0"/>
              <w:jc w:val="center"/>
            </w:pPr>
            <w:r w:rsidRPr="006B435E">
              <w:t>0.98 (0.69, 1.39)</w:t>
            </w:r>
          </w:p>
        </w:tc>
      </w:tr>
      <w:tr w:rsidR="00202595" w:rsidRPr="006B435E" w:rsidTr="005D1CEA">
        <w:tc>
          <w:tcPr>
            <w:tcW w:w="2223" w:type="pct"/>
          </w:tcPr>
          <w:p w:rsidR="00202595" w:rsidRPr="006B435E" w:rsidRDefault="00202595" w:rsidP="00FF50D7">
            <w:pPr>
              <w:pStyle w:val="TableText0"/>
            </w:pPr>
            <w:r w:rsidRPr="006B435E">
              <w:t>TRAEs</w:t>
            </w:r>
          </w:p>
        </w:tc>
        <w:tc>
          <w:tcPr>
            <w:tcW w:w="789" w:type="pct"/>
          </w:tcPr>
          <w:p w:rsidR="00202595" w:rsidRPr="006B435E" w:rsidRDefault="00202595" w:rsidP="00FF50D7">
            <w:pPr>
              <w:pStyle w:val="TableText0"/>
              <w:jc w:val="center"/>
            </w:pPr>
            <w:r w:rsidRPr="006B435E">
              <w:t>237 (89.43)</w:t>
            </w:r>
          </w:p>
        </w:tc>
        <w:tc>
          <w:tcPr>
            <w:tcW w:w="789" w:type="pct"/>
          </w:tcPr>
          <w:p w:rsidR="00202595" w:rsidRPr="006B435E" w:rsidRDefault="00202595" w:rsidP="00FF50D7">
            <w:pPr>
              <w:pStyle w:val="TableText0"/>
              <w:jc w:val="center"/>
            </w:pPr>
            <w:r w:rsidRPr="006B435E">
              <w:t>239 (89.85)</w:t>
            </w:r>
          </w:p>
        </w:tc>
        <w:tc>
          <w:tcPr>
            <w:tcW w:w="1199" w:type="pct"/>
          </w:tcPr>
          <w:p w:rsidR="00202595" w:rsidRPr="006B435E" w:rsidRDefault="00202595" w:rsidP="00FF50D7">
            <w:pPr>
              <w:pStyle w:val="TableText0"/>
              <w:jc w:val="center"/>
            </w:pPr>
            <w:r w:rsidRPr="006B435E">
              <w:t>0.96 (0.55, 1.67)</w:t>
            </w:r>
          </w:p>
        </w:tc>
      </w:tr>
      <w:tr w:rsidR="00202595" w:rsidRPr="006B435E" w:rsidTr="005D1CEA">
        <w:tc>
          <w:tcPr>
            <w:tcW w:w="2223" w:type="pct"/>
          </w:tcPr>
          <w:p w:rsidR="00202595" w:rsidRPr="006B435E" w:rsidRDefault="00202595" w:rsidP="00FF50D7">
            <w:pPr>
              <w:pStyle w:val="TableText0"/>
            </w:pPr>
            <w:r w:rsidRPr="006B435E">
              <w:t>Any SAE</w:t>
            </w:r>
          </w:p>
        </w:tc>
        <w:tc>
          <w:tcPr>
            <w:tcW w:w="789" w:type="pct"/>
          </w:tcPr>
          <w:p w:rsidR="00202595" w:rsidRPr="006B435E" w:rsidRDefault="00202595" w:rsidP="00FF50D7">
            <w:pPr>
              <w:pStyle w:val="TableText0"/>
              <w:jc w:val="center"/>
            </w:pPr>
            <w:r w:rsidRPr="006B435E">
              <w:t>85 (32.08)</w:t>
            </w:r>
          </w:p>
        </w:tc>
        <w:tc>
          <w:tcPr>
            <w:tcW w:w="789" w:type="pct"/>
          </w:tcPr>
          <w:p w:rsidR="00202595" w:rsidRPr="006B435E" w:rsidRDefault="00202595" w:rsidP="00FF50D7">
            <w:pPr>
              <w:pStyle w:val="TableText0"/>
              <w:jc w:val="center"/>
            </w:pPr>
            <w:r w:rsidRPr="006B435E">
              <w:t>97 (36.47)</w:t>
            </w:r>
          </w:p>
        </w:tc>
        <w:tc>
          <w:tcPr>
            <w:tcW w:w="1199" w:type="pct"/>
          </w:tcPr>
          <w:p w:rsidR="00202595" w:rsidRPr="006B435E" w:rsidRDefault="00202595" w:rsidP="00FF50D7">
            <w:pPr>
              <w:pStyle w:val="TableText0"/>
              <w:jc w:val="center"/>
            </w:pPr>
            <w:r w:rsidRPr="006B435E">
              <w:t>0.82 (0.57, 1.18)</w:t>
            </w:r>
          </w:p>
        </w:tc>
      </w:tr>
      <w:tr w:rsidR="00202595" w:rsidRPr="006B435E" w:rsidTr="005D1CEA">
        <w:tc>
          <w:tcPr>
            <w:tcW w:w="2223" w:type="pct"/>
          </w:tcPr>
          <w:p w:rsidR="00202595" w:rsidRPr="006B435E" w:rsidRDefault="00202595" w:rsidP="00FF50D7">
            <w:pPr>
              <w:pStyle w:val="TableText0"/>
            </w:pPr>
            <w:r w:rsidRPr="006B435E">
              <w:t>imAEs requiring corticosteroid treatment</w:t>
            </w:r>
          </w:p>
        </w:tc>
        <w:tc>
          <w:tcPr>
            <w:tcW w:w="789" w:type="pct"/>
            <w:vAlign w:val="center"/>
          </w:tcPr>
          <w:p w:rsidR="00202595" w:rsidRPr="006B435E" w:rsidRDefault="00202595" w:rsidP="00FF50D7">
            <w:pPr>
              <w:pStyle w:val="TableText0"/>
              <w:jc w:val="center"/>
              <w:rPr>
                <w:highlight w:val="yellow"/>
              </w:rPr>
            </w:pPr>
            <w:r w:rsidRPr="006B435E">
              <w:t>53 (20.00)</w:t>
            </w:r>
          </w:p>
        </w:tc>
        <w:tc>
          <w:tcPr>
            <w:tcW w:w="789" w:type="pct"/>
            <w:vAlign w:val="center"/>
          </w:tcPr>
          <w:p w:rsidR="00202595" w:rsidRPr="006B435E" w:rsidRDefault="00202595" w:rsidP="00FF50D7">
            <w:pPr>
              <w:pStyle w:val="TableText0"/>
              <w:jc w:val="center"/>
              <w:rPr>
                <w:highlight w:val="yellow"/>
              </w:rPr>
            </w:pPr>
            <w:r w:rsidRPr="006B435E">
              <w:t>7 (2.63)</w:t>
            </w:r>
          </w:p>
        </w:tc>
        <w:tc>
          <w:tcPr>
            <w:tcW w:w="1199" w:type="pct"/>
            <w:vAlign w:val="center"/>
          </w:tcPr>
          <w:p w:rsidR="00202595" w:rsidRPr="006B435E" w:rsidRDefault="00202595" w:rsidP="00FF50D7">
            <w:pPr>
              <w:pStyle w:val="TableText0"/>
              <w:jc w:val="center"/>
              <w:rPr>
                <w:b/>
                <w:bCs w:val="0"/>
                <w:highlight w:val="yellow"/>
              </w:rPr>
            </w:pPr>
            <w:r w:rsidRPr="006B435E">
              <w:rPr>
                <w:b/>
                <w:bCs w:val="0"/>
              </w:rPr>
              <w:t>9.26 (4.12, 20.79)</w:t>
            </w:r>
          </w:p>
        </w:tc>
      </w:tr>
      <w:tr w:rsidR="00202595" w:rsidRPr="006B435E" w:rsidTr="005D1CEA">
        <w:tc>
          <w:tcPr>
            <w:tcW w:w="2223" w:type="pct"/>
            <w:vAlign w:val="center"/>
          </w:tcPr>
          <w:p w:rsidR="00202595" w:rsidRPr="006B435E" w:rsidRDefault="00202595" w:rsidP="00FF50D7">
            <w:pPr>
              <w:pStyle w:val="TableText0"/>
            </w:pPr>
            <w:r w:rsidRPr="006B435E">
              <w:t>AESI, any</w:t>
            </w:r>
          </w:p>
        </w:tc>
        <w:tc>
          <w:tcPr>
            <w:tcW w:w="789" w:type="pct"/>
            <w:vAlign w:val="center"/>
          </w:tcPr>
          <w:p w:rsidR="00202595" w:rsidRPr="006B435E" w:rsidRDefault="00202595" w:rsidP="00FF50D7">
            <w:pPr>
              <w:pStyle w:val="TableText0"/>
              <w:jc w:val="center"/>
            </w:pPr>
            <w:r w:rsidRPr="006B435E">
              <w:t>142 (53.58)</w:t>
            </w:r>
          </w:p>
        </w:tc>
        <w:tc>
          <w:tcPr>
            <w:tcW w:w="789" w:type="pct"/>
            <w:vAlign w:val="center"/>
          </w:tcPr>
          <w:p w:rsidR="00202595" w:rsidRPr="006B435E" w:rsidRDefault="00202595" w:rsidP="00FF50D7">
            <w:pPr>
              <w:pStyle w:val="TableText0"/>
              <w:jc w:val="center"/>
            </w:pPr>
            <w:r w:rsidRPr="006B435E">
              <w:t>106 (39.85)</w:t>
            </w:r>
          </w:p>
        </w:tc>
        <w:tc>
          <w:tcPr>
            <w:tcW w:w="1199" w:type="pct"/>
            <w:vAlign w:val="center"/>
          </w:tcPr>
          <w:p w:rsidR="00202595" w:rsidRPr="006B435E" w:rsidRDefault="00202595" w:rsidP="00FF50D7">
            <w:pPr>
              <w:pStyle w:val="TableText0"/>
              <w:jc w:val="center"/>
              <w:rPr>
                <w:b/>
                <w:bCs w:val="0"/>
              </w:rPr>
            </w:pPr>
            <w:r w:rsidRPr="006B435E">
              <w:rPr>
                <w:b/>
                <w:bCs w:val="0"/>
              </w:rPr>
              <w:t>1.74 (1.23, 2.46)</w:t>
            </w:r>
          </w:p>
        </w:tc>
      </w:tr>
      <w:tr w:rsidR="00202595" w:rsidRPr="006B435E" w:rsidTr="005D1CEA">
        <w:tc>
          <w:tcPr>
            <w:tcW w:w="2223" w:type="pct"/>
            <w:vAlign w:val="center"/>
          </w:tcPr>
          <w:p w:rsidR="00202595" w:rsidRPr="006B435E" w:rsidRDefault="00202595" w:rsidP="00FF50D7">
            <w:pPr>
              <w:pStyle w:val="TableText0"/>
            </w:pPr>
            <w:r w:rsidRPr="006B435E">
              <w:t>Rash, grade 1–2</w:t>
            </w:r>
          </w:p>
        </w:tc>
        <w:tc>
          <w:tcPr>
            <w:tcW w:w="789" w:type="pct"/>
            <w:vAlign w:val="center"/>
          </w:tcPr>
          <w:p w:rsidR="00202595" w:rsidRPr="006B435E" w:rsidRDefault="00202595" w:rsidP="00FF50D7">
            <w:pPr>
              <w:pStyle w:val="TableText0"/>
              <w:jc w:val="center"/>
            </w:pPr>
            <w:r w:rsidRPr="006B435E">
              <w:t>2 (0.75)</w:t>
            </w:r>
          </w:p>
        </w:tc>
        <w:tc>
          <w:tcPr>
            <w:tcW w:w="789" w:type="pct"/>
            <w:vAlign w:val="center"/>
          </w:tcPr>
          <w:p w:rsidR="00202595" w:rsidRPr="006B435E" w:rsidRDefault="00202595" w:rsidP="00FF50D7">
            <w:pPr>
              <w:pStyle w:val="TableText0"/>
              <w:jc w:val="center"/>
            </w:pPr>
            <w:r w:rsidRPr="006B435E">
              <w:t>1 (0.38)</w:t>
            </w:r>
          </w:p>
        </w:tc>
        <w:tc>
          <w:tcPr>
            <w:tcW w:w="1199" w:type="pct"/>
            <w:vAlign w:val="center"/>
          </w:tcPr>
          <w:p w:rsidR="00202595" w:rsidRPr="006B435E" w:rsidRDefault="00202595" w:rsidP="00FF50D7">
            <w:pPr>
              <w:pStyle w:val="TableText0"/>
              <w:jc w:val="center"/>
            </w:pPr>
            <w:r w:rsidRPr="006B435E">
              <w:t>1.98 (0.18, 21.85)</w:t>
            </w:r>
          </w:p>
        </w:tc>
      </w:tr>
      <w:tr w:rsidR="00202595" w:rsidRPr="006B435E" w:rsidTr="005D1CEA">
        <w:tc>
          <w:tcPr>
            <w:tcW w:w="2223" w:type="pct"/>
          </w:tcPr>
          <w:p w:rsidR="00202595" w:rsidRPr="006B435E" w:rsidRDefault="00202595" w:rsidP="00FF50D7">
            <w:pPr>
              <w:pStyle w:val="TableText0"/>
            </w:pPr>
            <w:r w:rsidRPr="006B435E">
              <w:t>Rash, grade 3–4</w:t>
            </w:r>
          </w:p>
        </w:tc>
        <w:tc>
          <w:tcPr>
            <w:tcW w:w="789" w:type="pct"/>
          </w:tcPr>
          <w:p w:rsidR="00202595" w:rsidRPr="006B435E" w:rsidRDefault="00202595" w:rsidP="00FF50D7">
            <w:pPr>
              <w:pStyle w:val="TableText0"/>
              <w:jc w:val="center"/>
            </w:pPr>
            <w:r w:rsidRPr="006B435E">
              <w:t>0 (0)</w:t>
            </w:r>
          </w:p>
        </w:tc>
        <w:tc>
          <w:tcPr>
            <w:tcW w:w="789" w:type="pct"/>
          </w:tcPr>
          <w:p w:rsidR="00202595" w:rsidRPr="006B435E" w:rsidRDefault="00202595" w:rsidP="00FF50D7">
            <w:pPr>
              <w:pStyle w:val="TableText0"/>
              <w:jc w:val="center"/>
            </w:pPr>
            <w:r w:rsidRPr="006B435E">
              <w:t>0 (0)</w:t>
            </w:r>
          </w:p>
        </w:tc>
        <w:tc>
          <w:tcPr>
            <w:tcW w:w="1199" w:type="pct"/>
          </w:tcPr>
          <w:p w:rsidR="00202595" w:rsidRPr="006B435E" w:rsidRDefault="00202595" w:rsidP="00FF50D7">
            <w:pPr>
              <w:pStyle w:val="TableText0"/>
              <w:jc w:val="center"/>
            </w:pPr>
            <w:r w:rsidRPr="006B435E">
              <w:t>1 (0.02, 50.78)</w:t>
            </w:r>
          </w:p>
        </w:tc>
      </w:tr>
      <w:tr w:rsidR="00202595" w:rsidRPr="006B435E" w:rsidTr="005D1CEA">
        <w:tc>
          <w:tcPr>
            <w:tcW w:w="2223" w:type="pct"/>
            <w:vAlign w:val="center"/>
          </w:tcPr>
          <w:p w:rsidR="00202595" w:rsidRPr="006B435E" w:rsidRDefault="00202595" w:rsidP="00FF50D7">
            <w:pPr>
              <w:pStyle w:val="TableText0"/>
            </w:pPr>
            <w:r w:rsidRPr="006B435E">
              <w:t>Hepatitis, grade 1–2</w:t>
            </w:r>
          </w:p>
        </w:tc>
        <w:tc>
          <w:tcPr>
            <w:tcW w:w="789" w:type="pct"/>
            <w:vAlign w:val="center"/>
          </w:tcPr>
          <w:p w:rsidR="00202595" w:rsidRPr="006B435E" w:rsidRDefault="00202595" w:rsidP="00FF50D7">
            <w:pPr>
              <w:pStyle w:val="TableText0"/>
              <w:jc w:val="center"/>
            </w:pPr>
            <w:r w:rsidRPr="006B435E">
              <w:t>1 (0.38)</w:t>
            </w:r>
          </w:p>
        </w:tc>
        <w:tc>
          <w:tcPr>
            <w:tcW w:w="789" w:type="pct"/>
            <w:vAlign w:val="center"/>
          </w:tcPr>
          <w:p w:rsidR="00202595" w:rsidRPr="006B435E" w:rsidRDefault="00202595" w:rsidP="00FF50D7">
            <w:pPr>
              <w:pStyle w:val="TableText0"/>
              <w:jc w:val="center"/>
            </w:pPr>
            <w:r w:rsidRPr="006B435E">
              <w:t>0 (0)</w:t>
            </w:r>
          </w:p>
        </w:tc>
        <w:tc>
          <w:tcPr>
            <w:tcW w:w="1199" w:type="pct"/>
            <w:vAlign w:val="center"/>
          </w:tcPr>
          <w:p w:rsidR="00202595" w:rsidRPr="006B435E" w:rsidRDefault="00202595" w:rsidP="00FF50D7">
            <w:pPr>
              <w:pStyle w:val="TableText0"/>
              <w:jc w:val="center"/>
            </w:pPr>
            <w:r w:rsidRPr="006B435E">
              <w:t>3.02 (0.12, 74.54)</w:t>
            </w:r>
          </w:p>
        </w:tc>
      </w:tr>
      <w:tr w:rsidR="00202595" w:rsidRPr="006B435E" w:rsidTr="005D1CEA">
        <w:tc>
          <w:tcPr>
            <w:tcW w:w="2223" w:type="pct"/>
          </w:tcPr>
          <w:p w:rsidR="00202595" w:rsidRPr="006B435E" w:rsidRDefault="00202595" w:rsidP="00FF50D7">
            <w:pPr>
              <w:pStyle w:val="TableText0"/>
            </w:pPr>
            <w:r w:rsidRPr="006B435E">
              <w:t>Hepatitis, grade 3–4</w:t>
            </w:r>
          </w:p>
        </w:tc>
        <w:tc>
          <w:tcPr>
            <w:tcW w:w="789" w:type="pct"/>
          </w:tcPr>
          <w:p w:rsidR="00202595" w:rsidRPr="006B435E" w:rsidRDefault="00202595" w:rsidP="00FF50D7">
            <w:pPr>
              <w:pStyle w:val="TableText0"/>
              <w:jc w:val="center"/>
            </w:pPr>
            <w:r w:rsidRPr="006B435E">
              <w:t>1 (0.38)</w:t>
            </w:r>
          </w:p>
        </w:tc>
        <w:tc>
          <w:tcPr>
            <w:tcW w:w="789" w:type="pct"/>
          </w:tcPr>
          <w:p w:rsidR="00202595" w:rsidRPr="006B435E" w:rsidRDefault="00202595" w:rsidP="00FF50D7">
            <w:pPr>
              <w:pStyle w:val="TableText0"/>
              <w:jc w:val="center"/>
            </w:pPr>
            <w:r w:rsidRPr="006B435E">
              <w:t>0 (0)</w:t>
            </w:r>
          </w:p>
        </w:tc>
        <w:tc>
          <w:tcPr>
            <w:tcW w:w="1199" w:type="pct"/>
          </w:tcPr>
          <w:p w:rsidR="00202595" w:rsidRPr="006B435E" w:rsidRDefault="00202595" w:rsidP="00FF50D7">
            <w:pPr>
              <w:pStyle w:val="TableText0"/>
              <w:jc w:val="center"/>
            </w:pPr>
            <w:r w:rsidRPr="006B435E">
              <w:t>3.02 (0.12, 74.54)</w:t>
            </w:r>
          </w:p>
        </w:tc>
      </w:tr>
      <w:tr w:rsidR="00202595" w:rsidRPr="006B435E" w:rsidTr="005D1CEA">
        <w:tc>
          <w:tcPr>
            <w:tcW w:w="2223" w:type="pct"/>
            <w:vAlign w:val="center"/>
          </w:tcPr>
          <w:p w:rsidR="00202595" w:rsidRPr="006B435E" w:rsidRDefault="00202595" w:rsidP="00FF50D7">
            <w:pPr>
              <w:pStyle w:val="TableText0"/>
            </w:pPr>
            <w:r w:rsidRPr="006B435E">
              <w:t>Hypothyroidism, grade 1–2a</w:t>
            </w:r>
          </w:p>
        </w:tc>
        <w:tc>
          <w:tcPr>
            <w:tcW w:w="789" w:type="pct"/>
            <w:vAlign w:val="center"/>
          </w:tcPr>
          <w:p w:rsidR="00202595" w:rsidRPr="006B435E" w:rsidRDefault="00202595" w:rsidP="00FF50D7">
            <w:pPr>
              <w:pStyle w:val="TableText0"/>
              <w:jc w:val="center"/>
            </w:pPr>
            <w:r w:rsidRPr="006B435E">
              <w:t>24 (9.06)</w:t>
            </w:r>
          </w:p>
        </w:tc>
        <w:tc>
          <w:tcPr>
            <w:tcW w:w="789" w:type="pct"/>
            <w:vAlign w:val="center"/>
          </w:tcPr>
          <w:p w:rsidR="00202595" w:rsidRPr="006B435E" w:rsidRDefault="00202595" w:rsidP="00FF50D7">
            <w:pPr>
              <w:pStyle w:val="TableText0"/>
              <w:jc w:val="center"/>
            </w:pPr>
            <w:r w:rsidRPr="006B435E">
              <w:t>2 (0.75)</w:t>
            </w:r>
          </w:p>
        </w:tc>
        <w:tc>
          <w:tcPr>
            <w:tcW w:w="1199" w:type="pct"/>
            <w:vAlign w:val="center"/>
          </w:tcPr>
          <w:p w:rsidR="00202595" w:rsidRPr="006B435E" w:rsidRDefault="00202595" w:rsidP="00FF50D7">
            <w:pPr>
              <w:pStyle w:val="TableText0"/>
              <w:jc w:val="center"/>
              <w:rPr>
                <w:b/>
                <w:bCs w:val="0"/>
              </w:rPr>
            </w:pPr>
            <w:r w:rsidRPr="006B435E">
              <w:rPr>
                <w:b/>
                <w:bCs w:val="0"/>
              </w:rPr>
              <w:t>13.18 (3.08, 56.47)</w:t>
            </w:r>
          </w:p>
        </w:tc>
      </w:tr>
      <w:tr w:rsidR="00202595" w:rsidRPr="006B435E" w:rsidTr="005D1CEA">
        <w:tc>
          <w:tcPr>
            <w:tcW w:w="2223" w:type="pct"/>
            <w:vAlign w:val="center"/>
          </w:tcPr>
          <w:p w:rsidR="00202595" w:rsidRPr="006B435E" w:rsidRDefault="00202595" w:rsidP="00FF50D7">
            <w:pPr>
              <w:pStyle w:val="TableText0"/>
            </w:pPr>
            <w:r w:rsidRPr="006B435E">
              <w:t>Hyperthyroidism, grade 1–2a</w:t>
            </w:r>
          </w:p>
        </w:tc>
        <w:tc>
          <w:tcPr>
            <w:tcW w:w="789" w:type="pct"/>
            <w:vAlign w:val="center"/>
          </w:tcPr>
          <w:p w:rsidR="00202595" w:rsidRPr="006B435E" w:rsidRDefault="00202595" w:rsidP="00FF50D7">
            <w:pPr>
              <w:pStyle w:val="TableText0"/>
              <w:jc w:val="center"/>
            </w:pPr>
            <w:r w:rsidRPr="006B435E">
              <w:t>14 (5.28)</w:t>
            </w:r>
          </w:p>
        </w:tc>
        <w:tc>
          <w:tcPr>
            <w:tcW w:w="789" w:type="pct"/>
            <w:vAlign w:val="center"/>
          </w:tcPr>
          <w:p w:rsidR="00202595" w:rsidRPr="006B435E" w:rsidRDefault="00202595" w:rsidP="00FF50D7">
            <w:pPr>
              <w:pStyle w:val="TableText0"/>
              <w:jc w:val="center"/>
            </w:pPr>
            <w:r w:rsidRPr="006B435E">
              <w:t>0 (0)</w:t>
            </w:r>
          </w:p>
        </w:tc>
        <w:tc>
          <w:tcPr>
            <w:tcW w:w="1199" w:type="pct"/>
            <w:vAlign w:val="center"/>
          </w:tcPr>
          <w:p w:rsidR="00202595" w:rsidRPr="006B435E" w:rsidRDefault="00202595" w:rsidP="00FF50D7">
            <w:pPr>
              <w:pStyle w:val="TableText0"/>
              <w:jc w:val="center"/>
              <w:rPr>
                <w:b/>
                <w:bCs w:val="0"/>
              </w:rPr>
            </w:pPr>
            <w:r w:rsidRPr="006B435E">
              <w:rPr>
                <w:b/>
                <w:bCs w:val="0"/>
              </w:rPr>
              <w:t>30.74 (1.82, 518)</w:t>
            </w:r>
          </w:p>
        </w:tc>
      </w:tr>
      <w:tr w:rsidR="00202595" w:rsidRPr="006B435E" w:rsidTr="005D1CEA">
        <w:tc>
          <w:tcPr>
            <w:tcW w:w="2223" w:type="pct"/>
            <w:vAlign w:val="center"/>
          </w:tcPr>
          <w:p w:rsidR="00202595" w:rsidRPr="006B435E" w:rsidRDefault="00202595" w:rsidP="00FF50D7">
            <w:pPr>
              <w:pStyle w:val="TableText0"/>
            </w:pPr>
            <w:r w:rsidRPr="006B435E">
              <w:t>Infusion</w:t>
            </w:r>
            <w:r w:rsidRPr="006B435E">
              <w:noBreakHyphen/>
              <w:t>related reaction, grade 1–2</w:t>
            </w:r>
          </w:p>
        </w:tc>
        <w:tc>
          <w:tcPr>
            <w:tcW w:w="789" w:type="pct"/>
            <w:vAlign w:val="center"/>
          </w:tcPr>
          <w:p w:rsidR="00202595" w:rsidRPr="006B435E" w:rsidRDefault="00202595" w:rsidP="00FF50D7">
            <w:pPr>
              <w:pStyle w:val="TableText0"/>
              <w:jc w:val="center"/>
            </w:pPr>
            <w:r w:rsidRPr="006B435E">
              <w:t>0 (0)</w:t>
            </w:r>
          </w:p>
        </w:tc>
        <w:tc>
          <w:tcPr>
            <w:tcW w:w="789" w:type="pct"/>
            <w:vAlign w:val="center"/>
          </w:tcPr>
          <w:p w:rsidR="00202595" w:rsidRPr="006B435E" w:rsidRDefault="00202595" w:rsidP="00FF50D7">
            <w:pPr>
              <w:pStyle w:val="TableText0"/>
              <w:jc w:val="center"/>
            </w:pPr>
            <w:r w:rsidRPr="006B435E">
              <w:t>0 (0)</w:t>
            </w:r>
          </w:p>
        </w:tc>
        <w:tc>
          <w:tcPr>
            <w:tcW w:w="1199" w:type="pct"/>
            <w:vAlign w:val="center"/>
          </w:tcPr>
          <w:p w:rsidR="00202595" w:rsidRPr="006B435E" w:rsidRDefault="00202595" w:rsidP="00FF50D7">
            <w:pPr>
              <w:pStyle w:val="TableText0"/>
              <w:jc w:val="center"/>
            </w:pPr>
            <w:r w:rsidRPr="006B435E">
              <w:t>1 (0.02, 50.78)</w:t>
            </w:r>
          </w:p>
        </w:tc>
      </w:tr>
      <w:tr w:rsidR="00202595" w:rsidRPr="006B435E" w:rsidTr="005D1CEA">
        <w:tc>
          <w:tcPr>
            <w:tcW w:w="2223" w:type="pct"/>
          </w:tcPr>
          <w:p w:rsidR="00202595" w:rsidRPr="006B435E" w:rsidRDefault="00202595" w:rsidP="00FF50D7">
            <w:pPr>
              <w:pStyle w:val="TableText0"/>
            </w:pPr>
            <w:r w:rsidRPr="006B435E">
              <w:t>Infusion</w:t>
            </w:r>
            <w:r w:rsidRPr="006B435E">
              <w:noBreakHyphen/>
              <w:t>related reaction, grade 3–4</w:t>
            </w:r>
          </w:p>
        </w:tc>
        <w:tc>
          <w:tcPr>
            <w:tcW w:w="789" w:type="pct"/>
          </w:tcPr>
          <w:p w:rsidR="00202595" w:rsidRPr="006B435E" w:rsidRDefault="00202595" w:rsidP="00FF50D7">
            <w:pPr>
              <w:pStyle w:val="TableText0"/>
              <w:jc w:val="center"/>
            </w:pPr>
            <w:r w:rsidRPr="006B435E">
              <w:t>0 (0)</w:t>
            </w:r>
          </w:p>
        </w:tc>
        <w:tc>
          <w:tcPr>
            <w:tcW w:w="789" w:type="pct"/>
          </w:tcPr>
          <w:p w:rsidR="00202595" w:rsidRPr="006B435E" w:rsidRDefault="00202595" w:rsidP="00FF50D7">
            <w:pPr>
              <w:pStyle w:val="TableText0"/>
              <w:jc w:val="center"/>
            </w:pPr>
            <w:r w:rsidRPr="006B435E">
              <w:t>0 (0)</w:t>
            </w:r>
          </w:p>
        </w:tc>
        <w:tc>
          <w:tcPr>
            <w:tcW w:w="1199" w:type="pct"/>
          </w:tcPr>
          <w:p w:rsidR="00202595" w:rsidRPr="006B435E" w:rsidRDefault="00202595" w:rsidP="00FF50D7">
            <w:pPr>
              <w:pStyle w:val="TableText0"/>
              <w:jc w:val="center"/>
            </w:pPr>
            <w:r w:rsidRPr="006B435E">
              <w:t>1 (0.02, 50.78)</w:t>
            </w:r>
          </w:p>
        </w:tc>
      </w:tr>
      <w:tr w:rsidR="00202595" w:rsidRPr="006B435E" w:rsidTr="005D1CEA">
        <w:tc>
          <w:tcPr>
            <w:tcW w:w="2223" w:type="pct"/>
            <w:vAlign w:val="center"/>
          </w:tcPr>
          <w:p w:rsidR="00202595" w:rsidRPr="006B435E" w:rsidRDefault="00202595" w:rsidP="00FF50D7">
            <w:pPr>
              <w:pStyle w:val="TableText0"/>
            </w:pPr>
            <w:r w:rsidRPr="006B435E">
              <w:t>Pneumonitis, grade 1–2</w:t>
            </w:r>
          </w:p>
        </w:tc>
        <w:tc>
          <w:tcPr>
            <w:tcW w:w="789" w:type="pct"/>
            <w:vAlign w:val="center"/>
          </w:tcPr>
          <w:p w:rsidR="00202595" w:rsidRPr="006B435E" w:rsidRDefault="00202595" w:rsidP="00FF50D7">
            <w:pPr>
              <w:pStyle w:val="TableText0"/>
              <w:jc w:val="center"/>
            </w:pPr>
            <w:r w:rsidRPr="006B435E">
              <w:t>3 (1.13)</w:t>
            </w:r>
          </w:p>
        </w:tc>
        <w:tc>
          <w:tcPr>
            <w:tcW w:w="789" w:type="pct"/>
            <w:vAlign w:val="center"/>
          </w:tcPr>
          <w:p w:rsidR="00202595" w:rsidRPr="006B435E" w:rsidRDefault="00202595" w:rsidP="00FF50D7">
            <w:pPr>
              <w:pStyle w:val="TableText0"/>
              <w:jc w:val="center"/>
            </w:pPr>
            <w:r w:rsidRPr="006B435E">
              <w:t>0 (0)</w:t>
            </w:r>
          </w:p>
        </w:tc>
        <w:tc>
          <w:tcPr>
            <w:tcW w:w="1199" w:type="pct"/>
            <w:vAlign w:val="center"/>
          </w:tcPr>
          <w:p w:rsidR="00202595" w:rsidRPr="006B435E" w:rsidRDefault="00202595" w:rsidP="00FF50D7">
            <w:pPr>
              <w:pStyle w:val="TableText0"/>
              <w:jc w:val="center"/>
            </w:pPr>
            <w:r w:rsidRPr="006B435E">
              <w:t>7.11 (0.37, 138.28)</w:t>
            </w:r>
          </w:p>
        </w:tc>
      </w:tr>
      <w:tr w:rsidR="00202595" w:rsidRPr="006B435E" w:rsidTr="005D1CEA">
        <w:tc>
          <w:tcPr>
            <w:tcW w:w="2223" w:type="pct"/>
          </w:tcPr>
          <w:p w:rsidR="00202595" w:rsidRPr="006B435E" w:rsidRDefault="00202595" w:rsidP="00FF50D7">
            <w:pPr>
              <w:pStyle w:val="TableText0"/>
            </w:pPr>
            <w:r w:rsidRPr="006B435E">
              <w:t>Pneumonitis, grade 3–4</w:t>
            </w:r>
          </w:p>
        </w:tc>
        <w:tc>
          <w:tcPr>
            <w:tcW w:w="789" w:type="pct"/>
          </w:tcPr>
          <w:p w:rsidR="00202595" w:rsidRPr="006B435E" w:rsidRDefault="00202595" w:rsidP="00FF50D7">
            <w:pPr>
              <w:pStyle w:val="TableText0"/>
              <w:jc w:val="center"/>
            </w:pPr>
            <w:r w:rsidRPr="006B435E">
              <w:t>2 (0.75)</w:t>
            </w:r>
          </w:p>
        </w:tc>
        <w:tc>
          <w:tcPr>
            <w:tcW w:w="789" w:type="pct"/>
          </w:tcPr>
          <w:p w:rsidR="00202595" w:rsidRPr="006B435E" w:rsidRDefault="00202595" w:rsidP="00FF50D7">
            <w:pPr>
              <w:pStyle w:val="TableText0"/>
              <w:jc w:val="center"/>
            </w:pPr>
            <w:r w:rsidRPr="006B435E">
              <w:t>1 (0.38)</w:t>
            </w:r>
          </w:p>
        </w:tc>
        <w:tc>
          <w:tcPr>
            <w:tcW w:w="1199" w:type="pct"/>
          </w:tcPr>
          <w:p w:rsidR="00202595" w:rsidRPr="006B435E" w:rsidRDefault="00202595" w:rsidP="00FF50D7">
            <w:pPr>
              <w:pStyle w:val="TableText0"/>
              <w:jc w:val="center"/>
            </w:pPr>
            <w:r w:rsidRPr="006B435E">
              <w:t>1.98 (0.18, 21.85)</w:t>
            </w:r>
          </w:p>
        </w:tc>
      </w:tr>
      <w:tr w:rsidR="00202595" w:rsidRPr="006B435E" w:rsidTr="005D1CEA">
        <w:tc>
          <w:tcPr>
            <w:tcW w:w="2223" w:type="pct"/>
            <w:vAlign w:val="center"/>
          </w:tcPr>
          <w:p w:rsidR="00202595" w:rsidRPr="006B435E" w:rsidRDefault="00202595" w:rsidP="00FF50D7">
            <w:pPr>
              <w:pStyle w:val="TableText0"/>
            </w:pPr>
            <w:r w:rsidRPr="006B435E">
              <w:t>Colitis, grade 1–2</w:t>
            </w:r>
          </w:p>
        </w:tc>
        <w:tc>
          <w:tcPr>
            <w:tcW w:w="789" w:type="pct"/>
            <w:vAlign w:val="center"/>
          </w:tcPr>
          <w:p w:rsidR="00202595" w:rsidRPr="006B435E" w:rsidRDefault="00202595" w:rsidP="00FF50D7">
            <w:pPr>
              <w:pStyle w:val="TableText0"/>
              <w:jc w:val="center"/>
            </w:pPr>
            <w:r w:rsidRPr="006B435E">
              <w:t>1 (0.38)</w:t>
            </w:r>
          </w:p>
        </w:tc>
        <w:tc>
          <w:tcPr>
            <w:tcW w:w="789" w:type="pct"/>
            <w:vAlign w:val="center"/>
          </w:tcPr>
          <w:p w:rsidR="00202595" w:rsidRPr="006B435E" w:rsidRDefault="00202595" w:rsidP="00FF50D7">
            <w:pPr>
              <w:pStyle w:val="TableText0"/>
              <w:jc w:val="center"/>
            </w:pPr>
            <w:r w:rsidRPr="006B435E">
              <w:t>0 (0)</w:t>
            </w:r>
          </w:p>
        </w:tc>
        <w:tc>
          <w:tcPr>
            <w:tcW w:w="1199" w:type="pct"/>
            <w:vAlign w:val="center"/>
          </w:tcPr>
          <w:p w:rsidR="00202595" w:rsidRPr="006B435E" w:rsidRDefault="00202595" w:rsidP="00FF50D7">
            <w:pPr>
              <w:pStyle w:val="TableText0"/>
              <w:jc w:val="center"/>
            </w:pPr>
            <w:r w:rsidRPr="006B435E">
              <w:t>3.02 (0.12, 74.54)</w:t>
            </w:r>
          </w:p>
        </w:tc>
      </w:tr>
      <w:tr w:rsidR="00202595" w:rsidRPr="006B435E" w:rsidTr="005D1CEA">
        <w:tc>
          <w:tcPr>
            <w:tcW w:w="2223" w:type="pct"/>
          </w:tcPr>
          <w:p w:rsidR="00202595" w:rsidRPr="006B435E" w:rsidRDefault="00202595" w:rsidP="00FF50D7">
            <w:pPr>
              <w:pStyle w:val="TableText0"/>
            </w:pPr>
            <w:r w:rsidRPr="006B435E">
              <w:t>Colitis, grade 3–4</w:t>
            </w:r>
          </w:p>
        </w:tc>
        <w:tc>
          <w:tcPr>
            <w:tcW w:w="789" w:type="pct"/>
          </w:tcPr>
          <w:p w:rsidR="00202595" w:rsidRPr="006B435E" w:rsidRDefault="00202595" w:rsidP="00FF50D7">
            <w:pPr>
              <w:pStyle w:val="TableText0"/>
              <w:jc w:val="center"/>
            </w:pPr>
            <w:r w:rsidRPr="006B435E">
              <w:t>0 (0)</w:t>
            </w:r>
          </w:p>
        </w:tc>
        <w:tc>
          <w:tcPr>
            <w:tcW w:w="789" w:type="pct"/>
          </w:tcPr>
          <w:p w:rsidR="00202595" w:rsidRPr="006B435E" w:rsidRDefault="00202595" w:rsidP="00FF50D7">
            <w:pPr>
              <w:pStyle w:val="TableText0"/>
              <w:jc w:val="center"/>
            </w:pPr>
            <w:r w:rsidRPr="006B435E">
              <w:t>0 (0)</w:t>
            </w:r>
          </w:p>
        </w:tc>
        <w:tc>
          <w:tcPr>
            <w:tcW w:w="1199" w:type="pct"/>
          </w:tcPr>
          <w:p w:rsidR="00202595" w:rsidRPr="006B435E" w:rsidRDefault="00202595" w:rsidP="00FF50D7">
            <w:pPr>
              <w:pStyle w:val="TableText0"/>
              <w:jc w:val="center"/>
            </w:pPr>
            <w:r w:rsidRPr="006B435E">
              <w:t>1 (0.02, 50.78)</w:t>
            </w:r>
          </w:p>
        </w:tc>
      </w:tr>
      <w:tr w:rsidR="00202595" w:rsidRPr="006B435E" w:rsidTr="005D1CEA">
        <w:tc>
          <w:tcPr>
            <w:tcW w:w="2223" w:type="pct"/>
            <w:vAlign w:val="center"/>
          </w:tcPr>
          <w:p w:rsidR="00202595" w:rsidRPr="006B435E" w:rsidRDefault="00202595" w:rsidP="00FF50D7">
            <w:pPr>
              <w:pStyle w:val="TableText0"/>
            </w:pPr>
            <w:r w:rsidRPr="006B435E">
              <w:t>Adrenal insufficiency, grade 1–2</w:t>
            </w:r>
          </w:p>
        </w:tc>
        <w:tc>
          <w:tcPr>
            <w:tcW w:w="789" w:type="pct"/>
            <w:vAlign w:val="center"/>
          </w:tcPr>
          <w:p w:rsidR="00202595" w:rsidRPr="006B435E" w:rsidRDefault="00202595" w:rsidP="00FF50D7">
            <w:pPr>
              <w:pStyle w:val="TableText0"/>
              <w:jc w:val="center"/>
            </w:pPr>
            <w:r w:rsidRPr="006B435E">
              <w:t>2 (0.75)</w:t>
            </w:r>
          </w:p>
        </w:tc>
        <w:tc>
          <w:tcPr>
            <w:tcW w:w="789" w:type="pct"/>
            <w:vAlign w:val="center"/>
          </w:tcPr>
          <w:p w:rsidR="00202595" w:rsidRPr="006B435E" w:rsidRDefault="00202595" w:rsidP="00FF50D7">
            <w:pPr>
              <w:pStyle w:val="TableText0"/>
              <w:jc w:val="center"/>
            </w:pPr>
            <w:r w:rsidRPr="006B435E">
              <w:t>0 (0)</w:t>
            </w:r>
          </w:p>
        </w:tc>
        <w:tc>
          <w:tcPr>
            <w:tcW w:w="1199" w:type="pct"/>
            <w:vAlign w:val="center"/>
          </w:tcPr>
          <w:p w:rsidR="00202595" w:rsidRPr="006B435E" w:rsidRDefault="00202595" w:rsidP="00FF50D7">
            <w:pPr>
              <w:pStyle w:val="TableText0"/>
              <w:jc w:val="center"/>
            </w:pPr>
            <w:r w:rsidRPr="006B435E">
              <w:t>5.06 (0.24, 105.85)</w:t>
            </w:r>
          </w:p>
        </w:tc>
      </w:tr>
    </w:tbl>
    <w:p w:rsidR="00202595" w:rsidRPr="006B435E" w:rsidRDefault="00202595" w:rsidP="00202595">
      <w:pPr>
        <w:pStyle w:val="TableFigureFooter"/>
      </w:pPr>
      <w:r w:rsidRPr="006B435E">
        <w:t xml:space="preserve">Source: Table 2.5.4, p48 of the submission. </w:t>
      </w:r>
    </w:p>
    <w:p w:rsidR="00FF50D7" w:rsidRPr="006B435E" w:rsidRDefault="00FF50D7" w:rsidP="00FF50D7">
      <w:pPr>
        <w:pStyle w:val="TableFigureFooter"/>
      </w:pPr>
      <w:r w:rsidRPr="006B435E">
        <w:t>Bold typography represents statistically significant differences</w:t>
      </w:r>
    </w:p>
    <w:p w:rsidR="00202595" w:rsidRPr="006B435E" w:rsidRDefault="00202595" w:rsidP="00202595">
      <w:pPr>
        <w:pStyle w:val="TableFigureFooter"/>
      </w:pPr>
      <w:r w:rsidRPr="006B435E">
        <w:t xml:space="preserve">AE = adverse event; </w:t>
      </w:r>
      <w:r w:rsidR="00843227" w:rsidRPr="006B435E">
        <w:t xml:space="preserve">AESI = adverse event of special interest; </w:t>
      </w:r>
      <w:r w:rsidRPr="006B435E">
        <w:t>CI = confidence interval; D = durvalumab; EP = etoposide plus platinum based chemotherapy; OR = odds ratio</w:t>
      </w:r>
      <w:r w:rsidR="00843227" w:rsidRPr="006B435E">
        <w:t>; SAE = serious adverse event; TRAE = treatment-related adverse event</w:t>
      </w:r>
    </w:p>
    <w:p w:rsidR="00F22789" w:rsidRPr="006B435E" w:rsidRDefault="00FF50D7" w:rsidP="00F22789">
      <w:pPr>
        <w:pStyle w:val="3-BodyText"/>
      </w:pPr>
      <w:r w:rsidRPr="006B435E">
        <w:rPr>
          <w:rFonts w:cstheme="minorHAnsi"/>
        </w:rPr>
        <w:t>Table</w:t>
      </w:r>
      <w:r w:rsidRPr="006B435E">
        <w:rPr>
          <w:rStyle w:val="CommentReference"/>
          <w:rFonts w:asciiTheme="minorHAnsi" w:hAnsiTheme="minorHAnsi" w:cstheme="minorHAnsi"/>
          <w:b w:val="0"/>
          <w:sz w:val="24"/>
          <w:szCs w:val="24"/>
        </w:rPr>
        <w:t xml:space="preserve"> 7</w:t>
      </w:r>
      <w:r w:rsidR="00F22789" w:rsidRPr="006B435E">
        <w:t xml:space="preserve"> presents the results of the indirect safety comparison.</w:t>
      </w:r>
    </w:p>
    <w:p w:rsidR="00F22789" w:rsidRPr="006B435E" w:rsidRDefault="00F22789" w:rsidP="00F22789">
      <w:pPr>
        <w:pStyle w:val="TableFigureHeading"/>
      </w:pPr>
      <w:bookmarkStart w:id="22" w:name="_Ref49866800"/>
      <w:r w:rsidRPr="006B435E">
        <w:t>Table</w:t>
      </w:r>
      <w:r w:rsidRPr="006B435E">
        <w:rPr>
          <w:rStyle w:val="CommentReference"/>
          <w:b/>
          <w:szCs w:val="24"/>
        </w:rPr>
        <w:t xml:space="preserve"> </w:t>
      </w:r>
      <w:r w:rsidR="00634094" w:rsidRPr="006B435E">
        <w:rPr>
          <w:rStyle w:val="CommentReference"/>
          <w:b/>
          <w:szCs w:val="24"/>
        </w:rPr>
        <w:t>7</w:t>
      </w:r>
      <w:bookmarkEnd w:id="22"/>
      <w:r w:rsidRPr="006B435E">
        <w:t>: Results of Indirect comparison of safety outcomes</w:t>
      </w:r>
    </w:p>
    <w:tbl>
      <w:tblPr>
        <w:tblStyle w:val="Summarybox1"/>
        <w:tblW w:w="5000" w:type="pct"/>
        <w:tblCellMar>
          <w:left w:w="28" w:type="dxa"/>
          <w:right w:w="28" w:type="dxa"/>
        </w:tblCellMar>
        <w:tblLook w:val="04A0" w:firstRow="1" w:lastRow="0" w:firstColumn="1" w:lastColumn="0" w:noHBand="0" w:noVBand="1"/>
        <w:tblCaption w:val="Table 7: Results of Indirect comparison of safety outcomes"/>
      </w:tblPr>
      <w:tblGrid>
        <w:gridCol w:w="1016"/>
        <w:gridCol w:w="1144"/>
        <w:gridCol w:w="1145"/>
        <w:gridCol w:w="1145"/>
        <w:gridCol w:w="1143"/>
        <w:gridCol w:w="1145"/>
        <w:gridCol w:w="1145"/>
        <w:gridCol w:w="1134"/>
      </w:tblGrid>
      <w:tr w:rsidR="00D16E73" w:rsidRPr="006B435E" w:rsidTr="005B4049">
        <w:trPr>
          <w:tblHeader/>
        </w:trPr>
        <w:tc>
          <w:tcPr>
            <w:tcW w:w="563" w:type="pct"/>
            <w:vMerge w:val="restart"/>
            <w:vAlign w:val="bottom"/>
          </w:tcPr>
          <w:p w:rsidR="00D16E73" w:rsidRPr="006B435E" w:rsidRDefault="00D16E73" w:rsidP="00B25F95">
            <w:pPr>
              <w:pStyle w:val="TableText0"/>
              <w:spacing w:line="240" w:lineRule="auto"/>
              <w:rPr>
                <w:b/>
              </w:rPr>
            </w:pPr>
            <w:bookmarkStart w:id="23" w:name="_GoBack" w:colFirst="0" w:colLast="4"/>
            <w:r w:rsidRPr="006B435E">
              <w:rPr>
                <w:b/>
              </w:rPr>
              <w:t>AE, n (%)</w:t>
            </w:r>
          </w:p>
        </w:tc>
        <w:tc>
          <w:tcPr>
            <w:tcW w:w="1904" w:type="pct"/>
            <w:gridSpan w:val="3"/>
          </w:tcPr>
          <w:p w:rsidR="00D16E73" w:rsidRPr="006B435E" w:rsidRDefault="00D16E73" w:rsidP="00B25F95">
            <w:pPr>
              <w:pStyle w:val="TableText0"/>
              <w:spacing w:line="240" w:lineRule="auto"/>
              <w:jc w:val="center"/>
              <w:rPr>
                <w:b/>
              </w:rPr>
            </w:pPr>
            <w:r w:rsidRPr="006B435E">
              <w:rPr>
                <w:b/>
              </w:rPr>
              <w:t>CASPIAN</w:t>
            </w:r>
          </w:p>
        </w:tc>
        <w:tc>
          <w:tcPr>
            <w:tcW w:w="1904" w:type="pct"/>
            <w:gridSpan w:val="3"/>
          </w:tcPr>
          <w:p w:rsidR="00D16E73" w:rsidRPr="006B435E" w:rsidRDefault="00D16E73" w:rsidP="00B25F95">
            <w:pPr>
              <w:pStyle w:val="TableText0"/>
              <w:spacing w:line="240" w:lineRule="auto"/>
              <w:jc w:val="center"/>
              <w:rPr>
                <w:b/>
              </w:rPr>
            </w:pPr>
            <w:r w:rsidRPr="006B435E">
              <w:rPr>
                <w:b/>
              </w:rPr>
              <w:t>IMpower133</w:t>
            </w:r>
          </w:p>
        </w:tc>
        <w:tc>
          <w:tcPr>
            <w:tcW w:w="629" w:type="pct"/>
            <w:vMerge w:val="restart"/>
            <w:vAlign w:val="center"/>
          </w:tcPr>
          <w:p w:rsidR="00D16E73" w:rsidRPr="006B435E" w:rsidRDefault="00D16E73" w:rsidP="00B25F95">
            <w:pPr>
              <w:pStyle w:val="TableText0"/>
              <w:spacing w:line="240" w:lineRule="auto"/>
              <w:jc w:val="center"/>
              <w:rPr>
                <w:b/>
              </w:rPr>
            </w:pPr>
            <w:r w:rsidRPr="006B435E">
              <w:rPr>
                <w:b/>
              </w:rPr>
              <w:t>OR (CI)</w:t>
            </w:r>
          </w:p>
          <w:p w:rsidR="00D16E73" w:rsidRPr="006B435E" w:rsidRDefault="00D16E73" w:rsidP="00B25F95">
            <w:pPr>
              <w:pStyle w:val="TableText0"/>
              <w:spacing w:line="240" w:lineRule="auto"/>
              <w:jc w:val="center"/>
              <w:rPr>
                <w:b/>
              </w:rPr>
            </w:pPr>
            <w:r w:rsidRPr="006B435E">
              <w:rPr>
                <w:b/>
              </w:rPr>
              <w:t>D+EP vs.</w:t>
            </w:r>
          </w:p>
          <w:p w:rsidR="00D16E73" w:rsidRPr="006B435E" w:rsidRDefault="00D16E73" w:rsidP="00B25F95">
            <w:pPr>
              <w:pStyle w:val="TableText0"/>
              <w:spacing w:line="240" w:lineRule="auto"/>
              <w:jc w:val="center"/>
              <w:rPr>
                <w:b/>
              </w:rPr>
            </w:pPr>
            <w:r w:rsidRPr="006B435E">
              <w:rPr>
                <w:b/>
              </w:rPr>
              <w:t>A+EP</w:t>
            </w:r>
          </w:p>
        </w:tc>
      </w:tr>
      <w:bookmarkEnd w:id="23"/>
      <w:tr w:rsidR="00D16E73" w:rsidRPr="006B435E" w:rsidTr="005B4049">
        <w:trPr>
          <w:tblHeader/>
        </w:trPr>
        <w:tc>
          <w:tcPr>
            <w:tcW w:w="563" w:type="pct"/>
            <w:vMerge/>
          </w:tcPr>
          <w:p w:rsidR="00D16E73" w:rsidRPr="006B435E" w:rsidRDefault="00D16E73" w:rsidP="00B25F95">
            <w:pPr>
              <w:pStyle w:val="TableText0"/>
              <w:spacing w:line="240" w:lineRule="auto"/>
              <w:rPr>
                <w:b/>
              </w:rPr>
            </w:pPr>
          </w:p>
        </w:tc>
        <w:tc>
          <w:tcPr>
            <w:tcW w:w="634" w:type="pct"/>
            <w:vAlign w:val="center"/>
          </w:tcPr>
          <w:p w:rsidR="00D16E73" w:rsidRPr="006B435E" w:rsidRDefault="00D16E73" w:rsidP="00B25F95">
            <w:pPr>
              <w:pStyle w:val="TableText0"/>
              <w:spacing w:line="240" w:lineRule="auto"/>
              <w:jc w:val="center"/>
              <w:rPr>
                <w:b/>
              </w:rPr>
            </w:pPr>
            <w:r w:rsidRPr="006B435E">
              <w:rPr>
                <w:b/>
              </w:rPr>
              <w:t>D+EP</w:t>
            </w:r>
          </w:p>
          <w:p w:rsidR="00D16E73" w:rsidRPr="006B435E" w:rsidRDefault="00D16E73" w:rsidP="00B25F95">
            <w:pPr>
              <w:pStyle w:val="TableText0"/>
              <w:spacing w:line="240" w:lineRule="auto"/>
              <w:jc w:val="center"/>
              <w:rPr>
                <w:b/>
              </w:rPr>
            </w:pPr>
            <w:r w:rsidRPr="006B435E">
              <w:rPr>
                <w:b/>
              </w:rPr>
              <w:t>N=265</w:t>
            </w:r>
          </w:p>
        </w:tc>
        <w:tc>
          <w:tcPr>
            <w:tcW w:w="635" w:type="pct"/>
            <w:vAlign w:val="center"/>
          </w:tcPr>
          <w:p w:rsidR="00D16E73" w:rsidRPr="006B435E" w:rsidRDefault="00D16E73" w:rsidP="00B25F95">
            <w:pPr>
              <w:pStyle w:val="TableText0"/>
              <w:spacing w:line="240" w:lineRule="auto"/>
              <w:jc w:val="center"/>
              <w:rPr>
                <w:b/>
              </w:rPr>
            </w:pPr>
            <w:r w:rsidRPr="006B435E">
              <w:rPr>
                <w:b/>
              </w:rPr>
              <w:t>EP</w:t>
            </w:r>
          </w:p>
          <w:p w:rsidR="00D16E73" w:rsidRPr="006B435E" w:rsidRDefault="00D16E73" w:rsidP="00B25F95">
            <w:pPr>
              <w:pStyle w:val="TableText0"/>
              <w:spacing w:line="240" w:lineRule="auto"/>
              <w:jc w:val="center"/>
              <w:rPr>
                <w:b/>
              </w:rPr>
            </w:pPr>
            <w:r w:rsidRPr="006B435E">
              <w:rPr>
                <w:b/>
              </w:rPr>
              <w:t>N=265</w:t>
            </w:r>
          </w:p>
        </w:tc>
        <w:tc>
          <w:tcPr>
            <w:tcW w:w="635" w:type="pct"/>
          </w:tcPr>
          <w:p w:rsidR="00D16E73" w:rsidRPr="006B435E" w:rsidRDefault="00D16E73" w:rsidP="00B25F95">
            <w:pPr>
              <w:pStyle w:val="TableText0"/>
              <w:spacing w:line="240" w:lineRule="auto"/>
              <w:jc w:val="center"/>
              <w:rPr>
                <w:b/>
              </w:rPr>
            </w:pPr>
            <w:r w:rsidRPr="006B435E">
              <w:rPr>
                <w:b/>
              </w:rPr>
              <w:t>Within</w:t>
            </w:r>
            <w:r w:rsidRPr="006B435E">
              <w:rPr>
                <w:b/>
              </w:rPr>
              <w:noBreakHyphen/>
              <w:t>trial OR</w:t>
            </w:r>
          </w:p>
          <w:p w:rsidR="00D16E73" w:rsidRPr="006B435E" w:rsidRDefault="00D16E73" w:rsidP="00B25F95">
            <w:pPr>
              <w:pStyle w:val="TableText0"/>
              <w:spacing w:line="240" w:lineRule="auto"/>
              <w:jc w:val="center"/>
              <w:rPr>
                <w:b/>
              </w:rPr>
            </w:pPr>
            <w:r w:rsidRPr="006B435E">
              <w:rPr>
                <w:b/>
              </w:rPr>
              <w:t>(95% CI)</w:t>
            </w:r>
          </w:p>
        </w:tc>
        <w:tc>
          <w:tcPr>
            <w:tcW w:w="634" w:type="pct"/>
            <w:vAlign w:val="center"/>
          </w:tcPr>
          <w:p w:rsidR="00D16E73" w:rsidRPr="006B435E" w:rsidRDefault="00D16E73" w:rsidP="00B25F95">
            <w:pPr>
              <w:pStyle w:val="TableText0"/>
              <w:spacing w:line="240" w:lineRule="auto"/>
              <w:jc w:val="center"/>
              <w:rPr>
                <w:b/>
              </w:rPr>
            </w:pPr>
            <w:r w:rsidRPr="006B435E">
              <w:rPr>
                <w:b/>
              </w:rPr>
              <w:t>A+EP</w:t>
            </w:r>
          </w:p>
          <w:p w:rsidR="00D16E73" w:rsidRPr="006B435E" w:rsidRDefault="00D16E73" w:rsidP="00B25F95">
            <w:pPr>
              <w:pStyle w:val="TableText0"/>
              <w:spacing w:line="240" w:lineRule="auto"/>
              <w:jc w:val="center"/>
              <w:rPr>
                <w:b/>
              </w:rPr>
            </w:pPr>
            <w:r w:rsidRPr="006B435E">
              <w:rPr>
                <w:b/>
              </w:rPr>
              <w:t>N=198</w:t>
            </w:r>
          </w:p>
        </w:tc>
        <w:tc>
          <w:tcPr>
            <w:tcW w:w="635" w:type="pct"/>
            <w:vAlign w:val="center"/>
          </w:tcPr>
          <w:p w:rsidR="00D16E73" w:rsidRPr="006B435E" w:rsidRDefault="00D16E73" w:rsidP="00B25F95">
            <w:pPr>
              <w:pStyle w:val="TableText0"/>
              <w:spacing w:line="240" w:lineRule="auto"/>
              <w:jc w:val="center"/>
              <w:rPr>
                <w:b/>
              </w:rPr>
            </w:pPr>
            <w:r w:rsidRPr="006B435E">
              <w:rPr>
                <w:b/>
              </w:rPr>
              <w:t>EP</w:t>
            </w:r>
          </w:p>
          <w:p w:rsidR="00D16E73" w:rsidRPr="006B435E" w:rsidRDefault="00D16E73" w:rsidP="00B25F95">
            <w:pPr>
              <w:pStyle w:val="TableText0"/>
              <w:spacing w:line="240" w:lineRule="auto"/>
              <w:jc w:val="center"/>
              <w:rPr>
                <w:b/>
              </w:rPr>
            </w:pPr>
            <w:r w:rsidRPr="006B435E">
              <w:rPr>
                <w:b/>
              </w:rPr>
              <w:t>N=196</w:t>
            </w:r>
          </w:p>
        </w:tc>
        <w:tc>
          <w:tcPr>
            <w:tcW w:w="635" w:type="pct"/>
          </w:tcPr>
          <w:p w:rsidR="00D16E73" w:rsidRPr="006B435E" w:rsidRDefault="00D16E73" w:rsidP="00B25F95">
            <w:pPr>
              <w:pStyle w:val="TableText0"/>
              <w:spacing w:line="240" w:lineRule="auto"/>
              <w:jc w:val="center"/>
              <w:rPr>
                <w:b/>
              </w:rPr>
            </w:pPr>
            <w:r w:rsidRPr="006B435E">
              <w:rPr>
                <w:b/>
              </w:rPr>
              <w:t>Within</w:t>
            </w:r>
            <w:r w:rsidRPr="006B435E">
              <w:rPr>
                <w:b/>
              </w:rPr>
              <w:noBreakHyphen/>
              <w:t>trial</w:t>
            </w:r>
          </w:p>
          <w:p w:rsidR="00D16E73" w:rsidRPr="006B435E" w:rsidRDefault="00D16E73" w:rsidP="00B25F95">
            <w:pPr>
              <w:pStyle w:val="TableText0"/>
              <w:spacing w:line="240" w:lineRule="auto"/>
              <w:jc w:val="center"/>
              <w:rPr>
                <w:b/>
              </w:rPr>
            </w:pPr>
            <w:r w:rsidRPr="006B435E">
              <w:rPr>
                <w:b/>
              </w:rPr>
              <w:t>OR</w:t>
            </w:r>
          </w:p>
          <w:p w:rsidR="00D16E73" w:rsidRPr="006B435E" w:rsidRDefault="00D16E73" w:rsidP="00B25F95">
            <w:pPr>
              <w:pStyle w:val="TableText0"/>
              <w:spacing w:line="240" w:lineRule="auto"/>
              <w:jc w:val="center"/>
              <w:rPr>
                <w:b/>
              </w:rPr>
            </w:pPr>
            <w:r w:rsidRPr="006B435E">
              <w:rPr>
                <w:b/>
              </w:rPr>
              <w:t>(95% CI)</w:t>
            </w:r>
          </w:p>
        </w:tc>
        <w:tc>
          <w:tcPr>
            <w:tcW w:w="629" w:type="pct"/>
            <w:vMerge/>
          </w:tcPr>
          <w:p w:rsidR="00D16E73" w:rsidRPr="006B435E" w:rsidRDefault="00D16E73" w:rsidP="00B25F95">
            <w:pPr>
              <w:pStyle w:val="TableText0"/>
              <w:spacing w:line="240" w:lineRule="auto"/>
              <w:jc w:val="center"/>
              <w:rPr>
                <w:b/>
              </w:rPr>
            </w:pPr>
          </w:p>
        </w:tc>
      </w:tr>
      <w:tr w:rsidR="00D16E73" w:rsidRPr="006B435E" w:rsidTr="00B25F95">
        <w:tc>
          <w:tcPr>
            <w:tcW w:w="5000" w:type="pct"/>
            <w:gridSpan w:val="8"/>
            <w:vAlign w:val="center"/>
          </w:tcPr>
          <w:p w:rsidR="00D16E73" w:rsidRPr="006B435E" w:rsidRDefault="00D16E73" w:rsidP="00B25F95">
            <w:pPr>
              <w:pStyle w:val="TableText0"/>
              <w:spacing w:line="240" w:lineRule="auto"/>
              <w:rPr>
                <w:b/>
              </w:rPr>
            </w:pPr>
            <w:r w:rsidRPr="006B435E">
              <w:rPr>
                <w:b/>
              </w:rPr>
              <w:t>Final analyses</w:t>
            </w:r>
          </w:p>
        </w:tc>
      </w:tr>
      <w:tr w:rsidR="00D16E73" w:rsidRPr="006B435E" w:rsidTr="00B25F95">
        <w:tc>
          <w:tcPr>
            <w:tcW w:w="563" w:type="pct"/>
            <w:vAlign w:val="center"/>
          </w:tcPr>
          <w:p w:rsidR="00D16E73" w:rsidRPr="006B435E" w:rsidRDefault="00D16E73" w:rsidP="00B25F95">
            <w:pPr>
              <w:pStyle w:val="TableText0"/>
              <w:spacing w:line="240" w:lineRule="auto"/>
            </w:pPr>
            <w:r w:rsidRPr="006B435E">
              <w:t>Any AE</w:t>
            </w:r>
          </w:p>
        </w:tc>
        <w:tc>
          <w:tcPr>
            <w:tcW w:w="634" w:type="pct"/>
            <w:vAlign w:val="center"/>
          </w:tcPr>
          <w:p w:rsidR="00D16E73" w:rsidRPr="006B435E" w:rsidRDefault="00D16E73" w:rsidP="00B25F95">
            <w:pPr>
              <w:pStyle w:val="TableText0"/>
              <w:spacing w:line="240" w:lineRule="auto"/>
              <w:jc w:val="center"/>
            </w:pPr>
            <w:r w:rsidRPr="006B435E">
              <w:rPr>
                <w:rFonts w:cs="Calibri"/>
              </w:rPr>
              <w:t>260 (98.11)</w:t>
            </w:r>
          </w:p>
        </w:tc>
        <w:tc>
          <w:tcPr>
            <w:tcW w:w="635" w:type="pct"/>
            <w:vAlign w:val="center"/>
          </w:tcPr>
          <w:p w:rsidR="00D16E73" w:rsidRPr="006B435E" w:rsidRDefault="00D16E73" w:rsidP="00B25F95">
            <w:pPr>
              <w:pStyle w:val="TableText0"/>
              <w:spacing w:line="240" w:lineRule="auto"/>
              <w:jc w:val="center"/>
            </w:pPr>
            <w:r w:rsidRPr="006B435E">
              <w:rPr>
                <w:rFonts w:cs="Calibri"/>
              </w:rPr>
              <w:t>258 (96.99)</w:t>
            </w:r>
          </w:p>
        </w:tc>
        <w:tc>
          <w:tcPr>
            <w:tcW w:w="635" w:type="pct"/>
          </w:tcPr>
          <w:p w:rsidR="00D16E73" w:rsidRPr="006B435E" w:rsidRDefault="00D16E73" w:rsidP="00B25F95">
            <w:pPr>
              <w:pStyle w:val="TableText0"/>
              <w:spacing w:line="240" w:lineRule="auto"/>
              <w:jc w:val="center"/>
            </w:pPr>
            <w:r w:rsidRPr="006B435E">
              <w:rPr>
                <w:rFonts w:cs="Calibri"/>
              </w:rPr>
              <w:t>1.61</w:t>
            </w:r>
            <w:r w:rsidRPr="006B435E">
              <w:rPr>
                <w:rFonts w:cs="Calibri"/>
              </w:rPr>
              <w:br/>
              <w:t xml:space="preserve"> (0.52, 4.99)</w:t>
            </w:r>
          </w:p>
        </w:tc>
        <w:tc>
          <w:tcPr>
            <w:tcW w:w="634" w:type="pct"/>
            <w:vAlign w:val="center"/>
          </w:tcPr>
          <w:p w:rsidR="00D16E73" w:rsidRPr="006B435E" w:rsidRDefault="00D16E73" w:rsidP="00B25F95">
            <w:pPr>
              <w:pStyle w:val="TableText0"/>
              <w:spacing w:line="240" w:lineRule="auto"/>
              <w:jc w:val="center"/>
            </w:pPr>
            <w:r w:rsidRPr="006B435E">
              <w:rPr>
                <w:rFonts w:cs="Calibri"/>
              </w:rPr>
              <w:t>198 (100)</w:t>
            </w:r>
          </w:p>
        </w:tc>
        <w:tc>
          <w:tcPr>
            <w:tcW w:w="635" w:type="pct"/>
            <w:vAlign w:val="center"/>
          </w:tcPr>
          <w:p w:rsidR="00D16E73" w:rsidRPr="006B435E" w:rsidRDefault="00D16E73" w:rsidP="00B25F95">
            <w:pPr>
              <w:pStyle w:val="TableText0"/>
              <w:spacing w:line="240" w:lineRule="auto"/>
              <w:jc w:val="center"/>
            </w:pPr>
            <w:r w:rsidRPr="006B435E">
              <w:rPr>
                <w:rFonts w:cs="Calibri"/>
              </w:rPr>
              <w:t>189 (96.4)</w:t>
            </w:r>
          </w:p>
        </w:tc>
        <w:tc>
          <w:tcPr>
            <w:tcW w:w="635" w:type="pct"/>
          </w:tcPr>
          <w:p w:rsidR="00D16E73" w:rsidRPr="006B435E" w:rsidRDefault="00D16E73" w:rsidP="00B25F95">
            <w:pPr>
              <w:pStyle w:val="TableText0"/>
              <w:spacing w:line="240" w:lineRule="auto"/>
              <w:jc w:val="center"/>
              <w:rPr>
                <w:rFonts w:cs="Calibri"/>
              </w:rPr>
            </w:pPr>
            <w:r w:rsidRPr="006B435E">
              <w:rPr>
                <w:rFonts w:cs="Calibri"/>
              </w:rPr>
              <w:t>15.72</w:t>
            </w:r>
          </w:p>
          <w:p w:rsidR="00D16E73" w:rsidRPr="006B435E" w:rsidRDefault="00D16E73" w:rsidP="00B25F95">
            <w:pPr>
              <w:pStyle w:val="TableText0"/>
              <w:spacing w:line="240" w:lineRule="auto"/>
              <w:jc w:val="center"/>
            </w:pPr>
            <w:r w:rsidRPr="006B435E">
              <w:rPr>
                <w:rFonts w:cs="Calibri"/>
              </w:rPr>
              <w:t>(0.89, 277.11)</w:t>
            </w:r>
          </w:p>
        </w:tc>
        <w:tc>
          <w:tcPr>
            <w:tcW w:w="629" w:type="pct"/>
          </w:tcPr>
          <w:p w:rsidR="00D16E73" w:rsidRPr="006B435E" w:rsidRDefault="00D16E73" w:rsidP="00B25F95">
            <w:pPr>
              <w:pStyle w:val="TableText0"/>
              <w:spacing w:line="240" w:lineRule="auto"/>
              <w:jc w:val="center"/>
              <w:rPr>
                <w:b/>
                <w:bCs w:val="0"/>
              </w:rPr>
            </w:pPr>
            <w:r w:rsidRPr="006B435E">
              <w:rPr>
                <w:rFonts w:cs="Calibri"/>
                <w:b/>
              </w:rPr>
              <w:t>0.1</w:t>
            </w:r>
            <w:r w:rsidRPr="006B435E">
              <w:rPr>
                <w:rFonts w:cs="Calibri"/>
                <w:b/>
              </w:rPr>
              <w:br/>
              <w:t>(0.00, 2.24)</w:t>
            </w:r>
          </w:p>
        </w:tc>
      </w:tr>
      <w:tr w:rsidR="00D16E73" w:rsidRPr="006B435E" w:rsidTr="00B25F95">
        <w:tc>
          <w:tcPr>
            <w:tcW w:w="563" w:type="pct"/>
            <w:vAlign w:val="center"/>
          </w:tcPr>
          <w:p w:rsidR="00D16E73" w:rsidRPr="006B435E" w:rsidRDefault="00D16E73" w:rsidP="00B25F95">
            <w:pPr>
              <w:pStyle w:val="TableText0"/>
              <w:spacing w:line="240" w:lineRule="auto"/>
            </w:pPr>
            <w:r w:rsidRPr="006B435E">
              <w:t>Any AE, Grade 3/4</w:t>
            </w:r>
          </w:p>
        </w:tc>
        <w:tc>
          <w:tcPr>
            <w:tcW w:w="634" w:type="pct"/>
            <w:vAlign w:val="center"/>
          </w:tcPr>
          <w:p w:rsidR="00D16E73" w:rsidRPr="006B435E" w:rsidRDefault="00D16E73" w:rsidP="00B25F95">
            <w:pPr>
              <w:pStyle w:val="TableText0"/>
              <w:spacing w:line="240" w:lineRule="auto"/>
              <w:jc w:val="center"/>
            </w:pPr>
            <w:r w:rsidRPr="006B435E">
              <w:rPr>
                <w:rFonts w:cs="Calibri"/>
              </w:rPr>
              <w:t>165 (62.26)</w:t>
            </w:r>
          </w:p>
        </w:tc>
        <w:tc>
          <w:tcPr>
            <w:tcW w:w="635" w:type="pct"/>
            <w:vAlign w:val="center"/>
          </w:tcPr>
          <w:p w:rsidR="00D16E73" w:rsidRPr="006B435E" w:rsidRDefault="00D16E73" w:rsidP="00B25F95">
            <w:pPr>
              <w:pStyle w:val="TableText0"/>
              <w:spacing w:line="240" w:lineRule="auto"/>
              <w:jc w:val="center"/>
            </w:pPr>
            <w:r w:rsidRPr="006B435E">
              <w:rPr>
                <w:rFonts w:cs="Calibri"/>
              </w:rPr>
              <w:t>167 (62.78)</w:t>
            </w:r>
          </w:p>
        </w:tc>
        <w:tc>
          <w:tcPr>
            <w:tcW w:w="635" w:type="pct"/>
          </w:tcPr>
          <w:p w:rsidR="00D16E73" w:rsidRPr="006B435E" w:rsidRDefault="00D16E73" w:rsidP="00B25F95">
            <w:pPr>
              <w:pStyle w:val="TableText0"/>
              <w:spacing w:line="240" w:lineRule="auto"/>
              <w:jc w:val="center"/>
            </w:pPr>
            <w:r w:rsidRPr="006B435E">
              <w:rPr>
                <w:rFonts w:cs="Calibri"/>
              </w:rPr>
              <w:t xml:space="preserve">0.98 </w:t>
            </w:r>
            <w:r w:rsidRPr="006B435E">
              <w:rPr>
                <w:rFonts w:cs="Calibri"/>
              </w:rPr>
              <w:br/>
              <w:t>(0.69, 1.39)</w:t>
            </w:r>
          </w:p>
        </w:tc>
        <w:tc>
          <w:tcPr>
            <w:tcW w:w="634" w:type="pct"/>
            <w:vAlign w:val="center"/>
          </w:tcPr>
          <w:p w:rsidR="00D16E73" w:rsidRPr="006B435E" w:rsidRDefault="00D16E73" w:rsidP="00B25F95">
            <w:pPr>
              <w:pStyle w:val="TableText0"/>
              <w:spacing w:line="240" w:lineRule="auto"/>
              <w:jc w:val="center"/>
            </w:pPr>
            <w:r w:rsidRPr="006B435E">
              <w:rPr>
                <w:rFonts w:cs="Calibri"/>
              </w:rPr>
              <w:t>134 (67.7)</w:t>
            </w:r>
          </w:p>
        </w:tc>
        <w:tc>
          <w:tcPr>
            <w:tcW w:w="635" w:type="pct"/>
            <w:vAlign w:val="center"/>
          </w:tcPr>
          <w:p w:rsidR="00D16E73" w:rsidRPr="006B435E" w:rsidRDefault="00D16E73" w:rsidP="00B25F95">
            <w:pPr>
              <w:pStyle w:val="TableText0"/>
              <w:spacing w:line="240" w:lineRule="auto"/>
              <w:jc w:val="center"/>
            </w:pPr>
            <w:r w:rsidRPr="006B435E">
              <w:rPr>
                <w:rFonts w:cs="Calibri"/>
              </w:rPr>
              <w:t>124 (63.3)</w:t>
            </w:r>
          </w:p>
        </w:tc>
        <w:tc>
          <w:tcPr>
            <w:tcW w:w="635" w:type="pct"/>
          </w:tcPr>
          <w:p w:rsidR="00D16E73" w:rsidRPr="006B435E" w:rsidRDefault="00D16E73" w:rsidP="00B25F95">
            <w:pPr>
              <w:pStyle w:val="TableText0"/>
              <w:spacing w:line="240" w:lineRule="auto"/>
              <w:jc w:val="center"/>
              <w:rPr>
                <w:rFonts w:cs="Calibri"/>
              </w:rPr>
            </w:pPr>
            <w:r w:rsidRPr="006B435E">
              <w:rPr>
                <w:rFonts w:cs="Calibri"/>
              </w:rPr>
              <w:t>1.22</w:t>
            </w:r>
          </w:p>
          <w:p w:rsidR="00D16E73" w:rsidRPr="006B435E" w:rsidRDefault="00D16E73" w:rsidP="00B25F95">
            <w:pPr>
              <w:pStyle w:val="TableText0"/>
              <w:spacing w:line="240" w:lineRule="auto"/>
              <w:jc w:val="center"/>
            </w:pPr>
            <w:r w:rsidRPr="006B435E">
              <w:rPr>
                <w:rFonts w:cs="Calibri"/>
              </w:rPr>
              <w:t>(0.8, 1.84)</w:t>
            </w:r>
          </w:p>
        </w:tc>
        <w:tc>
          <w:tcPr>
            <w:tcW w:w="629" w:type="pct"/>
          </w:tcPr>
          <w:p w:rsidR="00D16E73" w:rsidRPr="006B435E" w:rsidRDefault="00D16E73" w:rsidP="00B25F95">
            <w:pPr>
              <w:pStyle w:val="TableText0"/>
              <w:spacing w:line="240" w:lineRule="auto"/>
              <w:jc w:val="center"/>
              <w:rPr>
                <w:b/>
                <w:bCs w:val="0"/>
              </w:rPr>
            </w:pPr>
            <w:r w:rsidRPr="006B435E">
              <w:rPr>
                <w:rFonts w:cs="Calibri"/>
                <w:b/>
              </w:rPr>
              <w:t>0.8</w:t>
            </w:r>
            <w:r w:rsidRPr="006B435E">
              <w:rPr>
                <w:rFonts w:cs="Calibri"/>
                <w:b/>
              </w:rPr>
              <w:br/>
              <w:t>(0.47, 1.39)</w:t>
            </w:r>
          </w:p>
        </w:tc>
      </w:tr>
      <w:tr w:rsidR="00D16E73" w:rsidRPr="006B435E" w:rsidTr="00B25F95">
        <w:tc>
          <w:tcPr>
            <w:tcW w:w="563" w:type="pct"/>
            <w:vAlign w:val="center"/>
          </w:tcPr>
          <w:p w:rsidR="00D16E73" w:rsidRPr="006B435E" w:rsidRDefault="00D16E73" w:rsidP="00B25F95">
            <w:pPr>
              <w:pStyle w:val="TableText0"/>
              <w:spacing w:line="240" w:lineRule="auto"/>
            </w:pPr>
            <w:r w:rsidRPr="006B435E">
              <w:t>Any SAE</w:t>
            </w:r>
          </w:p>
        </w:tc>
        <w:tc>
          <w:tcPr>
            <w:tcW w:w="634" w:type="pct"/>
            <w:vAlign w:val="center"/>
          </w:tcPr>
          <w:p w:rsidR="00D16E73" w:rsidRPr="006B435E" w:rsidRDefault="00D16E73" w:rsidP="00B25F95">
            <w:pPr>
              <w:pStyle w:val="TableText0"/>
              <w:spacing w:line="240" w:lineRule="auto"/>
              <w:jc w:val="center"/>
            </w:pPr>
            <w:r w:rsidRPr="006B435E">
              <w:rPr>
                <w:rFonts w:cs="Calibri"/>
              </w:rPr>
              <w:t>85 (32.08)</w:t>
            </w:r>
          </w:p>
        </w:tc>
        <w:tc>
          <w:tcPr>
            <w:tcW w:w="635" w:type="pct"/>
            <w:vAlign w:val="center"/>
          </w:tcPr>
          <w:p w:rsidR="00D16E73" w:rsidRPr="006B435E" w:rsidRDefault="00D16E73" w:rsidP="00B25F95">
            <w:pPr>
              <w:pStyle w:val="TableText0"/>
              <w:spacing w:line="240" w:lineRule="auto"/>
              <w:jc w:val="center"/>
            </w:pPr>
            <w:r w:rsidRPr="006B435E">
              <w:rPr>
                <w:rFonts w:cs="Calibri"/>
              </w:rPr>
              <w:t>97 (36.47)</w:t>
            </w:r>
          </w:p>
        </w:tc>
        <w:tc>
          <w:tcPr>
            <w:tcW w:w="635" w:type="pct"/>
          </w:tcPr>
          <w:p w:rsidR="00D16E73" w:rsidRPr="006B435E" w:rsidRDefault="00D16E73" w:rsidP="00B25F95">
            <w:pPr>
              <w:pStyle w:val="TableText0"/>
              <w:spacing w:line="240" w:lineRule="auto"/>
              <w:jc w:val="center"/>
            </w:pPr>
            <w:r w:rsidRPr="006B435E">
              <w:rPr>
                <w:rFonts w:cs="Calibri"/>
              </w:rPr>
              <w:t xml:space="preserve">0.82 </w:t>
            </w:r>
            <w:r w:rsidRPr="006B435E">
              <w:rPr>
                <w:rFonts w:cs="Calibri"/>
              </w:rPr>
              <w:br/>
              <w:t>(0.57, 1.18)</w:t>
            </w:r>
          </w:p>
        </w:tc>
        <w:tc>
          <w:tcPr>
            <w:tcW w:w="634" w:type="pct"/>
            <w:vAlign w:val="center"/>
          </w:tcPr>
          <w:p w:rsidR="00D16E73" w:rsidRPr="006B435E" w:rsidRDefault="00D16E73" w:rsidP="00B25F95">
            <w:pPr>
              <w:pStyle w:val="TableText0"/>
              <w:spacing w:line="240" w:lineRule="auto"/>
              <w:jc w:val="center"/>
            </w:pPr>
            <w:r w:rsidRPr="006B435E">
              <w:rPr>
                <w:rFonts w:cs="Calibri"/>
              </w:rPr>
              <w:t>77 (38.9)</w:t>
            </w:r>
          </w:p>
        </w:tc>
        <w:tc>
          <w:tcPr>
            <w:tcW w:w="635" w:type="pct"/>
            <w:vAlign w:val="center"/>
          </w:tcPr>
          <w:p w:rsidR="00D16E73" w:rsidRPr="006B435E" w:rsidRDefault="00D16E73" w:rsidP="00B25F95">
            <w:pPr>
              <w:pStyle w:val="TableText0"/>
              <w:spacing w:line="240" w:lineRule="auto"/>
              <w:jc w:val="center"/>
            </w:pPr>
            <w:r w:rsidRPr="006B435E">
              <w:rPr>
                <w:rFonts w:cs="Calibri"/>
              </w:rPr>
              <w:t>69 (35.2)</w:t>
            </w:r>
          </w:p>
        </w:tc>
        <w:tc>
          <w:tcPr>
            <w:tcW w:w="635" w:type="pct"/>
          </w:tcPr>
          <w:p w:rsidR="00D16E73" w:rsidRPr="006B435E" w:rsidRDefault="00D16E73" w:rsidP="00B25F95">
            <w:pPr>
              <w:pStyle w:val="TableText0"/>
              <w:spacing w:line="240" w:lineRule="auto"/>
              <w:jc w:val="center"/>
              <w:rPr>
                <w:rFonts w:cs="Calibri"/>
              </w:rPr>
            </w:pPr>
            <w:r w:rsidRPr="006B435E">
              <w:rPr>
                <w:rFonts w:cs="Calibri"/>
              </w:rPr>
              <w:t>1.17</w:t>
            </w:r>
          </w:p>
          <w:p w:rsidR="00D16E73" w:rsidRPr="006B435E" w:rsidRDefault="00D16E73" w:rsidP="00B25F95">
            <w:pPr>
              <w:pStyle w:val="TableText0"/>
              <w:spacing w:line="240" w:lineRule="auto"/>
              <w:jc w:val="center"/>
            </w:pPr>
            <w:r w:rsidRPr="006B435E">
              <w:rPr>
                <w:rFonts w:cs="Calibri"/>
              </w:rPr>
              <w:t xml:space="preserve"> (0.78, 1.76)</w:t>
            </w:r>
          </w:p>
        </w:tc>
        <w:tc>
          <w:tcPr>
            <w:tcW w:w="629" w:type="pct"/>
          </w:tcPr>
          <w:p w:rsidR="00D16E73" w:rsidRPr="006B435E" w:rsidRDefault="00D16E73" w:rsidP="00B25F95">
            <w:pPr>
              <w:pStyle w:val="TableText0"/>
              <w:spacing w:line="240" w:lineRule="auto"/>
              <w:jc w:val="center"/>
              <w:rPr>
                <w:b/>
                <w:bCs w:val="0"/>
              </w:rPr>
            </w:pPr>
            <w:r w:rsidRPr="006B435E">
              <w:rPr>
                <w:rFonts w:cs="Calibri"/>
                <w:b/>
              </w:rPr>
              <w:t>0.7</w:t>
            </w:r>
            <w:r w:rsidRPr="006B435E">
              <w:rPr>
                <w:rFonts w:cs="Calibri"/>
                <w:b/>
              </w:rPr>
              <w:br/>
              <w:t>(0.41, 1.21)</w:t>
            </w:r>
          </w:p>
        </w:tc>
      </w:tr>
    </w:tbl>
    <w:p w:rsidR="00D16E73" w:rsidRPr="006B435E" w:rsidRDefault="00D16E73" w:rsidP="00D16E73">
      <w:pPr>
        <w:pStyle w:val="TableFigureFooter"/>
      </w:pPr>
      <w:r w:rsidRPr="006B435E">
        <w:t>Source: Tables 2.6.2 – 2.6.4, pp55-56 of the submission.</w:t>
      </w:r>
    </w:p>
    <w:p w:rsidR="00D16E73" w:rsidRPr="006B435E" w:rsidRDefault="00D16E73" w:rsidP="00D16E73">
      <w:pPr>
        <w:pStyle w:val="TableFigureFooter"/>
      </w:pPr>
      <w:r w:rsidRPr="006B435E">
        <w:t>Bold typography represents statistically significant differences</w:t>
      </w:r>
    </w:p>
    <w:p w:rsidR="00D16E73" w:rsidRPr="006B435E" w:rsidRDefault="00D16E73" w:rsidP="00FF50D7">
      <w:pPr>
        <w:pStyle w:val="TableFigureFooter"/>
      </w:pPr>
      <w:r w:rsidRPr="006B435E">
        <w:t>A = atezolizumab; AE = adverse event; CI = confidence interval;  D = durvalumab; EP = etoposide plus platinum-based chemotherapy; OR = odds ratio; SAE = serious AE</w:t>
      </w:r>
    </w:p>
    <w:p w:rsidR="00202595" w:rsidRPr="006B435E" w:rsidRDefault="00202595" w:rsidP="00202595">
      <w:pPr>
        <w:pStyle w:val="3-BodyText"/>
      </w:pPr>
      <w:r w:rsidRPr="006B435E">
        <w:t>The submission considered that because of the open</w:t>
      </w:r>
      <w:r w:rsidRPr="006B435E">
        <w:noBreakHyphen/>
        <w:t>label trial design, treatment</w:t>
      </w:r>
      <w:r w:rsidRPr="006B435E">
        <w:noBreakHyphen/>
        <w:t>related AEs (TRAEs) are inherently open to reporting bias</w:t>
      </w:r>
      <w:r w:rsidR="0090344B" w:rsidRPr="006B435E">
        <w:t>.</w:t>
      </w:r>
      <w:r w:rsidRPr="006B435E">
        <w:t xml:space="preserve"> </w:t>
      </w:r>
      <w:r w:rsidR="0090344B" w:rsidRPr="006B435E">
        <w:t>D</w:t>
      </w:r>
      <w:r w:rsidRPr="006B435E">
        <w:t>espite this risk, the rate of TRAEs in each arm of the CASPIAN trial were similar (89.43% versus 89.85%). The open label nature of the trial made it more susceptible to selection, detection and performance biases. However, given the overall positive benefit risk assessment in the TGA</w:t>
      </w:r>
      <w:r w:rsidR="0034541E" w:rsidRPr="006B435E">
        <w:t xml:space="preserve"> clinical evaluation report</w:t>
      </w:r>
      <w:r w:rsidRPr="006B435E">
        <w:t xml:space="preserve"> </w:t>
      </w:r>
      <w:r w:rsidR="0034541E" w:rsidRPr="006B435E">
        <w:t>(</w:t>
      </w:r>
      <w:r w:rsidRPr="006B435E">
        <w:t>CER</w:t>
      </w:r>
      <w:r w:rsidR="0034541E" w:rsidRPr="006B435E">
        <w:t>)</w:t>
      </w:r>
      <w:r w:rsidRPr="006B435E">
        <w:t xml:space="preserve">, and the similarity between atezolizumab and durvalumab on a </w:t>
      </w:r>
      <w:r w:rsidR="0021637A" w:rsidRPr="006B435E">
        <w:t>pharmacological</w:t>
      </w:r>
      <w:r w:rsidRPr="006B435E">
        <w:t xml:space="preserve"> level, the lack of difference in </w:t>
      </w:r>
      <w:r w:rsidRPr="006B435E">
        <w:lastRenderedPageBreak/>
        <w:t xml:space="preserve">safety signals would be expected. </w:t>
      </w:r>
      <w:r w:rsidR="00B502A4" w:rsidRPr="006B435E">
        <w:t>Although t</w:t>
      </w:r>
      <w:r w:rsidR="00B502A4" w:rsidRPr="006B435E">
        <w:rPr>
          <w:color w:val="000000" w:themeColor="text1"/>
        </w:rPr>
        <w:t>he open label nature of CASPIAN made such comparisons potentially biased, the ESC noted that no safety signals occurred that suggested a difference between atezolizumab and durvalumab.</w:t>
      </w:r>
      <w:r w:rsidR="0095389C" w:rsidRPr="006B435E">
        <w:rPr>
          <w:color w:val="000000" w:themeColor="text1"/>
        </w:rPr>
        <w:t xml:space="preserve"> The PBAC considered that the safety of durvalumab is expected to be similar to atezolizumab, </w:t>
      </w:r>
      <w:r w:rsidR="00AD40E6" w:rsidRPr="006B435E">
        <w:rPr>
          <w:color w:val="000000" w:themeColor="text1"/>
        </w:rPr>
        <w:t>noting that</w:t>
      </w:r>
      <w:r w:rsidR="0095389C" w:rsidRPr="006B435E">
        <w:rPr>
          <w:color w:val="000000" w:themeColor="text1"/>
        </w:rPr>
        <w:t xml:space="preserve"> they have the same mechanism of action. </w:t>
      </w:r>
    </w:p>
    <w:p w:rsidR="00B60939" w:rsidRPr="006B435E" w:rsidRDefault="00B60939" w:rsidP="00E9094A">
      <w:pPr>
        <w:pStyle w:val="4-SubsectionHeading"/>
      </w:pPr>
      <w:bookmarkStart w:id="24" w:name="_Toc22897644"/>
      <w:bookmarkStart w:id="25" w:name="_Toc50437756"/>
      <w:r w:rsidRPr="006B435E">
        <w:t>Clinical claim</w:t>
      </w:r>
      <w:bookmarkEnd w:id="24"/>
      <w:bookmarkEnd w:id="25"/>
    </w:p>
    <w:p w:rsidR="00202595" w:rsidRPr="006B435E" w:rsidRDefault="00202595" w:rsidP="00202595">
      <w:pPr>
        <w:pStyle w:val="3-BodyText"/>
        <w:rPr>
          <w:rFonts w:eastAsia="Calibri"/>
        </w:rPr>
      </w:pPr>
      <w:r w:rsidRPr="006B435E">
        <w:t>The submission described durvalumab as non-inferior to atezolizumab in efficacy and safety in patients with ES</w:t>
      </w:r>
      <w:r w:rsidR="00FF50D7" w:rsidRPr="006B435E">
        <w:t>-</w:t>
      </w:r>
      <w:r w:rsidRPr="006B435E">
        <w:t>SCLC.</w:t>
      </w:r>
    </w:p>
    <w:p w:rsidR="00745275" w:rsidRPr="006B435E" w:rsidRDefault="00202595" w:rsidP="00202595">
      <w:pPr>
        <w:pStyle w:val="3-BodyText"/>
        <w:rPr>
          <w:rFonts w:eastAsia="Calibri"/>
        </w:rPr>
      </w:pPr>
      <w:r w:rsidRPr="006B435E">
        <w:t>T</w:t>
      </w:r>
      <w:r w:rsidR="00E911B2" w:rsidRPr="006B435E">
        <w:t>he ESC considered t</w:t>
      </w:r>
      <w:r w:rsidRPr="006B435E">
        <w:t xml:space="preserve">he </w:t>
      </w:r>
      <w:r w:rsidR="00FF50D7" w:rsidRPr="006B435E">
        <w:t>clinical claim</w:t>
      </w:r>
      <w:r w:rsidRPr="006B435E">
        <w:t xml:space="preserve"> </w:t>
      </w:r>
      <w:r w:rsidR="009D5350" w:rsidRPr="006B435E">
        <w:t xml:space="preserve">was adequately supported by the evidence presented in the submission, </w:t>
      </w:r>
      <w:r w:rsidRPr="006B435E">
        <w:t>specifically the overall survival outcomes</w:t>
      </w:r>
      <w:r w:rsidR="00FA6B1A" w:rsidRPr="006B435E">
        <w:t xml:space="preserve"> T</w:t>
      </w:r>
      <w:r w:rsidR="000A764A" w:rsidRPr="006B435E">
        <w:t xml:space="preserve">he ESC considered that, </w:t>
      </w:r>
      <w:r w:rsidR="00403CA7" w:rsidRPr="006B435E">
        <w:t xml:space="preserve">given the pharmacological similarity of the two regimens, </w:t>
      </w:r>
      <w:r w:rsidR="000A764A" w:rsidRPr="006B435E">
        <w:t>and comparability of the trial</w:t>
      </w:r>
      <w:r w:rsidR="00984CA5" w:rsidRPr="006B435E">
        <w:t>s</w:t>
      </w:r>
      <w:r w:rsidR="000A764A" w:rsidRPr="006B435E">
        <w:t xml:space="preserve">, </w:t>
      </w:r>
      <w:r w:rsidR="00FA6B1A" w:rsidRPr="006B435E">
        <w:t>the clinical claim was reasonable, despite some uncertainty regarding the appropriate non-inferiority margin in SCLC</w:t>
      </w:r>
      <w:r w:rsidR="00403CA7" w:rsidRPr="006B435E">
        <w:t>.</w:t>
      </w:r>
      <w:r w:rsidR="00403CA7" w:rsidRPr="006B435E">
        <w:rPr>
          <w:i/>
        </w:rPr>
        <w:t xml:space="preserve"> </w:t>
      </w:r>
      <w:r w:rsidRPr="006B435E">
        <w:t xml:space="preserve">Though the PFS outcomes were susceptible to bias due to the lack of blinding in the CASPIAN trial, they </w:t>
      </w:r>
      <w:r w:rsidR="00D16E73" w:rsidRPr="006B435E">
        <w:t>were consistent with the OS results</w:t>
      </w:r>
      <w:r w:rsidRPr="006B435E">
        <w:t xml:space="preserve">. </w:t>
      </w:r>
    </w:p>
    <w:p w:rsidR="00745275" w:rsidRPr="006B435E" w:rsidRDefault="00745275" w:rsidP="00745275">
      <w:pPr>
        <w:pStyle w:val="3-BodyText"/>
      </w:pPr>
      <w:r w:rsidRPr="006B435E">
        <w:t xml:space="preserve">With regard to the safety claim, the submission did not present comparisons of specific adverse events to adequately support the claim. </w:t>
      </w:r>
      <w:r w:rsidR="002A50B0" w:rsidRPr="006B435E">
        <w:t>T</w:t>
      </w:r>
      <w:r w:rsidRPr="006B435E">
        <w:t>he lack of blinding in the CASPIAN trial</w:t>
      </w:r>
      <w:r w:rsidR="002A50B0" w:rsidRPr="006B435E">
        <w:t xml:space="preserve"> may have impacted on</w:t>
      </w:r>
      <w:r w:rsidRPr="006B435E">
        <w:t xml:space="preserve"> the indirect safety comparison. Overall, the absence of clear safety signals, the </w:t>
      </w:r>
      <w:r w:rsidR="0034541E" w:rsidRPr="006B435E">
        <w:t xml:space="preserve">TGA </w:t>
      </w:r>
      <w:r w:rsidRPr="006B435E">
        <w:t>CER consideration of a favourable benefit-risk profile, and the general similarity of durvalumab and atezolizumab on a pharmacological level suggest comparable safety.</w:t>
      </w:r>
      <w:r w:rsidR="00035BF6" w:rsidRPr="006B435E">
        <w:t xml:space="preserve"> The ESC considered this conclusion reasonable.</w:t>
      </w:r>
    </w:p>
    <w:p w:rsidR="00AD5070" w:rsidRPr="006B435E" w:rsidRDefault="00AD5070" w:rsidP="00AD5070">
      <w:pPr>
        <w:pStyle w:val="3-BodyText"/>
        <w:rPr>
          <w:lang w:eastAsia="en-US"/>
        </w:rPr>
      </w:pPr>
      <w:r w:rsidRPr="006B435E">
        <w:rPr>
          <w:lang w:eastAsia="en-US"/>
        </w:rPr>
        <w:t>The PBAC considered that the claim of non-inferior comparative effectiveness was reasonable.</w:t>
      </w:r>
    </w:p>
    <w:p w:rsidR="00AD5070" w:rsidRPr="006B435E" w:rsidRDefault="00AD5070" w:rsidP="00AD5070">
      <w:pPr>
        <w:pStyle w:val="3-BodyText"/>
        <w:rPr>
          <w:lang w:eastAsia="en-US"/>
        </w:rPr>
      </w:pPr>
      <w:r w:rsidRPr="006B435E">
        <w:rPr>
          <w:lang w:eastAsia="en-US"/>
        </w:rPr>
        <w:t>The PBAC considered that the claim of non-inferior comparative safety was reasonable.</w:t>
      </w:r>
    </w:p>
    <w:p w:rsidR="00B60939" w:rsidRPr="006B435E" w:rsidRDefault="00B60939" w:rsidP="00E9094A">
      <w:pPr>
        <w:pStyle w:val="4-SubsectionHeading"/>
      </w:pPr>
      <w:bookmarkStart w:id="26" w:name="_Toc22897645"/>
      <w:bookmarkStart w:id="27" w:name="_Toc50437757"/>
      <w:r w:rsidRPr="006B435E">
        <w:t>Economic analysis</w:t>
      </w:r>
      <w:bookmarkEnd w:id="26"/>
      <w:bookmarkEnd w:id="27"/>
      <w:r w:rsidR="00491B3A" w:rsidRPr="006B435E">
        <w:t xml:space="preserve"> </w:t>
      </w:r>
    </w:p>
    <w:p w:rsidR="00275C5A" w:rsidRPr="006B435E" w:rsidRDefault="008C7C19" w:rsidP="00641FB3">
      <w:pPr>
        <w:pStyle w:val="3-BodyText"/>
        <w:rPr>
          <w:b/>
          <w:bCs/>
          <w:color w:val="000000" w:themeColor="text1"/>
        </w:rPr>
      </w:pPr>
      <w:r w:rsidRPr="006B435E">
        <w:rPr>
          <w:color w:val="000000" w:themeColor="text1"/>
        </w:rPr>
        <w:t>The submission presented a cost-minimisation analysis against atezolizumab in combination with etoposide plus platinum based chemotherapy. This was consistent with the clinical claim of non-inferiority.</w:t>
      </w:r>
    </w:p>
    <w:p w:rsidR="008C7C19" w:rsidRPr="006B435E" w:rsidRDefault="00FF50D7" w:rsidP="00641FB3">
      <w:pPr>
        <w:pStyle w:val="3-BodyText"/>
        <w:rPr>
          <w:b/>
          <w:bCs/>
          <w:color w:val="000000" w:themeColor="text1"/>
        </w:rPr>
      </w:pPr>
      <w:r w:rsidRPr="006B435E">
        <w:t>Table 8</w:t>
      </w:r>
      <w:r w:rsidR="00977E4F" w:rsidRPr="006B435E">
        <w:rPr>
          <w:color w:val="000000" w:themeColor="text1"/>
        </w:rPr>
        <w:t xml:space="preserve"> </w:t>
      </w:r>
      <w:r w:rsidR="008C7C19" w:rsidRPr="006B435E">
        <w:rPr>
          <w:color w:val="000000" w:themeColor="text1"/>
        </w:rPr>
        <w:t>presents the summary of the cost-minimisation analysis</w:t>
      </w:r>
      <w:r w:rsidR="00EA3D78" w:rsidRPr="006B435E">
        <w:rPr>
          <w:color w:val="000000" w:themeColor="text1"/>
        </w:rPr>
        <w:t xml:space="preserve"> (CMA)</w:t>
      </w:r>
      <w:r w:rsidR="008C7C19" w:rsidRPr="006B435E">
        <w:rPr>
          <w:color w:val="000000" w:themeColor="text1"/>
        </w:rPr>
        <w:t>.</w:t>
      </w:r>
      <w:r w:rsidR="00EA3D78" w:rsidRPr="006B435E">
        <w:rPr>
          <w:color w:val="000000" w:themeColor="text1"/>
        </w:rPr>
        <w:t xml:space="preserve"> </w:t>
      </w:r>
    </w:p>
    <w:p w:rsidR="008C7C19" w:rsidRPr="006B435E" w:rsidRDefault="008C7C19" w:rsidP="008C7C19">
      <w:pPr>
        <w:pStyle w:val="TableFigureHeading"/>
        <w:rPr>
          <w:rStyle w:val="CommentReference"/>
          <w:b/>
          <w:szCs w:val="24"/>
        </w:rPr>
      </w:pPr>
      <w:bookmarkStart w:id="28" w:name="_Ref49791617"/>
      <w:r w:rsidRPr="006B435E">
        <w:rPr>
          <w:rStyle w:val="CommentReference"/>
          <w:b/>
          <w:szCs w:val="24"/>
        </w:rPr>
        <w:lastRenderedPageBreak/>
        <w:t xml:space="preserve">Table </w:t>
      </w:r>
      <w:r w:rsidR="00634094" w:rsidRPr="006B435E">
        <w:rPr>
          <w:rStyle w:val="CommentReference"/>
          <w:b/>
          <w:szCs w:val="24"/>
        </w:rPr>
        <w:t>8</w:t>
      </w:r>
      <w:bookmarkEnd w:id="28"/>
      <w:r w:rsidRPr="006B435E">
        <w:t>:</w:t>
      </w:r>
      <w:r w:rsidRPr="006B435E">
        <w:rPr>
          <w:rStyle w:val="CommentReference"/>
          <w:b/>
          <w:szCs w:val="24"/>
        </w:rPr>
        <w:t xml:space="preserve"> 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60"/>
        <w:gridCol w:w="6520"/>
      </w:tblGrid>
      <w:tr w:rsidR="00745275" w:rsidRPr="006B435E" w:rsidTr="00B25F95">
        <w:tc>
          <w:tcPr>
            <w:tcW w:w="2660" w:type="dxa"/>
            <w:vAlign w:val="center"/>
          </w:tcPr>
          <w:p w:rsidR="00745275" w:rsidRPr="006B435E" w:rsidRDefault="00745275" w:rsidP="00B25F95">
            <w:pPr>
              <w:pStyle w:val="In-tableHeading"/>
              <w:rPr>
                <w:lang w:val="en-AU"/>
              </w:rPr>
            </w:pPr>
            <w:r w:rsidRPr="006B435E">
              <w:rPr>
                <w:lang w:val="en-AU"/>
              </w:rPr>
              <w:t>Component</w:t>
            </w:r>
          </w:p>
        </w:tc>
        <w:tc>
          <w:tcPr>
            <w:tcW w:w="6520" w:type="dxa"/>
            <w:vAlign w:val="center"/>
          </w:tcPr>
          <w:p w:rsidR="00745275" w:rsidRPr="006B435E" w:rsidRDefault="00745275" w:rsidP="00B25F95">
            <w:pPr>
              <w:pStyle w:val="In-tableHeading"/>
              <w:rPr>
                <w:lang w:val="en-AU"/>
              </w:rPr>
            </w:pPr>
            <w:r w:rsidRPr="006B435E">
              <w:rPr>
                <w:lang w:val="en-AU"/>
              </w:rPr>
              <w:t>Claim or assumption</w:t>
            </w:r>
          </w:p>
        </w:tc>
      </w:tr>
      <w:tr w:rsidR="00745275" w:rsidRPr="006B435E" w:rsidTr="00B25F95">
        <w:tc>
          <w:tcPr>
            <w:tcW w:w="2660" w:type="dxa"/>
            <w:vAlign w:val="center"/>
          </w:tcPr>
          <w:p w:rsidR="00745275" w:rsidRPr="006B435E" w:rsidRDefault="00745275" w:rsidP="00B25F95">
            <w:pPr>
              <w:pStyle w:val="TableText0"/>
            </w:pPr>
            <w:r w:rsidRPr="006B435E">
              <w:t>Therapeutic claim: effectiveness</w:t>
            </w:r>
          </w:p>
        </w:tc>
        <w:tc>
          <w:tcPr>
            <w:tcW w:w="6520" w:type="dxa"/>
            <w:vAlign w:val="center"/>
          </w:tcPr>
          <w:p w:rsidR="00745275" w:rsidRPr="006B435E" w:rsidRDefault="00745275" w:rsidP="00984CA5">
            <w:pPr>
              <w:pStyle w:val="TableText0"/>
            </w:pPr>
            <w:r w:rsidRPr="006B435E">
              <w:t xml:space="preserve">Based on evidence presented in </w:t>
            </w:r>
            <w:r w:rsidR="009D5350" w:rsidRPr="006B435E">
              <w:t>the submission</w:t>
            </w:r>
            <w:r w:rsidRPr="006B435E">
              <w:t>, effectiveness is assumed to be non-inferior to atezolizumab.</w:t>
            </w:r>
          </w:p>
        </w:tc>
      </w:tr>
      <w:tr w:rsidR="00745275" w:rsidRPr="006B435E" w:rsidTr="00B25F95">
        <w:tc>
          <w:tcPr>
            <w:tcW w:w="2660" w:type="dxa"/>
            <w:vAlign w:val="center"/>
          </w:tcPr>
          <w:p w:rsidR="00745275" w:rsidRPr="006B435E" w:rsidRDefault="00745275" w:rsidP="00B25F95">
            <w:pPr>
              <w:pStyle w:val="TableText0"/>
            </w:pPr>
            <w:r w:rsidRPr="006B435E">
              <w:t>Therapeutic claim: safety</w:t>
            </w:r>
          </w:p>
        </w:tc>
        <w:tc>
          <w:tcPr>
            <w:tcW w:w="6520" w:type="dxa"/>
            <w:vAlign w:val="center"/>
          </w:tcPr>
          <w:p w:rsidR="00745275" w:rsidRPr="006B435E" w:rsidRDefault="00745275" w:rsidP="00984CA5">
            <w:pPr>
              <w:pStyle w:val="TableText0"/>
            </w:pPr>
            <w:r w:rsidRPr="006B435E">
              <w:t xml:space="preserve">Based on evidence presented in </w:t>
            </w:r>
            <w:r w:rsidR="009D5350" w:rsidRPr="006B435E">
              <w:t>the submission</w:t>
            </w:r>
            <w:r w:rsidRPr="006B435E">
              <w:t>, safety is assumed to be non-inferior to atezolizumab.</w:t>
            </w:r>
          </w:p>
        </w:tc>
      </w:tr>
      <w:tr w:rsidR="00745275" w:rsidRPr="006B435E" w:rsidTr="00B25F95">
        <w:tc>
          <w:tcPr>
            <w:tcW w:w="2660" w:type="dxa"/>
            <w:vAlign w:val="center"/>
          </w:tcPr>
          <w:p w:rsidR="00745275" w:rsidRPr="006B435E" w:rsidRDefault="00745275" w:rsidP="00B25F95">
            <w:pPr>
              <w:pStyle w:val="TableText0"/>
            </w:pPr>
            <w:r w:rsidRPr="006B435E">
              <w:t>Evidence base</w:t>
            </w:r>
          </w:p>
        </w:tc>
        <w:tc>
          <w:tcPr>
            <w:tcW w:w="6520" w:type="dxa"/>
            <w:vAlign w:val="center"/>
          </w:tcPr>
          <w:p w:rsidR="00745275" w:rsidRPr="006B435E" w:rsidRDefault="00745275" w:rsidP="00035BF6">
            <w:pPr>
              <w:pStyle w:val="TableText0"/>
            </w:pPr>
            <w:r w:rsidRPr="006B435E">
              <w:t xml:space="preserve">Comparison of durvalumab and atezolizumab via </w:t>
            </w:r>
            <w:r w:rsidR="00035BF6" w:rsidRPr="006B435E">
              <w:t>EP</w:t>
            </w:r>
            <w:r w:rsidRPr="006B435E">
              <w:t xml:space="preserve"> as a common comparator (CASPIAN and IMPower133 trials).</w:t>
            </w:r>
          </w:p>
        </w:tc>
      </w:tr>
      <w:tr w:rsidR="00745275" w:rsidRPr="006B435E" w:rsidTr="00B25F95">
        <w:tc>
          <w:tcPr>
            <w:tcW w:w="2660" w:type="dxa"/>
            <w:vAlign w:val="center"/>
          </w:tcPr>
          <w:p w:rsidR="00745275" w:rsidRPr="006B435E" w:rsidRDefault="00745275" w:rsidP="00B25F95">
            <w:pPr>
              <w:pStyle w:val="TableText0"/>
            </w:pPr>
            <w:r w:rsidRPr="006B435E">
              <w:t>Equi-effective doses</w:t>
            </w:r>
          </w:p>
        </w:tc>
        <w:tc>
          <w:tcPr>
            <w:tcW w:w="6520" w:type="dxa"/>
            <w:vAlign w:val="center"/>
          </w:tcPr>
          <w:p w:rsidR="00745275" w:rsidRPr="006B435E" w:rsidRDefault="00745275" w:rsidP="00B25F95">
            <w:pPr>
              <w:pStyle w:val="TableText0"/>
            </w:pPr>
            <w:r w:rsidRPr="006B435E">
              <w:t>Durvalumab 1500 mg q3w with EP for up to 4 cycles then as monotherapy q4w until disease progression or unacceptable toxicity is equi-effective to atezolizumab 1200 mg q3w with EP for 4–6 cycles then as monotherapy q3w until disease progression or unacceptable toxicity.</w:t>
            </w:r>
            <w:r w:rsidR="007E7F97" w:rsidRPr="006B435E">
              <w:t xml:space="preserve"> </w:t>
            </w:r>
            <w:r w:rsidR="00EE6990" w:rsidRPr="006B435E">
              <w:t>In the PSCR t</w:t>
            </w:r>
            <w:r w:rsidR="007E7F97" w:rsidRPr="006B435E">
              <w:t xml:space="preserve">his was revised to atezolizumab 1200 mg q3w with EP for 4–6 cycles then as monotherapy </w:t>
            </w:r>
            <w:r w:rsidR="00EE6990" w:rsidRPr="006B435E">
              <w:t>1680 mg q4</w:t>
            </w:r>
            <w:r w:rsidR="007E7F97" w:rsidRPr="006B435E">
              <w:t>w until disease progression or unacceptable toxicity</w:t>
            </w:r>
            <w:r w:rsidR="00EE6990" w:rsidRPr="006B435E">
              <w:t>.</w:t>
            </w:r>
          </w:p>
        </w:tc>
      </w:tr>
      <w:tr w:rsidR="00745275" w:rsidRPr="006B435E" w:rsidTr="00B25F95">
        <w:tc>
          <w:tcPr>
            <w:tcW w:w="2660" w:type="dxa"/>
            <w:vAlign w:val="center"/>
          </w:tcPr>
          <w:p w:rsidR="00745275" w:rsidRPr="006B435E" w:rsidRDefault="00745275" w:rsidP="00B25F95">
            <w:pPr>
              <w:pStyle w:val="TableText0"/>
            </w:pPr>
            <w:r w:rsidRPr="006B435E">
              <w:t>Direct medicine costs</w:t>
            </w:r>
          </w:p>
        </w:tc>
        <w:tc>
          <w:tcPr>
            <w:tcW w:w="6520" w:type="dxa"/>
            <w:vAlign w:val="center"/>
          </w:tcPr>
          <w:p w:rsidR="00745275" w:rsidRPr="006B435E" w:rsidRDefault="00745275" w:rsidP="00FA6B1A">
            <w:pPr>
              <w:pStyle w:val="TableText0"/>
            </w:pPr>
            <w:r w:rsidRPr="006B435E">
              <w:t>The submission stated that a SPA for durvalumab is requested, consistent with that for atezolizumab for ES</w:t>
            </w:r>
            <w:r w:rsidRPr="006B435E">
              <w:noBreakHyphen/>
              <w:t>SCLC. It is proposed that durvalumab be listed at an effective AEMP per vial that reflects the agreed equi</w:t>
            </w:r>
            <w:r w:rsidRPr="006B435E">
              <w:noBreakHyphen/>
              <w:t>effective doses for durvalumab and atezolizumab for the treatment of ES</w:t>
            </w:r>
            <w:r w:rsidRPr="006B435E">
              <w:noBreakHyphen/>
              <w:t xml:space="preserve">SCLC. </w:t>
            </w:r>
          </w:p>
        </w:tc>
      </w:tr>
      <w:tr w:rsidR="00745275" w:rsidRPr="006B435E" w:rsidTr="00B25F95">
        <w:tc>
          <w:tcPr>
            <w:tcW w:w="2660" w:type="dxa"/>
            <w:vAlign w:val="center"/>
          </w:tcPr>
          <w:p w:rsidR="00745275" w:rsidRPr="006B435E" w:rsidRDefault="00745275" w:rsidP="00B25F95">
            <w:pPr>
              <w:pStyle w:val="TableText0"/>
            </w:pPr>
            <w:r w:rsidRPr="006B435E">
              <w:t>Other costs or cost offsets</w:t>
            </w:r>
          </w:p>
        </w:tc>
        <w:tc>
          <w:tcPr>
            <w:tcW w:w="6520" w:type="dxa"/>
            <w:vAlign w:val="center"/>
          </w:tcPr>
          <w:p w:rsidR="00745275" w:rsidRPr="006B435E" w:rsidRDefault="00745275" w:rsidP="00B25F95">
            <w:pPr>
              <w:pStyle w:val="TableText0"/>
            </w:pPr>
            <w:r w:rsidRPr="006B435E">
              <w:t>None.</w:t>
            </w:r>
          </w:p>
        </w:tc>
      </w:tr>
    </w:tbl>
    <w:p w:rsidR="00745275" w:rsidRPr="006B435E" w:rsidRDefault="00745275" w:rsidP="00FF50D7">
      <w:pPr>
        <w:pStyle w:val="TableFigureFooter"/>
        <w:contextualSpacing w:val="0"/>
      </w:pPr>
      <w:r w:rsidRPr="006B435E">
        <w:t>Source: Table 3A.1.1, p67 of the submission. AEMP = Australian ex-manufacturer price; CMA = cost minimisation analysis; EP = etoposide plus platinum based chemotherapy; mg= milligram; ES-SCLC = extensive stage-small cell lung cancer;</w:t>
      </w:r>
      <w:r w:rsidR="0095389C" w:rsidRPr="006B435E">
        <w:t xml:space="preserve"> PSCR = pre-sub-committee response;</w:t>
      </w:r>
      <w:r w:rsidRPr="006B435E">
        <w:t xml:space="preserve"> q3w = every three weeks; q4w = every 4 weeks; SPA = special pricing agreement</w:t>
      </w:r>
    </w:p>
    <w:p w:rsidR="008C7C19" w:rsidRPr="006B435E" w:rsidRDefault="008C7C19" w:rsidP="00FF50D7">
      <w:pPr>
        <w:pStyle w:val="3-BodyText"/>
        <w:spacing w:after="0"/>
      </w:pPr>
      <w:r w:rsidRPr="006B435E">
        <w:t xml:space="preserve">The submission estimated equi-effective doses based on doses given in the CASPIAN and </w:t>
      </w:r>
      <w:r w:rsidR="002E4F4F" w:rsidRPr="006B435E">
        <w:t>IMpower</w:t>
      </w:r>
      <w:r w:rsidRPr="006B435E">
        <w:t>133 trials, as follows:</w:t>
      </w:r>
    </w:p>
    <w:p w:rsidR="00984CA5" w:rsidRPr="006B435E" w:rsidRDefault="008C7C19" w:rsidP="00FF50D7">
      <w:pPr>
        <w:pStyle w:val="ListParagraph"/>
        <w:numPr>
          <w:ilvl w:val="0"/>
          <w:numId w:val="16"/>
        </w:numPr>
        <w:ind w:left="993" w:hanging="284"/>
      </w:pPr>
      <w:r w:rsidRPr="006B435E">
        <w:t xml:space="preserve">Durvalumab 1500 mg every 3 weeks with EP for up to 4 cycles then as monotherapy every 4 weeks until disease progression or unacceptable toxicity </w:t>
      </w:r>
    </w:p>
    <w:p w:rsidR="00984CA5" w:rsidRPr="006B435E" w:rsidRDefault="008C7C19" w:rsidP="00D6634A">
      <w:pPr>
        <w:ind w:left="709"/>
      </w:pPr>
      <w:r w:rsidRPr="006B435E">
        <w:t>is equi</w:t>
      </w:r>
      <w:r w:rsidR="00091BE0" w:rsidRPr="006B435E">
        <w:t>-</w:t>
      </w:r>
      <w:r w:rsidRPr="006B435E">
        <w:t>effective to</w:t>
      </w:r>
    </w:p>
    <w:p w:rsidR="008C7C19" w:rsidRPr="006B435E" w:rsidRDefault="00984CA5" w:rsidP="00FF50D7">
      <w:pPr>
        <w:pStyle w:val="ListParagraph"/>
        <w:numPr>
          <w:ilvl w:val="0"/>
          <w:numId w:val="16"/>
        </w:numPr>
        <w:ind w:left="993" w:hanging="284"/>
      </w:pPr>
      <w:r w:rsidRPr="006B435E">
        <w:t>A</w:t>
      </w:r>
      <w:r w:rsidR="008C7C19" w:rsidRPr="006B435E">
        <w:t>tezolizumab 1200 mg every 3 weeks with EP for 4–6 cycles then as monotherapy every 3 weeks until disease progression or unacceptable toxicity</w:t>
      </w:r>
      <w:r w:rsidR="00FF50D7" w:rsidRPr="006B435E">
        <w:t>.</w:t>
      </w:r>
    </w:p>
    <w:p w:rsidR="00C137E4" w:rsidRPr="006B435E" w:rsidRDefault="004D35E1" w:rsidP="00061875">
      <w:pPr>
        <w:pStyle w:val="3-BodyText"/>
        <w:rPr>
          <w:i/>
          <w:szCs w:val="22"/>
        </w:rPr>
      </w:pPr>
      <w:r w:rsidRPr="006B435E">
        <w:rPr>
          <w:szCs w:val="22"/>
        </w:rPr>
        <w:t xml:space="preserve">The submission did not calculate cost-minimised published prices as it stated that this was not informative, and stated that a CMA based on effective prices can only be realised once the confidential effective AEMP for atezolizumab in ES-SCLC is incorporated. </w:t>
      </w:r>
      <w:r w:rsidR="00FA6B1A" w:rsidRPr="006B435E">
        <w:rPr>
          <w:szCs w:val="22"/>
        </w:rPr>
        <w:t>T</w:t>
      </w:r>
      <w:r w:rsidR="00C137E4" w:rsidRPr="006B435E">
        <w:rPr>
          <w:szCs w:val="22"/>
        </w:rPr>
        <w:t xml:space="preserve">he submission included a spreadsheet for the purpose of calculating a cost-minimisation price once the atezolizumab price was made available. This calculation did not specifically rely </w:t>
      </w:r>
      <w:r w:rsidR="009E215B" w:rsidRPr="006B435E">
        <w:rPr>
          <w:szCs w:val="22"/>
        </w:rPr>
        <w:t xml:space="preserve">on </w:t>
      </w:r>
      <w:r w:rsidR="00C137E4" w:rsidRPr="006B435E">
        <w:rPr>
          <w:szCs w:val="22"/>
        </w:rPr>
        <w:t>the</w:t>
      </w:r>
      <w:r w:rsidR="009E215B" w:rsidRPr="006B435E">
        <w:rPr>
          <w:szCs w:val="22"/>
        </w:rPr>
        <w:t xml:space="preserve"> description of</w:t>
      </w:r>
      <w:r w:rsidR="00C137E4" w:rsidRPr="006B435E">
        <w:rPr>
          <w:szCs w:val="22"/>
        </w:rPr>
        <w:t xml:space="preserve"> equi-effective dosing above, but rather simply assumed an equal number of 1500</w:t>
      </w:r>
      <w:r w:rsidR="00843227" w:rsidRPr="006B435E">
        <w:rPr>
          <w:szCs w:val="22"/>
        </w:rPr>
        <w:t xml:space="preserve"> </w:t>
      </w:r>
      <w:r w:rsidR="00C137E4" w:rsidRPr="006B435E">
        <w:rPr>
          <w:szCs w:val="22"/>
        </w:rPr>
        <w:t>mg durvalumab doses and 1200</w:t>
      </w:r>
      <w:r w:rsidR="00843227" w:rsidRPr="006B435E">
        <w:rPr>
          <w:szCs w:val="22"/>
        </w:rPr>
        <w:t xml:space="preserve"> </w:t>
      </w:r>
      <w:r w:rsidR="00C137E4" w:rsidRPr="006B435E">
        <w:rPr>
          <w:szCs w:val="22"/>
        </w:rPr>
        <w:t xml:space="preserve">mg atezolizumab doses. This approach </w:t>
      </w:r>
      <w:r w:rsidR="004A240A" w:rsidRPr="006B435E">
        <w:rPr>
          <w:szCs w:val="22"/>
        </w:rPr>
        <w:t>would implicitly assume</w:t>
      </w:r>
      <w:r w:rsidR="00C137E4" w:rsidRPr="006B435E">
        <w:rPr>
          <w:szCs w:val="22"/>
        </w:rPr>
        <w:t xml:space="preserve"> a longer treatment duration of durvalumab to atezolizumab if more frequent atezolizumab dosing is </w:t>
      </w:r>
      <w:r w:rsidR="000956CA" w:rsidRPr="006B435E">
        <w:rPr>
          <w:szCs w:val="22"/>
        </w:rPr>
        <w:t>incorporated</w:t>
      </w:r>
      <w:r w:rsidR="00C137E4" w:rsidRPr="006B435E">
        <w:rPr>
          <w:szCs w:val="22"/>
        </w:rPr>
        <w:t xml:space="preserve">. </w:t>
      </w:r>
      <w:r w:rsidR="00984CA5" w:rsidRPr="006B435E">
        <w:rPr>
          <w:szCs w:val="22"/>
        </w:rPr>
        <w:t>The ESC noted that the clinical evidence presented suggested similar PFS and safety which would suggest that treatment durations are likely to be similar.</w:t>
      </w:r>
      <w:r w:rsidR="00984CA5" w:rsidRPr="006B435E">
        <w:rPr>
          <w:i/>
          <w:szCs w:val="22"/>
        </w:rPr>
        <w:t xml:space="preserve"> </w:t>
      </w:r>
    </w:p>
    <w:p w:rsidR="00ED7DD4" w:rsidRPr="006B435E" w:rsidRDefault="00061875" w:rsidP="00061875">
      <w:pPr>
        <w:pStyle w:val="3-BodyText"/>
        <w:rPr>
          <w:szCs w:val="22"/>
        </w:rPr>
      </w:pPr>
      <w:r w:rsidRPr="006B435E">
        <w:t xml:space="preserve">The submission noted that in March 2020, the PBAC recommended an additional 1,680 mg q4w dosing regimen </w:t>
      </w:r>
      <w:r w:rsidR="00B92332" w:rsidRPr="006B435E">
        <w:t xml:space="preserve">for atezolizumab </w:t>
      </w:r>
      <w:r w:rsidRPr="006B435E">
        <w:t xml:space="preserve">for the first-line treatment of patients with ES-SCLC for continuing treatment only. The 1,680 mg q4w dosing regimen was listed based on a cost-minimisation to the 1,200 mg q3w dose regimen. No clinical evidence was provided to the PBAC to compare the two flat dosing regimens in terms </w:t>
      </w:r>
      <w:r w:rsidRPr="006B435E">
        <w:lastRenderedPageBreak/>
        <w:t xml:space="preserve">of efficacy and safety for ES-SCLC. The PBAC considered that the effectiveness and safety of the 1680 mg q4w dosing regimen is likely comparable to the 1200 mg q3w dosing regimen for ES-SCLC, </w:t>
      </w:r>
      <w:r w:rsidR="00953C3E" w:rsidRPr="006B435E">
        <w:t xml:space="preserve">based on </w:t>
      </w:r>
      <w:r w:rsidR="009B018E" w:rsidRPr="006B435E">
        <w:t xml:space="preserve">pharmacokinetic </w:t>
      </w:r>
      <w:r w:rsidR="00953C3E" w:rsidRPr="006B435E">
        <w:rPr>
          <w:iCs/>
        </w:rPr>
        <w:t xml:space="preserve">modelling and </w:t>
      </w:r>
      <w:r w:rsidR="009B018E" w:rsidRPr="006B435E">
        <w:rPr>
          <w:iCs/>
        </w:rPr>
        <w:t>exposure-response</w:t>
      </w:r>
      <w:r w:rsidR="00953C3E" w:rsidRPr="006B435E">
        <w:rPr>
          <w:iCs/>
        </w:rPr>
        <w:t xml:space="preserve"> analysis</w:t>
      </w:r>
      <w:r w:rsidR="00953C3E" w:rsidRPr="006B435E">
        <w:t xml:space="preserve"> </w:t>
      </w:r>
      <w:r w:rsidR="009B018E" w:rsidRPr="006B435E">
        <w:t>of</w:t>
      </w:r>
      <w:r w:rsidR="00953C3E" w:rsidRPr="006B435E">
        <w:t xml:space="preserve"> pooled data from 3 clinical studies in patients with </w:t>
      </w:r>
      <w:r w:rsidR="0034541E" w:rsidRPr="006B435E">
        <w:t xml:space="preserve">metastatic urothelial cancer </w:t>
      </w:r>
      <w:r w:rsidR="00953C3E" w:rsidRPr="006B435E">
        <w:t xml:space="preserve">and </w:t>
      </w:r>
      <w:r w:rsidR="0034541E" w:rsidRPr="006B435E">
        <w:t>non-small cell lung cancer (</w:t>
      </w:r>
      <w:r w:rsidR="00BE5592" w:rsidRPr="006B435E">
        <w:t>paragraph 6.2</w:t>
      </w:r>
      <w:r w:rsidR="0034541E" w:rsidRPr="006B435E">
        <w:t xml:space="preserve"> atezolizumab</w:t>
      </w:r>
      <w:r w:rsidR="00C229A0">
        <w:t xml:space="preserve"> Public Summary Document</w:t>
      </w:r>
      <w:r w:rsidR="00BE5592" w:rsidRPr="006B435E">
        <w:t xml:space="preserve"> </w:t>
      </w:r>
      <w:r w:rsidR="00C229A0">
        <w:t>(</w:t>
      </w:r>
      <w:r w:rsidR="00BE5592" w:rsidRPr="006B435E">
        <w:t>PSD</w:t>
      </w:r>
      <w:r w:rsidR="00C229A0">
        <w:t>)</w:t>
      </w:r>
      <w:r w:rsidR="00BE5592" w:rsidRPr="006B435E">
        <w:t>, March 2020 PBAC meeting</w:t>
      </w:r>
      <w:r w:rsidR="0034541E" w:rsidRPr="006B435E">
        <w:t>)</w:t>
      </w:r>
      <w:r w:rsidR="00953C3E" w:rsidRPr="006B435E">
        <w:t>.</w:t>
      </w:r>
      <w:r w:rsidRPr="006B435E">
        <w:t xml:space="preserve"> </w:t>
      </w:r>
      <w:r w:rsidR="00ED3AF5" w:rsidRPr="006B435E">
        <w:t>The ESC noted that the less frequent dosing of the q4w dosing regimen for atezolizumab is likely to become the preferred regimen in clinical practice.</w:t>
      </w:r>
    </w:p>
    <w:p w:rsidR="00BE5592" w:rsidRPr="006B435E" w:rsidRDefault="00ED7DD4" w:rsidP="00ED3AF5">
      <w:pPr>
        <w:pStyle w:val="3-BodyText"/>
        <w:rPr>
          <w:szCs w:val="22"/>
        </w:rPr>
      </w:pPr>
      <w:r w:rsidRPr="006B435E">
        <w:t xml:space="preserve">The PSCR proposed that the q4w dosage regimen for atezolizumab be used for determining the equi-effective doses, treatment course and equivalent price for durvalumab (1,500 mg durvalumab q4w = 1,680 mg atezolizumab q4w) beyond the induction phase. </w:t>
      </w:r>
      <w:r w:rsidR="00ED3AF5" w:rsidRPr="006B435E">
        <w:t xml:space="preserve">The ESC </w:t>
      </w:r>
      <w:r w:rsidRPr="006B435E">
        <w:t xml:space="preserve">considered this was a reasonable </w:t>
      </w:r>
      <w:r w:rsidR="00ED3AF5" w:rsidRPr="006B435E">
        <w:t>basis for calculation of equi-effective doses</w:t>
      </w:r>
      <w:r w:rsidR="00ED0212" w:rsidRPr="006B435E">
        <w:t xml:space="preserve"> as clinical outcomes and treatment durations are likely to be comparable</w:t>
      </w:r>
      <w:r w:rsidR="00ED3AF5" w:rsidRPr="006B435E">
        <w:t xml:space="preserve">. </w:t>
      </w:r>
      <w:r w:rsidRPr="006B435E">
        <w:t>The ESC advised atezolizumab 1</w:t>
      </w:r>
      <w:r w:rsidR="00ED3AF5" w:rsidRPr="006B435E">
        <w:t>,</w:t>
      </w:r>
      <w:r w:rsidRPr="006B435E">
        <w:t xml:space="preserve">200 </w:t>
      </w:r>
      <w:r w:rsidR="00ED0212" w:rsidRPr="006B435E">
        <w:t xml:space="preserve">q3w could also </w:t>
      </w:r>
      <w:r w:rsidR="00ED3AF5" w:rsidRPr="006B435E">
        <w:t xml:space="preserve">be considered equi-effective to durvalumab </w:t>
      </w:r>
      <w:r w:rsidR="00ED0212" w:rsidRPr="006B435E">
        <w:t>1,500 mg q4w, assuming the same treatment duration beyond the induction phase</w:t>
      </w:r>
      <w:r w:rsidRPr="006B435E">
        <w:t xml:space="preserve">. </w:t>
      </w:r>
      <w:r w:rsidR="00BE5592" w:rsidRPr="006B435E">
        <w:t>The ESC considered the following equi-effective doses were reasonable:</w:t>
      </w:r>
    </w:p>
    <w:p w:rsidR="00BE5592" w:rsidRPr="006B435E" w:rsidRDefault="00BE5592" w:rsidP="00D6634A">
      <w:pPr>
        <w:pStyle w:val="3-BodyText"/>
        <w:numPr>
          <w:ilvl w:val="1"/>
          <w:numId w:val="26"/>
        </w:numPr>
        <w:ind w:left="1077" w:hanging="357"/>
      </w:pPr>
      <w:r w:rsidRPr="006B435E">
        <w:t xml:space="preserve">Durvalumab 1,500 mg every 3 weeks with EP for 4 cycles followed by durvalumab monotherapy 1,500 mg every 4 weeks for 6.2 cycles </w:t>
      </w:r>
    </w:p>
    <w:p w:rsidR="00BE5592" w:rsidRPr="006B435E" w:rsidRDefault="00BE5592" w:rsidP="00D6634A">
      <w:pPr>
        <w:pStyle w:val="3-BodyText"/>
        <w:numPr>
          <w:ilvl w:val="0"/>
          <w:numId w:val="0"/>
        </w:numPr>
        <w:ind w:left="1077" w:hanging="357"/>
      </w:pPr>
      <w:r w:rsidRPr="006B435E">
        <w:t>is equi</w:t>
      </w:r>
      <w:r w:rsidR="00091BE0" w:rsidRPr="006B435E">
        <w:t>-</w:t>
      </w:r>
      <w:r w:rsidRPr="006B435E">
        <w:t>effective to</w:t>
      </w:r>
    </w:p>
    <w:p w:rsidR="00061875" w:rsidRPr="006B435E" w:rsidRDefault="00BE5592" w:rsidP="00D6634A">
      <w:pPr>
        <w:pStyle w:val="3-BodyText"/>
        <w:numPr>
          <w:ilvl w:val="1"/>
          <w:numId w:val="26"/>
        </w:numPr>
        <w:ind w:left="1077" w:hanging="357"/>
        <w:rPr>
          <w:szCs w:val="22"/>
        </w:rPr>
      </w:pPr>
      <w:r w:rsidRPr="006B435E">
        <w:t>Atezolizumab 1,200 mg every 3 weeks with EP for 4 cycles followed by atezolizumab monotherapy 1,680 mg every 4 weeks for 6.2 cycles</w:t>
      </w:r>
      <w:r w:rsidR="00D074DA" w:rsidRPr="006B435E">
        <w:t xml:space="preserve"> </w:t>
      </w:r>
    </w:p>
    <w:p w:rsidR="00061875" w:rsidRPr="006B435E" w:rsidRDefault="00061875" w:rsidP="00061875">
      <w:pPr>
        <w:pStyle w:val="3-BodyText"/>
        <w:rPr>
          <w:szCs w:val="22"/>
        </w:rPr>
      </w:pPr>
      <w:r w:rsidRPr="006B435E">
        <w:t xml:space="preserve">In the final analysis of CASPIAN, the mean number of infusions for durvalumab was 10.2; the mean number of infusions was not reported for the final analysis of the IMpower133 trial. The submission considered that in clinical practice, the mean number of infusions of durvalumab is expected to be lower </w:t>
      </w:r>
      <w:r w:rsidR="000956CA" w:rsidRPr="006B435E">
        <w:t xml:space="preserve">than for atezolizumab </w:t>
      </w:r>
      <w:r w:rsidRPr="006B435E">
        <w:t xml:space="preserve">based on the 1,200 mg q3w dosing regimen for atezolizumab, which was used in the IMpower133 trial or the same based on the atezolizumab 1,680 mg q4w dosing regimen for the continuing treatment phase. </w:t>
      </w:r>
    </w:p>
    <w:p w:rsidR="00BE0C14" w:rsidRPr="006B435E" w:rsidRDefault="00061875" w:rsidP="00061875">
      <w:pPr>
        <w:pStyle w:val="3-BodyText"/>
        <w:rPr>
          <w:szCs w:val="22"/>
        </w:rPr>
      </w:pPr>
      <w:r w:rsidRPr="006B435E">
        <w:t xml:space="preserve">The submission </w:t>
      </w:r>
      <w:r w:rsidR="00D67F71" w:rsidRPr="006B435E">
        <w:t xml:space="preserve">did not include cost offsets for administration, but </w:t>
      </w:r>
      <w:r w:rsidR="001C4784" w:rsidRPr="006B435E">
        <w:t xml:space="preserve">stated </w:t>
      </w:r>
      <w:r w:rsidRPr="006B435E">
        <w:t xml:space="preserve">that </w:t>
      </w:r>
      <w:r w:rsidR="001C4784" w:rsidRPr="006B435E">
        <w:t xml:space="preserve">it </w:t>
      </w:r>
      <w:r w:rsidRPr="006B435E">
        <w:t>may be reasonable to include a cost offset for administration because there are fewer infusions with the durvalumab q4w dosing regimen than for the atezolizumab 1,200 mg q3w regimen for continuing treatment.</w:t>
      </w:r>
      <w:r w:rsidR="00EA3D78" w:rsidRPr="006B435E">
        <w:t xml:space="preserve"> </w:t>
      </w:r>
      <w:r w:rsidR="00F314D5" w:rsidRPr="006B435E">
        <w:t xml:space="preserve">The ESC noted that </w:t>
      </w:r>
      <w:r w:rsidR="001C4784" w:rsidRPr="006B435E">
        <w:t>no offsets for administration would be</w:t>
      </w:r>
      <w:r w:rsidR="00F314D5" w:rsidRPr="006B435E">
        <w:t xml:space="preserve"> applicable if the q4w dosing schedules for atezolizumab </w:t>
      </w:r>
      <w:r w:rsidR="005132BB" w:rsidRPr="006B435E">
        <w:t>and durvalumab are</w:t>
      </w:r>
      <w:r w:rsidR="00F314D5" w:rsidRPr="006B435E">
        <w:t xml:space="preserve"> considered equi-effective.</w:t>
      </w:r>
    </w:p>
    <w:p w:rsidR="00061875" w:rsidRPr="006B435E" w:rsidRDefault="00061875" w:rsidP="00061875">
      <w:pPr>
        <w:pStyle w:val="3-BodyText"/>
        <w:rPr>
          <w:szCs w:val="22"/>
        </w:rPr>
      </w:pPr>
      <w:r w:rsidRPr="006B435E">
        <w:t>The submission also considered that there was no significant difference between the two PD</w:t>
      </w:r>
      <w:r w:rsidRPr="006B435E">
        <w:noBreakHyphen/>
        <w:t xml:space="preserve">L1 inhibitors in the rate of any AE, any AE Grade 3 or 4, or any SAE, and, therefore, listing durvalumab on the PBS was not expected to incur any additional AE costs. </w:t>
      </w:r>
    </w:p>
    <w:p w:rsidR="00BE0C14" w:rsidRPr="006B435E" w:rsidRDefault="00BE0C14" w:rsidP="00BE0C14">
      <w:pPr>
        <w:pStyle w:val="3-BodyText"/>
        <w:rPr>
          <w:szCs w:val="22"/>
        </w:rPr>
      </w:pPr>
      <w:r w:rsidRPr="006B435E">
        <w:lastRenderedPageBreak/>
        <w:t>The proposed public DPMAs for durvalumab and the ES-SCLC indication were $</w:t>
      </w:r>
      <w:r w:rsidR="00E020BB">
        <w:rPr>
          <w:noProof/>
          <w:color w:val="000000"/>
          <w:highlight w:val="black"/>
        </w:rPr>
        <w:t>''''''''''''''''''''</w:t>
      </w:r>
      <w:r w:rsidRPr="006B435E">
        <w:t xml:space="preserve"> in public hospitals and $</w:t>
      </w:r>
      <w:r w:rsidR="00E020BB">
        <w:rPr>
          <w:noProof/>
          <w:color w:val="000000"/>
          <w:highlight w:val="black"/>
        </w:rPr>
        <w:t>'''''''''''''''''</w:t>
      </w:r>
      <w:r w:rsidRPr="006B435E">
        <w:t xml:space="preserve"> in private hospitals.</w:t>
      </w:r>
      <w:r w:rsidR="004D35E1" w:rsidRPr="006B435E">
        <w:rPr>
          <w:szCs w:val="22"/>
        </w:rPr>
        <w:t xml:space="preserve"> The proposed published price for durvalumab was higher than the published price for atezolizumab</w:t>
      </w:r>
      <w:r w:rsidR="006B435E">
        <w:rPr>
          <w:szCs w:val="22"/>
        </w:rPr>
        <w:t xml:space="preserve">. </w:t>
      </w:r>
      <w:r w:rsidR="004D35E1" w:rsidRPr="006B435E">
        <w:rPr>
          <w:szCs w:val="22"/>
        </w:rPr>
        <w:t xml:space="preserve"> The submission should have presented cost-minimisation calculations based on the published prices.</w:t>
      </w:r>
    </w:p>
    <w:p w:rsidR="00C25D9C" w:rsidRPr="006B435E" w:rsidRDefault="00C25D9C" w:rsidP="00BB732D">
      <w:pPr>
        <w:pStyle w:val="4-SubsectionHeading"/>
      </w:pPr>
      <w:bookmarkStart w:id="29" w:name="_Toc22897646"/>
      <w:bookmarkStart w:id="30" w:name="_Toc50437758"/>
      <w:r w:rsidRPr="006B435E">
        <w:t>Drug</w:t>
      </w:r>
      <w:r w:rsidR="008C7C19" w:rsidRPr="006B435E">
        <w:t xml:space="preserve"> </w:t>
      </w:r>
      <w:r w:rsidRPr="006B435E">
        <w:t>cost/patient/course</w:t>
      </w:r>
      <w:bookmarkEnd w:id="29"/>
      <w:bookmarkEnd w:id="30"/>
    </w:p>
    <w:p w:rsidR="00BE5592" w:rsidRPr="006B435E" w:rsidRDefault="00BE5592" w:rsidP="00BE5592">
      <w:pPr>
        <w:pStyle w:val="3-BodyText"/>
      </w:pPr>
      <w:r w:rsidRPr="006B435E">
        <w:t>The ESC noted that the costs per patient in Table 9 reflected the submission’s original assumption that the number of doses of durvalumab (1,500 mg) would be equal to the number of doses of atezolizumab (1,200 mg) which assumed a shorter duration of treatment for atezolizumab as dosing is more frequent under this regimen. Revised costs per patient per course based on the 1,680 mg atezolizumab dose regimen have been added below.</w:t>
      </w:r>
    </w:p>
    <w:p w:rsidR="00494207" w:rsidRPr="006B435E" w:rsidRDefault="00634094" w:rsidP="00BB732D">
      <w:pPr>
        <w:pStyle w:val="TableFigureHeading"/>
        <w:rPr>
          <w:rStyle w:val="CommentReference"/>
          <w:b/>
          <w:szCs w:val="24"/>
        </w:rPr>
      </w:pPr>
      <w:r w:rsidRPr="006B435E">
        <w:rPr>
          <w:rStyle w:val="CommentReference"/>
          <w:b/>
          <w:szCs w:val="24"/>
        </w:rPr>
        <w:t>Table 9</w:t>
      </w:r>
      <w:r w:rsidR="00494207" w:rsidRPr="006B435E">
        <w:rPr>
          <w:rStyle w:val="CommentReference"/>
          <w:b/>
          <w:szCs w:val="24"/>
        </w:rPr>
        <w:t>: Drug cost per patient for proposed and comparator drugs</w:t>
      </w:r>
      <w:r w:rsidR="003B6CB0" w:rsidRPr="006B435E">
        <w:rPr>
          <w:rStyle w:val="CommentReference"/>
          <w:b/>
          <w:szCs w:val="24"/>
        </w:rPr>
        <w:t xml:space="preserve"> (published prices)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5"/>
        <w:gridCol w:w="1219"/>
        <w:gridCol w:w="1219"/>
        <w:gridCol w:w="1221"/>
        <w:gridCol w:w="1219"/>
        <w:gridCol w:w="1219"/>
        <w:gridCol w:w="1225"/>
      </w:tblGrid>
      <w:tr w:rsidR="00494207" w:rsidRPr="006B435E" w:rsidTr="002F5E2A">
        <w:trPr>
          <w:cantSplit/>
          <w:tblHeader/>
          <w:jc w:val="center"/>
        </w:trPr>
        <w:tc>
          <w:tcPr>
            <w:tcW w:w="940" w:type="pct"/>
            <w:shd w:val="clear" w:color="auto" w:fill="auto"/>
            <w:vAlign w:val="center"/>
          </w:tcPr>
          <w:p w:rsidR="00494207" w:rsidRPr="006B435E" w:rsidRDefault="00494207" w:rsidP="00BB732D">
            <w:pPr>
              <w:pStyle w:val="In-tableHeading"/>
              <w:jc w:val="center"/>
              <w:rPr>
                <w:lang w:val="en-AU"/>
              </w:rPr>
            </w:pPr>
          </w:p>
        </w:tc>
        <w:tc>
          <w:tcPr>
            <w:tcW w:w="676" w:type="pct"/>
            <w:shd w:val="clear" w:color="auto" w:fill="auto"/>
            <w:vAlign w:val="center"/>
          </w:tcPr>
          <w:p w:rsidR="00494207" w:rsidRPr="006B435E" w:rsidRDefault="008C7C19" w:rsidP="00BB732D">
            <w:pPr>
              <w:pStyle w:val="In-tableHeading"/>
              <w:jc w:val="center"/>
              <w:rPr>
                <w:lang w:val="en-AU"/>
              </w:rPr>
            </w:pPr>
            <w:r w:rsidRPr="006B435E">
              <w:rPr>
                <w:lang w:val="en-AU"/>
              </w:rPr>
              <w:t>Durvalumab</w:t>
            </w:r>
          </w:p>
          <w:p w:rsidR="00494207" w:rsidRPr="006B435E" w:rsidRDefault="00494207" w:rsidP="00BB732D">
            <w:pPr>
              <w:pStyle w:val="In-tableHeading"/>
              <w:jc w:val="center"/>
              <w:rPr>
                <w:lang w:val="en-AU"/>
              </w:rPr>
            </w:pPr>
            <w:r w:rsidRPr="006B435E">
              <w:rPr>
                <w:lang w:val="en-AU"/>
              </w:rPr>
              <w:t>Trial dose and duration</w:t>
            </w:r>
          </w:p>
        </w:tc>
        <w:tc>
          <w:tcPr>
            <w:tcW w:w="676" w:type="pct"/>
            <w:shd w:val="clear" w:color="auto" w:fill="auto"/>
            <w:vAlign w:val="center"/>
          </w:tcPr>
          <w:p w:rsidR="00494207" w:rsidRPr="006B435E" w:rsidRDefault="008C7C19" w:rsidP="006671B2">
            <w:pPr>
              <w:pStyle w:val="In-tableHeading"/>
              <w:jc w:val="center"/>
              <w:rPr>
                <w:lang w:val="en-AU"/>
              </w:rPr>
            </w:pPr>
            <w:r w:rsidRPr="006B435E">
              <w:rPr>
                <w:lang w:val="en-AU"/>
              </w:rPr>
              <w:t>Durvalumab CMA</w:t>
            </w:r>
          </w:p>
        </w:tc>
        <w:tc>
          <w:tcPr>
            <w:tcW w:w="677" w:type="pct"/>
            <w:shd w:val="clear" w:color="auto" w:fill="auto"/>
            <w:vAlign w:val="center"/>
          </w:tcPr>
          <w:p w:rsidR="00494207" w:rsidRPr="006B435E" w:rsidRDefault="008C7C19" w:rsidP="00BB732D">
            <w:pPr>
              <w:pStyle w:val="In-tableHeading"/>
              <w:jc w:val="center"/>
              <w:rPr>
                <w:lang w:val="en-AU"/>
              </w:rPr>
            </w:pPr>
            <w:r w:rsidRPr="006B435E">
              <w:rPr>
                <w:lang w:val="en-AU"/>
              </w:rPr>
              <w:t>Durvalumab</w:t>
            </w:r>
          </w:p>
          <w:p w:rsidR="00494207" w:rsidRPr="006B435E" w:rsidRDefault="00494207" w:rsidP="00BB732D">
            <w:pPr>
              <w:pStyle w:val="In-tableHeading"/>
              <w:jc w:val="center"/>
              <w:rPr>
                <w:lang w:val="en-AU"/>
              </w:rPr>
            </w:pPr>
            <w:r w:rsidRPr="006B435E">
              <w:rPr>
                <w:lang w:val="en-AU"/>
              </w:rPr>
              <w:t>Financial estimates</w:t>
            </w:r>
          </w:p>
        </w:tc>
        <w:tc>
          <w:tcPr>
            <w:tcW w:w="676" w:type="pct"/>
            <w:shd w:val="clear" w:color="auto" w:fill="auto"/>
            <w:vAlign w:val="center"/>
          </w:tcPr>
          <w:p w:rsidR="00494207" w:rsidRPr="006B435E" w:rsidRDefault="008C7C19" w:rsidP="00BB732D">
            <w:pPr>
              <w:pStyle w:val="In-tableHeading"/>
              <w:jc w:val="center"/>
              <w:rPr>
                <w:lang w:val="en-AU"/>
              </w:rPr>
            </w:pPr>
            <w:r w:rsidRPr="006B435E">
              <w:rPr>
                <w:lang w:val="en-AU"/>
              </w:rPr>
              <w:t>Atezolizumab</w:t>
            </w:r>
          </w:p>
          <w:p w:rsidR="00494207" w:rsidRPr="006B435E" w:rsidRDefault="00494207" w:rsidP="00BB732D">
            <w:pPr>
              <w:pStyle w:val="In-tableHeading"/>
              <w:jc w:val="center"/>
              <w:rPr>
                <w:lang w:val="en-AU"/>
              </w:rPr>
            </w:pPr>
            <w:r w:rsidRPr="006B435E">
              <w:rPr>
                <w:lang w:val="en-AU"/>
              </w:rPr>
              <w:t>Trial dose and duration</w:t>
            </w:r>
          </w:p>
        </w:tc>
        <w:tc>
          <w:tcPr>
            <w:tcW w:w="676" w:type="pct"/>
            <w:shd w:val="clear" w:color="auto" w:fill="auto"/>
            <w:vAlign w:val="center"/>
          </w:tcPr>
          <w:p w:rsidR="008C7C19" w:rsidRPr="006B435E" w:rsidRDefault="008C7C19" w:rsidP="008C7C19">
            <w:pPr>
              <w:pStyle w:val="In-tableHeading"/>
              <w:jc w:val="center"/>
              <w:rPr>
                <w:lang w:val="en-AU"/>
              </w:rPr>
            </w:pPr>
            <w:r w:rsidRPr="006B435E">
              <w:rPr>
                <w:lang w:val="en-AU"/>
              </w:rPr>
              <w:t>Atezolizumab</w:t>
            </w:r>
          </w:p>
          <w:p w:rsidR="00494207" w:rsidRPr="006B435E" w:rsidRDefault="008C7C19" w:rsidP="00BB732D">
            <w:pPr>
              <w:pStyle w:val="In-tableHeading"/>
              <w:jc w:val="center"/>
              <w:rPr>
                <w:lang w:val="en-AU"/>
              </w:rPr>
            </w:pPr>
            <w:r w:rsidRPr="006B435E">
              <w:rPr>
                <w:lang w:val="en-AU"/>
              </w:rPr>
              <w:t>CMA</w:t>
            </w:r>
          </w:p>
        </w:tc>
        <w:tc>
          <w:tcPr>
            <w:tcW w:w="679" w:type="pct"/>
          </w:tcPr>
          <w:p w:rsidR="008C7C19" w:rsidRPr="006B435E" w:rsidRDefault="008C7C19" w:rsidP="008C7C19">
            <w:pPr>
              <w:pStyle w:val="In-tableHeading"/>
              <w:jc w:val="center"/>
              <w:rPr>
                <w:lang w:val="en-AU"/>
              </w:rPr>
            </w:pPr>
            <w:r w:rsidRPr="006B435E">
              <w:rPr>
                <w:lang w:val="en-AU"/>
              </w:rPr>
              <w:t>Atezolizumab</w:t>
            </w:r>
          </w:p>
          <w:p w:rsidR="00494207" w:rsidRPr="006B435E" w:rsidRDefault="00494207" w:rsidP="00BB732D">
            <w:pPr>
              <w:pStyle w:val="In-tableHeading"/>
              <w:jc w:val="center"/>
              <w:rPr>
                <w:lang w:val="en-AU"/>
              </w:rPr>
            </w:pPr>
            <w:r w:rsidRPr="006B435E">
              <w:rPr>
                <w:lang w:val="en-AU"/>
              </w:rPr>
              <w:t>Financial estimates</w:t>
            </w:r>
          </w:p>
        </w:tc>
      </w:tr>
      <w:tr w:rsidR="00494207" w:rsidRPr="006B435E" w:rsidTr="002F5E2A">
        <w:trPr>
          <w:cantSplit/>
          <w:jc w:val="center"/>
        </w:trPr>
        <w:tc>
          <w:tcPr>
            <w:tcW w:w="940" w:type="pct"/>
            <w:shd w:val="clear" w:color="auto" w:fill="auto"/>
            <w:vAlign w:val="center"/>
          </w:tcPr>
          <w:p w:rsidR="00494207" w:rsidRPr="006B435E" w:rsidRDefault="008C7C19" w:rsidP="00BB732D">
            <w:pPr>
              <w:pStyle w:val="TableText0"/>
            </w:pPr>
            <w:r w:rsidRPr="006B435E">
              <w:t>Dose</w:t>
            </w:r>
          </w:p>
        </w:tc>
        <w:tc>
          <w:tcPr>
            <w:tcW w:w="676" w:type="pct"/>
            <w:shd w:val="clear" w:color="auto" w:fill="auto"/>
            <w:vAlign w:val="center"/>
          </w:tcPr>
          <w:p w:rsidR="00494207" w:rsidRPr="006B435E" w:rsidRDefault="008C7C19" w:rsidP="00BB732D">
            <w:pPr>
              <w:pStyle w:val="TableText0"/>
              <w:jc w:val="center"/>
              <w:rPr>
                <w:b/>
              </w:rPr>
            </w:pPr>
            <w:r w:rsidRPr="006B435E">
              <w:rPr>
                <w:b/>
              </w:rPr>
              <w:t>1500mg</w:t>
            </w:r>
          </w:p>
        </w:tc>
        <w:tc>
          <w:tcPr>
            <w:tcW w:w="676" w:type="pct"/>
            <w:shd w:val="clear" w:color="auto" w:fill="auto"/>
            <w:vAlign w:val="center"/>
          </w:tcPr>
          <w:p w:rsidR="00494207" w:rsidRPr="006B435E" w:rsidRDefault="008C7C19" w:rsidP="00BB732D">
            <w:pPr>
              <w:pStyle w:val="TableText0"/>
              <w:jc w:val="center"/>
              <w:rPr>
                <w:b/>
              </w:rPr>
            </w:pPr>
            <w:r w:rsidRPr="006B435E">
              <w:rPr>
                <w:b/>
              </w:rPr>
              <w:t>1500mg</w:t>
            </w:r>
          </w:p>
        </w:tc>
        <w:tc>
          <w:tcPr>
            <w:tcW w:w="677" w:type="pct"/>
            <w:shd w:val="clear" w:color="auto" w:fill="auto"/>
            <w:vAlign w:val="center"/>
          </w:tcPr>
          <w:p w:rsidR="00494207" w:rsidRPr="006B435E" w:rsidRDefault="008C7C19" w:rsidP="00BB732D">
            <w:pPr>
              <w:pStyle w:val="TableText0"/>
              <w:jc w:val="center"/>
              <w:rPr>
                <w:b/>
              </w:rPr>
            </w:pPr>
            <w:r w:rsidRPr="006B435E">
              <w:rPr>
                <w:b/>
              </w:rPr>
              <w:t>1500mg</w:t>
            </w:r>
          </w:p>
        </w:tc>
        <w:tc>
          <w:tcPr>
            <w:tcW w:w="676" w:type="pct"/>
            <w:shd w:val="clear" w:color="auto" w:fill="auto"/>
            <w:vAlign w:val="center"/>
          </w:tcPr>
          <w:p w:rsidR="00494207" w:rsidRPr="006B435E" w:rsidRDefault="008C7C19" w:rsidP="00BB732D">
            <w:pPr>
              <w:pStyle w:val="TableText0"/>
              <w:jc w:val="center"/>
              <w:rPr>
                <w:b/>
              </w:rPr>
            </w:pPr>
            <w:r w:rsidRPr="006B435E">
              <w:rPr>
                <w:b/>
              </w:rPr>
              <w:t>1200mg</w:t>
            </w:r>
          </w:p>
        </w:tc>
        <w:tc>
          <w:tcPr>
            <w:tcW w:w="676" w:type="pct"/>
            <w:shd w:val="clear" w:color="auto" w:fill="auto"/>
            <w:vAlign w:val="center"/>
          </w:tcPr>
          <w:p w:rsidR="00494207" w:rsidRPr="006B435E" w:rsidRDefault="008C7C19" w:rsidP="00BB732D">
            <w:pPr>
              <w:pStyle w:val="TableText0"/>
              <w:jc w:val="center"/>
              <w:rPr>
                <w:b/>
              </w:rPr>
            </w:pPr>
            <w:r w:rsidRPr="006B435E">
              <w:rPr>
                <w:b/>
              </w:rPr>
              <w:t>1200mg</w:t>
            </w:r>
          </w:p>
        </w:tc>
        <w:tc>
          <w:tcPr>
            <w:tcW w:w="679" w:type="pct"/>
          </w:tcPr>
          <w:p w:rsidR="00494207" w:rsidRPr="006B435E" w:rsidRDefault="008C7C19" w:rsidP="00BB732D">
            <w:pPr>
              <w:pStyle w:val="TableText0"/>
              <w:jc w:val="center"/>
              <w:rPr>
                <w:b/>
              </w:rPr>
            </w:pPr>
            <w:r w:rsidRPr="006B435E">
              <w:rPr>
                <w:b/>
              </w:rPr>
              <w:t>1200mg</w:t>
            </w:r>
          </w:p>
        </w:tc>
      </w:tr>
      <w:tr w:rsidR="00494207" w:rsidRPr="006B435E" w:rsidTr="002F5E2A">
        <w:trPr>
          <w:cantSplit/>
          <w:trHeight w:val="305"/>
          <w:jc w:val="center"/>
        </w:trPr>
        <w:tc>
          <w:tcPr>
            <w:tcW w:w="940" w:type="pct"/>
            <w:shd w:val="clear" w:color="auto" w:fill="auto"/>
            <w:vAlign w:val="center"/>
          </w:tcPr>
          <w:p w:rsidR="00494207" w:rsidRPr="006B435E" w:rsidRDefault="00DF039A" w:rsidP="00DF039A">
            <w:pPr>
              <w:pStyle w:val="TableText0"/>
            </w:pPr>
            <w:r w:rsidRPr="006B435E">
              <w:t xml:space="preserve"> N</w:t>
            </w:r>
            <w:r w:rsidR="008C7C19" w:rsidRPr="006B435E">
              <w:t>umber of doses</w:t>
            </w:r>
            <w:r w:rsidRPr="006B435E">
              <w:rPr>
                <w:b/>
                <w:vertAlign w:val="superscript"/>
              </w:rPr>
              <w:t xml:space="preserve"> b</w:t>
            </w:r>
          </w:p>
        </w:tc>
        <w:tc>
          <w:tcPr>
            <w:tcW w:w="676" w:type="pct"/>
            <w:shd w:val="clear" w:color="auto" w:fill="auto"/>
            <w:vAlign w:val="center"/>
          </w:tcPr>
          <w:p w:rsidR="00494207" w:rsidRPr="006B435E" w:rsidRDefault="008C7C19" w:rsidP="00BB732D">
            <w:pPr>
              <w:pStyle w:val="TableText0"/>
              <w:jc w:val="center"/>
              <w:rPr>
                <w:b/>
              </w:rPr>
            </w:pPr>
            <w:r w:rsidRPr="006B435E">
              <w:rPr>
                <w:b/>
              </w:rPr>
              <w:t>10.2</w:t>
            </w:r>
          </w:p>
        </w:tc>
        <w:tc>
          <w:tcPr>
            <w:tcW w:w="676" w:type="pct"/>
            <w:shd w:val="clear" w:color="auto" w:fill="auto"/>
            <w:vAlign w:val="center"/>
          </w:tcPr>
          <w:p w:rsidR="00494207" w:rsidRPr="006B435E" w:rsidRDefault="008C7C19" w:rsidP="00BB732D">
            <w:pPr>
              <w:pStyle w:val="TableText0"/>
              <w:jc w:val="center"/>
              <w:rPr>
                <w:b/>
              </w:rPr>
            </w:pPr>
            <w:r w:rsidRPr="006B435E">
              <w:rPr>
                <w:b/>
              </w:rPr>
              <w:t>10.2</w:t>
            </w:r>
          </w:p>
        </w:tc>
        <w:tc>
          <w:tcPr>
            <w:tcW w:w="677" w:type="pct"/>
            <w:shd w:val="clear" w:color="auto" w:fill="auto"/>
            <w:vAlign w:val="center"/>
          </w:tcPr>
          <w:p w:rsidR="00494207" w:rsidRPr="006B435E" w:rsidRDefault="008C7C19" w:rsidP="00BB732D">
            <w:pPr>
              <w:pStyle w:val="TableText0"/>
              <w:jc w:val="center"/>
              <w:rPr>
                <w:b/>
              </w:rPr>
            </w:pPr>
            <w:r w:rsidRPr="006B435E">
              <w:rPr>
                <w:b/>
              </w:rPr>
              <w:t>10.2</w:t>
            </w:r>
          </w:p>
        </w:tc>
        <w:tc>
          <w:tcPr>
            <w:tcW w:w="676" w:type="pct"/>
            <w:shd w:val="clear" w:color="auto" w:fill="auto"/>
            <w:vAlign w:val="center"/>
          </w:tcPr>
          <w:p w:rsidR="00494207" w:rsidRPr="006B435E" w:rsidRDefault="003B6CB0" w:rsidP="00DF039A">
            <w:pPr>
              <w:pStyle w:val="TableText0"/>
              <w:jc w:val="center"/>
              <w:rPr>
                <w:b/>
              </w:rPr>
            </w:pPr>
            <w:r w:rsidRPr="006B435E">
              <w:rPr>
                <w:b/>
              </w:rPr>
              <w:t>7</w:t>
            </w:r>
          </w:p>
        </w:tc>
        <w:tc>
          <w:tcPr>
            <w:tcW w:w="676" w:type="pct"/>
            <w:shd w:val="clear" w:color="auto" w:fill="auto"/>
            <w:vAlign w:val="center"/>
          </w:tcPr>
          <w:p w:rsidR="00494207" w:rsidRPr="006B435E" w:rsidRDefault="008C7C19" w:rsidP="00BB732D">
            <w:pPr>
              <w:pStyle w:val="TableText0"/>
              <w:jc w:val="center"/>
              <w:rPr>
                <w:b/>
              </w:rPr>
            </w:pPr>
            <w:r w:rsidRPr="006B435E">
              <w:rPr>
                <w:b/>
              </w:rPr>
              <w:t>10.2</w:t>
            </w:r>
          </w:p>
        </w:tc>
        <w:tc>
          <w:tcPr>
            <w:tcW w:w="679" w:type="pct"/>
            <w:vAlign w:val="center"/>
          </w:tcPr>
          <w:p w:rsidR="00494207" w:rsidRPr="006B435E" w:rsidRDefault="008C7C19" w:rsidP="006671B2">
            <w:pPr>
              <w:pStyle w:val="TableText0"/>
              <w:jc w:val="center"/>
              <w:rPr>
                <w:b/>
              </w:rPr>
            </w:pPr>
            <w:r w:rsidRPr="006B435E">
              <w:rPr>
                <w:b/>
              </w:rPr>
              <w:t>10.2</w:t>
            </w:r>
          </w:p>
        </w:tc>
      </w:tr>
      <w:tr w:rsidR="003B6CB0" w:rsidRPr="006F1B06" w:rsidTr="002F5E2A">
        <w:trPr>
          <w:cantSplit/>
          <w:jc w:val="center"/>
        </w:trPr>
        <w:tc>
          <w:tcPr>
            <w:tcW w:w="940" w:type="pct"/>
            <w:shd w:val="clear" w:color="auto" w:fill="auto"/>
            <w:vAlign w:val="center"/>
          </w:tcPr>
          <w:p w:rsidR="003B6CB0" w:rsidRPr="006F1B06" w:rsidRDefault="003B6CB0" w:rsidP="00124157">
            <w:pPr>
              <w:pStyle w:val="TableText0"/>
            </w:pPr>
            <w:r w:rsidRPr="006F1B06">
              <w:t>Cost/patient/course (published prices</w:t>
            </w:r>
            <w:r w:rsidR="00A03474" w:rsidRPr="006F1B06">
              <w:t>)</w:t>
            </w:r>
            <w:r w:rsidR="00124157" w:rsidRPr="006F1B06">
              <w:rPr>
                <w:vertAlign w:val="superscript"/>
              </w:rPr>
              <w:t>a</w:t>
            </w:r>
          </w:p>
        </w:tc>
        <w:tc>
          <w:tcPr>
            <w:tcW w:w="2029" w:type="pct"/>
            <w:gridSpan w:val="3"/>
            <w:shd w:val="clear" w:color="auto" w:fill="auto"/>
            <w:vAlign w:val="center"/>
          </w:tcPr>
          <w:p w:rsidR="003B6CB0" w:rsidRPr="006F1B06" w:rsidRDefault="003B6CB0" w:rsidP="00BB732D">
            <w:pPr>
              <w:pStyle w:val="TableText0"/>
              <w:jc w:val="center"/>
            </w:pPr>
            <w:r w:rsidRPr="006F1B06">
              <w:t>$</w:t>
            </w:r>
            <w:r w:rsidR="00E020BB">
              <w:rPr>
                <w:noProof/>
                <w:color w:val="000000"/>
                <w:highlight w:val="black"/>
              </w:rPr>
              <w:t>'''''''''''''''''''''''''''''</w:t>
            </w:r>
          </w:p>
        </w:tc>
        <w:tc>
          <w:tcPr>
            <w:tcW w:w="2031" w:type="pct"/>
            <w:gridSpan w:val="3"/>
            <w:shd w:val="clear" w:color="auto" w:fill="auto"/>
            <w:vAlign w:val="center"/>
          </w:tcPr>
          <w:p w:rsidR="003B6CB0" w:rsidRPr="006F1B06" w:rsidRDefault="003B6CB0" w:rsidP="00BB732D">
            <w:pPr>
              <w:pStyle w:val="TableText0"/>
              <w:jc w:val="center"/>
            </w:pPr>
            <w:r w:rsidRPr="006F1B06">
              <w:t>$74,146.55</w:t>
            </w:r>
          </w:p>
        </w:tc>
      </w:tr>
      <w:tr w:rsidR="00A03474" w:rsidRPr="006F1B06" w:rsidTr="00A03474">
        <w:trPr>
          <w:cantSplit/>
          <w:jc w:val="center"/>
        </w:trPr>
        <w:tc>
          <w:tcPr>
            <w:tcW w:w="940" w:type="pct"/>
            <w:shd w:val="clear" w:color="auto" w:fill="auto"/>
            <w:vAlign w:val="center"/>
          </w:tcPr>
          <w:p w:rsidR="00A03474" w:rsidRPr="006F1B06" w:rsidRDefault="00A03474" w:rsidP="00E54049">
            <w:pPr>
              <w:pStyle w:val="TableText0"/>
            </w:pPr>
            <w:r w:rsidRPr="006F1B06">
              <w:t>Dose</w:t>
            </w:r>
          </w:p>
        </w:tc>
        <w:tc>
          <w:tcPr>
            <w:tcW w:w="676" w:type="pct"/>
            <w:shd w:val="clear" w:color="auto" w:fill="auto"/>
            <w:vAlign w:val="center"/>
          </w:tcPr>
          <w:p w:rsidR="00A03474" w:rsidRPr="006F1B06" w:rsidRDefault="00A03474" w:rsidP="00E54049">
            <w:pPr>
              <w:pStyle w:val="TableText0"/>
              <w:jc w:val="center"/>
              <w:rPr>
                <w:b/>
              </w:rPr>
            </w:pPr>
            <w:r w:rsidRPr="006F1B06">
              <w:rPr>
                <w:b/>
              </w:rPr>
              <w:t>1500mg</w:t>
            </w:r>
          </w:p>
        </w:tc>
        <w:tc>
          <w:tcPr>
            <w:tcW w:w="676" w:type="pct"/>
            <w:shd w:val="clear" w:color="auto" w:fill="auto"/>
            <w:vAlign w:val="center"/>
          </w:tcPr>
          <w:p w:rsidR="00A03474" w:rsidRPr="006F1B06" w:rsidRDefault="00A03474" w:rsidP="00E54049">
            <w:pPr>
              <w:pStyle w:val="TableText0"/>
              <w:jc w:val="center"/>
              <w:rPr>
                <w:b/>
              </w:rPr>
            </w:pPr>
            <w:r w:rsidRPr="006F1B06">
              <w:rPr>
                <w:b/>
              </w:rPr>
              <w:t>1500mg</w:t>
            </w:r>
          </w:p>
        </w:tc>
        <w:tc>
          <w:tcPr>
            <w:tcW w:w="677" w:type="pct"/>
            <w:shd w:val="clear" w:color="auto" w:fill="auto"/>
            <w:vAlign w:val="center"/>
          </w:tcPr>
          <w:p w:rsidR="00A03474" w:rsidRPr="006F1B06" w:rsidRDefault="00A03474" w:rsidP="00E54049">
            <w:pPr>
              <w:pStyle w:val="TableText0"/>
              <w:jc w:val="center"/>
              <w:rPr>
                <w:b/>
              </w:rPr>
            </w:pPr>
            <w:r w:rsidRPr="006F1B06">
              <w:rPr>
                <w:b/>
              </w:rPr>
              <w:t>1500mg</w:t>
            </w:r>
          </w:p>
        </w:tc>
        <w:tc>
          <w:tcPr>
            <w:tcW w:w="2031" w:type="pct"/>
            <w:gridSpan w:val="3"/>
            <w:shd w:val="clear" w:color="auto" w:fill="auto"/>
            <w:vAlign w:val="center"/>
          </w:tcPr>
          <w:p w:rsidR="00A03474" w:rsidRPr="006F1B06" w:rsidRDefault="00A03474" w:rsidP="00E54049">
            <w:pPr>
              <w:pStyle w:val="TableText0"/>
              <w:jc w:val="center"/>
              <w:rPr>
                <w:b/>
              </w:rPr>
            </w:pPr>
            <w:r w:rsidRPr="006F1B06">
              <w:rPr>
                <w:b/>
              </w:rPr>
              <w:t>1200 mg (4 cycles)</w:t>
            </w:r>
          </w:p>
          <w:p w:rsidR="00A03474" w:rsidRPr="006F1B06" w:rsidRDefault="00A03474" w:rsidP="00E54049">
            <w:pPr>
              <w:pStyle w:val="TableText0"/>
              <w:jc w:val="center"/>
              <w:rPr>
                <w:b/>
                <w:i/>
              </w:rPr>
            </w:pPr>
            <w:r w:rsidRPr="006F1B06">
              <w:rPr>
                <w:b/>
              </w:rPr>
              <w:t>1680 mg (6.2 cycles)</w:t>
            </w:r>
          </w:p>
        </w:tc>
      </w:tr>
      <w:tr w:rsidR="00A03474" w:rsidRPr="006F1B06" w:rsidTr="00A03474">
        <w:trPr>
          <w:cantSplit/>
          <w:trHeight w:val="305"/>
          <w:jc w:val="center"/>
        </w:trPr>
        <w:tc>
          <w:tcPr>
            <w:tcW w:w="940" w:type="pct"/>
            <w:shd w:val="clear" w:color="auto" w:fill="auto"/>
            <w:vAlign w:val="center"/>
          </w:tcPr>
          <w:p w:rsidR="00A03474" w:rsidRPr="006F1B06" w:rsidRDefault="00DF039A" w:rsidP="00DF039A">
            <w:pPr>
              <w:pStyle w:val="TableText0"/>
            </w:pPr>
            <w:r w:rsidRPr="006F1B06">
              <w:t>Assumed</w:t>
            </w:r>
            <w:r w:rsidR="00A03474" w:rsidRPr="006F1B06">
              <w:t xml:space="preserve"> number of doses</w:t>
            </w:r>
          </w:p>
        </w:tc>
        <w:tc>
          <w:tcPr>
            <w:tcW w:w="676" w:type="pct"/>
            <w:shd w:val="clear" w:color="auto" w:fill="auto"/>
            <w:vAlign w:val="center"/>
          </w:tcPr>
          <w:p w:rsidR="00A03474" w:rsidRPr="006F1B06" w:rsidRDefault="00A03474" w:rsidP="00E54049">
            <w:pPr>
              <w:pStyle w:val="TableText0"/>
              <w:jc w:val="center"/>
              <w:rPr>
                <w:b/>
              </w:rPr>
            </w:pPr>
            <w:r w:rsidRPr="006F1B06">
              <w:rPr>
                <w:b/>
              </w:rPr>
              <w:t>10.2</w:t>
            </w:r>
          </w:p>
        </w:tc>
        <w:tc>
          <w:tcPr>
            <w:tcW w:w="676" w:type="pct"/>
            <w:shd w:val="clear" w:color="auto" w:fill="auto"/>
            <w:vAlign w:val="center"/>
          </w:tcPr>
          <w:p w:rsidR="00A03474" w:rsidRPr="006F1B06" w:rsidRDefault="00A03474" w:rsidP="00E54049">
            <w:pPr>
              <w:pStyle w:val="TableText0"/>
              <w:jc w:val="center"/>
              <w:rPr>
                <w:b/>
              </w:rPr>
            </w:pPr>
            <w:r w:rsidRPr="006F1B06">
              <w:rPr>
                <w:b/>
              </w:rPr>
              <w:t>10.2</w:t>
            </w:r>
          </w:p>
        </w:tc>
        <w:tc>
          <w:tcPr>
            <w:tcW w:w="677" w:type="pct"/>
            <w:shd w:val="clear" w:color="auto" w:fill="auto"/>
            <w:vAlign w:val="center"/>
          </w:tcPr>
          <w:p w:rsidR="00A03474" w:rsidRPr="006F1B06" w:rsidRDefault="00A03474" w:rsidP="00E54049">
            <w:pPr>
              <w:pStyle w:val="TableText0"/>
              <w:jc w:val="center"/>
              <w:rPr>
                <w:b/>
              </w:rPr>
            </w:pPr>
            <w:r w:rsidRPr="006F1B06">
              <w:rPr>
                <w:b/>
              </w:rPr>
              <w:t>10.2</w:t>
            </w:r>
          </w:p>
        </w:tc>
        <w:tc>
          <w:tcPr>
            <w:tcW w:w="2031" w:type="pct"/>
            <w:gridSpan w:val="3"/>
            <w:shd w:val="clear" w:color="auto" w:fill="auto"/>
            <w:vAlign w:val="center"/>
          </w:tcPr>
          <w:p w:rsidR="00A03474" w:rsidRPr="006F1B06" w:rsidRDefault="00A03474" w:rsidP="00E54049">
            <w:pPr>
              <w:pStyle w:val="TableText0"/>
              <w:jc w:val="center"/>
              <w:rPr>
                <w:b/>
              </w:rPr>
            </w:pPr>
            <w:r w:rsidRPr="006F1B06">
              <w:rPr>
                <w:b/>
              </w:rPr>
              <w:t>10.2</w:t>
            </w:r>
          </w:p>
        </w:tc>
      </w:tr>
      <w:tr w:rsidR="002F5E2A" w:rsidRPr="006F1B06" w:rsidTr="002F5E2A">
        <w:trPr>
          <w:cantSplit/>
          <w:jc w:val="center"/>
        </w:trPr>
        <w:tc>
          <w:tcPr>
            <w:tcW w:w="940" w:type="pct"/>
            <w:shd w:val="clear" w:color="auto" w:fill="auto"/>
            <w:vAlign w:val="center"/>
          </w:tcPr>
          <w:p w:rsidR="002F5E2A" w:rsidRPr="006F1B06" w:rsidRDefault="002F5E2A" w:rsidP="00BB732D">
            <w:pPr>
              <w:pStyle w:val="TableText0"/>
            </w:pPr>
            <w:r w:rsidRPr="006F1B06">
              <w:t xml:space="preserve">Revised Cost/patient/course (published prices) </w:t>
            </w:r>
          </w:p>
        </w:tc>
        <w:tc>
          <w:tcPr>
            <w:tcW w:w="2029" w:type="pct"/>
            <w:gridSpan w:val="3"/>
            <w:shd w:val="clear" w:color="auto" w:fill="auto"/>
            <w:vAlign w:val="center"/>
          </w:tcPr>
          <w:p w:rsidR="002F5E2A" w:rsidRPr="006F1B06" w:rsidRDefault="002F5E2A" w:rsidP="00BB732D">
            <w:pPr>
              <w:pStyle w:val="TableText0"/>
              <w:jc w:val="center"/>
            </w:pPr>
            <w:r w:rsidRPr="006F1B06">
              <w:t>$</w:t>
            </w:r>
            <w:r w:rsidR="00E020BB">
              <w:rPr>
                <w:noProof/>
                <w:color w:val="000000"/>
                <w:highlight w:val="black"/>
              </w:rPr>
              <w:t>''''''''''''''''''''''''''''</w:t>
            </w:r>
          </w:p>
        </w:tc>
        <w:tc>
          <w:tcPr>
            <w:tcW w:w="2031" w:type="pct"/>
            <w:gridSpan w:val="3"/>
            <w:shd w:val="clear" w:color="auto" w:fill="auto"/>
            <w:vAlign w:val="center"/>
          </w:tcPr>
          <w:p w:rsidR="002F5E2A" w:rsidRPr="006F1B06" w:rsidRDefault="00F314D5" w:rsidP="00124157">
            <w:pPr>
              <w:pStyle w:val="TableText0"/>
              <w:jc w:val="center"/>
            </w:pPr>
            <w:r w:rsidRPr="006F1B06">
              <w:t xml:space="preserve">$91,874.88 </w:t>
            </w:r>
            <w:r w:rsidR="00124157" w:rsidRPr="006F1B06">
              <w:rPr>
                <w:vertAlign w:val="superscript"/>
              </w:rPr>
              <w:t>c</w:t>
            </w:r>
          </w:p>
        </w:tc>
      </w:tr>
    </w:tbl>
    <w:p w:rsidR="00494207" w:rsidRPr="006F1B06" w:rsidRDefault="00494207" w:rsidP="00C94053">
      <w:pPr>
        <w:pStyle w:val="TableFigureFooter"/>
      </w:pPr>
      <w:r w:rsidRPr="006F1B06">
        <w:t xml:space="preserve">Source: </w:t>
      </w:r>
      <w:r w:rsidR="008C7C19" w:rsidRPr="006F1B06">
        <w:t xml:space="preserve">pp31-80 of the submission. </w:t>
      </w:r>
    </w:p>
    <w:p w:rsidR="003B1FFD" w:rsidRPr="006B435E" w:rsidRDefault="00124157" w:rsidP="006671B2">
      <w:pPr>
        <w:pStyle w:val="TableFigureFooter"/>
        <w:tabs>
          <w:tab w:val="left" w:pos="284"/>
          <w:tab w:val="left" w:pos="4678"/>
        </w:tabs>
      </w:pPr>
      <w:r w:rsidRPr="006F1B06">
        <w:rPr>
          <w:vertAlign w:val="superscript"/>
        </w:rPr>
        <w:t>a</w:t>
      </w:r>
      <w:r w:rsidRPr="006F1B06">
        <w:t xml:space="preserve"> </w:t>
      </w:r>
      <w:r w:rsidR="00695D61" w:rsidRPr="006F1B06">
        <w:t>weighted DPMA (</w:t>
      </w:r>
      <w:r w:rsidR="00695D61" w:rsidRPr="006B435E">
        <w:t>durva: $</w:t>
      </w:r>
      <w:r w:rsidR="00E020BB">
        <w:rPr>
          <w:noProof/>
          <w:color w:val="000000"/>
          <w:highlight w:val="black"/>
        </w:rPr>
        <w:t>'''''''''''''''''''''''''</w:t>
      </w:r>
      <w:r w:rsidR="00695D61" w:rsidRPr="006B435E">
        <w:t>; atezo: $7,269.27) x 10.2</w:t>
      </w:r>
      <w:r w:rsidR="006671B2" w:rsidRPr="006B435E">
        <w:t xml:space="preserve">; </w:t>
      </w:r>
    </w:p>
    <w:p w:rsidR="003B6CB0" w:rsidRPr="006B435E" w:rsidRDefault="00124157" w:rsidP="006671B2">
      <w:pPr>
        <w:pStyle w:val="TableFigureFooter"/>
        <w:tabs>
          <w:tab w:val="left" w:pos="284"/>
          <w:tab w:val="left" w:pos="4678"/>
        </w:tabs>
      </w:pPr>
      <w:r w:rsidRPr="006B435E">
        <w:rPr>
          <w:vertAlign w:val="superscript"/>
        </w:rPr>
        <w:t>b</w:t>
      </w:r>
      <w:r w:rsidRPr="006B435E">
        <w:t xml:space="preserve"> </w:t>
      </w:r>
      <w:r w:rsidR="00DF039A" w:rsidRPr="006B435E">
        <w:t xml:space="preserve">based on median number of doses in </w:t>
      </w:r>
      <w:r w:rsidR="001E5BC2" w:rsidRPr="006B435E">
        <w:t>CASPIAN (10.2 doses) and the</w:t>
      </w:r>
      <w:r w:rsidR="00DF039A" w:rsidRPr="006B435E">
        <w:t xml:space="preserve"> </w:t>
      </w:r>
      <w:r w:rsidR="003B6CB0" w:rsidRPr="006B435E">
        <w:t>interim analysis</w:t>
      </w:r>
      <w:r w:rsidR="001E5BC2" w:rsidRPr="006B435E">
        <w:t xml:space="preserve"> of IMpower133 (7 doses).</w:t>
      </w:r>
    </w:p>
    <w:p w:rsidR="00A03474" w:rsidRPr="006B435E" w:rsidRDefault="00124157" w:rsidP="006671B2">
      <w:pPr>
        <w:pStyle w:val="TableFigureFooter"/>
        <w:tabs>
          <w:tab w:val="left" w:pos="284"/>
          <w:tab w:val="left" w:pos="4678"/>
        </w:tabs>
      </w:pPr>
      <w:r w:rsidRPr="006B435E">
        <w:rPr>
          <w:vertAlign w:val="superscript"/>
        </w:rPr>
        <w:t>c</w:t>
      </w:r>
      <w:r w:rsidRPr="006B435E">
        <w:t xml:space="preserve"> </w:t>
      </w:r>
      <w:r w:rsidR="00A03474" w:rsidRPr="006B435E">
        <w:t xml:space="preserve">Weighted DPMA </w:t>
      </w:r>
      <w:r w:rsidR="0038188F" w:rsidRPr="006B435E">
        <w:t xml:space="preserve">assuming 44.72% public and 55.28% private split for continuing scripts from financial estimates worksheet </w:t>
      </w:r>
      <w:r w:rsidR="00533216" w:rsidRPr="006B435E">
        <w:t>“4. S</w:t>
      </w:r>
      <w:r w:rsidR="0038188F" w:rsidRPr="006B435E">
        <w:t>c</w:t>
      </w:r>
      <w:r w:rsidR="00533216" w:rsidRPr="006B435E">
        <w:t>r</w:t>
      </w:r>
      <w:r w:rsidR="0038188F" w:rsidRPr="006B435E">
        <w:t>ipts affected”</w:t>
      </w:r>
      <w:r w:rsidR="00A03474" w:rsidRPr="006B435E">
        <w:t xml:space="preserve">(atezo 1,200 mg: $7,269.27 x 4 + atezo 1,680 mg: $10,129 x </w:t>
      </w:r>
      <w:r w:rsidR="00F314D5" w:rsidRPr="006B435E">
        <w:t>6.2)</w:t>
      </w:r>
    </w:p>
    <w:p w:rsidR="00A03474" w:rsidRPr="006B435E" w:rsidRDefault="00A03474" w:rsidP="006671B2">
      <w:pPr>
        <w:pStyle w:val="TableFigureFooter"/>
        <w:tabs>
          <w:tab w:val="left" w:pos="284"/>
          <w:tab w:val="left" w:pos="4678"/>
        </w:tabs>
      </w:pPr>
    </w:p>
    <w:p w:rsidR="00E77871" w:rsidRPr="006B435E" w:rsidRDefault="00E77871" w:rsidP="006671B2">
      <w:pPr>
        <w:pStyle w:val="TableFigureFooter"/>
        <w:tabs>
          <w:tab w:val="left" w:pos="284"/>
          <w:tab w:val="left" w:pos="4678"/>
        </w:tabs>
      </w:pPr>
    </w:p>
    <w:p w:rsidR="00B60939" w:rsidRPr="006B435E" w:rsidRDefault="00B60939" w:rsidP="002B05A1">
      <w:pPr>
        <w:pStyle w:val="4-SubsectionHeading"/>
      </w:pPr>
      <w:bookmarkStart w:id="31" w:name="_Toc22897647"/>
      <w:bookmarkStart w:id="32" w:name="_Toc50437759"/>
      <w:r w:rsidRPr="006B435E">
        <w:t>Estimated PBS usage &amp; financial implications</w:t>
      </w:r>
      <w:bookmarkEnd w:id="31"/>
      <w:bookmarkEnd w:id="32"/>
    </w:p>
    <w:p w:rsidR="00695D61" w:rsidRPr="006B435E" w:rsidRDefault="00C25D9C" w:rsidP="00695D61">
      <w:pPr>
        <w:pStyle w:val="3-BodyText"/>
      </w:pPr>
      <w:r w:rsidRPr="006B435E">
        <w:t xml:space="preserve">This submission </w:t>
      </w:r>
      <w:r w:rsidR="00B201A4" w:rsidRPr="006B435E">
        <w:t>w</w:t>
      </w:r>
      <w:r w:rsidR="00FA571B" w:rsidRPr="006B435E">
        <w:t>as</w:t>
      </w:r>
      <w:r w:rsidRPr="006B435E">
        <w:t xml:space="preserve"> not</w:t>
      </w:r>
      <w:r w:rsidR="00D23D11" w:rsidRPr="006B435E">
        <w:t xml:space="preserve"> </w:t>
      </w:r>
      <w:r w:rsidRPr="006B435E">
        <w:t>considered by DUSC.</w:t>
      </w:r>
      <w:r w:rsidR="00BC591F" w:rsidRPr="006B435E">
        <w:t xml:space="preserve"> </w:t>
      </w:r>
      <w:r w:rsidR="00695D61" w:rsidRPr="006B435E">
        <w:t xml:space="preserve">The submission </w:t>
      </w:r>
      <w:r w:rsidR="00124157" w:rsidRPr="006B435E">
        <w:t>used</w:t>
      </w:r>
      <w:r w:rsidR="00695D61" w:rsidRPr="006B435E">
        <w:t xml:space="preserve"> an epidemiological approach to </w:t>
      </w:r>
      <w:r w:rsidR="00124157" w:rsidRPr="006B435E">
        <w:t xml:space="preserve">estimate </w:t>
      </w:r>
      <w:r w:rsidR="00695D61" w:rsidRPr="006B435E">
        <w:t xml:space="preserve">financial implications. </w:t>
      </w:r>
    </w:p>
    <w:p w:rsidR="00695D61" w:rsidRPr="006B435E" w:rsidRDefault="00695D61" w:rsidP="00695D61">
      <w:pPr>
        <w:pStyle w:val="3-BodyText"/>
      </w:pPr>
      <w:r w:rsidRPr="006B435E">
        <w:t>Though a market share approach is more appropriate in the case of a listed comparator, the submission considered that atezolizumab was listed too recently (1 March 2020) for a market share approach.</w:t>
      </w:r>
      <w:r w:rsidRPr="006B435E">
        <w:rPr>
          <w:i/>
        </w:rPr>
        <w:t xml:space="preserve"> </w:t>
      </w:r>
      <w:r w:rsidRPr="006B435E">
        <w:t>Th</w:t>
      </w:r>
      <w:r w:rsidR="003C3123" w:rsidRPr="006B435E">
        <w:t>e evaluation considered th</w:t>
      </w:r>
      <w:r w:rsidRPr="006B435E">
        <w:t>is was reasonable.</w:t>
      </w:r>
    </w:p>
    <w:p w:rsidR="00695D61" w:rsidRPr="006B435E" w:rsidRDefault="00695D61" w:rsidP="00695D61">
      <w:pPr>
        <w:pStyle w:val="3-BodyText"/>
        <w:rPr>
          <w:color w:val="0066FF"/>
        </w:rPr>
      </w:pPr>
      <w:r w:rsidRPr="006B435E">
        <w:t xml:space="preserve">The submission considered that the eligible population will be the same as for the listed atezolizumab and, therefore, wherever possible, data pertaining to the epidemiological steps was sourced from the PSDs for atezolizumab and ES-SCLC. </w:t>
      </w:r>
      <w:r w:rsidRPr="006B435E">
        <w:lastRenderedPageBreak/>
        <w:t>Overall, it was reasonable to assume that the eligible population would be the same as that listed for atezolizumab</w:t>
      </w:r>
      <w:r w:rsidR="00A37BD2" w:rsidRPr="006B435E">
        <w:t>.</w:t>
      </w:r>
    </w:p>
    <w:p w:rsidR="00695D61" w:rsidRPr="006B435E" w:rsidRDefault="006671B2" w:rsidP="00695D61">
      <w:pPr>
        <w:pStyle w:val="3-BodyText"/>
        <w:rPr>
          <w:color w:val="0066FF"/>
        </w:rPr>
      </w:pPr>
      <w:r w:rsidRPr="006B435E">
        <w:t>Table 10</w:t>
      </w:r>
      <w:r w:rsidR="00977E4F" w:rsidRPr="006B435E">
        <w:t xml:space="preserve"> </w:t>
      </w:r>
      <w:r w:rsidR="00695D61" w:rsidRPr="006B435E">
        <w:t>presents a summary of the key inputs for the financial estimates.</w:t>
      </w:r>
    </w:p>
    <w:p w:rsidR="00E42F73" w:rsidRPr="006B435E" w:rsidRDefault="00E42F73" w:rsidP="00BE305A">
      <w:pPr>
        <w:pStyle w:val="TableFigureHeading"/>
        <w:keepLines/>
        <w:rPr>
          <w:rStyle w:val="CommentReference"/>
          <w:b/>
          <w:szCs w:val="24"/>
        </w:rPr>
      </w:pPr>
      <w:bookmarkStart w:id="33" w:name="_Ref49791686"/>
      <w:r w:rsidRPr="006B435E">
        <w:rPr>
          <w:rStyle w:val="CommentReference"/>
          <w:b/>
          <w:szCs w:val="24"/>
        </w:rPr>
        <w:lastRenderedPageBreak/>
        <w:t xml:space="preserve">Table </w:t>
      </w:r>
      <w:r w:rsidR="006671B2" w:rsidRPr="006B435E">
        <w:rPr>
          <w:rStyle w:val="CommentReference"/>
          <w:b/>
          <w:szCs w:val="24"/>
        </w:rPr>
        <w:t>10</w:t>
      </w:r>
      <w:bookmarkEnd w:id="33"/>
      <w:r w:rsidRPr="006B435E">
        <w:rPr>
          <w:rStyle w:val="CommentReference"/>
          <w:b/>
          <w:szCs w:val="24"/>
        </w:rPr>
        <w:t>: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980"/>
        <w:gridCol w:w="1984"/>
        <w:gridCol w:w="2552"/>
        <w:gridCol w:w="2664"/>
      </w:tblGrid>
      <w:tr w:rsidR="00A91FD9" w:rsidRPr="006B435E" w:rsidTr="0020156F">
        <w:trPr>
          <w:tblHeader/>
        </w:trPr>
        <w:tc>
          <w:tcPr>
            <w:tcW w:w="1980" w:type="dxa"/>
          </w:tcPr>
          <w:p w:rsidR="00A91FD9" w:rsidRPr="006B435E" w:rsidRDefault="00A91FD9" w:rsidP="00BE305A">
            <w:pPr>
              <w:pStyle w:val="TableHeading0"/>
              <w:widowControl w:val="0"/>
              <w:spacing w:line="240" w:lineRule="auto"/>
            </w:pPr>
            <w:r w:rsidRPr="006B435E">
              <w:t>Data</w:t>
            </w:r>
          </w:p>
        </w:tc>
        <w:tc>
          <w:tcPr>
            <w:tcW w:w="1984" w:type="dxa"/>
            <w:vAlign w:val="center"/>
          </w:tcPr>
          <w:p w:rsidR="00A91FD9" w:rsidRPr="006B435E" w:rsidRDefault="00A91FD9" w:rsidP="00BE305A">
            <w:pPr>
              <w:pStyle w:val="TableHeading0"/>
              <w:widowControl w:val="0"/>
              <w:spacing w:line="240" w:lineRule="auto"/>
              <w:jc w:val="center"/>
            </w:pPr>
            <w:r w:rsidRPr="006B435E">
              <w:t>Value</w:t>
            </w:r>
          </w:p>
        </w:tc>
        <w:tc>
          <w:tcPr>
            <w:tcW w:w="2552" w:type="dxa"/>
            <w:vAlign w:val="center"/>
          </w:tcPr>
          <w:p w:rsidR="00A91FD9" w:rsidRPr="006B435E" w:rsidRDefault="00A91FD9" w:rsidP="00BE305A">
            <w:pPr>
              <w:pStyle w:val="TableHeading0"/>
              <w:widowControl w:val="0"/>
              <w:spacing w:line="240" w:lineRule="auto"/>
              <w:jc w:val="center"/>
            </w:pPr>
            <w:r w:rsidRPr="006B435E">
              <w:t>Source</w:t>
            </w:r>
          </w:p>
        </w:tc>
        <w:tc>
          <w:tcPr>
            <w:tcW w:w="2664" w:type="dxa"/>
            <w:vAlign w:val="center"/>
          </w:tcPr>
          <w:p w:rsidR="00A91FD9" w:rsidRPr="006B435E" w:rsidRDefault="00A91FD9" w:rsidP="00BE305A">
            <w:pPr>
              <w:pStyle w:val="TableHeading0"/>
              <w:widowControl w:val="0"/>
              <w:spacing w:line="240" w:lineRule="auto"/>
              <w:jc w:val="center"/>
            </w:pPr>
            <w:r w:rsidRPr="006B435E">
              <w:t>Comment</w:t>
            </w:r>
          </w:p>
        </w:tc>
      </w:tr>
      <w:tr w:rsidR="00A91FD9" w:rsidRPr="006B435E" w:rsidTr="00A91FD9">
        <w:trPr>
          <w:tblHeader/>
        </w:trPr>
        <w:tc>
          <w:tcPr>
            <w:tcW w:w="9180" w:type="dxa"/>
            <w:gridSpan w:val="4"/>
          </w:tcPr>
          <w:p w:rsidR="00A91FD9" w:rsidRPr="006B435E" w:rsidRDefault="00A91FD9" w:rsidP="00BE305A">
            <w:pPr>
              <w:pStyle w:val="In-tableHeading"/>
              <w:keepLines/>
              <w:widowControl w:val="0"/>
              <w:rPr>
                <w:lang w:val="en-AU"/>
              </w:rPr>
            </w:pPr>
            <w:r w:rsidRPr="006B435E">
              <w:rPr>
                <w:lang w:val="en-AU"/>
              </w:rPr>
              <w:t>Eligible population</w:t>
            </w:r>
          </w:p>
        </w:tc>
      </w:tr>
      <w:tr w:rsidR="00A91FD9" w:rsidRPr="006B435E" w:rsidTr="0020156F">
        <w:trPr>
          <w:tblHeader/>
        </w:trPr>
        <w:tc>
          <w:tcPr>
            <w:tcW w:w="1980" w:type="dxa"/>
          </w:tcPr>
          <w:p w:rsidR="00A91FD9" w:rsidRPr="006B435E" w:rsidRDefault="00A91FD9" w:rsidP="00BE305A">
            <w:pPr>
              <w:pStyle w:val="TableText0"/>
              <w:keepLines/>
              <w:widowControl w:val="0"/>
            </w:pPr>
            <w:r w:rsidRPr="006B435E">
              <w:t>Number of patients in Australia with lung cancer</w:t>
            </w:r>
          </w:p>
        </w:tc>
        <w:tc>
          <w:tcPr>
            <w:tcW w:w="1984" w:type="dxa"/>
          </w:tcPr>
          <w:p w:rsidR="00A91FD9" w:rsidRPr="006B435E" w:rsidRDefault="00A91FD9" w:rsidP="00BE305A">
            <w:pPr>
              <w:pStyle w:val="TableText0"/>
              <w:keepLines/>
              <w:widowControl w:val="0"/>
            </w:pPr>
            <w:r w:rsidRPr="006B435E">
              <w:t xml:space="preserve">Yr 1: </w:t>
            </w:r>
            <w:r w:rsidRPr="006B435E">
              <w:rPr>
                <w:rFonts w:eastAsia="Times New Roman"/>
              </w:rPr>
              <w:t>13,419*</w:t>
            </w:r>
          </w:p>
          <w:p w:rsidR="00A91FD9" w:rsidRPr="006B435E" w:rsidRDefault="00A91FD9" w:rsidP="00BE305A">
            <w:pPr>
              <w:pStyle w:val="TableText0"/>
              <w:keepLines/>
              <w:widowControl w:val="0"/>
            </w:pPr>
            <w:r w:rsidRPr="006B435E">
              <w:t xml:space="preserve">Yr 2: </w:t>
            </w:r>
            <w:r w:rsidRPr="006B435E">
              <w:rPr>
                <w:rFonts w:eastAsia="Times New Roman"/>
              </w:rPr>
              <w:t>13,762</w:t>
            </w:r>
          </w:p>
          <w:p w:rsidR="00A91FD9" w:rsidRPr="006B435E" w:rsidRDefault="00A91FD9" w:rsidP="00BE305A">
            <w:pPr>
              <w:pStyle w:val="TableText0"/>
              <w:keepLines/>
              <w:widowControl w:val="0"/>
            </w:pPr>
            <w:r w:rsidRPr="006B435E">
              <w:t xml:space="preserve">Yr 3: </w:t>
            </w:r>
            <w:r w:rsidRPr="006B435E">
              <w:rPr>
                <w:rFonts w:eastAsia="Times New Roman"/>
              </w:rPr>
              <w:t>14,034</w:t>
            </w:r>
          </w:p>
          <w:p w:rsidR="00A91FD9" w:rsidRPr="006B435E" w:rsidRDefault="00A91FD9" w:rsidP="00BE305A">
            <w:pPr>
              <w:pStyle w:val="TableText0"/>
              <w:keepLines/>
              <w:widowControl w:val="0"/>
            </w:pPr>
            <w:r w:rsidRPr="006B435E">
              <w:t xml:space="preserve">Yr 4: </w:t>
            </w:r>
            <w:r w:rsidRPr="006B435E">
              <w:rPr>
                <w:rFonts w:eastAsia="Times New Roman"/>
              </w:rPr>
              <w:t>14,305</w:t>
            </w:r>
          </w:p>
          <w:p w:rsidR="00A91FD9" w:rsidRPr="006B435E" w:rsidRDefault="00A91FD9" w:rsidP="00BE305A">
            <w:pPr>
              <w:pStyle w:val="TableText0"/>
              <w:keepLines/>
              <w:widowControl w:val="0"/>
            </w:pPr>
            <w:r w:rsidRPr="006B435E">
              <w:t xml:space="preserve">Yr 5: </w:t>
            </w:r>
            <w:r w:rsidRPr="006B435E">
              <w:rPr>
                <w:rFonts w:eastAsia="Times New Roman"/>
              </w:rPr>
              <w:t>14,577</w:t>
            </w:r>
          </w:p>
          <w:p w:rsidR="00A91FD9" w:rsidRPr="006B435E" w:rsidRDefault="00A91FD9" w:rsidP="00BE305A">
            <w:pPr>
              <w:pStyle w:val="TableText0"/>
              <w:keepLines/>
              <w:widowControl w:val="0"/>
            </w:pPr>
            <w:r w:rsidRPr="006B435E">
              <w:t xml:space="preserve">Yr 6: </w:t>
            </w:r>
            <w:r w:rsidRPr="006B435E">
              <w:rPr>
                <w:rFonts w:eastAsia="Times New Roman"/>
              </w:rPr>
              <w:t>14,882</w:t>
            </w:r>
          </w:p>
        </w:tc>
        <w:tc>
          <w:tcPr>
            <w:tcW w:w="2552" w:type="dxa"/>
          </w:tcPr>
          <w:p w:rsidR="00A91FD9" w:rsidRPr="006B435E" w:rsidRDefault="00A91FD9" w:rsidP="00BE305A">
            <w:pPr>
              <w:pStyle w:val="TableText0"/>
              <w:keepLines/>
              <w:widowControl w:val="0"/>
            </w:pPr>
            <w:r w:rsidRPr="006B435E">
              <w:t>Taken from the atezolizumab ES</w:t>
            </w:r>
            <w:r w:rsidR="004E3353" w:rsidRPr="006B435E">
              <w:t>-</w:t>
            </w:r>
            <w:r w:rsidRPr="006B435E">
              <w:t>SCLC PSD, July 2019</w:t>
            </w:r>
          </w:p>
        </w:tc>
        <w:tc>
          <w:tcPr>
            <w:tcW w:w="2664" w:type="dxa"/>
          </w:tcPr>
          <w:p w:rsidR="00A91FD9" w:rsidRPr="006B435E" w:rsidRDefault="00A91FD9" w:rsidP="00BE305A">
            <w:pPr>
              <w:pStyle w:val="TableText0"/>
              <w:keepLines/>
              <w:widowControl w:val="0"/>
            </w:pPr>
            <w:r w:rsidRPr="006B435E">
              <w:t>Reasonable</w:t>
            </w:r>
          </w:p>
        </w:tc>
      </w:tr>
      <w:tr w:rsidR="00A91FD9" w:rsidRPr="006B435E" w:rsidTr="0020156F">
        <w:trPr>
          <w:tblHeader/>
        </w:trPr>
        <w:tc>
          <w:tcPr>
            <w:tcW w:w="1980" w:type="dxa"/>
            <w:vAlign w:val="center"/>
          </w:tcPr>
          <w:p w:rsidR="00A91FD9" w:rsidRPr="006B435E" w:rsidRDefault="00A91FD9" w:rsidP="00BE305A">
            <w:pPr>
              <w:pStyle w:val="TableText0"/>
              <w:keepLines/>
              <w:widowControl w:val="0"/>
            </w:pPr>
            <w:r w:rsidRPr="006B435E">
              <w:t>Proportion with small</w:t>
            </w:r>
            <w:r w:rsidRPr="006B435E">
              <w:noBreakHyphen/>
              <w:t>cell lung cancer</w:t>
            </w:r>
          </w:p>
        </w:tc>
        <w:tc>
          <w:tcPr>
            <w:tcW w:w="1984" w:type="dxa"/>
            <w:vAlign w:val="center"/>
          </w:tcPr>
          <w:p w:rsidR="00A91FD9" w:rsidRPr="006B435E" w:rsidRDefault="00A91FD9" w:rsidP="00BE305A">
            <w:pPr>
              <w:pStyle w:val="TableText0"/>
              <w:keepLines/>
              <w:widowControl w:val="0"/>
              <w:jc w:val="center"/>
            </w:pPr>
            <w:r w:rsidRPr="006B435E">
              <w:t>11.75%</w:t>
            </w:r>
          </w:p>
        </w:tc>
        <w:tc>
          <w:tcPr>
            <w:tcW w:w="2552" w:type="dxa"/>
          </w:tcPr>
          <w:p w:rsidR="00A91FD9" w:rsidRPr="006B435E" w:rsidRDefault="00A91FD9" w:rsidP="00BE305A">
            <w:pPr>
              <w:pStyle w:val="TableText0"/>
              <w:keepLines/>
              <w:widowControl w:val="0"/>
            </w:pPr>
            <w:r w:rsidRPr="006B435E">
              <w:t>Derived from the atezolizumab ES</w:t>
            </w:r>
            <w:r w:rsidRPr="006B435E">
              <w:noBreakHyphen/>
              <w:t>SCLC PSD, July 2019</w:t>
            </w:r>
          </w:p>
        </w:tc>
        <w:tc>
          <w:tcPr>
            <w:tcW w:w="2664" w:type="dxa"/>
          </w:tcPr>
          <w:p w:rsidR="00A91FD9" w:rsidRPr="006B435E" w:rsidRDefault="00A91FD9" w:rsidP="00BE305A">
            <w:pPr>
              <w:pStyle w:val="TableText0"/>
              <w:keepLines/>
              <w:widowControl w:val="0"/>
            </w:pPr>
            <w:r w:rsidRPr="006B435E">
              <w:t>Reasonable</w:t>
            </w:r>
          </w:p>
        </w:tc>
      </w:tr>
      <w:tr w:rsidR="00A91FD9" w:rsidRPr="006B435E" w:rsidTr="0020156F">
        <w:trPr>
          <w:tblHeader/>
        </w:trPr>
        <w:tc>
          <w:tcPr>
            <w:tcW w:w="1980" w:type="dxa"/>
            <w:vAlign w:val="center"/>
          </w:tcPr>
          <w:p w:rsidR="00A91FD9" w:rsidRPr="006B435E" w:rsidRDefault="00A91FD9" w:rsidP="00BE305A">
            <w:pPr>
              <w:pStyle w:val="TableText0"/>
              <w:keepLines/>
              <w:widowControl w:val="0"/>
            </w:pPr>
            <w:r w:rsidRPr="006B435E">
              <w:t>Proportion with ES</w:t>
            </w:r>
            <w:r w:rsidRPr="006B435E">
              <w:noBreakHyphen/>
              <w:t>SCLC</w:t>
            </w:r>
          </w:p>
        </w:tc>
        <w:tc>
          <w:tcPr>
            <w:tcW w:w="1984" w:type="dxa"/>
            <w:vAlign w:val="center"/>
          </w:tcPr>
          <w:p w:rsidR="00A91FD9" w:rsidRPr="006B435E" w:rsidRDefault="00A91FD9" w:rsidP="00BE305A">
            <w:pPr>
              <w:pStyle w:val="TableText0"/>
              <w:keepLines/>
              <w:widowControl w:val="0"/>
              <w:jc w:val="center"/>
            </w:pPr>
            <w:r w:rsidRPr="006B435E">
              <w:t>71.3%</w:t>
            </w:r>
          </w:p>
        </w:tc>
        <w:tc>
          <w:tcPr>
            <w:tcW w:w="2552" w:type="dxa"/>
          </w:tcPr>
          <w:p w:rsidR="00A91FD9" w:rsidRPr="006B435E" w:rsidRDefault="00A91FD9" w:rsidP="00BE305A">
            <w:pPr>
              <w:pStyle w:val="TableText0"/>
              <w:keepLines/>
              <w:widowControl w:val="0"/>
            </w:pPr>
            <w:r w:rsidRPr="006B435E">
              <w:t>Derived from the atezolizumab ES</w:t>
            </w:r>
            <w:r w:rsidRPr="006B435E">
              <w:noBreakHyphen/>
              <w:t>SCLC PSD, July 2019</w:t>
            </w:r>
          </w:p>
        </w:tc>
        <w:tc>
          <w:tcPr>
            <w:tcW w:w="2664" w:type="dxa"/>
          </w:tcPr>
          <w:p w:rsidR="00A91FD9" w:rsidRPr="006B435E" w:rsidRDefault="00A91FD9" w:rsidP="00BE305A">
            <w:pPr>
              <w:pStyle w:val="TableText0"/>
              <w:keepLines/>
              <w:widowControl w:val="0"/>
            </w:pPr>
            <w:r w:rsidRPr="006B435E">
              <w:t>Reasonable</w:t>
            </w:r>
          </w:p>
        </w:tc>
      </w:tr>
      <w:tr w:rsidR="00A91FD9" w:rsidRPr="006B435E" w:rsidTr="0020156F">
        <w:trPr>
          <w:tblHeader/>
        </w:trPr>
        <w:tc>
          <w:tcPr>
            <w:tcW w:w="1980" w:type="dxa"/>
            <w:vAlign w:val="center"/>
          </w:tcPr>
          <w:p w:rsidR="00A91FD9" w:rsidRPr="006B435E" w:rsidRDefault="00A91FD9" w:rsidP="00BE305A">
            <w:pPr>
              <w:pStyle w:val="TableText0"/>
              <w:keepLines/>
              <w:widowControl w:val="0"/>
            </w:pPr>
            <w:r w:rsidRPr="006B435E">
              <w:t>Proportion with LS</w:t>
            </w:r>
            <w:r w:rsidRPr="006B435E">
              <w:noBreakHyphen/>
              <w:t>SCLC</w:t>
            </w:r>
          </w:p>
        </w:tc>
        <w:tc>
          <w:tcPr>
            <w:tcW w:w="1984" w:type="dxa"/>
            <w:vAlign w:val="center"/>
          </w:tcPr>
          <w:p w:rsidR="00A91FD9" w:rsidRPr="006B435E" w:rsidRDefault="00A91FD9" w:rsidP="00BE305A">
            <w:pPr>
              <w:pStyle w:val="TableText0"/>
              <w:keepLines/>
              <w:widowControl w:val="0"/>
              <w:jc w:val="center"/>
            </w:pPr>
            <w:r w:rsidRPr="006B435E">
              <w:t>28.7%</w:t>
            </w:r>
          </w:p>
        </w:tc>
        <w:tc>
          <w:tcPr>
            <w:tcW w:w="2552" w:type="dxa"/>
          </w:tcPr>
          <w:p w:rsidR="00A91FD9" w:rsidRPr="006B435E" w:rsidRDefault="00A91FD9" w:rsidP="00BE305A">
            <w:pPr>
              <w:pStyle w:val="TableText0"/>
              <w:keepLines/>
              <w:widowControl w:val="0"/>
            </w:pPr>
            <w:r w:rsidRPr="006B435E">
              <w:t>Inverse of proportion with ES</w:t>
            </w:r>
            <w:r w:rsidRPr="006B435E">
              <w:noBreakHyphen/>
              <w:t xml:space="preserve">SCLC </w:t>
            </w:r>
          </w:p>
        </w:tc>
        <w:tc>
          <w:tcPr>
            <w:tcW w:w="2664" w:type="dxa"/>
          </w:tcPr>
          <w:p w:rsidR="00A91FD9" w:rsidRPr="006B435E" w:rsidRDefault="00A91FD9" w:rsidP="00BE305A">
            <w:pPr>
              <w:pStyle w:val="TableText0"/>
              <w:keepLines/>
              <w:widowControl w:val="0"/>
            </w:pPr>
            <w:r w:rsidRPr="006B435E">
              <w:t>-</w:t>
            </w:r>
          </w:p>
        </w:tc>
      </w:tr>
      <w:tr w:rsidR="00A91FD9" w:rsidRPr="006B435E" w:rsidTr="0020156F">
        <w:trPr>
          <w:tblHeader/>
        </w:trPr>
        <w:tc>
          <w:tcPr>
            <w:tcW w:w="1980" w:type="dxa"/>
          </w:tcPr>
          <w:p w:rsidR="00A91FD9" w:rsidRPr="006B435E" w:rsidRDefault="00A91FD9" w:rsidP="00BE305A">
            <w:pPr>
              <w:pStyle w:val="TableText0"/>
              <w:keepLines/>
              <w:widowControl w:val="0"/>
            </w:pPr>
            <w:r w:rsidRPr="006B435E">
              <w:t>Proportion with LS</w:t>
            </w:r>
            <w:r w:rsidRPr="006B435E">
              <w:noBreakHyphen/>
              <w:t>SCLC developing ES</w:t>
            </w:r>
            <w:r w:rsidRPr="006B435E">
              <w:noBreakHyphen/>
              <w:t>SCLC</w:t>
            </w:r>
          </w:p>
        </w:tc>
        <w:tc>
          <w:tcPr>
            <w:tcW w:w="1984" w:type="dxa"/>
            <w:vAlign w:val="center"/>
          </w:tcPr>
          <w:p w:rsidR="00A91FD9" w:rsidRPr="006B435E" w:rsidRDefault="00A91FD9" w:rsidP="00BE305A">
            <w:pPr>
              <w:pStyle w:val="TableText0"/>
              <w:keepLines/>
              <w:widowControl w:val="0"/>
              <w:jc w:val="center"/>
            </w:pPr>
            <w:r w:rsidRPr="006B435E">
              <w:t>74.75%</w:t>
            </w:r>
          </w:p>
        </w:tc>
        <w:tc>
          <w:tcPr>
            <w:tcW w:w="2552" w:type="dxa"/>
          </w:tcPr>
          <w:p w:rsidR="00A91FD9" w:rsidRPr="006B435E" w:rsidRDefault="00A91FD9" w:rsidP="00BE305A">
            <w:pPr>
              <w:pStyle w:val="TableText0"/>
              <w:keepLines/>
              <w:widowControl w:val="0"/>
            </w:pPr>
            <w:r w:rsidRPr="006B435E">
              <w:t>Average from literature search</w:t>
            </w:r>
          </w:p>
        </w:tc>
        <w:tc>
          <w:tcPr>
            <w:tcW w:w="2664" w:type="dxa"/>
          </w:tcPr>
          <w:p w:rsidR="00A91FD9" w:rsidRPr="006B435E" w:rsidRDefault="00A91FD9" w:rsidP="00BE305A">
            <w:pPr>
              <w:pStyle w:val="TableText0"/>
              <w:keepLines/>
              <w:widowControl w:val="0"/>
            </w:pPr>
            <w:r w:rsidRPr="006B435E">
              <w:t>Reasonable</w:t>
            </w:r>
          </w:p>
        </w:tc>
      </w:tr>
      <w:tr w:rsidR="00A91FD9" w:rsidRPr="006B435E" w:rsidTr="0020156F">
        <w:trPr>
          <w:tblHeader/>
        </w:trPr>
        <w:tc>
          <w:tcPr>
            <w:tcW w:w="1980" w:type="dxa"/>
          </w:tcPr>
          <w:p w:rsidR="00A91FD9" w:rsidRPr="006B435E" w:rsidRDefault="00A91FD9" w:rsidP="00BE305A">
            <w:pPr>
              <w:pStyle w:val="TableText0"/>
              <w:keepLines/>
              <w:widowControl w:val="0"/>
            </w:pPr>
            <w:r w:rsidRPr="006B435E">
              <w:t>Proportion with ES</w:t>
            </w:r>
            <w:r w:rsidRPr="006B435E">
              <w:noBreakHyphen/>
              <w:t>SCLC with WHO PS of 0 or 1</w:t>
            </w:r>
          </w:p>
        </w:tc>
        <w:tc>
          <w:tcPr>
            <w:tcW w:w="1984" w:type="dxa"/>
            <w:vAlign w:val="center"/>
          </w:tcPr>
          <w:p w:rsidR="00A91FD9" w:rsidRPr="006B435E" w:rsidRDefault="00A91FD9" w:rsidP="00BE305A">
            <w:pPr>
              <w:pStyle w:val="TableText0"/>
              <w:keepLines/>
              <w:widowControl w:val="0"/>
              <w:jc w:val="center"/>
            </w:pPr>
            <w:r w:rsidRPr="006B435E">
              <w:t>67.1%</w:t>
            </w:r>
          </w:p>
        </w:tc>
        <w:tc>
          <w:tcPr>
            <w:tcW w:w="2552" w:type="dxa"/>
          </w:tcPr>
          <w:p w:rsidR="00A91FD9" w:rsidRPr="006B435E" w:rsidRDefault="00A91FD9" w:rsidP="00BE305A">
            <w:pPr>
              <w:pStyle w:val="TableText0"/>
              <w:keepLines/>
              <w:widowControl w:val="0"/>
            </w:pPr>
            <w:r w:rsidRPr="006B435E">
              <w:t xml:space="preserve">Average from literature search </w:t>
            </w:r>
          </w:p>
        </w:tc>
        <w:tc>
          <w:tcPr>
            <w:tcW w:w="2664" w:type="dxa"/>
          </w:tcPr>
          <w:p w:rsidR="00A91FD9" w:rsidRPr="006B435E" w:rsidRDefault="00A91FD9" w:rsidP="00BE305A">
            <w:pPr>
              <w:pStyle w:val="TableText0"/>
              <w:keepLines/>
              <w:widowControl w:val="0"/>
            </w:pPr>
            <w:r w:rsidRPr="006B435E">
              <w:t>Reasonable</w:t>
            </w:r>
          </w:p>
        </w:tc>
      </w:tr>
      <w:tr w:rsidR="00A91FD9" w:rsidRPr="006B435E" w:rsidTr="00A91FD9">
        <w:trPr>
          <w:tblHeader/>
        </w:trPr>
        <w:tc>
          <w:tcPr>
            <w:tcW w:w="9180" w:type="dxa"/>
            <w:gridSpan w:val="4"/>
          </w:tcPr>
          <w:p w:rsidR="00A91FD9" w:rsidRPr="006B435E" w:rsidRDefault="00A91FD9" w:rsidP="00BE305A">
            <w:pPr>
              <w:pStyle w:val="TableText0"/>
              <w:keepLines/>
              <w:widowControl w:val="0"/>
              <w:rPr>
                <w:b/>
              </w:rPr>
            </w:pPr>
            <w:r w:rsidRPr="006B435E">
              <w:rPr>
                <w:b/>
              </w:rPr>
              <w:t>Treatment utilisation</w:t>
            </w:r>
          </w:p>
        </w:tc>
      </w:tr>
      <w:tr w:rsidR="00A91FD9" w:rsidRPr="006B435E" w:rsidTr="0020156F">
        <w:trPr>
          <w:tblHeader/>
        </w:trPr>
        <w:tc>
          <w:tcPr>
            <w:tcW w:w="1980" w:type="dxa"/>
          </w:tcPr>
          <w:p w:rsidR="00A91FD9" w:rsidRPr="006B435E" w:rsidRDefault="00A91FD9" w:rsidP="00BE305A">
            <w:pPr>
              <w:pStyle w:val="TableText0"/>
              <w:keepLines/>
              <w:widowControl w:val="0"/>
            </w:pPr>
            <w:r w:rsidRPr="006B435E">
              <w:t>Uptake rate</w:t>
            </w:r>
          </w:p>
        </w:tc>
        <w:tc>
          <w:tcPr>
            <w:tcW w:w="1984" w:type="dxa"/>
          </w:tcPr>
          <w:p w:rsidR="00A91FD9" w:rsidRPr="006B435E" w:rsidRDefault="00A91FD9" w:rsidP="00BE305A">
            <w:pPr>
              <w:pStyle w:val="TableText0"/>
              <w:keepLines/>
              <w:widowControl w:val="0"/>
            </w:pPr>
            <w:r w:rsidRPr="006B435E">
              <w:t>Yr 1: 17%</w:t>
            </w:r>
          </w:p>
          <w:p w:rsidR="00A91FD9" w:rsidRPr="006B435E" w:rsidRDefault="00A91FD9" w:rsidP="00BE305A">
            <w:pPr>
              <w:pStyle w:val="TableText0"/>
              <w:keepLines/>
              <w:widowControl w:val="0"/>
            </w:pPr>
            <w:r w:rsidRPr="006B435E">
              <w:t>Yr 2: 27%</w:t>
            </w:r>
          </w:p>
          <w:p w:rsidR="00A91FD9" w:rsidRPr="006B435E" w:rsidRDefault="00A91FD9" w:rsidP="00BE305A">
            <w:pPr>
              <w:pStyle w:val="TableText0"/>
              <w:keepLines/>
              <w:widowControl w:val="0"/>
            </w:pPr>
            <w:r w:rsidRPr="006B435E">
              <w:t>Yr 3: 27%</w:t>
            </w:r>
          </w:p>
          <w:p w:rsidR="00A91FD9" w:rsidRPr="006B435E" w:rsidRDefault="00A91FD9" w:rsidP="00BE305A">
            <w:pPr>
              <w:pStyle w:val="TableText0"/>
              <w:keepLines/>
              <w:widowControl w:val="0"/>
            </w:pPr>
            <w:r w:rsidRPr="006B435E">
              <w:t>Yr 4: 27%</w:t>
            </w:r>
          </w:p>
          <w:p w:rsidR="00A91FD9" w:rsidRPr="006B435E" w:rsidRDefault="00A91FD9" w:rsidP="00BE305A">
            <w:pPr>
              <w:pStyle w:val="TableText0"/>
              <w:keepLines/>
              <w:widowControl w:val="0"/>
            </w:pPr>
            <w:r w:rsidRPr="006B435E">
              <w:t>Yr 5: 27%</w:t>
            </w:r>
          </w:p>
          <w:p w:rsidR="00A91FD9" w:rsidRPr="006B435E" w:rsidRDefault="00A91FD9" w:rsidP="00BE305A">
            <w:pPr>
              <w:pStyle w:val="TableText0"/>
              <w:keepLines/>
              <w:widowControl w:val="0"/>
            </w:pPr>
            <w:r w:rsidRPr="006B435E">
              <w:t>Yr 6: 27%</w:t>
            </w:r>
          </w:p>
        </w:tc>
        <w:tc>
          <w:tcPr>
            <w:tcW w:w="2552" w:type="dxa"/>
          </w:tcPr>
          <w:p w:rsidR="00A91FD9" w:rsidRPr="006B435E" w:rsidRDefault="00A91FD9" w:rsidP="00BE305A">
            <w:pPr>
              <w:pStyle w:val="TableText0"/>
              <w:keepLines/>
              <w:widowControl w:val="0"/>
            </w:pPr>
            <w:r w:rsidRPr="006B435E">
              <w:t>Market share assumption based on durvalumab being second to market</w:t>
            </w:r>
          </w:p>
        </w:tc>
        <w:tc>
          <w:tcPr>
            <w:tcW w:w="2664" w:type="dxa"/>
          </w:tcPr>
          <w:p w:rsidR="00A91FD9" w:rsidRPr="006B435E" w:rsidRDefault="00A91FD9" w:rsidP="00BE305A">
            <w:pPr>
              <w:pStyle w:val="TableText0"/>
              <w:keepLines/>
              <w:widowControl w:val="0"/>
            </w:pPr>
            <w:r w:rsidRPr="006B435E">
              <w:t xml:space="preserve">This may be substantially underestimated given </w:t>
            </w:r>
            <w:r w:rsidR="00E82663" w:rsidRPr="006B435E">
              <w:t>the availability of only one other potentially equi-effective therapy</w:t>
            </w:r>
            <w:r w:rsidR="003B1FFD" w:rsidRPr="006B435E">
              <w:t xml:space="preserve"> (atezolizumab).</w:t>
            </w:r>
            <w:r w:rsidR="00E82663" w:rsidRPr="006B435E">
              <w:t xml:space="preserve"> </w:t>
            </w:r>
          </w:p>
        </w:tc>
      </w:tr>
      <w:tr w:rsidR="00A91FD9" w:rsidRPr="006B435E" w:rsidTr="0020156F">
        <w:trPr>
          <w:tblHeader/>
        </w:trPr>
        <w:tc>
          <w:tcPr>
            <w:tcW w:w="1980" w:type="dxa"/>
          </w:tcPr>
          <w:p w:rsidR="00A91FD9" w:rsidRPr="006B435E" w:rsidRDefault="00A91FD9" w:rsidP="00BE305A">
            <w:pPr>
              <w:pStyle w:val="TableText0"/>
              <w:keepLines/>
              <w:widowControl w:val="0"/>
            </w:pPr>
            <w:r w:rsidRPr="006B435E">
              <w:t>Doses</w:t>
            </w:r>
          </w:p>
        </w:tc>
        <w:tc>
          <w:tcPr>
            <w:tcW w:w="1984" w:type="dxa"/>
            <w:vAlign w:val="center"/>
          </w:tcPr>
          <w:p w:rsidR="00A91FD9" w:rsidRPr="006B435E" w:rsidRDefault="00A91FD9" w:rsidP="00BE305A">
            <w:pPr>
              <w:pStyle w:val="TableText0"/>
              <w:keepLines/>
              <w:widowControl w:val="0"/>
              <w:jc w:val="center"/>
            </w:pPr>
            <w:r w:rsidRPr="006B435E">
              <w:t>10.2 (4 in initial treatment and 6.2 in continuing)</w:t>
            </w:r>
          </w:p>
        </w:tc>
        <w:tc>
          <w:tcPr>
            <w:tcW w:w="2552" w:type="dxa"/>
            <w:vMerge w:val="restart"/>
          </w:tcPr>
          <w:p w:rsidR="00A91FD9" w:rsidRPr="006B435E" w:rsidRDefault="00A91FD9" w:rsidP="00BE305A">
            <w:pPr>
              <w:pStyle w:val="TableText0"/>
              <w:keepLines/>
              <w:widowControl w:val="0"/>
            </w:pPr>
            <w:r w:rsidRPr="006B435E">
              <w:t xml:space="preserve">Based on median number of doses from CASPIAN </w:t>
            </w:r>
          </w:p>
        </w:tc>
        <w:tc>
          <w:tcPr>
            <w:tcW w:w="2664" w:type="dxa"/>
            <w:vMerge w:val="restart"/>
          </w:tcPr>
          <w:p w:rsidR="00A91FD9" w:rsidRPr="006B435E" w:rsidRDefault="009D5350" w:rsidP="00BE305A">
            <w:pPr>
              <w:pStyle w:val="TableText0"/>
              <w:keepLines/>
              <w:widowControl w:val="0"/>
            </w:pPr>
            <w:r w:rsidRPr="006B435E">
              <w:t>T</w:t>
            </w:r>
            <w:r w:rsidR="00A91FD9" w:rsidRPr="006B435E">
              <w:t xml:space="preserve">his is only one of two possible </w:t>
            </w:r>
            <w:r w:rsidR="005132BB" w:rsidRPr="006B435E">
              <w:t xml:space="preserve">atezolizumab </w:t>
            </w:r>
            <w:r w:rsidR="00A91FD9" w:rsidRPr="006B435E">
              <w:t>treatment regimens. The alternative, a higher dose, administered less frequently may be more prescribed more often in practice due to greater convenience.</w:t>
            </w:r>
          </w:p>
        </w:tc>
      </w:tr>
      <w:tr w:rsidR="00A91FD9" w:rsidRPr="006B435E" w:rsidTr="0020156F">
        <w:trPr>
          <w:tblHeader/>
        </w:trPr>
        <w:tc>
          <w:tcPr>
            <w:tcW w:w="1980" w:type="dxa"/>
          </w:tcPr>
          <w:p w:rsidR="00A91FD9" w:rsidRPr="006B435E" w:rsidRDefault="00A91FD9" w:rsidP="00BE305A">
            <w:pPr>
              <w:pStyle w:val="TableText0"/>
              <w:keepLines/>
              <w:widowControl w:val="0"/>
            </w:pPr>
            <w:r w:rsidRPr="006B435E">
              <w:t>Scripts dispensed</w:t>
            </w:r>
          </w:p>
        </w:tc>
        <w:tc>
          <w:tcPr>
            <w:tcW w:w="1984" w:type="dxa"/>
          </w:tcPr>
          <w:p w:rsidR="00A91FD9" w:rsidRPr="006B435E" w:rsidRDefault="00A91FD9" w:rsidP="00BE305A">
            <w:pPr>
              <w:pStyle w:val="TableText0"/>
              <w:keepLines/>
              <w:widowControl w:val="0"/>
            </w:pPr>
            <w:r w:rsidRPr="006B435E">
              <w:t>10.2</w:t>
            </w:r>
          </w:p>
        </w:tc>
        <w:tc>
          <w:tcPr>
            <w:tcW w:w="2552" w:type="dxa"/>
            <w:vMerge/>
          </w:tcPr>
          <w:p w:rsidR="00A91FD9" w:rsidRPr="006B435E" w:rsidRDefault="00A91FD9" w:rsidP="00BE305A">
            <w:pPr>
              <w:pStyle w:val="TableText0"/>
              <w:keepLines/>
              <w:widowControl w:val="0"/>
            </w:pPr>
          </w:p>
        </w:tc>
        <w:tc>
          <w:tcPr>
            <w:tcW w:w="2664" w:type="dxa"/>
            <w:vMerge/>
          </w:tcPr>
          <w:p w:rsidR="00A91FD9" w:rsidRPr="006B435E" w:rsidRDefault="00A91FD9" w:rsidP="00BE305A">
            <w:pPr>
              <w:pStyle w:val="TableText0"/>
              <w:keepLines/>
              <w:widowControl w:val="0"/>
            </w:pPr>
          </w:p>
        </w:tc>
      </w:tr>
      <w:tr w:rsidR="00A91FD9" w:rsidRPr="006B435E" w:rsidTr="00A91FD9">
        <w:trPr>
          <w:tblHeader/>
        </w:trPr>
        <w:tc>
          <w:tcPr>
            <w:tcW w:w="9180" w:type="dxa"/>
            <w:gridSpan w:val="4"/>
          </w:tcPr>
          <w:p w:rsidR="00A91FD9" w:rsidRPr="006B435E" w:rsidRDefault="00A91FD9" w:rsidP="00BE305A">
            <w:pPr>
              <w:pStyle w:val="TableText0"/>
              <w:keepLines/>
              <w:widowControl w:val="0"/>
              <w:rPr>
                <w:b/>
              </w:rPr>
            </w:pPr>
            <w:r w:rsidRPr="006B435E">
              <w:rPr>
                <w:b/>
              </w:rPr>
              <w:t>Costs</w:t>
            </w:r>
          </w:p>
        </w:tc>
      </w:tr>
      <w:tr w:rsidR="00A91FD9" w:rsidRPr="006B435E" w:rsidTr="0020156F">
        <w:trPr>
          <w:tblHeader/>
        </w:trPr>
        <w:tc>
          <w:tcPr>
            <w:tcW w:w="1980" w:type="dxa"/>
          </w:tcPr>
          <w:p w:rsidR="00A91FD9" w:rsidRPr="006B435E" w:rsidRDefault="00A91FD9" w:rsidP="00BE305A">
            <w:pPr>
              <w:pStyle w:val="TableText0"/>
              <w:keepLines/>
              <w:widowControl w:val="0"/>
            </w:pPr>
            <w:r w:rsidRPr="006B435E">
              <w:t>Proposed medicine</w:t>
            </w:r>
          </w:p>
        </w:tc>
        <w:tc>
          <w:tcPr>
            <w:tcW w:w="1984" w:type="dxa"/>
          </w:tcPr>
          <w:p w:rsidR="00A91FD9" w:rsidRPr="006B435E" w:rsidRDefault="00A91FD9" w:rsidP="00BE305A">
            <w:pPr>
              <w:pStyle w:val="TableText0"/>
              <w:keepLines/>
              <w:widowControl w:val="0"/>
            </w:pPr>
            <w:r w:rsidRPr="006B435E">
              <w:t>Public: $</w:t>
            </w:r>
            <w:r w:rsidR="00E020BB">
              <w:rPr>
                <w:noProof/>
                <w:color w:val="000000"/>
                <w:highlight w:val="black"/>
              </w:rPr>
              <w:t>'''''''''''''''''''''''</w:t>
            </w:r>
          </w:p>
          <w:p w:rsidR="00A91FD9" w:rsidRPr="006B435E" w:rsidRDefault="00A91FD9" w:rsidP="00BE305A">
            <w:pPr>
              <w:pStyle w:val="TableText0"/>
              <w:keepLines/>
              <w:widowControl w:val="0"/>
            </w:pPr>
            <w:r w:rsidRPr="006B435E">
              <w:t>Private: $</w:t>
            </w:r>
            <w:r w:rsidR="00E020BB">
              <w:rPr>
                <w:noProof/>
                <w:color w:val="000000"/>
                <w:highlight w:val="black"/>
              </w:rPr>
              <w:t>'''''''''''''''''''''''</w:t>
            </w:r>
          </w:p>
        </w:tc>
        <w:tc>
          <w:tcPr>
            <w:tcW w:w="2552" w:type="dxa"/>
          </w:tcPr>
          <w:p w:rsidR="00A91FD9" w:rsidRPr="006B435E" w:rsidRDefault="00A91FD9" w:rsidP="00BE305A">
            <w:pPr>
              <w:pStyle w:val="TableText0"/>
              <w:keepLines/>
              <w:widowControl w:val="0"/>
            </w:pPr>
            <w:r w:rsidRPr="006B435E">
              <w:t>Proposed published prices:</w:t>
            </w:r>
          </w:p>
        </w:tc>
        <w:tc>
          <w:tcPr>
            <w:tcW w:w="2664" w:type="dxa"/>
            <w:vMerge w:val="restart"/>
          </w:tcPr>
          <w:p w:rsidR="00A91FD9" w:rsidRPr="006B435E" w:rsidRDefault="00A91FD9" w:rsidP="00BE305A">
            <w:pPr>
              <w:pStyle w:val="TableText0"/>
              <w:keepLines/>
              <w:widowControl w:val="0"/>
            </w:pPr>
            <w:r w:rsidRPr="006B435E">
              <w:t xml:space="preserve">The use of published prices is not informative. </w:t>
            </w:r>
          </w:p>
        </w:tc>
      </w:tr>
      <w:tr w:rsidR="00A91FD9" w:rsidRPr="006B435E" w:rsidTr="0020156F">
        <w:trPr>
          <w:tblHeader/>
        </w:trPr>
        <w:tc>
          <w:tcPr>
            <w:tcW w:w="1980" w:type="dxa"/>
          </w:tcPr>
          <w:p w:rsidR="00A91FD9" w:rsidRPr="006B435E" w:rsidRDefault="00A91FD9" w:rsidP="00BE305A">
            <w:pPr>
              <w:pStyle w:val="TableText0"/>
              <w:keepLines/>
              <w:widowControl w:val="0"/>
            </w:pPr>
            <w:r w:rsidRPr="006B435E">
              <w:t>Comparator</w:t>
            </w:r>
          </w:p>
        </w:tc>
        <w:tc>
          <w:tcPr>
            <w:tcW w:w="1984" w:type="dxa"/>
          </w:tcPr>
          <w:p w:rsidR="00A91FD9" w:rsidRPr="006B435E" w:rsidRDefault="00A91FD9" w:rsidP="00BE305A">
            <w:pPr>
              <w:pStyle w:val="TableText0"/>
              <w:keepLines/>
              <w:widowControl w:val="0"/>
            </w:pPr>
            <w:r w:rsidRPr="006B435E">
              <w:t>Public: $7,328.33</w:t>
            </w:r>
          </w:p>
          <w:p w:rsidR="00A91FD9" w:rsidRPr="006B435E" w:rsidRDefault="00A91FD9" w:rsidP="00BE305A">
            <w:pPr>
              <w:pStyle w:val="TableText0"/>
              <w:keepLines/>
              <w:widowControl w:val="0"/>
            </w:pPr>
            <w:r w:rsidRPr="006B435E">
              <w:t>Private $7,188.27</w:t>
            </w:r>
          </w:p>
        </w:tc>
        <w:tc>
          <w:tcPr>
            <w:tcW w:w="2552" w:type="dxa"/>
          </w:tcPr>
          <w:p w:rsidR="00A91FD9" w:rsidRPr="006B435E" w:rsidRDefault="00A91FD9" w:rsidP="00BE305A">
            <w:pPr>
              <w:pStyle w:val="TableText0"/>
              <w:keepLines/>
              <w:widowControl w:val="0"/>
            </w:pPr>
            <w:r w:rsidRPr="006B435E">
              <w:t>11926Q, 11927R 11929W, 11928T</w:t>
            </w:r>
          </w:p>
        </w:tc>
        <w:tc>
          <w:tcPr>
            <w:tcW w:w="2664" w:type="dxa"/>
            <w:vMerge/>
          </w:tcPr>
          <w:p w:rsidR="00A91FD9" w:rsidRPr="006B435E" w:rsidRDefault="00A91FD9" w:rsidP="00BE305A">
            <w:pPr>
              <w:pStyle w:val="TableText0"/>
              <w:keepLines/>
              <w:widowControl w:val="0"/>
            </w:pPr>
          </w:p>
        </w:tc>
      </w:tr>
      <w:tr w:rsidR="00A91FD9" w:rsidRPr="006B435E" w:rsidTr="0020156F">
        <w:trPr>
          <w:tblHeader/>
        </w:trPr>
        <w:tc>
          <w:tcPr>
            <w:tcW w:w="1980" w:type="dxa"/>
            <w:vAlign w:val="center"/>
          </w:tcPr>
          <w:p w:rsidR="00A91FD9" w:rsidRPr="006B435E" w:rsidRDefault="00A91FD9" w:rsidP="00BE305A">
            <w:pPr>
              <w:pStyle w:val="TableText0"/>
              <w:keepLines/>
              <w:widowControl w:val="0"/>
            </w:pPr>
            <w:r w:rsidRPr="006B435E">
              <w:t>Patient copayment</w:t>
            </w:r>
          </w:p>
        </w:tc>
        <w:tc>
          <w:tcPr>
            <w:tcW w:w="1984" w:type="dxa"/>
            <w:vAlign w:val="center"/>
          </w:tcPr>
          <w:p w:rsidR="00A91FD9" w:rsidRPr="006B435E" w:rsidRDefault="00A91FD9" w:rsidP="00BE305A">
            <w:pPr>
              <w:pStyle w:val="TableText0"/>
              <w:keepLines/>
              <w:widowControl w:val="0"/>
              <w:jc w:val="center"/>
            </w:pPr>
            <w:r w:rsidRPr="006B435E">
              <w:t>$17.55</w:t>
            </w:r>
          </w:p>
        </w:tc>
        <w:tc>
          <w:tcPr>
            <w:tcW w:w="2552" w:type="dxa"/>
          </w:tcPr>
          <w:p w:rsidR="00A91FD9" w:rsidRPr="006B435E" w:rsidRDefault="00A91FD9" w:rsidP="00BE305A">
            <w:pPr>
              <w:pStyle w:val="TableText0"/>
              <w:keepLines/>
              <w:widowControl w:val="0"/>
            </w:pPr>
            <w:r w:rsidRPr="006B435E">
              <w:t>Based on PBS data for utilisation of atezolizumab for non–small cell lung cancer; PBS item codes 11277M, 11284X, 11297N and 11309F</w:t>
            </w:r>
          </w:p>
        </w:tc>
        <w:tc>
          <w:tcPr>
            <w:tcW w:w="2664" w:type="dxa"/>
          </w:tcPr>
          <w:p w:rsidR="00A91FD9" w:rsidRPr="006B435E" w:rsidRDefault="00A91FD9" w:rsidP="00BE305A">
            <w:pPr>
              <w:pStyle w:val="TableText0"/>
              <w:keepLines/>
              <w:widowControl w:val="0"/>
            </w:pPr>
            <w:r w:rsidRPr="006B435E">
              <w:t>Reasonable</w:t>
            </w:r>
          </w:p>
        </w:tc>
      </w:tr>
      <w:tr w:rsidR="00A91FD9" w:rsidRPr="006B435E" w:rsidTr="0020156F">
        <w:trPr>
          <w:tblHeader/>
        </w:trPr>
        <w:tc>
          <w:tcPr>
            <w:tcW w:w="1980" w:type="dxa"/>
            <w:vAlign w:val="center"/>
          </w:tcPr>
          <w:p w:rsidR="00A91FD9" w:rsidRPr="006B435E" w:rsidRDefault="00A91FD9" w:rsidP="00BE305A">
            <w:pPr>
              <w:pStyle w:val="TableText0"/>
              <w:keepLines/>
              <w:widowControl w:val="0"/>
            </w:pPr>
            <w:r w:rsidRPr="006B435E">
              <w:t>MBS costs</w:t>
            </w:r>
          </w:p>
        </w:tc>
        <w:tc>
          <w:tcPr>
            <w:tcW w:w="1984" w:type="dxa"/>
            <w:vAlign w:val="center"/>
          </w:tcPr>
          <w:p w:rsidR="00A91FD9" w:rsidRPr="006B435E" w:rsidRDefault="00A91FD9" w:rsidP="00BE305A">
            <w:pPr>
              <w:pStyle w:val="TableText0"/>
              <w:keepLines/>
              <w:widowControl w:val="0"/>
              <w:jc w:val="center"/>
            </w:pPr>
            <w:r w:rsidRPr="006B435E">
              <w:t>$0</w:t>
            </w:r>
          </w:p>
        </w:tc>
        <w:tc>
          <w:tcPr>
            <w:tcW w:w="2552" w:type="dxa"/>
          </w:tcPr>
          <w:p w:rsidR="00A91FD9" w:rsidRPr="006B435E" w:rsidRDefault="00A91FD9" w:rsidP="00BE305A">
            <w:pPr>
              <w:pStyle w:val="TableText0"/>
              <w:keepLines/>
              <w:widowControl w:val="0"/>
            </w:pPr>
            <w:r w:rsidRPr="006B435E">
              <w:t>Assumes no additional administration or safety cost offsets consistent with cost minimisation.</w:t>
            </w:r>
          </w:p>
        </w:tc>
        <w:tc>
          <w:tcPr>
            <w:tcW w:w="2664" w:type="dxa"/>
          </w:tcPr>
          <w:p w:rsidR="00A91FD9" w:rsidRPr="006B435E" w:rsidRDefault="00A91FD9" w:rsidP="00BE305A">
            <w:pPr>
              <w:pStyle w:val="TableText0"/>
              <w:keepLines/>
              <w:widowControl w:val="0"/>
            </w:pPr>
            <w:r w:rsidRPr="006B435E">
              <w:t>It is uncertain whether in practice there would be no difference in administration costs</w:t>
            </w:r>
            <w:r w:rsidR="005132BB" w:rsidRPr="006B435E">
              <w:t xml:space="preserve"> and would depend on the atezolizumab regimen replaced.</w:t>
            </w:r>
          </w:p>
        </w:tc>
      </w:tr>
    </w:tbl>
    <w:p w:rsidR="00A91FD9" w:rsidRPr="006B435E" w:rsidRDefault="00A91FD9" w:rsidP="00BE305A">
      <w:pPr>
        <w:pStyle w:val="TableFigureFooter"/>
        <w:keepNext/>
        <w:keepLines/>
        <w:widowControl w:val="0"/>
      </w:pPr>
      <w:r w:rsidRPr="006B435E">
        <w:t xml:space="preserve">Source: Table 4.1.1, p74 of the submission, pp 75 -82 of the submission, and attached financial spreadsheet. </w:t>
      </w:r>
    </w:p>
    <w:p w:rsidR="00A91FD9" w:rsidRPr="006B435E" w:rsidRDefault="00A91FD9" w:rsidP="00BE305A">
      <w:pPr>
        <w:pStyle w:val="TableFigureFooter"/>
        <w:keepNext/>
        <w:keepLines/>
        <w:widowControl w:val="0"/>
      </w:pPr>
      <w:r w:rsidRPr="006B435E">
        <w:t>ES-SCLC = extensive stage small cell lung cancer; MBS = Medicare Benefits Schedule; PSD = Public Summary Document; WHO PS = World Health Organisation Performance status</w:t>
      </w:r>
    </w:p>
    <w:p w:rsidR="00A91FD9" w:rsidRDefault="00A91FD9" w:rsidP="00BE305A">
      <w:pPr>
        <w:pStyle w:val="TableFigureFooter"/>
        <w:keepNext/>
        <w:keepLines/>
        <w:widowControl w:val="0"/>
        <w:tabs>
          <w:tab w:val="left" w:pos="284"/>
        </w:tabs>
        <w:ind w:left="284" w:hanging="284"/>
        <w:contextualSpacing w:val="0"/>
      </w:pPr>
      <w:r w:rsidRPr="006B435E">
        <w:t>*</w:t>
      </w:r>
      <w:r w:rsidRPr="006B435E">
        <w:tab/>
        <w:t xml:space="preserve">This appears to be a typographical error with the correct number being “13,491.’ As this was not expected to make a substantial difference, for consistency of results and cross-validation, the typographical error has been maintained in the evaluation. </w:t>
      </w:r>
    </w:p>
    <w:p w:rsidR="00695D61" w:rsidRPr="006B435E" w:rsidRDefault="006671B2" w:rsidP="00B505C8">
      <w:pPr>
        <w:pStyle w:val="3-BodyText"/>
        <w:rPr>
          <w:color w:val="000000" w:themeColor="text1"/>
        </w:rPr>
      </w:pPr>
      <w:r w:rsidRPr="006B435E">
        <w:lastRenderedPageBreak/>
        <w:t>Table 11</w:t>
      </w:r>
      <w:r w:rsidR="00977E4F" w:rsidRPr="006B435E">
        <w:rPr>
          <w:color w:val="000000" w:themeColor="text1"/>
        </w:rPr>
        <w:t xml:space="preserve"> </w:t>
      </w:r>
      <w:r w:rsidR="00695D61" w:rsidRPr="006B435E">
        <w:rPr>
          <w:color w:val="000000" w:themeColor="text1"/>
        </w:rPr>
        <w:t>presents a summary of the financial estimates</w:t>
      </w:r>
      <w:r w:rsidR="006B435E">
        <w:rPr>
          <w:color w:val="000000" w:themeColor="text1"/>
        </w:rPr>
        <w:t xml:space="preserve">. </w:t>
      </w:r>
    </w:p>
    <w:p w:rsidR="00C25D9C" w:rsidRPr="006B435E" w:rsidRDefault="002A2F50" w:rsidP="00606FBA">
      <w:pPr>
        <w:pStyle w:val="TableFigureHeading"/>
      </w:pPr>
      <w:bookmarkStart w:id="34" w:name="_Ref49791720"/>
      <w:r w:rsidRPr="006B435E">
        <w:rPr>
          <w:rStyle w:val="CommentReference"/>
          <w:b/>
          <w:szCs w:val="24"/>
        </w:rPr>
        <w:t xml:space="preserve">Table </w:t>
      </w:r>
      <w:r w:rsidR="006671B2" w:rsidRPr="006B435E">
        <w:rPr>
          <w:rStyle w:val="CommentReference"/>
          <w:b/>
          <w:szCs w:val="24"/>
        </w:rPr>
        <w:t>11</w:t>
      </w:r>
      <w:bookmarkEnd w:id="34"/>
      <w:r w:rsidRPr="006B435E">
        <w:rPr>
          <w:rStyle w:val="CommentReference"/>
          <w:b/>
          <w:szCs w:val="24"/>
        </w:rPr>
        <w:t>: Estimated use and financial implications</w:t>
      </w:r>
      <w:r w:rsidR="00695D61" w:rsidRPr="006B435E">
        <w:rPr>
          <w:rStyle w:val="CommentReference"/>
          <w:b/>
          <w:szCs w:val="24"/>
        </w:rPr>
        <w:t xml:space="preserve">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85A9D" w:rsidRPr="006B435E" w:rsidTr="00695D61">
        <w:trPr>
          <w:tblHeader/>
        </w:trPr>
        <w:tc>
          <w:tcPr>
            <w:tcW w:w="1116" w:type="pct"/>
            <w:shd w:val="clear" w:color="auto" w:fill="auto"/>
            <w:vAlign w:val="center"/>
          </w:tcPr>
          <w:p w:rsidR="00385A9D" w:rsidRPr="006B435E" w:rsidRDefault="00385A9D" w:rsidP="00606FBA">
            <w:pPr>
              <w:pStyle w:val="In-tableHeading"/>
              <w:jc w:val="center"/>
              <w:rPr>
                <w:lang w:val="en-AU"/>
              </w:rPr>
            </w:pPr>
          </w:p>
        </w:tc>
        <w:tc>
          <w:tcPr>
            <w:tcW w:w="647" w:type="pct"/>
            <w:shd w:val="clear" w:color="auto" w:fill="auto"/>
            <w:vAlign w:val="center"/>
          </w:tcPr>
          <w:p w:rsidR="00385A9D" w:rsidRPr="006B435E" w:rsidRDefault="00385A9D" w:rsidP="00606FBA">
            <w:pPr>
              <w:pStyle w:val="In-tableHeading"/>
              <w:jc w:val="center"/>
              <w:rPr>
                <w:lang w:val="en-AU"/>
              </w:rPr>
            </w:pPr>
            <w:r w:rsidRPr="006B435E">
              <w:rPr>
                <w:lang w:val="en-AU"/>
              </w:rPr>
              <w:t>Year 1</w:t>
            </w:r>
          </w:p>
        </w:tc>
        <w:tc>
          <w:tcPr>
            <w:tcW w:w="647" w:type="pct"/>
            <w:shd w:val="clear" w:color="auto" w:fill="auto"/>
            <w:vAlign w:val="center"/>
          </w:tcPr>
          <w:p w:rsidR="00385A9D" w:rsidRPr="006B435E" w:rsidRDefault="00385A9D" w:rsidP="00606FBA">
            <w:pPr>
              <w:pStyle w:val="In-tableHeading"/>
              <w:jc w:val="center"/>
              <w:rPr>
                <w:lang w:val="en-AU"/>
              </w:rPr>
            </w:pPr>
            <w:r w:rsidRPr="006B435E">
              <w:rPr>
                <w:lang w:val="en-AU"/>
              </w:rPr>
              <w:t>Year 2</w:t>
            </w:r>
          </w:p>
        </w:tc>
        <w:tc>
          <w:tcPr>
            <w:tcW w:w="647" w:type="pct"/>
            <w:shd w:val="clear" w:color="auto" w:fill="auto"/>
            <w:vAlign w:val="center"/>
          </w:tcPr>
          <w:p w:rsidR="00385A9D" w:rsidRPr="006B435E" w:rsidRDefault="00385A9D" w:rsidP="00606FBA">
            <w:pPr>
              <w:pStyle w:val="In-tableHeading"/>
              <w:jc w:val="center"/>
              <w:rPr>
                <w:lang w:val="en-AU"/>
              </w:rPr>
            </w:pPr>
            <w:r w:rsidRPr="006B435E">
              <w:rPr>
                <w:lang w:val="en-AU"/>
              </w:rPr>
              <w:t>Year 3</w:t>
            </w:r>
          </w:p>
        </w:tc>
        <w:tc>
          <w:tcPr>
            <w:tcW w:w="647" w:type="pct"/>
            <w:shd w:val="clear" w:color="auto" w:fill="auto"/>
            <w:vAlign w:val="center"/>
          </w:tcPr>
          <w:p w:rsidR="00385A9D" w:rsidRPr="006B435E" w:rsidRDefault="00385A9D" w:rsidP="00606FBA">
            <w:pPr>
              <w:pStyle w:val="In-tableHeading"/>
              <w:jc w:val="center"/>
              <w:rPr>
                <w:lang w:val="en-AU"/>
              </w:rPr>
            </w:pPr>
            <w:r w:rsidRPr="006B435E">
              <w:rPr>
                <w:lang w:val="en-AU"/>
              </w:rPr>
              <w:t>Year 4</w:t>
            </w:r>
          </w:p>
        </w:tc>
        <w:tc>
          <w:tcPr>
            <w:tcW w:w="647" w:type="pct"/>
            <w:shd w:val="clear" w:color="auto" w:fill="auto"/>
            <w:vAlign w:val="center"/>
          </w:tcPr>
          <w:p w:rsidR="00385A9D" w:rsidRPr="006B435E" w:rsidRDefault="00385A9D" w:rsidP="00606FBA">
            <w:pPr>
              <w:pStyle w:val="In-tableHeading"/>
              <w:jc w:val="center"/>
              <w:rPr>
                <w:lang w:val="en-AU"/>
              </w:rPr>
            </w:pPr>
            <w:r w:rsidRPr="006B435E">
              <w:rPr>
                <w:lang w:val="en-AU"/>
              </w:rPr>
              <w:t>Year 5</w:t>
            </w:r>
          </w:p>
        </w:tc>
        <w:tc>
          <w:tcPr>
            <w:tcW w:w="649" w:type="pct"/>
          </w:tcPr>
          <w:p w:rsidR="00385A9D" w:rsidRPr="006B435E" w:rsidRDefault="00385A9D" w:rsidP="00606FBA">
            <w:pPr>
              <w:pStyle w:val="In-tableHeading"/>
              <w:jc w:val="center"/>
              <w:rPr>
                <w:lang w:val="en-AU"/>
              </w:rPr>
            </w:pPr>
            <w:r w:rsidRPr="006B435E">
              <w:rPr>
                <w:lang w:val="en-AU"/>
              </w:rPr>
              <w:t>Year 6</w:t>
            </w:r>
          </w:p>
        </w:tc>
      </w:tr>
      <w:tr w:rsidR="00385A9D" w:rsidRPr="006B435E" w:rsidTr="009C3A3A">
        <w:tc>
          <w:tcPr>
            <w:tcW w:w="5000" w:type="pct"/>
            <w:gridSpan w:val="7"/>
            <w:shd w:val="clear" w:color="auto" w:fill="auto"/>
            <w:vAlign w:val="center"/>
          </w:tcPr>
          <w:p w:rsidR="00385A9D" w:rsidRPr="006B435E" w:rsidRDefault="00385A9D" w:rsidP="00606FBA">
            <w:pPr>
              <w:pStyle w:val="In-tableHeading"/>
              <w:rPr>
                <w:bCs/>
                <w:color w:val="000000"/>
                <w:lang w:val="en-AU"/>
              </w:rPr>
            </w:pPr>
            <w:r w:rsidRPr="006B435E">
              <w:rPr>
                <w:bCs/>
                <w:color w:val="000000"/>
                <w:lang w:val="en-AU"/>
              </w:rPr>
              <w:t>Estimated extent of use</w:t>
            </w:r>
          </w:p>
        </w:tc>
      </w:tr>
      <w:tr w:rsidR="00695D61" w:rsidRPr="006B435E" w:rsidTr="006671B2">
        <w:tc>
          <w:tcPr>
            <w:tcW w:w="1116" w:type="pct"/>
            <w:shd w:val="clear" w:color="auto" w:fill="auto"/>
            <w:vAlign w:val="center"/>
          </w:tcPr>
          <w:p w:rsidR="00695D61" w:rsidRPr="006B435E" w:rsidRDefault="00695D61" w:rsidP="00695D61">
            <w:pPr>
              <w:pStyle w:val="TableText0"/>
              <w:rPr>
                <w:rFonts w:ascii="Times" w:hAnsi="Times"/>
              </w:rPr>
            </w:pPr>
            <w:r w:rsidRPr="006B435E">
              <w:t>Number of patients treated</w:t>
            </w:r>
          </w:p>
        </w:tc>
        <w:tc>
          <w:tcPr>
            <w:tcW w:w="647" w:type="pct"/>
            <w:shd w:val="clear" w:color="auto" w:fill="auto"/>
            <w:vAlign w:val="center"/>
          </w:tcPr>
          <w:p w:rsidR="00695D61" w:rsidRPr="00E020BB" w:rsidRDefault="00E020BB" w:rsidP="006F1B06">
            <w:pPr>
              <w:pStyle w:val="TableText0"/>
              <w:jc w:val="center"/>
              <w:rPr>
                <w:color w:val="000000"/>
                <w:highlight w:val="black"/>
              </w:rPr>
            </w:pPr>
            <w:r>
              <w:rPr>
                <w:noProof/>
                <w:color w:val="000000"/>
                <w:highlight w:val="black"/>
              </w:rPr>
              <w:t>'''''''''''''</w:t>
            </w:r>
          </w:p>
        </w:tc>
        <w:tc>
          <w:tcPr>
            <w:tcW w:w="647" w:type="pct"/>
            <w:shd w:val="clear" w:color="auto" w:fill="auto"/>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1</w:t>
            </w:r>
          </w:p>
        </w:tc>
        <w:tc>
          <w:tcPr>
            <w:tcW w:w="647" w:type="pct"/>
            <w:shd w:val="clear" w:color="auto" w:fill="auto"/>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1</w:t>
            </w:r>
          </w:p>
        </w:tc>
        <w:tc>
          <w:tcPr>
            <w:tcW w:w="647" w:type="pct"/>
            <w:shd w:val="clear" w:color="auto" w:fill="auto"/>
            <w:vAlign w:val="center"/>
          </w:tcPr>
          <w:p w:rsidR="00695D61" w:rsidRPr="007B2CD2" w:rsidRDefault="00E020BB" w:rsidP="006671B2">
            <w:pPr>
              <w:pStyle w:val="TableText0"/>
              <w:jc w:val="center"/>
              <w:rPr>
                <w:color w:val="000000"/>
                <w:vertAlign w:val="superscript"/>
              </w:rPr>
            </w:pPr>
            <w:r>
              <w:rPr>
                <w:noProof/>
                <w:color w:val="000000"/>
                <w:highlight w:val="black"/>
              </w:rPr>
              <w:t>''''''''</w:t>
            </w:r>
            <w:r w:rsidR="00F642C4">
              <w:rPr>
                <w:vertAlign w:val="superscript"/>
              </w:rPr>
              <w:t>1</w:t>
            </w:r>
          </w:p>
        </w:tc>
        <w:tc>
          <w:tcPr>
            <w:tcW w:w="647" w:type="pct"/>
            <w:shd w:val="clear" w:color="auto" w:fill="auto"/>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1</w:t>
            </w:r>
          </w:p>
        </w:tc>
        <w:tc>
          <w:tcPr>
            <w:tcW w:w="649" w:type="pct"/>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1</w:t>
            </w:r>
          </w:p>
        </w:tc>
      </w:tr>
      <w:tr w:rsidR="00695D61" w:rsidRPr="006B435E" w:rsidTr="006671B2">
        <w:trPr>
          <w:trHeight w:val="70"/>
        </w:trPr>
        <w:tc>
          <w:tcPr>
            <w:tcW w:w="1116" w:type="pct"/>
            <w:shd w:val="clear" w:color="auto" w:fill="auto"/>
            <w:vAlign w:val="center"/>
          </w:tcPr>
          <w:p w:rsidR="00695D61" w:rsidRPr="006B435E" w:rsidRDefault="00695D61" w:rsidP="00695D61">
            <w:pPr>
              <w:pStyle w:val="TableText0"/>
              <w:rPr>
                <w:rFonts w:ascii="Times" w:hAnsi="Times"/>
              </w:rPr>
            </w:pPr>
            <w:r w:rsidRPr="006B435E">
              <w:t>Number of scripts dispensed</w:t>
            </w:r>
            <w:r w:rsidRPr="006B435E">
              <w:rPr>
                <w:vertAlign w:val="superscript"/>
              </w:rPr>
              <w:t>a</w:t>
            </w:r>
          </w:p>
        </w:tc>
        <w:tc>
          <w:tcPr>
            <w:tcW w:w="647" w:type="pct"/>
            <w:shd w:val="clear" w:color="auto" w:fill="auto"/>
            <w:vAlign w:val="center"/>
          </w:tcPr>
          <w:p w:rsidR="00695D61" w:rsidRPr="00E020BB" w:rsidRDefault="00E020BB" w:rsidP="006F1B06">
            <w:pPr>
              <w:pStyle w:val="TableText0"/>
              <w:jc w:val="center"/>
              <w:rPr>
                <w:color w:val="000000"/>
                <w:highlight w:val="black"/>
              </w:rPr>
            </w:pPr>
            <w:r>
              <w:rPr>
                <w:noProof/>
                <w:color w:val="000000"/>
                <w:highlight w:val="black"/>
              </w:rPr>
              <w:t>'''''''''''''''</w:t>
            </w:r>
          </w:p>
        </w:tc>
        <w:tc>
          <w:tcPr>
            <w:tcW w:w="647" w:type="pct"/>
            <w:shd w:val="clear" w:color="auto" w:fill="auto"/>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2</w:t>
            </w:r>
          </w:p>
        </w:tc>
        <w:tc>
          <w:tcPr>
            <w:tcW w:w="647" w:type="pct"/>
            <w:shd w:val="clear" w:color="auto" w:fill="auto"/>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2</w:t>
            </w:r>
          </w:p>
        </w:tc>
        <w:tc>
          <w:tcPr>
            <w:tcW w:w="647" w:type="pct"/>
            <w:shd w:val="clear" w:color="auto" w:fill="auto"/>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2</w:t>
            </w:r>
          </w:p>
        </w:tc>
        <w:tc>
          <w:tcPr>
            <w:tcW w:w="647" w:type="pct"/>
            <w:shd w:val="clear" w:color="auto" w:fill="auto"/>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2</w:t>
            </w:r>
          </w:p>
        </w:tc>
        <w:tc>
          <w:tcPr>
            <w:tcW w:w="649" w:type="pct"/>
            <w:vAlign w:val="center"/>
          </w:tcPr>
          <w:p w:rsidR="00695D61" w:rsidRPr="006B435E" w:rsidRDefault="00E020BB" w:rsidP="006671B2">
            <w:pPr>
              <w:pStyle w:val="TableText0"/>
              <w:jc w:val="center"/>
              <w:rPr>
                <w:color w:val="000000"/>
              </w:rPr>
            </w:pPr>
            <w:r>
              <w:rPr>
                <w:noProof/>
                <w:color w:val="000000"/>
                <w:highlight w:val="black"/>
              </w:rPr>
              <w:t>'''''''''''''</w:t>
            </w:r>
            <w:r w:rsidR="00F642C4">
              <w:rPr>
                <w:vertAlign w:val="superscript"/>
              </w:rPr>
              <w:t>2</w:t>
            </w:r>
          </w:p>
        </w:tc>
      </w:tr>
      <w:tr w:rsidR="00385A9D" w:rsidRPr="006B435E" w:rsidTr="009C3A3A">
        <w:tc>
          <w:tcPr>
            <w:tcW w:w="5000" w:type="pct"/>
            <w:gridSpan w:val="7"/>
            <w:shd w:val="clear" w:color="auto" w:fill="auto"/>
            <w:vAlign w:val="center"/>
          </w:tcPr>
          <w:p w:rsidR="00385A9D" w:rsidRPr="006B435E" w:rsidRDefault="00385A9D" w:rsidP="00606FBA">
            <w:pPr>
              <w:pStyle w:val="In-tableHeading"/>
              <w:rPr>
                <w:lang w:val="en-AU"/>
              </w:rPr>
            </w:pPr>
            <w:r w:rsidRPr="006B435E">
              <w:rPr>
                <w:lang w:val="en-AU"/>
              </w:rPr>
              <w:t>Estimated financial implications of</w:t>
            </w:r>
            <w:r w:rsidR="00695D61" w:rsidRPr="006B435E">
              <w:rPr>
                <w:lang w:val="en-AU"/>
              </w:rPr>
              <w:t xml:space="preserve"> Durvalumab </w:t>
            </w:r>
          </w:p>
        </w:tc>
      </w:tr>
      <w:tr w:rsidR="00695D61" w:rsidRPr="006B435E" w:rsidTr="006671B2">
        <w:tc>
          <w:tcPr>
            <w:tcW w:w="1116" w:type="pct"/>
            <w:shd w:val="clear" w:color="auto" w:fill="auto"/>
            <w:vAlign w:val="center"/>
          </w:tcPr>
          <w:p w:rsidR="00695D61" w:rsidRPr="006B435E" w:rsidRDefault="00695D61" w:rsidP="00695D61">
            <w:pPr>
              <w:pStyle w:val="TableText0"/>
              <w:rPr>
                <w:sz w:val="19"/>
                <w:szCs w:val="19"/>
              </w:rPr>
            </w:pPr>
            <w:r w:rsidRPr="006B435E">
              <w:rPr>
                <w:sz w:val="19"/>
                <w:szCs w:val="19"/>
              </w:rPr>
              <w:t>Cost to PBS/RPBS less copayments</w:t>
            </w:r>
          </w:p>
        </w:tc>
        <w:tc>
          <w:tcPr>
            <w:tcW w:w="647" w:type="pct"/>
            <w:shd w:val="clear" w:color="auto" w:fill="auto"/>
            <w:vAlign w:val="center"/>
          </w:tcPr>
          <w:p w:rsidR="00695D61" w:rsidRPr="006B435E" w:rsidRDefault="00695D61" w:rsidP="006F1B06">
            <w:pPr>
              <w:pStyle w:val="TableText0"/>
              <w:jc w:val="center"/>
            </w:pPr>
            <w:r w:rsidRPr="006B435E">
              <w:t>$</w:t>
            </w:r>
            <w:r w:rsidR="00E020BB">
              <w:rPr>
                <w:noProof/>
                <w:color w:val="000000"/>
                <w:highlight w:val="black"/>
              </w:rPr>
              <w:t>'''''''''''''''''''''''''''''</w:t>
            </w:r>
            <w:r w:rsidR="00F642C4" w:rsidRPr="004C3BDC">
              <w:rPr>
                <w:vertAlign w:val="superscript"/>
              </w:rPr>
              <w:t>3</w:t>
            </w:r>
          </w:p>
        </w:tc>
        <w:tc>
          <w:tcPr>
            <w:tcW w:w="647" w:type="pct"/>
            <w:shd w:val="clear" w:color="auto" w:fill="auto"/>
            <w:vAlign w:val="center"/>
          </w:tcPr>
          <w:p w:rsidR="00695D61" w:rsidRPr="006B435E" w:rsidRDefault="00695D61" w:rsidP="00F642C4">
            <w:pPr>
              <w:pStyle w:val="TableText0"/>
              <w:jc w:val="center"/>
            </w:pPr>
            <w:r w:rsidRPr="006B435E">
              <w:t>$</w:t>
            </w:r>
            <w:r w:rsidR="00E020BB">
              <w:rPr>
                <w:noProof/>
                <w:color w:val="000000"/>
                <w:highlight w:val="black"/>
              </w:rPr>
              <w:t>'''''''''''''''''''''''''</w:t>
            </w:r>
            <w:r w:rsidR="00F642C4" w:rsidRPr="004C3BDC">
              <w:rPr>
                <w:rStyle w:val="FootnoteReference"/>
              </w:rPr>
              <w:t>4</w:t>
            </w:r>
          </w:p>
        </w:tc>
        <w:tc>
          <w:tcPr>
            <w:tcW w:w="647" w:type="pct"/>
            <w:shd w:val="clear" w:color="auto" w:fill="auto"/>
            <w:vAlign w:val="center"/>
          </w:tcPr>
          <w:p w:rsidR="00695D61" w:rsidRPr="006B435E" w:rsidRDefault="00695D61" w:rsidP="006671B2">
            <w:pPr>
              <w:pStyle w:val="TableText0"/>
              <w:jc w:val="center"/>
            </w:pPr>
            <w:r w:rsidRPr="006B435E">
              <w:t>$</w:t>
            </w:r>
            <w:r w:rsidR="00E020BB">
              <w:rPr>
                <w:noProof/>
                <w:color w:val="000000"/>
                <w:highlight w:val="black"/>
              </w:rPr>
              <w:t>'''''''''''''''''''''''''''''</w:t>
            </w:r>
            <w:r w:rsidR="00F642C4">
              <w:rPr>
                <w:vertAlign w:val="superscript"/>
              </w:rPr>
              <w:t>4</w:t>
            </w:r>
          </w:p>
        </w:tc>
        <w:tc>
          <w:tcPr>
            <w:tcW w:w="647" w:type="pct"/>
            <w:shd w:val="clear" w:color="auto" w:fill="auto"/>
            <w:vAlign w:val="center"/>
          </w:tcPr>
          <w:p w:rsidR="00695D61" w:rsidRPr="006B435E" w:rsidRDefault="00695D61" w:rsidP="00F642C4">
            <w:pPr>
              <w:pStyle w:val="TableText0"/>
              <w:jc w:val="center"/>
            </w:pPr>
            <w:r w:rsidRPr="006B435E">
              <w:t>$</w:t>
            </w:r>
            <w:r w:rsidR="00E020BB">
              <w:rPr>
                <w:noProof/>
                <w:color w:val="000000"/>
                <w:highlight w:val="black"/>
              </w:rPr>
              <w:t>'''''''''''''''''''''''''</w:t>
            </w:r>
            <w:r w:rsidR="00F642C4" w:rsidRPr="004C3BDC">
              <w:rPr>
                <w:vertAlign w:val="superscript"/>
              </w:rPr>
              <w:t>4</w:t>
            </w:r>
          </w:p>
        </w:tc>
        <w:tc>
          <w:tcPr>
            <w:tcW w:w="647" w:type="pct"/>
            <w:shd w:val="clear" w:color="auto" w:fill="auto"/>
            <w:vAlign w:val="center"/>
          </w:tcPr>
          <w:p w:rsidR="00695D61" w:rsidRPr="006B435E" w:rsidRDefault="00695D61" w:rsidP="00F642C4">
            <w:pPr>
              <w:pStyle w:val="TableText0"/>
              <w:jc w:val="center"/>
            </w:pPr>
            <w:r w:rsidRPr="006B435E">
              <w:t>$</w:t>
            </w:r>
            <w:r w:rsidR="00E020BB">
              <w:rPr>
                <w:noProof/>
                <w:color w:val="000000"/>
                <w:highlight w:val="black"/>
              </w:rPr>
              <w:t>''''''''''''''''''''''''</w:t>
            </w:r>
            <w:r w:rsidR="00F642C4" w:rsidRPr="004C3BDC">
              <w:rPr>
                <w:vertAlign w:val="superscript"/>
              </w:rPr>
              <w:t>4</w:t>
            </w:r>
          </w:p>
        </w:tc>
        <w:tc>
          <w:tcPr>
            <w:tcW w:w="649" w:type="pct"/>
            <w:vAlign w:val="center"/>
          </w:tcPr>
          <w:p w:rsidR="00695D61" w:rsidRPr="006B435E" w:rsidRDefault="00695D61" w:rsidP="006671B2">
            <w:pPr>
              <w:pStyle w:val="TableText0"/>
              <w:jc w:val="center"/>
            </w:pPr>
            <w:r w:rsidRPr="006B435E">
              <w:t>$</w:t>
            </w:r>
            <w:r w:rsidR="00E020BB">
              <w:rPr>
                <w:noProof/>
                <w:color w:val="000000"/>
                <w:highlight w:val="black"/>
              </w:rPr>
              <w:t>''''''''''''''''''''''''''</w:t>
            </w:r>
            <w:r w:rsidR="00F642C4">
              <w:rPr>
                <w:vertAlign w:val="superscript"/>
              </w:rPr>
              <w:t>4</w:t>
            </w:r>
          </w:p>
        </w:tc>
      </w:tr>
      <w:tr w:rsidR="00385A9D" w:rsidRPr="006B435E" w:rsidTr="009C3A3A">
        <w:tc>
          <w:tcPr>
            <w:tcW w:w="5000" w:type="pct"/>
            <w:gridSpan w:val="7"/>
            <w:shd w:val="clear" w:color="auto" w:fill="auto"/>
            <w:vAlign w:val="center"/>
          </w:tcPr>
          <w:p w:rsidR="00385A9D" w:rsidRPr="006B435E" w:rsidRDefault="00385A9D" w:rsidP="00606FBA">
            <w:pPr>
              <w:pStyle w:val="TableText0"/>
            </w:pPr>
            <w:r w:rsidRPr="006B435E">
              <w:t xml:space="preserve">Estimated financial implications for </w:t>
            </w:r>
            <w:r w:rsidR="00695D61" w:rsidRPr="006B435E">
              <w:t>atezolizumab</w:t>
            </w:r>
          </w:p>
        </w:tc>
      </w:tr>
      <w:tr w:rsidR="00695D61" w:rsidRPr="006B435E" w:rsidTr="006671B2">
        <w:tc>
          <w:tcPr>
            <w:tcW w:w="1116" w:type="pct"/>
            <w:shd w:val="clear" w:color="auto" w:fill="auto"/>
            <w:vAlign w:val="center"/>
          </w:tcPr>
          <w:p w:rsidR="00695D61" w:rsidRPr="006B435E" w:rsidRDefault="00695D61" w:rsidP="00695D61">
            <w:pPr>
              <w:pStyle w:val="TableText0"/>
              <w:rPr>
                <w:sz w:val="19"/>
                <w:szCs w:val="19"/>
              </w:rPr>
            </w:pPr>
            <w:r w:rsidRPr="006B435E">
              <w:rPr>
                <w:sz w:val="19"/>
                <w:szCs w:val="19"/>
              </w:rPr>
              <w:t>Cost to PBS/RPBS less copayments</w:t>
            </w:r>
          </w:p>
        </w:tc>
        <w:tc>
          <w:tcPr>
            <w:tcW w:w="647" w:type="pct"/>
            <w:shd w:val="clear" w:color="auto" w:fill="auto"/>
            <w:vAlign w:val="center"/>
          </w:tcPr>
          <w:p w:rsidR="00695D61" w:rsidRPr="006B435E" w:rsidRDefault="00695D61" w:rsidP="006F1B06">
            <w:pPr>
              <w:pStyle w:val="TableText0"/>
              <w:jc w:val="center"/>
            </w:pPr>
            <w:r w:rsidRPr="006B435E">
              <w:noBreakHyphen/>
              <w:t>$</w:t>
            </w:r>
            <w:r w:rsidR="00E020BB">
              <w:rPr>
                <w:noProof/>
                <w:color w:val="000000"/>
                <w:highlight w:val="black"/>
              </w:rPr>
              <w:t>''''''''''''''''''''''''''''</w:t>
            </w:r>
            <w:r w:rsidR="00F642C4" w:rsidRPr="004C3BDC">
              <w:rPr>
                <w:vertAlign w:val="superscript"/>
              </w:rPr>
              <w:t>5</w:t>
            </w:r>
          </w:p>
        </w:tc>
        <w:tc>
          <w:tcPr>
            <w:tcW w:w="647" w:type="pct"/>
            <w:shd w:val="clear" w:color="auto" w:fill="auto"/>
            <w:vAlign w:val="center"/>
          </w:tcPr>
          <w:p w:rsidR="00695D61" w:rsidRPr="006B435E" w:rsidRDefault="00695D61" w:rsidP="006F1B06">
            <w:pPr>
              <w:pStyle w:val="TableText0"/>
              <w:jc w:val="center"/>
            </w:pPr>
            <w:r w:rsidRPr="006B435E">
              <w:noBreakHyphen/>
              <w:t>$</w:t>
            </w:r>
            <w:r w:rsidR="00E020BB">
              <w:rPr>
                <w:noProof/>
                <w:color w:val="000000"/>
                <w:highlight w:val="black"/>
              </w:rPr>
              <w:t>'''''''''''''''''''''''''''</w:t>
            </w:r>
            <w:r w:rsidR="004C3BDC" w:rsidRPr="004C3BDC">
              <w:rPr>
                <w:vertAlign w:val="superscript"/>
              </w:rPr>
              <w:t>3</w:t>
            </w:r>
          </w:p>
        </w:tc>
        <w:tc>
          <w:tcPr>
            <w:tcW w:w="647" w:type="pct"/>
            <w:shd w:val="clear" w:color="auto" w:fill="auto"/>
            <w:vAlign w:val="center"/>
          </w:tcPr>
          <w:p w:rsidR="00695D61" w:rsidRPr="006B435E" w:rsidRDefault="00695D61" w:rsidP="006671B2">
            <w:pPr>
              <w:pStyle w:val="TableText0"/>
              <w:jc w:val="center"/>
            </w:pPr>
            <w:r w:rsidRPr="006B435E">
              <w:noBreakHyphen/>
              <w:t>$</w:t>
            </w:r>
            <w:r w:rsidR="00E020BB">
              <w:rPr>
                <w:noProof/>
                <w:color w:val="000000"/>
                <w:highlight w:val="black"/>
              </w:rPr>
              <w:t>'''''''''''''''''''''''</w:t>
            </w:r>
            <w:r w:rsidR="004C3BDC">
              <w:rPr>
                <w:vertAlign w:val="superscript"/>
              </w:rPr>
              <w:t>3</w:t>
            </w:r>
          </w:p>
        </w:tc>
        <w:tc>
          <w:tcPr>
            <w:tcW w:w="647" w:type="pct"/>
            <w:shd w:val="clear" w:color="auto" w:fill="auto"/>
            <w:vAlign w:val="center"/>
          </w:tcPr>
          <w:p w:rsidR="00695D61" w:rsidRPr="006B435E" w:rsidRDefault="00695D61" w:rsidP="006671B2">
            <w:pPr>
              <w:pStyle w:val="TableText0"/>
              <w:jc w:val="center"/>
            </w:pPr>
            <w:r w:rsidRPr="006B435E">
              <w:noBreakHyphen/>
              <w:t>$</w:t>
            </w:r>
            <w:r w:rsidR="00E020BB">
              <w:rPr>
                <w:noProof/>
                <w:color w:val="000000"/>
                <w:highlight w:val="black"/>
              </w:rPr>
              <w:t>'''''''''''''''''''''''''''''</w:t>
            </w:r>
            <w:r w:rsidR="004C3BDC">
              <w:rPr>
                <w:vertAlign w:val="superscript"/>
              </w:rPr>
              <w:t>3</w:t>
            </w:r>
          </w:p>
        </w:tc>
        <w:tc>
          <w:tcPr>
            <w:tcW w:w="647" w:type="pct"/>
            <w:shd w:val="clear" w:color="auto" w:fill="auto"/>
            <w:vAlign w:val="center"/>
          </w:tcPr>
          <w:p w:rsidR="00695D61" w:rsidRPr="006B435E" w:rsidRDefault="00695D61" w:rsidP="006671B2">
            <w:pPr>
              <w:pStyle w:val="TableText0"/>
              <w:jc w:val="center"/>
            </w:pPr>
            <w:r w:rsidRPr="006B435E">
              <w:noBreakHyphen/>
              <w:t>$</w:t>
            </w:r>
            <w:r w:rsidR="00E020BB">
              <w:rPr>
                <w:noProof/>
                <w:color w:val="000000"/>
                <w:highlight w:val="black"/>
              </w:rPr>
              <w:t>'''''''''''''''''''''''''</w:t>
            </w:r>
            <w:r w:rsidR="004C3BDC">
              <w:rPr>
                <w:vertAlign w:val="superscript"/>
              </w:rPr>
              <w:t>3</w:t>
            </w:r>
          </w:p>
        </w:tc>
        <w:tc>
          <w:tcPr>
            <w:tcW w:w="649" w:type="pct"/>
            <w:vAlign w:val="center"/>
          </w:tcPr>
          <w:p w:rsidR="00695D61" w:rsidRPr="006B435E" w:rsidRDefault="00695D61" w:rsidP="006671B2">
            <w:pPr>
              <w:pStyle w:val="TableText0"/>
              <w:jc w:val="center"/>
            </w:pPr>
            <w:r w:rsidRPr="006B435E">
              <w:noBreakHyphen/>
              <w:t>$</w:t>
            </w:r>
            <w:r w:rsidR="00E020BB">
              <w:rPr>
                <w:noProof/>
                <w:color w:val="000000"/>
                <w:highlight w:val="black"/>
              </w:rPr>
              <w:t>''''''''''''''''''''''''''</w:t>
            </w:r>
            <w:r w:rsidR="004C3BDC">
              <w:rPr>
                <w:vertAlign w:val="superscript"/>
              </w:rPr>
              <w:t>3</w:t>
            </w:r>
          </w:p>
        </w:tc>
      </w:tr>
      <w:tr w:rsidR="00385A9D" w:rsidRPr="006B435E" w:rsidTr="009C3A3A">
        <w:tc>
          <w:tcPr>
            <w:tcW w:w="5000" w:type="pct"/>
            <w:gridSpan w:val="7"/>
            <w:shd w:val="clear" w:color="auto" w:fill="auto"/>
            <w:vAlign w:val="center"/>
          </w:tcPr>
          <w:p w:rsidR="00385A9D" w:rsidRPr="006B435E" w:rsidRDefault="00385A9D" w:rsidP="00606FBA">
            <w:pPr>
              <w:pStyle w:val="In-tableHeading"/>
              <w:rPr>
                <w:lang w:val="en-AU"/>
              </w:rPr>
            </w:pPr>
            <w:r w:rsidRPr="006B435E">
              <w:rPr>
                <w:lang w:val="en-AU"/>
              </w:rPr>
              <w:t>Net financial implications</w:t>
            </w:r>
            <w:r w:rsidRPr="006B435E">
              <w:rPr>
                <w:color w:val="4BACC6" w:themeColor="accent5"/>
                <w:lang w:val="en-AU"/>
              </w:rPr>
              <w:t xml:space="preserve"> </w:t>
            </w:r>
          </w:p>
        </w:tc>
      </w:tr>
      <w:tr w:rsidR="00695D61" w:rsidRPr="006B435E" w:rsidTr="005D1CEA">
        <w:tc>
          <w:tcPr>
            <w:tcW w:w="1116" w:type="pct"/>
            <w:shd w:val="clear" w:color="auto" w:fill="auto"/>
            <w:vAlign w:val="center"/>
          </w:tcPr>
          <w:p w:rsidR="00695D61" w:rsidRPr="006B435E" w:rsidRDefault="00695D61" w:rsidP="00695D61">
            <w:pPr>
              <w:pStyle w:val="TableText0"/>
              <w:rPr>
                <w:sz w:val="19"/>
                <w:szCs w:val="19"/>
              </w:rPr>
            </w:pPr>
            <w:r w:rsidRPr="006B435E">
              <w:rPr>
                <w:sz w:val="19"/>
                <w:szCs w:val="19"/>
              </w:rPr>
              <w:t>Net cost to PBS/RPBS</w:t>
            </w:r>
          </w:p>
        </w:tc>
        <w:tc>
          <w:tcPr>
            <w:tcW w:w="647" w:type="pct"/>
            <w:shd w:val="clear" w:color="auto" w:fill="auto"/>
          </w:tcPr>
          <w:p w:rsidR="00695D61" w:rsidRPr="006B435E" w:rsidRDefault="00695D61" w:rsidP="006F1B06">
            <w:pPr>
              <w:pStyle w:val="TableText0"/>
              <w:jc w:val="center"/>
            </w:pPr>
            <w:r w:rsidRPr="006B435E">
              <w:rPr>
                <w:b/>
              </w:rPr>
              <w:t>$</w:t>
            </w:r>
            <w:r w:rsidR="00E020BB">
              <w:rPr>
                <w:b/>
                <w:noProof/>
                <w:color w:val="000000"/>
                <w:highlight w:val="black"/>
              </w:rPr>
              <w:t>'''''''''''''''''''''</w:t>
            </w:r>
            <w:r w:rsidR="004C3BDC" w:rsidRPr="004C3BDC">
              <w:rPr>
                <w:b/>
                <w:vertAlign w:val="superscript"/>
              </w:rPr>
              <w:t>5</w:t>
            </w:r>
          </w:p>
        </w:tc>
        <w:tc>
          <w:tcPr>
            <w:tcW w:w="647" w:type="pct"/>
            <w:shd w:val="clear" w:color="auto" w:fill="auto"/>
          </w:tcPr>
          <w:p w:rsidR="00695D61" w:rsidRPr="006B435E" w:rsidRDefault="00695D61" w:rsidP="00695D61">
            <w:pPr>
              <w:pStyle w:val="TableText0"/>
              <w:jc w:val="center"/>
            </w:pPr>
            <w:r w:rsidRPr="006B435E">
              <w:rPr>
                <w:b/>
              </w:rPr>
              <w:t>$</w:t>
            </w:r>
            <w:r w:rsidR="00E020BB">
              <w:rPr>
                <w:b/>
                <w:noProof/>
                <w:color w:val="000000"/>
                <w:highlight w:val="black"/>
              </w:rPr>
              <w:t>''''''''''''''''''''</w:t>
            </w:r>
            <w:r w:rsidR="004C3BDC">
              <w:rPr>
                <w:b/>
                <w:vertAlign w:val="superscript"/>
              </w:rPr>
              <w:t>5</w:t>
            </w:r>
          </w:p>
        </w:tc>
        <w:tc>
          <w:tcPr>
            <w:tcW w:w="647" w:type="pct"/>
            <w:shd w:val="clear" w:color="auto" w:fill="auto"/>
          </w:tcPr>
          <w:p w:rsidR="00695D61" w:rsidRPr="006B435E" w:rsidRDefault="00695D61" w:rsidP="00695D61">
            <w:pPr>
              <w:pStyle w:val="TableText0"/>
              <w:jc w:val="center"/>
            </w:pPr>
            <w:r w:rsidRPr="006B435E">
              <w:rPr>
                <w:b/>
              </w:rPr>
              <w:t>$</w:t>
            </w:r>
            <w:r w:rsidR="00E020BB">
              <w:rPr>
                <w:b/>
                <w:noProof/>
                <w:color w:val="000000"/>
                <w:highlight w:val="black"/>
              </w:rPr>
              <w:t>'''''''''''''''''''''</w:t>
            </w:r>
            <w:r w:rsidR="004C3BDC">
              <w:rPr>
                <w:b/>
                <w:vertAlign w:val="superscript"/>
              </w:rPr>
              <w:t>5</w:t>
            </w:r>
          </w:p>
        </w:tc>
        <w:tc>
          <w:tcPr>
            <w:tcW w:w="647" w:type="pct"/>
            <w:shd w:val="clear" w:color="auto" w:fill="auto"/>
          </w:tcPr>
          <w:p w:rsidR="00695D61" w:rsidRPr="006B435E" w:rsidRDefault="00695D61" w:rsidP="00695D61">
            <w:pPr>
              <w:pStyle w:val="TableText0"/>
              <w:jc w:val="center"/>
            </w:pPr>
            <w:r w:rsidRPr="006B435E">
              <w:rPr>
                <w:b/>
              </w:rPr>
              <w:t>$</w:t>
            </w:r>
            <w:r w:rsidR="00E020BB">
              <w:rPr>
                <w:b/>
                <w:noProof/>
                <w:color w:val="000000"/>
                <w:highlight w:val="black"/>
              </w:rPr>
              <w:t>''''''''''''''''''''</w:t>
            </w:r>
            <w:r w:rsidR="004C3BDC">
              <w:rPr>
                <w:b/>
                <w:vertAlign w:val="superscript"/>
              </w:rPr>
              <w:t>5</w:t>
            </w:r>
          </w:p>
        </w:tc>
        <w:tc>
          <w:tcPr>
            <w:tcW w:w="647" w:type="pct"/>
            <w:shd w:val="clear" w:color="auto" w:fill="auto"/>
          </w:tcPr>
          <w:p w:rsidR="00695D61" w:rsidRPr="006B435E" w:rsidRDefault="00695D61" w:rsidP="00695D61">
            <w:pPr>
              <w:pStyle w:val="TableText0"/>
              <w:jc w:val="center"/>
            </w:pPr>
            <w:r w:rsidRPr="006B435E">
              <w:rPr>
                <w:b/>
              </w:rPr>
              <w:t>$</w:t>
            </w:r>
            <w:r w:rsidR="00E020BB">
              <w:rPr>
                <w:b/>
                <w:noProof/>
                <w:color w:val="000000"/>
                <w:highlight w:val="black"/>
              </w:rPr>
              <w:t>'''''''''''''''''''''</w:t>
            </w:r>
            <w:r w:rsidR="004C3BDC">
              <w:rPr>
                <w:b/>
                <w:vertAlign w:val="superscript"/>
              </w:rPr>
              <w:t>5</w:t>
            </w:r>
          </w:p>
        </w:tc>
        <w:tc>
          <w:tcPr>
            <w:tcW w:w="649" w:type="pct"/>
          </w:tcPr>
          <w:p w:rsidR="00695D61" w:rsidRPr="006B435E" w:rsidRDefault="00695D61" w:rsidP="00695D61">
            <w:pPr>
              <w:pStyle w:val="TableText0"/>
              <w:jc w:val="center"/>
            </w:pPr>
            <w:r w:rsidRPr="006B435E">
              <w:rPr>
                <w:b/>
              </w:rPr>
              <w:t>$</w:t>
            </w:r>
            <w:r w:rsidR="00E020BB">
              <w:rPr>
                <w:b/>
                <w:noProof/>
                <w:color w:val="000000"/>
                <w:highlight w:val="black"/>
              </w:rPr>
              <w:t>''''''''''''''''''''</w:t>
            </w:r>
            <w:r w:rsidR="004C3BDC">
              <w:rPr>
                <w:b/>
                <w:vertAlign w:val="superscript"/>
              </w:rPr>
              <w:t>5</w:t>
            </w:r>
          </w:p>
        </w:tc>
      </w:tr>
    </w:tbl>
    <w:p w:rsidR="00620C25" w:rsidRPr="006B435E" w:rsidRDefault="00620C25" w:rsidP="00620C25">
      <w:pPr>
        <w:pStyle w:val="TableFigureFooter"/>
        <w:rPr>
          <w:rStyle w:val="CommentReference"/>
        </w:rPr>
      </w:pPr>
      <w:r w:rsidRPr="006B435E">
        <w:t xml:space="preserve">Source: </w:t>
      </w:r>
      <w:r w:rsidR="00695D61" w:rsidRPr="006B435E">
        <w:t>Tables 4.2.1 to 4.4.1, pp76-84 of the submission</w:t>
      </w:r>
      <w:r w:rsidR="006B435E">
        <w:t xml:space="preserve">. </w:t>
      </w:r>
      <w:r w:rsidR="00977E4F" w:rsidRPr="006B435E">
        <w:t xml:space="preserve">PBS = Pharmaceutical Benefits Scheme; RPBS = Repatriation Pharmaceutical Benefits Scheme </w:t>
      </w:r>
    </w:p>
    <w:p w:rsidR="00E466F3" w:rsidRDefault="00E466F3" w:rsidP="006671B2">
      <w:pPr>
        <w:pStyle w:val="TableFigureFooter"/>
        <w:tabs>
          <w:tab w:val="left" w:pos="284"/>
        </w:tabs>
      </w:pPr>
      <w:r w:rsidRPr="006B435E">
        <w:rPr>
          <w:vertAlign w:val="superscript"/>
        </w:rPr>
        <w:t>a</w:t>
      </w:r>
      <w:r w:rsidRPr="006B435E">
        <w:t xml:space="preserve">Assuming </w:t>
      </w:r>
      <w:r w:rsidR="00695D61" w:rsidRPr="006B435E">
        <w:t>10.2</w:t>
      </w:r>
      <w:r w:rsidRPr="006B435E">
        <w:t xml:space="preserve"> per year as estimated by the submission.</w:t>
      </w:r>
    </w:p>
    <w:p w:rsidR="00DD5CA9" w:rsidRPr="00DD5CA9" w:rsidRDefault="00DD5CA9" w:rsidP="006671B2">
      <w:pPr>
        <w:pStyle w:val="TableFigureFooter"/>
        <w:tabs>
          <w:tab w:val="left" w:pos="284"/>
        </w:tabs>
        <w:rPr>
          <w:i/>
        </w:rPr>
      </w:pPr>
      <w:r w:rsidRPr="00DD5CA9">
        <w:rPr>
          <w:i/>
        </w:rPr>
        <w:t>The redacted values correspond to the following ranges:</w:t>
      </w:r>
    </w:p>
    <w:p w:rsidR="00DD5CA9" w:rsidRPr="00DD5CA9" w:rsidRDefault="00F642C4" w:rsidP="006671B2">
      <w:pPr>
        <w:pStyle w:val="TableFigureFooter"/>
        <w:tabs>
          <w:tab w:val="left" w:pos="284"/>
        </w:tabs>
        <w:rPr>
          <w:i/>
        </w:rPr>
      </w:pPr>
      <w:r>
        <w:rPr>
          <w:i/>
          <w:vertAlign w:val="superscript"/>
        </w:rPr>
        <w:t>1</w:t>
      </w:r>
      <w:r w:rsidR="00DD5CA9" w:rsidRPr="00DD5CA9">
        <w:rPr>
          <w:i/>
        </w:rPr>
        <w:t>&lt;500</w:t>
      </w:r>
    </w:p>
    <w:p w:rsidR="00DD5CA9" w:rsidRPr="00DD5CA9" w:rsidRDefault="00F642C4" w:rsidP="006671B2">
      <w:pPr>
        <w:pStyle w:val="TableFigureFooter"/>
        <w:tabs>
          <w:tab w:val="left" w:pos="284"/>
        </w:tabs>
        <w:rPr>
          <w:i/>
        </w:rPr>
      </w:pPr>
      <w:r>
        <w:rPr>
          <w:i/>
          <w:vertAlign w:val="superscript"/>
        </w:rPr>
        <w:t>2</w:t>
      </w:r>
      <w:r w:rsidR="00DD5CA9" w:rsidRPr="00DD5CA9">
        <w:rPr>
          <w:i/>
        </w:rPr>
        <w:t>500 to &lt;5000</w:t>
      </w:r>
    </w:p>
    <w:p w:rsidR="002F65C4" w:rsidRDefault="00FF6C92" w:rsidP="006671B2">
      <w:pPr>
        <w:pStyle w:val="TableFigureFooter"/>
        <w:tabs>
          <w:tab w:val="left" w:pos="284"/>
        </w:tabs>
        <w:rPr>
          <w:i/>
        </w:rPr>
      </w:pPr>
      <w:r>
        <w:rPr>
          <w:i/>
          <w:vertAlign w:val="superscript"/>
        </w:rPr>
        <w:t>3</w:t>
      </w:r>
      <w:r w:rsidR="00DD5CA9" w:rsidRPr="00DD5CA9">
        <w:rPr>
          <w:i/>
        </w:rPr>
        <w:t>$20 million to &lt;$30 million</w:t>
      </w:r>
    </w:p>
    <w:p w:rsidR="00DD5CA9" w:rsidRPr="00DD5CA9" w:rsidRDefault="00F642C4" w:rsidP="006671B2">
      <w:pPr>
        <w:pStyle w:val="TableFigureFooter"/>
        <w:tabs>
          <w:tab w:val="left" w:pos="284"/>
        </w:tabs>
        <w:rPr>
          <w:i/>
        </w:rPr>
      </w:pPr>
      <w:r>
        <w:rPr>
          <w:i/>
          <w:vertAlign w:val="superscript"/>
        </w:rPr>
        <w:t>4</w:t>
      </w:r>
      <w:r w:rsidR="00DD5CA9" w:rsidRPr="00DD5CA9">
        <w:rPr>
          <w:i/>
        </w:rPr>
        <w:t>$30 million to &lt;$40 million</w:t>
      </w:r>
    </w:p>
    <w:p w:rsidR="00DD5CA9" w:rsidRDefault="00F642C4" w:rsidP="006671B2">
      <w:pPr>
        <w:pStyle w:val="TableFigureFooter"/>
        <w:tabs>
          <w:tab w:val="left" w:pos="284"/>
        </w:tabs>
        <w:rPr>
          <w:i/>
        </w:rPr>
      </w:pPr>
      <w:r>
        <w:rPr>
          <w:i/>
          <w:vertAlign w:val="superscript"/>
        </w:rPr>
        <w:t>5</w:t>
      </w:r>
      <w:r w:rsidR="00DD5CA9" w:rsidRPr="00DD5CA9">
        <w:rPr>
          <w:i/>
        </w:rPr>
        <w:t>$10 million to &lt;$20 million</w:t>
      </w:r>
    </w:p>
    <w:p w:rsidR="004C3BDC" w:rsidRPr="00DD5CA9" w:rsidRDefault="004C3BDC" w:rsidP="006671B2">
      <w:pPr>
        <w:pStyle w:val="TableFigureFooter"/>
        <w:tabs>
          <w:tab w:val="left" w:pos="284"/>
        </w:tabs>
        <w:rPr>
          <w:i/>
        </w:rPr>
      </w:pPr>
    </w:p>
    <w:p w:rsidR="00B502A4" w:rsidRPr="006B435E" w:rsidRDefault="00B502A4" w:rsidP="00D244B6">
      <w:pPr>
        <w:pStyle w:val="3-BodyText"/>
      </w:pPr>
      <w:r w:rsidRPr="006B435E">
        <w:rPr>
          <w:iCs/>
          <w:color w:val="000000" w:themeColor="text1"/>
        </w:rPr>
        <w:t xml:space="preserve">As in the CMA, the submission assumed trial-based dosing for atezolizumab and an equivalent number of doses. This was inconsistent with the equi-effective doses proposed in the PSCR. Financial estimates were based on published prices and the proposed published price for durvalumab was higher than the published price for atezolizumab. </w:t>
      </w:r>
    </w:p>
    <w:p w:rsidR="000902D9" w:rsidRPr="006B435E" w:rsidRDefault="00140CEE" w:rsidP="00D244B6">
      <w:pPr>
        <w:pStyle w:val="3-BodyText"/>
      </w:pPr>
      <w:r w:rsidRPr="006B435E">
        <w:t xml:space="preserve">The financial estimates indicated a substantial additional cost based on the higher published price proposed for durvalumab. </w:t>
      </w:r>
      <w:r w:rsidR="002068A0" w:rsidRPr="006B435E">
        <w:t>Th</w:t>
      </w:r>
      <w:r w:rsidR="00695D61" w:rsidRPr="006B435E">
        <w:t xml:space="preserve">ough </w:t>
      </w:r>
      <w:r w:rsidR="00BE0C14" w:rsidRPr="006B435E">
        <w:t>no financial implications based on</w:t>
      </w:r>
      <w:r w:rsidR="00695D61" w:rsidRPr="006B435E">
        <w:t xml:space="preserve"> effective price</w:t>
      </w:r>
      <w:r w:rsidR="00BE0C14" w:rsidRPr="006B435E">
        <w:t>s</w:t>
      </w:r>
      <w:r w:rsidR="00695D61" w:rsidRPr="006B435E">
        <w:t xml:space="preserve"> </w:t>
      </w:r>
      <w:r w:rsidR="00BE0C14" w:rsidRPr="006B435E">
        <w:t xml:space="preserve">have </w:t>
      </w:r>
      <w:r w:rsidR="00695D61" w:rsidRPr="006B435E">
        <w:t xml:space="preserve">been presented, </w:t>
      </w:r>
      <w:r w:rsidR="003C3123" w:rsidRPr="006B435E">
        <w:t xml:space="preserve">the PBAC considered it would be appropriate that </w:t>
      </w:r>
      <w:r w:rsidR="00695D61" w:rsidRPr="006B435E">
        <w:t xml:space="preserve">use of equi-effective pricing would result in cost neutral estimates, as no cost offsets or additional costs are </w:t>
      </w:r>
      <w:r w:rsidR="003C3123" w:rsidRPr="006B435E">
        <w:t>assumed</w:t>
      </w:r>
      <w:r w:rsidR="00695D61" w:rsidRPr="006B435E">
        <w:t xml:space="preserve">. </w:t>
      </w:r>
    </w:p>
    <w:p w:rsidR="00D244B6" w:rsidRPr="006B435E" w:rsidRDefault="00695D61" w:rsidP="00606FBA">
      <w:pPr>
        <w:pStyle w:val="3-BodyText"/>
      </w:pPr>
      <w:r w:rsidRPr="006B435E">
        <w:t xml:space="preserve">Overall, </w:t>
      </w:r>
      <w:r w:rsidR="00CE12D3" w:rsidRPr="006B435E">
        <w:t>use of durvalumab</w:t>
      </w:r>
      <w:r w:rsidRPr="006B435E">
        <w:t xml:space="preserve"> may be underestimated given that uptake may have been substantially underestimated</w:t>
      </w:r>
      <w:r w:rsidR="006B435E">
        <w:t xml:space="preserve">. </w:t>
      </w:r>
    </w:p>
    <w:p w:rsidR="001671A0" w:rsidRPr="006B435E" w:rsidRDefault="00695D61" w:rsidP="001671A0">
      <w:pPr>
        <w:pStyle w:val="3-BodyText"/>
      </w:pPr>
      <w:r w:rsidRPr="006B435E">
        <w:t>40 grandfathered patients have been included in the financial estimates. The submission anticipated that a durvalumab patient familiarisation programme (PFP) may be initiated for patients with ES</w:t>
      </w:r>
      <w:r w:rsidRPr="006B435E">
        <w:noBreakHyphen/>
        <w:t xml:space="preserve">SCLC following registration. </w:t>
      </w:r>
    </w:p>
    <w:p w:rsidR="00576972" w:rsidRPr="006B435E" w:rsidRDefault="00576972" w:rsidP="00606FBA">
      <w:pPr>
        <w:pStyle w:val="4-SubsectionHeading"/>
      </w:pPr>
      <w:bookmarkStart w:id="35" w:name="_Toc22897649"/>
      <w:bookmarkStart w:id="36" w:name="_Toc50437761"/>
      <w:r w:rsidRPr="006B435E">
        <w:t>Financial Management – Risk Sharing Arrangements</w:t>
      </w:r>
      <w:bookmarkEnd w:id="35"/>
      <w:bookmarkEnd w:id="36"/>
    </w:p>
    <w:p w:rsidR="00576972" w:rsidRPr="006B435E" w:rsidRDefault="00695D61" w:rsidP="00F61C18">
      <w:pPr>
        <w:pStyle w:val="ListParagraph"/>
        <w:numPr>
          <w:ilvl w:val="1"/>
          <w:numId w:val="1"/>
        </w:numPr>
        <w:rPr>
          <w:i/>
          <w:color w:val="000000" w:themeColor="text1"/>
        </w:rPr>
      </w:pPr>
      <w:r w:rsidRPr="006B435E">
        <w:rPr>
          <w:color w:val="000000" w:themeColor="text1"/>
        </w:rPr>
        <w:t>This submission requested a confidential RSA and a</w:t>
      </w:r>
      <w:r w:rsidR="006B435E">
        <w:rPr>
          <w:color w:val="000000" w:themeColor="text1"/>
        </w:rPr>
        <w:t>n</w:t>
      </w:r>
      <w:r w:rsidRPr="006B435E">
        <w:rPr>
          <w:color w:val="000000" w:themeColor="text1"/>
        </w:rPr>
        <w:t xml:space="preserve"> SPA for durvalumab for the ES</w:t>
      </w:r>
      <w:r w:rsidR="004E3353" w:rsidRPr="006B435E">
        <w:rPr>
          <w:color w:val="000000" w:themeColor="text1"/>
        </w:rPr>
        <w:t>-</w:t>
      </w:r>
      <w:r w:rsidRPr="006B435E">
        <w:rPr>
          <w:color w:val="000000" w:themeColor="text1"/>
        </w:rPr>
        <w:t>SCLC indication which is separate to the RSA and SPA for the durvalumab Stage III non–small cell lung cancer (NSCLC) listing. No further details were provided.</w:t>
      </w:r>
      <w:r w:rsidR="00673BD9" w:rsidRPr="006B435E">
        <w:rPr>
          <w:color w:val="000000" w:themeColor="text1"/>
        </w:rPr>
        <w:t xml:space="preserve"> </w:t>
      </w:r>
      <w:r w:rsidR="00124157" w:rsidRPr="006B435E">
        <w:rPr>
          <w:color w:val="000000" w:themeColor="text1"/>
        </w:rPr>
        <w:t xml:space="preserve">As durvalumab </w:t>
      </w:r>
      <w:r w:rsidR="00124157" w:rsidRPr="006B435E">
        <w:rPr>
          <w:color w:val="000000" w:themeColor="text1"/>
        </w:rPr>
        <w:lastRenderedPageBreak/>
        <w:t>is expected to replace treatment with atezolizumab, the PBAC advised that durvalumab would need to join the existing RSA caps for atezolizumab for ES-SCLC.</w:t>
      </w:r>
    </w:p>
    <w:p w:rsidR="00AD5070" w:rsidRPr="006B435E" w:rsidRDefault="00AD5070" w:rsidP="00AD5070">
      <w:pPr>
        <w:rPr>
          <w:i/>
        </w:rPr>
      </w:pPr>
      <w:r w:rsidRPr="006B435E">
        <w:rPr>
          <w:i/>
        </w:rPr>
        <w:t>For more detail on PBAC’s view, see section 7 PBAC outcome.</w:t>
      </w:r>
    </w:p>
    <w:p w:rsidR="00AD5070" w:rsidRPr="006B435E" w:rsidRDefault="00AD5070" w:rsidP="007E7F97">
      <w:pPr>
        <w:pStyle w:val="2-SectionHeading"/>
        <w:numPr>
          <w:ilvl w:val="0"/>
          <w:numId w:val="1"/>
        </w:numPr>
      </w:pPr>
      <w:bookmarkStart w:id="37" w:name="_Toc50437763"/>
      <w:r w:rsidRPr="006B435E">
        <w:t>PBAC Outcome</w:t>
      </w:r>
    </w:p>
    <w:p w:rsidR="00DF3546" w:rsidRPr="006B435E" w:rsidRDefault="00DF3546" w:rsidP="00DF3903">
      <w:pPr>
        <w:widowControl w:val="0"/>
        <w:numPr>
          <w:ilvl w:val="1"/>
          <w:numId w:val="1"/>
        </w:numPr>
        <w:spacing w:after="120"/>
        <w:rPr>
          <w:rFonts w:asciiTheme="minorHAnsi" w:hAnsiTheme="minorHAnsi"/>
          <w:bCs/>
          <w:snapToGrid w:val="0"/>
        </w:rPr>
      </w:pPr>
      <w:r w:rsidRPr="006B435E">
        <w:rPr>
          <w:rFonts w:asciiTheme="minorHAnsi" w:hAnsiTheme="minorHAnsi"/>
          <w:bCs/>
          <w:snapToGrid w:val="0"/>
        </w:rPr>
        <w:t>The PBAC recommended the listing of durvalumab</w:t>
      </w:r>
      <w:r w:rsidR="0034124F" w:rsidRPr="006B435E">
        <w:rPr>
          <w:rFonts w:asciiTheme="minorHAnsi" w:hAnsiTheme="minorHAnsi"/>
          <w:bCs/>
          <w:snapToGrid w:val="0"/>
        </w:rPr>
        <w:t xml:space="preserve">, </w:t>
      </w:r>
      <w:r w:rsidR="0034124F" w:rsidRPr="006B435E">
        <w:t xml:space="preserve">for use in combination with </w:t>
      </w:r>
      <w:r w:rsidR="0034124F" w:rsidRPr="006B435E">
        <w:rPr>
          <w:rFonts w:cs="Calibri"/>
        </w:rPr>
        <w:t>platinum-based chemotherapy plus etoposide</w:t>
      </w:r>
      <w:r w:rsidR="0034124F" w:rsidRPr="006B435E">
        <w:t xml:space="preserve">, </w:t>
      </w:r>
      <w:r w:rsidR="00277B45" w:rsidRPr="006B435E">
        <w:t xml:space="preserve">in patients with ES-SCLC, </w:t>
      </w:r>
      <w:r w:rsidR="0034124F" w:rsidRPr="006B435E">
        <w:t>on the basis that it should be available only under special arrangements under section 100 – Efficient Funding of Chemotherapy</w:t>
      </w:r>
      <w:r w:rsidRPr="006B435E">
        <w:rPr>
          <w:rFonts w:asciiTheme="minorHAnsi" w:hAnsiTheme="minorHAnsi"/>
          <w:bCs/>
          <w:snapToGrid w:val="0"/>
        </w:rPr>
        <w:t xml:space="preserve">. The PBAC’s recommendation for listing was based on, among other matters, its assessment, as described above, that the cost-effectiveness of durvalumab would be acceptable if it were cost-minimised against </w:t>
      </w:r>
      <w:r w:rsidR="00091BE0" w:rsidRPr="006B435E">
        <w:rPr>
          <w:rFonts w:asciiTheme="minorHAnsi" w:hAnsiTheme="minorHAnsi"/>
          <w:bCs/>
          <w:snapToGrid w:val="0"/>
        </w:rPr>
        <w:t>atezolizumab based on the following equi-effective doses:</w:t>
      </w:r>
    </w:p>
    <w:p w:rsidR="00091BE0" w:rsidRPr="006B435E" w:rsidRDefault="00091BE0" w:rsidP="00D55AFC">
      <w:pPr>
        <w:pStyle w:val="3-BodyText"/>
        <w:numPr>
          <w:ilvl w:val="0"/>
          <w:numId w:val="37"/>
        </w:numPr>
        <w:ind w:left="1077" w:hanging="357"/>
      </w:pPr>
      <w:r w:rsidRPr="006B435E">
        <w:t xml:space="preserve">Durvalumab 1,500 mg every 3 weeks with EP for 4 cycles followed by durvalumab monotherapy 1,500 mg every 4 weeks for 6.2 cycles </w:t>
      </w:r>
    </w:p>
    <w:p w:rsidR="00091BE0" w:rsidRPr="006B435E" w:rsidRDefault="00091BE0" w:rsidP="00D55AFC">
      <w:pPr>
        <w:pStyle w:val="3-BodyText"/>
        <w:numPr>
          <w:ilvl w:val="0"/>
          <w:numId w:val="0"/>
        </w:numPr>
        <w:ind w:left="1077" w:hanging="357"/>
      </w:pPr>
      <w:r w:rsidRPr="006B435E">
        <w:t>is equi-effective to</w:t>
      </w:r>
    </w:p>
    <w:p w:rsidR="00091BE0" w:rsidRPr="006B435E" w:rsidRDefault="00091BE0" w:rsidP="00D55AFC">
      <w:pPr>
        <w:pStyle w:val="3-BodyText"/>
        <w:numPr>
          <w:ilvl w:val="0"/>
          <w:numId w:val="37"/>
        </w:numPr>
        <w:ind w:left="1077" w:hanging="357"/>
        <w:rPr>
          <w:szCs w:val="22"/>
        </w:rPr>
      </w:pPr>
      <w:r w:rsidRPr="006B435E">
        <w:t xml:space="preserve">Atezolizumab 1,200 mg every 3 weeks with EP for 4 cycles followed by atezolizumab monotherapy 1,680 mg every 4 weeks for 6.2 cycles </w:t>
      </w:r>
    </w:p>
    <w:p w:rsidR="007E7F97" w:rsidRPr="006B435E" w:rsidRDefault="007E7F97" w:rsidP="007E7F97">
      <w:pPr>
        <w:widowControl w:val="0"/>
        <w:numPr>
          <w:ilvl w:val="1"/>
          <w:numId w:val="1"/>
        </w:numPr>
        <w:spacing w:after="120"/>
        <w:rPr>
          <w:rFonts w:asciiTheme="minorHAnsi" w:hAnsiTheme="minorHAnsi"/>
          <w:bCs/>
          <w:snapToGrid w:val="0"/>
        </w:rPr>
      </w:pPr>
      <w:r w:rsidRPr="006B435E">
        <w:rPr>
          <w:rFonts w:asciiTheme="minorHAnsi" w:hAnsiTheme="minorHAnsi"/>
          <w:bCs/>
          <w:snapToGrid w:val="0"/>
        </w:rPr>
        <w:t xml:space="preserve">The PBAC recalled, in consideration of submissions for atezolizumab in ES-SCLC, it had noted that there is a clinical need for effective treatments in SCLC given </w:t>
      </w:r>
      <w:r w:rsidR="00091BE0" w:rsidRPr="006B435E">
        <w:rPr>
          <w:rFonts w:asciiTheme="minorHAnsi" w:hAnsiTheme="minorHAnsi"/>
          <w:bCs/>
          <w:snapToGrid w:val="0"/>
        </w:rPr>
        <w:t>its</w:t>
      </w:r>
      <w:r w:rsidRPr="006B435E">
        <w:rPr>
          <w:rFonts w:asciiTheme="minorHAnsi" w:hAnsiTheme="minorHAnsi"/>
          <w:bCs/>
          <w:snapToGrid w:val="0"/>
        </w:rPr>
        <w:t xml:space="preserve"> poor prognosis (Paragraph 7.2 atezolizumab PSD, July 2019 PBAC Meeting</w:t>
      </w:r>
      <w:r w:rsidR="00DF3546" w:rsidRPr="006B435E">
        <w:rPr>
          <w:rFonts w:asciiTheme="minorHAnsi" w:hAnsiTheme="minorHAnsi"/>
          <w:bCs/>
          <w:snapToGrid w:val="0"/>
        </w:rPr>
        <w:t>)</w:t>
      </w:r>
      <w:r w:rsidRPr="006B435E">
        <w:rPr>
          <w:rFonts w:asciiTheme="minorHAnsi" w:hAnsiTheme="minorHAnsi"/>
          <w:bCs/>
          <w:snapToGrid w:val="0"/>
        </w:rPr>
        <w:t xml:space="preserve">. </w:t>
      </w:r>
    </w:p>
    <w:p w:rsidR="00AD5070" w:rsidRPr="006B435E" w:rsidRDefault="00EE6990" w:rsidP="00DF3546">
      <w:pPr>
        <w:widowControl w:val="0"/>
        <w:numPr>
          <w:ilvl w:val="1"/>
          <w:numId w:val="1"/>
        </w:numPr>
        <w:spacing w:after="120"/>
        <w:contextualSpacing/>
        <w:rPr>
          <w:rFonts w:asciiTheme="minorHAnsi" w:hAnsiTheme="minorHAnsi"/>
          <w:bCs/>
          <w:snapToGrid w:val="0"/>
        </w:rPr>
      </w:pPr>
      <w:r w:rsidRPr="006B435E">
        <w:rPr>
          <w:color w:val="000000" w:themeColor="text1"/>
        </w:rPr>
        <w:t>The PBAC considered that it would be appropriate for the durvalumab restriction</w:t>
      </w:r>
      <w:r w:rsidR="00DF3546" w:rsidRPr="006B435E">
        <w:rPr>
          <w:color w:val="000000" w:themeColor="text1"/>
        </w:rPr>
        <w:t xml:space="preserve"> criteria</w:t>
      </w:r>
      <w:r w:rsidRPr="006B435E">
        <w:rPr>
          <w:color w:val="000000" w:themeColor="text1"/>
        </w:rPr>
        <w:t xml:space="preserve"> to be identical to the atezolizumab restrictions for ES-SCLC</w:t>
      </w:r>
      <w:r w:rsidR="00500493">
        <w:rPr>
          <w:color w:val="000000" w:themeColor="text1"/>
        </w:rPr>
        <w:t xml:space="preserve">. </w:t>
      </w:r>
    </w:p>
    <w:p w:rsidR="00EE6990" w:rsidRPr="006B435E" w:rsidRDefault="00EE6990" w:rsidP="00EE6990">
      <w:pPr>
        <w:pStyle w:val="3-BodyText"/>
      </w:pPr>
      <w:r w:rsidRPr="006B435E">
        <w:t>The PBAC considered the nomination of atezolizumab in combination with EP as the comparator was appropriate given this regimen is currently PBS listed for the same indication and is the treatment most likely be replaced by listing of durvalumab.</w:t>
      </w:r>
    </w:p>
    <w:p w:rsidR="001E5BC2" w:rsidRPr="006B435E" w:rsidRDefault="00D82A35" w:rsidP="001E5BC2">
      <w:pPr>
        <w:pStyle w:val="3-BodyText"/>
      </w:pPr>
      <w:r w:rsidRPr="006B435E">
        <w:rPr>
          <w:bCs/>
        </w:rPr>
        <w:t xml:space="preserve">The PBAC noted that the clinical evidence for non-inferiority was </w:t>
      </w:r>
      <w:r w:rsidR="00CD2C32" w:rsidRPr="006B435E">
        <w:rPr>
          <w:bCs/>
        </w:rPr>
        <w:t xml:space="preserve">based on </w:t>
      </w:r>
      <w:r w:rsidRPr="006B435E">
        <w:rPr>
          <w:bCs/>
        </w:rPr>
        <w:t xml:space="preserve">an indirect comparison of </w:t>
      </w:r>
      <w:r w:rsidR="00CD2C32" w:rsidRPr="006B435E">
        <w:rPr>
          <w:bCs/>
        </w:rPr>
        <w:t>durvalumab</w:t>
      </w:r>
      <w:r w:rsidRPr="006B435E">
        <w:rPr>
          <w:bCs/>
        </w:rPr>
        <w:t xml:space="preserve"> and </w:t>
      </w:r>
      <w:r w:rsidR="007A01B3" w:rsidRPr="006B435E">
        <w:rPr>
          <w:color w:val="000000" w:themeColor="text1"/>
        </w:rPr>
        <w:t xml:space="preserve">atezolizumab was </w:t>
      </w:r>
      <w:r w:rsidR="00CD2C32" w:rsidRPr="006B435E">
        <w:rPr>
          <w:color w:val="000000" w:themeColor="text1"/>
        </w:rPr>
        <w:t>using</w:t>
      </w:r>
      <w:r w:rsidR="007A01B3" w:rsidRPr="006B435E">
        <w:rPr>
          <w:color w:val="000000" w:themeColor="text1"/>
        </w:rPr>
        <w:t xml:space="preserve"> CASPIAN </w:t>
      </w:r>
      <w:r w:rsidR="00CD2C32" w:rsidRPr="006B435E">
        <w:rPr>
          <w:color w:val="000000" w:themeColor="text1"/>
        </w:rPr>
        <w:t>and</w:t>
      </w:r>
      <w:r w:rsidR="007A01B3" w:rsidRPr="006B435E">
        <w:rPr>
          <w:color w:val="000000" w:themeColor="text1"/>
        </w:rPr>
        <w:t xml:space="preserve"> IMpower133</w:t>
      </w:r>
      <w:r w:rsidR="00CD2C32" w:rsidRPr="006B435E">
        <w:rPr>
          <w:color w:val="000000" w:themeColor="text1"/>
        </w:rPr>
        <w:t xml:space="preserve"> trials</w:t>
      </w:r>
      <w:r w:rsidR="007A01B3" w:rsidRPr="006B435E">
        <w:rPr>
          <w:color w:val="000000" w:themeColor="text1"/>
        </w:rPr>
        <w:t xml:space="preserve">, </w:t>
      </w:r>
      <w:r w:rsidR="00CD2C32" w:rsidRPr="006B435E">
        <w:rPr>
          <w:color w:val="000000" w:themeColor="text1"/>
        </w:rPr>
        <w:t xml:space="preserve">with </w:t>
      </w:r>
      <w:r w:rsidR="007A01B3" w:rsidRPr="006B435E">
        <w:rPr>
          <w:color w:val="000000" w:themeColor="text1"/>
        </w:rPr>
        <w:t>EP alone</w:t>
      </w:r>
      <w:r w:rsidR="00CD2C32" w:rsidRPr="006B435E">
        <w:rPr>
          <w:color w:val="000000" w:themeColor="text1"/>
        </w:rPr>
        <w:t xml:space="preserve"> as the common arm.</w:t>
      </w:r>
      <w:r w:rsidR="007A01B3" w:rsidRPr="006B435E">
        <w:t xml:space="preserve"> </w:t>
      </w:r>
      <w:r w:rsidR="00CD2C32" w:rsidRPr="006B435E">
        <w:t xml:space="preserve">The PBAC noted that the trial designs were similar and </w:t>
      </w:r>
      <w:r w:rsidR="00DF3546" w:rsidRPr="006B435E">
        <w:t>the</w:t>
      </w:r>
      <w:r w:rsidR="00CD2C32" w:rsidRPr="006B435E">
        <w:t xml:space="preserve"> </w:t>
      </w:r>
      <w:r w:rsidR="009322F6" w:rsidRPr="006B435E">
        <w:t xml:space="preserve">overall </w:t>
      </w:r>
      <w:r w:rsidR="001E5BC2" w:rsidRPr="006B435E">
        <w:t xml:space="preserve">survival </w:t>
      </w:r>
      <w:r w:rsidR="00CD2C32" w:rsidRPr="006B435E">
        <w:t>in each of the active arms</w:t>
      </w:r>
      <w:r w:rsidR="00DF3546" w:rsidRPr="006B435E">
        <w:t xml:space="preserve"> </w:t>
      </w:r>
      <w:r w:rsidR="009322F6" w:rsidRPr="006B435E">
        <w:t xml:space="preserve">was </w:t>
      </w:r>
      <w:r w:rsidR="00DF3546" w:rsidRPr="006B435E">
        <w:t xml:space="preserve">similar, as </w:t>
      </w:r>
      <w:r w:rsidR="009322F6" w:rsidRPr="006B435E">
        <w:t>was overall survival</w:t>
      </w:r>
      <w:r w:rsidR="001E5BC2" w:rsidRPr="006B435E">
        <w:t xml:space="preserve"> in the </w:t>
      </w:r>
      <w:r w:rsidR="00DF3546" w:rsidRPr="006B435E">
        <w:t>common comparator arms in each of the trials</w:t>
      </w:r>
      <w:r w:rsidR="00CD2C32" w:rsidRPr="006B435E">
        <w:t xml:space="preserve">. </w:t>
      </w:r>
      <w:r w:rsidR="001E5BC2" w:rsidRPr="006B435E">
        <w:t>Further, in each trial the active treatment arm demonstrated similar improvement over the control arm</w:t>
      </w:r>
      <w:r w:rsidR="009322F6" w:rsidRPr="006B435E">
        <w:t xml:space="preserve"> in terms of overall survival.</w:t>
      </w:r>
    </w:p>
    <w:p w:rsidR="00AD5070" w:rsidRPr="006B435E" w:rsidRDefault="007A01B3" w:rsidP="001E5BC2">
      <w:pPr>
        <w:pStyle w:val="3-BodyText"/>
      </w:pPr>
      <w:r w:rsidRPr="006B435E">
        <w:t xml:space="preserve">The PBAC noted that the </w:t>
      </w:r>
      <w:r w:rsidR="00B73746" w:rsidRPr="006B435E">
        <w:t xml:space="preserve">3-weekly </w:t>
      </w:r>
      <w:r w:rsidRPr="006B435E">
        <w:t xml:space="preserve">atezolizumab dosing regimen </w:t>
      </w:r>
      <w:r w:rsidR="00A44598" w:rsidRPr="006B435E">
        <w:t xml:space="preserve">used </w:t>
      </w:r>
      <w:r w:rsidRPr="006B435E">
        <w:t xml:space="preserve">in the IMpower133 trial was </w:t>
      </w:r>
      <w:r w:rsidR="00A44598" w:rsidRPr="006B435E">
        <w:t xml:space="preserve">different to that </w:t>
      </w:r>
      <w:r w:rsidRPr="006B435E">
        <w:t xml:space="preserve">in </w:t>
      </w:r>
      <w:r w:rsidR="00A44598" w:rsidRPr="006B435E">
        <w:t xml:space="preserve">the </w:t>
      </w:r>
      <w:r w:rsidRPr="006B435E">
        <w:t>equi-effective doses proposed in the PSCR</w:t>
      </w:r>
      <w:r w:rsidR="00DF3546" w:rsidRPr="006B435E">
        <w:t xml:space="preserve">, </w:t>
      </w:r>
      <w:r w:rsidR="00B73746" w:rsidRPr="006B435E">
        <w:t xml:space="preserve">and did not reflect the dose likely to be used in clinical practice, where the less frequent (4-weekly) dosing regimen for atezolizumab is likely to become the preferred regimen. However the PBAC </w:t>
      </w:r>
      <w:r w:rsidR="00DF3546" w:rsidRPr="006B435E">
        <w:t>considered that the indirect comparison presented adequately supported the clinical claims.</w:t>
      </w:r>
    </w:p>
    <w:p w:rsidR="00D82A35" w:rsidRPr="006B435E" w:rsidRDefault="00D82A35" w:rsidP="00D82A35">
      <w:pPr>
        <w:pStyle w:val="3-BodyText"/>
        <w:rPr>
          <w:rFonts w:eastAsia="Calibri"/>
        </w:rPr>
      </w:pPr>
      <w:r w:rsidRPr="006B435E">
        <w:lastRenderedPageBreak/>
        <w:t xml:space="preserve">The </w:t>
      </w:r>
      <w:r w:rsidR="00DF3546" w:rsidRPr="006B435E">
        <w:t xml:space="preserve">submission’s </w:t>
      </w:r>
      <w:r w:rsidRPr="006B435E">
        <w:t xml:space="preserve">clinical claim was that durvalumab is non-inferior to atezolizumab in efficacy and safety in patients with ES-SCLC. The PBAC considered that the clinical claim of non-inferior efficacy was reasonable given the similarity of trial design for CASPIAN and IMpower133, the common mechanism of action for atezolizumab and durvalumab, and the similar OS and PFS </w:t>
      </w:r>
      <w:r w:rsidR="00DF3546" w:rsidRPr="006B435E">
        <w:t>outcomes</w:t>
      </w:r>
      <w:r w:rsidRPr="006B435E">
        <w:t xml:space="preserve"> for atezolizumab and durvalumab in the trials. Although a robust comparison of AEs was difficult, the PBAC noted that no </w:t>
      </w:r>
      <w:r w:rsidRPr="006B435E">
        <w:rPr>
          <w:color w:val="000000" w:themeColor="text1"/>
        </w:rPr>
        <w:t xml:space="preserve">safety signals occurred that suggested a difference between atezolizumab and durvalumab. The PBAC considered that the safety of durvalumab is expected to be similar to atezolizumab, given </w:t>
      </w:r>
      <w:r w:rsidR="00FF09D4" w:rsidRPr="006B435E">
        <w:rPr>
          <w:color w:val="000000" w:themeColor="text1"/>
        </w:rPr>
        <w:t xml:space="preserve">the lack of safety signals and </w:t>
      </w:r>
      <w:r w:rsidR="008D6857" w:rsidRPr="006B435E">
        <w:rPr>
          <w:color w:val="000000" w:themeColor="text1"/>
        </w:rPr>
        <w:t xml:space="preserve">noting </w:t>
      </w:r>
      <w:r w:rsidRPr="006B435E">
        <w:rPr>
          <w:color w:val="000000" w:themeColor="text1"/>
        </w:rPr>
        <w:t xml:space="preserve">they have the same mechanism of action. </w:t>
      </w:r>
    </w:p>
    <w:p w:rsidR="00AD5070" w:rsidRPr="006B435E" w:rsidRDefault="00091BE0" w:rsidP="003C3123">
      <w:pPr>
        <w:widowControl w:val="0"/>
        <w:numPr>
          <w:ilvl w:val="1"/>
          <w:numId w:val="1"/>
        </w:numPr>
        <w:spacing w:after="120"/>
        <w:rPr>
          <w:rFonts w:asciiTheme="minorHAnsi" w:hAnsiTheme="minorHAnsi"/>
          <w:bCs/>
          <w:snapToGrid w:val="0"/>
        </w:rPr>
      </w:pPr>
      <w:r w:rsidRPr="006B435E">
        <w:rPr>
          <w:rFonts w:asciiTheme="minorHAnsi" w:hAnsiTheme="minorHAnsi"/>
          <w:bCs/>
          <w:snapToGrid w:val="0"/>
        </w:rPr>
        <w:t>T</w:t>
      </w:r>
      <w:r w:rsidRPr="006B435E">
        <w:t xml:space="preserve">he PBAC noted that the cost-minimisation approach must establish that the cost per patient for durvalumab would be no more than the cost per patient of atezolizumab. The cost per patient takes into account the mean equi-effective doses of the new intervention and the alternative therapy, and also accounts for any difference in the mean duration of treatment. </w:t>
      </w:r>
      <w:r w:rsidRPr="006B435E">
        <w:rPr>
          <w:rFonts w:asciiTheme="minorHAnsi" w:hAnsiTheme="minorHAnsi"/>
          <w:bCs/>
          <w:snapToGrid w:val="0"/>
        </w:rPr>
        <w:t xml:space="preserve">The PBAC </w:t>
      </w:r>
      <w:r w:rsidR="003C3123" w:rsidRPr="006B435E">
        <w:rPr>
          <w:rFonts w:asciiTheme="minorHAnsi" w:hAnsiTheme="minorHAnsi"/>
          <w:bCs/>
          <w:snapToGrid w:val="0"/>
        </w:rPr>
        <w:t>considered that the equi-effective doses outlined in paragraph 7.1</w:t>
      </w:r>
      <w:r w:rsidRPr="006B435E">
        <w:rPr>
          <w:rFonts w:asciiTheme="minorHAnsi" w:hAnsiTheme="minorHAnsi"/>
          <w:bCs/>
          <w:snapToGrid w:val="0"/>
        </w:rPr>
        <w:t xml:space="preserve"> </w:t>
      </w:r>
      <w:r w:rsidR="003C3123" w:rsidRPr="006B435E">
        <w:rPr>
          <w:rFonts w:asciiTheme="minorHAnsi" w:hAnsiTheme="minorHAnsi"/>
          <w:bCs/>
          <w:snapToGrid w:val="0"/>
        </w:rPr>
        <w:t>are</w:t>
      </w:r>
      <w:r w:rsidRPr="006B435E">
        <w:rPr>
          <w:rFonts w:asciiTheme="minorHAnsi" w:hAnsiTheme="minorHAnsi"/>
          <w:bCs/>
          <w:snapToGrid w:val="0"/>
        </w:rPr>
        <w:t xml:space="preserve"> an appropriate basis for calculation of the price for durvalumab as treatment durations are likely to be comparable for durvalumab and atezolizumab given the similar efficacy shown in trials and the common mechanism of action. </w:t>
      </w:r>
    </w:p>
    <w:p w:rsidR="003C3123" w:rsidRPr="006B435E" w:rsidRDefault="003C3123" w:rsidP="003C3123">
      <w:pPr>
        <w:pStyle w:val="3-BodyText"/>
      </w:pPr>
      <w:r w:rsidRPr="006B435E">
        <w:t>The PBAC noted that the submission’s financial estimates indicated a substantial additional cost based on the higher published price proposed for durvalumab. Though no financial implications based on effective prices have been presented, the PBAC considered it would be appropriate that</w:t>
      </w:r>
      <w:r w:rsidR="0011511F" w:rsidRPr="006B435E">
        <w:t xml:space="preserve"> at the effective price, the</w:t>
      </w:r>
      <w:r w:rsidRPr="006B435E">
        <w:t xml:space="preserve"> use of </w:t>
      </w:r>
      <w:r w:rsidR="00B8021F" w:rsidRPr="006B435E">
        <w:t xml:space="preserve">the </w:t>
      </w:r>
      <w:r w:rsidRPr="006B435E">
        <w:t xml:space="preserve">equi-effective </w:t>
      </w:r>
      <w:r w:rsidR="00B8021F" w:rsidRPr="006B435E">
        <w:t xml:space="preserve">doses as recommended </w:t>
      </w:r>
      <w:r w:rsidRPr="006B435E">
        <w:t xml:space="preserve">would result in </w:t>
      </w:r>
      <w:r w:rsidR="00B8021F" w:rsidRPr="006B435E">
        <w:t>no additional cost to the PBS</w:t>
      </w:r>
      <w:r w:rsidRPr="006B435E">
        <w:t xml:space="preserve"> as no cost offsets or additional costs are assumed. </w:t>
      </w:r>
    </w:p>
    <w:p w:rsidR="00FF09D4" w:rsidRPr="006B435E" w:rsidRDefault="003C3123" w:rsidP="00FF09D4">
      <w:pPr>
        <w:pStyle w:val="3-BodyText"/>
      </w:pPr>
      <w:r w:rsidRPr="006B435E">
        <w:t>As durvalumab is expected to replace treatment with atezolizumab, the PBAC advised that durvalumab would need to join the existing RSA caps for atezolizumab for ES-SCLC</w:t>
      </w:r>
      <w:r w:rsidR="001423AB" w:rsidRPr="006B435E">
        <w:t xml:space="preserve"> with no increase to the current caps, to ensure an equivalent level of cost-effectiveness for both products</w:t>
      </w:r>
      <w:r w:rsidRPr="006B435E">
        <w:t>.</w:t>
      </w:r>
      <w:r w:rsidR="00FF09D4" w:rsidRPr="006B435E">
        <w:t xml:space="preserve"> </w:t>
      </w:r>
    </w:p>
    <w:p w:rsidR="00327437" w:rsidRPr="006B435E" w:rsidRDefault="00327437" w:rsidP="00327437">
      <w:pPr>
        <w:pStyle w:val="3Bodytext"/>
        <w:numPr>
          <w:ilvl w:val="1"/>
          <w:numId w:val="1"/>
        </w:numPr>
        <w:rPr>
          <w:color w:val="000000" w:themeColor="text1"/>
        </w:rPr>
      </w:pPr>
      <w:r w:rsidRPr="006B435E">
        <w:rPr>
          <w:color w:val="000000" w:themeColor="text1"/>
        </w:rPr>
        <w:t>The PBAC noted that its recommendation was on a cost-minimisation basis and advised that, because durvalumab is not expected to provide a substantial and clinically relevant improvement in efficacy, or reduction of toxicity, over atezolizumab, or not expected to address a high and urgent unmet clinical need given the presence of an alternative therapy, the criteria prescribed by the National Health (Pharmaceuticals and Vaccines – Cost Recovery) Regulations 2009 for Pricing Pathway A were not met.</w:t>
      </w:r>
    </w:p>
    <w:p w:rsidR="00AD5070" w:rsidRPr="006B435E" w:rsidRDefault="00AD5070" w:rsidP="00277B45">
      <w:pPr>
        <w:widowControl w:val="0"/>
        <w:numPr>
          <w:ilvl w:val="1"/>
          <w:numId w:val="1"/>
        </w:numPr>
        <w:spacing w:after="120"/>
        <w:rPr>
          <w:rFonts w:asciiTheme="minorHAnsi" w:hAnsiTheme="minorHAnsi"/>
          <w:bCs/>
          <w:i/>
          <w:snapToGrid w:val="0"/>
        </w:rPr>
      </w:pPr>
      <w:r w:rsidRPr="006B435E">
        <w:rPr>
          <w:rFonts w:asciiTheme="minorHAnsi" w:hAnsiTheme="minorHAnsi"/>
          <w:bCs/>
          <w:snapToGrid w:val="0"/>
        </w:rPr>
        <w:t>The PBAC noted that this submission is not eligible for an Independent Review</w:t>
      </w:r>
      <w:r w:rsidR="00277B45" w:rsidRPr="006B435E">
        <w:rPr>
          <w:rFonts w:asciiTheme="minorHAnsi" w:hAnsiTheme="minorHAnsi"/>
          <w:bCs/>
          <w:snapToGrid w:val="0"/>
        </w:rPr>
        <w:t xml:space="preserve"> as it is a positive recommendation. </w:t>
      </w:r>
    </w:p>
    <w:p w:rsidR="00723863" w:rsidRDefault="00723863" w:rsidP="00AD5070">
      <w:pPr>
        <w:spacing w:before="240"/>
        <w:rPr>
          <w:rFonts w:asciiTheme="minorHAnsi" w:hAnsiTheme="minorHAnsi"/>
          <w:b/>
          <w:bCs/>
          <w:snapToGrid w:val="0"/>
        </w:rPr>
      </w:pPr>
    </w:p>
    <w:p w:rsidR="00AD5070" w:rsidRPr="006B435E" w:rsidRDefault="00AD5070" w:rsidP="00AD5070">
      <w:pPr>
        <w:spacing w:before="240"/>
        <w:rPr>
          <w:rFonts w:asciiTheme="minorHAnsi" w:hAnsiTheme="minorHAnsi"/>
          <w:b/>
          <w:bCs/>
          <w:snapToGrid w:val="0"/>
        </w:rPr>
      </w:pPr>
      <w:r w:rsidRPr="006B435E">
        <w:rPr>
          <w:rFonts w:asciiTheme="minorHAnsi" w:hAnsiTheme="minorHAnsi"/>
          <w:b/>
          <w:bCs/>
          <w:snapToGrid w:val="0"/>
        </w:rPr>
        <w:lastRenderedPageBreak/>
        <w:t>Outcome:</w:t>
      </w:r>
    </w:p>
    <w:p w:rsidR="00AD5070" w:rsidRPr="006B435E" w:rsidRDefault="00AD5070" w:rsidP="00AD5070">
      <w:pPr>
        <w:rPr>
          <w:rFonts w:asciiTheme="minorHAnsi" w:hAnsiTheme="minorHAnsi"/>
          <w:bCs/>
          <w:snapToGrid w:val="0"/>
        </w:rPr>
      </w:pPr>
      <w:r w:rsidRPr="006B435E">
        <w:rPr>
          <w:rFonts w:asciiTheme="minorHAnsi" w:hAnsiTheme="minorHAnsi"/>
          <w:bCs/>
          <w:snapToGrid w:val="0"/>
        </w:rPr>
        <w:t>Recommended</w:t>
      </w:r>
    </w:p>
    <w:p w:rsidR="00AD5070" w:rsidRPr="006B435E" w:rsidRDefault="00AD5070" w:rsidP="00AD5070">
      <w:pPr>
        <w:widowControl w:val="0"/>
        <w:rPr>
          <w:rFonts w:asciiTheme="minorHAnsi" w:hAnsiTheme="minorHAnsi"/>
          <w:b/>
          <w:bCs/>
          <w:snapToGrid w:val="0"/>
        </w:rPr>
      </w:pPr>
    </w:p>
    <w:p w:rsidR="00AD5070" w:rsidRPr="006B435E" w:rsidRDefault="00277B45" w:rsidP="00AD5070">
      <w:pPr>
        <w:widowControl w:val="0"/>
        <w:rPr>
          <w:rFonts w:asciiTheme="minorHAnsi" w:hAnsiTheme="minorHAnsi"/>
          <w:bCs/>
          <w:snapToGrid w:val="0"/>
        </w:rPr>
      </w:pPr>
      <w:r w:rsidRPr="006B435E">
        <w:rPr>
          <w:rFonts w:asciiTheme="minorHAnsi" w:hAnsiTheme="minorHAnsi"/>
          <w:bCs/>
          <w:snapToGrid w:val="0"/>
        </w:rPr>
        <w:t xml:space="preserve"> </w:t>
      </w:r>
    </w:p>
    <w:p w:rsidR="00AD5070" w:rsidRPr="006B435E" w:rsidRDefault="00AD5070" w:rsidP="00671912">
      <w:pPr>
        <w:pStyle w:val="2-SectionHeading"/>
        <w:rPr>
          <w:i/>
        </w:rPr>
      </w:pPr>
      <w:r w:rsidRPr="006B435E">
        <w:t>Recommended listing</w:t>
      </w:r>
    </w:p>
    <w:p w:rsidR="006F1B06" w:rsidRDefault="006F1B06" w:rsidP="006F1B06">
      <w:pPr>
        <w:pStyle w:val="3-BodyText"/>
      </w:pPr>
      <w:r>
        <w:t>Add indication (Extensive-stage small cell lung cancer) as follows</w:t>
      </w:r>
      <w:r w:rsidRPr="006B435E">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1590"/>
        <w:gridCol w:w="1842"/>
        <w:gridCol w:w="1276"/>
        <w:gridCol w:w="1276"/>
        <w:gridCol w:w="1984"/>
      </w:tblGrid>
      <w:tr w:rsidR="006F1B06" w:rsidRPr="00507253" w:rsidTr="00C55EAE">
        <w:trPr>
          <w:cantSplit/>
          <w:trHeight w:val="471"/>
        </w:trPr>
        <w:tc>
          <w:tcPr>
            <w:tcW w:w="2689" w:type="dxa"/>
            <w:gridSpan w:val="2"/>
          </w:tcPr>
          <w:p w:rsidR="006F1B06" w:rsidRDefault="006F1B06" w:rsidP="00C55EAE">
            <w:pPr>
              <w:pStyle w:val="In-tableHeading"/>
              <w:rPr>
                <w:snapToGrid w:val="0"/>
              </w:rPr>
            </w:pPr>
            <w:r>
              <w:rPr>
                <w:snapToGrid w:val="0"/>
              </w:rPr>
              <w:t>MEDICINAL PRODUCT</w:t>
            </w:r>
          </w:p>
          <w:p w:rsidR="006F1B06" w:rsidRPr="00120A12" w:rsidRDefault="006F1B06" w:rsidP="00C55EAE">
            <w:pPr>
              <w:pStyle w:val="In-tableHeading"/>
            </w:pPr>
            <w:r>
              <w:rPr>
                <w:snapToGrid w:val="0"/>
              </w:rPr>
              <w:t>Form</w:t>
            </w:r>
          </w:p>
        </w:tc>
        <w:tc>
          <w:tcPr>
            <w:tcW w:w="1842" w:type="dxa"/>
          </w:tcPr>
          <w:p w:rsidR="006F1B06" w:rsidRPr="00507253" w:rsidRDefault="006F1B06" w:rsidP="00C55EAE">
            <w:pPr>
              <w:keepNext/>
              <w:ind w:left="-108"/>
              <w:jc w:val="center"/>
              <w:rPr>
                <w:rFonts w:ascii="Arial Narrow" w:hAnsi="Arial Narrow"/>
                <w:b/>
                <w:sz w:val="18"/>
                <w:szCs w:val="18"/>
              </w:rPr>
            </w:pPr>
            <w:r w:rsidRPr="00507253">
              <w:rPr>
                <w:rFonts w:ascii="Arial Narrow" w:hAnsi="Arial Narrow"/>
                <w:b/>
                <w:sz w:val="18"/>
                <w:szCs w:val="18"/>
              </w:rPr>
              <w:t>PBS item code</w:t>
            </w:r>
          </w:p>
        </w:tc>
        <w:tc>
          <w:tcPr>
            <w:tcW w:w="1276" w:type="dxa"/>
          </w:tcPr>
          <w:p w:rsidR="006F1B06" w:rsidRPr="00120A12" w:rsidRDefault="006F1B06" w:rsidP="00C55EAE">
            <w:pPr>
              <w:keepNext/>
              <w:ind w:left="-108"/>
              <w:jc w:val="center"/>
              <w:rPr>
                <w:rFonts w:ascii="Arial Narrow" w:hAnsi="Arial Narrow"/>
                <w:b/>
                <w:sz w:val="18"/>
                <w:szCs w:val="18"/>
              </w:rPr>
            </w:pPr>
            <w:r w:rsidRPr="00120A12">
              <w:rPr>
                <w:rFonts w:ascii="Arial Narrow" w:hAnsi="Arial Narrow"/>
                <w:b/>
                <w:sz w:val="18"/>
                <w:szCs w:val="18"/>
              </w:rPr>
              <w:t>Max.</w:t>
            </w:r>
            <w:r>
              <w:rPr>
                <w:rFonts w:ascii="Arial Narrow" w:hAnsi="Arial Narrow"/>
                <w:b/>
                <w:sz w:val="18"/>
                <w:szCs w:val="18"/>
              </w:rPr>
              <w:t xml:space="preserve"> </w:t>
            </w:r>
            <w:r w:rsidRPr="00120A12">
              <w:rPr>
                <w:rFonts w:ascii="Arial Narrow" w:hAnsi="Arial Narrow"/>
                <w:b/>
                <w:sz w:val="18"/>
                <w:szCs w:val="18"/>
              </w:rPr>
              <w:t>Amount</w:t>
            </w:r>
          </w:p>
        </w:tc>
        <w:tc>
          <w:tcPr>
            <w:tcW w:w="1276" w:type="dxa"/>
          </w:tcPr>
          <w:p w:rsidR="006F1B06" w:rsidRPr="00120A12" w:rsidRDefault="006F1B06" w:rsidP="00C55EAE">
            <w:pPr>
              <w:keepNext/>
              <w:ind w:left="-108"/>
              <w:jc w:val="center"/>
              <w:rPr>
                <w:rFonts w:ascii="Arial Narrow" w:hAnsi="Arial Narrow"/>
                <w:b/>
                <w:sz w:val="18"/>
                <w:szCs w:val="18"/>
              </w:rPr>
            </w:pPr>
            <w:r w:rsidRPr="00120A12">
              <w:rPr>
                <w:rFonts w:ascii="Arial Narrow" w:hAnsi="Arial Narrow"/>
                <w:b/>
                <w:sz w:val="18"/>
                <w:szCs w:val="18"/>
              </w:rPr>
              <w:t>№.of</w:t>
            </w:r>
            <w:r>
              <w:rPr>
                <w:rFonts w:ascii="Arial Narrow" w:hAnsi="Arial Narrow"/>
                <w:b/>
                <w:sz w:val="18"/>
                <w:szCs w:val="18"/>
              </w:rPr>
              <w:t xml:space="preserve"> </w:t>
            </w:r>
            <w:r w:rsidRPr="00120A12">
              <w:rPr>
                <w:rFonts w:ascii="Arial Narrow" w:hAnsi="Arial Narrow"/>
                <w:b/>
                <w:sz w:val="18"/>
                <w:szCs w:val="18"/>
              </w:rPr>
              <w:t>R</w:t>
            </w:r>
            <w:r>
              <w:rPr>
                <w:rFonts w:ascii="Arial Narrow" w:hAnsi="Arial Narrow"/>
                <w:b/>
                <w:sz w:val="18"/>
                <w:szCs w:val="18"/>
              </w:rPr>
              <w:t>e</w:t>
            </w:r>
            <w:r w:rsidRPr="00120A12">
              <w:rPr>
                <w:rFonts w:ascii="Arial Narrow" w:hAnsi="Arial Narrow"/>
                <w:b/>
                <w:sz w:val="18"/>
                <w:szCs w:val="18"/>
              </w:rPr>
              <w:t>p</w:t>
            </w:r>
            <w:r>
              <w:rPr>
                <w:rFonts w:ascii="Arial Narrow" w:hAnsi="Arial Narrow"/>
                <w:b/>
                <w:sz w:val="18"/>
                <w:szCs w:val="18"/>
              </w:rPr>
              <w:t>ea</w:t>
            </w:r>
            <w:r w:rsidRPr="00120A12">
              <w:rPr>
                <w:rFonts w:ascii="Arial Narrow" w:hAnsi="Arial Narrow"/>
                <w:b/>
                <w:sz w:val="18"/>
                <w:szCs w:val="18"/>
              </w:rPr>
              <w:t>ts</w:t>
            </w:r>
          </w:p>
        </w:tc>
        <w:tc>
          <w:tcPr>
            <w:tcW w:w="1984" w:type="dxa"/>
          </w:tcPr>
          <w:p w:rsidR="006F1B06" w:rsidRPr="00120A12" w:rsidRDefault="006F1B06" w:rsidP="00C55EAE">
            <w:pPr>
              <w:keepNext/>
              <w:rPr>
                <w:rFonts w:ascii="Arial Narrow" w:hAnsi="Arial Narrow"/>
                <w:b/>
                <w:sz w:val="18"/>
                <w:szCs w:val="18"/>
                <w:lang w:val="fr-FR"/>
              </w:rPr>
            </w:pPr>
            <w:r w:rsidRPr="00120A12">
              <w:rPr>
                <w:rFonts w:ascii="Arial Narrow" w:hAnsi="Arial Narrow"/>
                <w:b/>
                <w:sz w:val="18"/>
                <w:szCs w:val="18"/>
              </w:rPr>
              <w:t>Manufacturer</w:t>
            </w:r>
          </w:p>
        </w:tc>
      </w:tr>
      <w:tr w:rsidR="006F1B06" w:rsidRPr="00507253" w:rsidTr="00C55EAE">
        <w:trPr>
          <w:cantSplit/>
          <w:trHeight w:val="577"/>
        </w:trPr>
        <w:tc>
          <w:tcPr>
            <w:tcW w:w="2689" w:type="dxa"/>
            <w:gridSpan w:val="2"/>
          </w:tcPr>
          <w:p w:rsidR="006F1B06" w:rsidRPr="00AA2595" w:rsidRDefault="006F1B06" w:rsidP="00C55EAE">
            <w:pPr>
              <w:keepNext/>
              <w:rPr>
                <w:rFonts w:ascii="Arial Narrow" w:hAnsi="Arial Narrow"/>
                <w:sz w:val="18"/>
                <w:szCs w:val="18"/>
              </w:rPr>
            </w:pPr>
            <w:r w:rsidRPr="00AA2595">
              <w:rPr>
                <w:rFonts w:ascii="Arial Narrow" w:hAnsi="Arial Narrow"/>
                <w:sz w:val="18"/>
                <w:szCs w:val="18"/>
              </w:rPr>
              <w:t>D</w:t>
            </w:r>
            <w:r>
              <w:rPr>
                <w:rFonts w:ascii="Arial Narrow" w:hAnsi="Arial Narrow"/>
                <w:sz w:val="18"/>
                <w:szCs w:val="18"/>
              </w:rPr>
              <w:t>URVALUMAB</w:t>
            </w:r>
          </w:p>
          <w:p w:rsidR="006F1B06" w:rsidRPr="00120A12" w:rsidRDefault="006F1B06" w:rsidP="00C55EAE">
            <w:pPr>
              <w:keepNext/>
              <w:rPr>
                <w:rFonts w:ascii="Arial Narrow" w:hAnsi="Arial Narrow"/>
                <w:sz w:val="18"/>
                <w:szCs w:val="18"/>
              </w:rPr>
            </w:pPr>
            <w:r>
              <w:rPr>
                <w:rFonts w:ascii="Arial Narrow" w:hAnsi="Arial Narrow"/>
                <w:sz w:val="18"/>
                <w:szCs w:val="18"/>
              </w:rPr>
              <w:t>Injection</w:t>
            </w:r>
          </w:p>
        </w:tc>
        <w:tc>
          <w:tcPr>
            <w:tcW w:w="1842" w:type="dxa"/>
          </w:tcPr>
          <w:p w:rsidR="006F1B06" w:rsidRPr="00507253" w:rsidRDefault="006F1B06" w:rsidP="00C55EAE">
            <w:pPr>
              <w:keepNext/>
              <w:ind w:left="-108"/>
              <w:jc w:val="center"/>
              <w:rPr>
                <w:rFonts w:ascii="Arial Narrow" w:hAnsi="Arial Narrow"/>
                <w:sz w:val="18"/>
                <w:szCs w:val="18"/>
              </w:rPr>
            </w:pPr>
            <w:r w:rsidRPr="00507253">
              <w:rPr>
                <w:rFonts w:ascii="Arial Narrow" w:hAnsi="Arial Narrow"/>
                <w:sz w:val="18"/>
                <w:szCs w:val="18"/>
              </w:rPr>
              <w:t>NEW (Public)</w:t>
            </w:r>
          </w:p>
          <w:p w:rsidR="006F1B06" w:rsidRPr="00507253" w:rsidRDefault="006F1B06" w:rsidP="00C55EAE">
            <w:pPr>
              <w:keepNext/>
              <w:ind w:left="-108"/>
              <w:jc w:val="center"/>
              <w:rPr>
                <w:rFonts w:ascii="Arial Narrow" w:hAnsi="Arial Narrow"/>
                <w:sz w:val="18"/>
                <w:szCs w:val="18"/>
              </w:rPr>
            </w:pPr>
            <w:r w:rsidRPr="00507253">
              <w:rPr>
                <w:rFonts w:ascii="Arial Narrow" w:hAnsi="Arial Narrow"/>
                <w:sz w:val="18"/>
                <w:szCs w:val="18"/>
              </w:rPr>
              <w:t>NEW (Private)</w:t>
            </w:r>
          </w:p>
        </w:tc>
        <w:tc>
          <w:tcPr>
            <w:tcW w:w="1276" w:type="dxa"/>
          </w:tcPr>
          <w:p w:rsidR="006F1B06" w:rsidRPr="00AA2595" w:rsidRDefault="006F1B06" w:rsidP="00C55EAE">
            <w:pPr>
              <w:keepNext/>
              <w:jc w:val="center"/>
              <w:rPr>
                <w:rFonts w:ascii="Arial Narrow" w:hAnsi="Arial Narrow"/>
                <w:sz w:val="18"/>
                <w:szCs w:val="18"/>
              </w:rPr>
            </w:pPr>
            <w:r>
              <w:rPr>
                <w:rFonts w:ascii="Arial Narrow" w:hAnsi="Arial Narrow"/>
                <w:sz w:val="18"/>
                <w:szCs w:val="18"/>
              </w:rPr>
              <w:t>1500 mg</w:t>
            </w:r>
          </w:p>
        </w:tc>
        <w:tc>
          <w:tcPr>
            <w:tcW w:w="1276" w:type="dxa"/>
          </w:tcPr>
          <w:p w:rsidR="006F1B06" w:rsidRPr="00120A12" w:rsidRDefault="006F1B06" w:rsidP="00C55EAE">
            <w:pPr>
              <w:keepNext/>
              <w:jc w:val="center"/>
              <w:rPr>
                <w:rFonts w:ascii="Arial Narrow" w:hAnsi="Arial Narrow"/>
                <w:sz w:val="18"/>
                <w:szCs w:val="18"/>
              </w:rPr>
            </w:pPr>
            <w:r>
              <w:rPr>
                <w:rFonts w:ascii="Arial Narrow" w:hAnsi="Arial Narrow"/>
                <w:sz w:val="18"/>
                <w:szCs w:val="18"/>
              </w:rPr>
              <w:t>3</w:t>
            </w:r>
          </w:p>
        </w:tc>
        <w:tc>
          <w:tcPr>
            <w:tcW w:w="1984" w:type="dxa"/>
          </w:tcPr>
          <w:p w:rsidR="006F1B06" w:rsidRPr="00120A12" w:rsidRDefault="006F1B06" w:rsidP="00C55EAE">
            <w:pPr>
              <w:keepNext/>
              <w:rPr>
                <w:rFonts w:ascii="Arial Narrow" w:hAnsi="Arial Narrow"/>
                <w:sz w:val="18"/>
                <w:szCs w:val="18"/>
              </w:rPr>
            </w:pPr>
            <w:r>
              <w:rPr>
                <w:rFonts w:ascii="Arial Narrow" w:hAnsi="Arial Narrow"/>
                <w:sz w:val="18"/>
                <w:szCs w:val="18"/>
              </w:rPr>
              <w:t xml:space="preserve">AstraZeneca </w:t>
            </w:r>
            <w:r w:rsidRPr="00507253">
              <w:rPr>
                <w:rFonts w:ascii="Arial Narrow" w:hAnsi="Arial Narrow"/>
                <w:sz w:val="18"/>
                <w:szCs w:val="18"/>
              </w:rPr>
              <w:t>Pty Ltd</w:t>
            </w:r>
          </w:p>
        </w:tc>
      </w:tr>
      <w:tr w:rsidR="006F1B06" w:rsidRPr="00507253" w:rsidTr="00C55EAE">
        <w:trPr>
          <w:cantSplit/>
          <w:trHeight w:val="360"/>
        </w:trPr>
        <w:tc>
          <w:tcPr>
            <w:tcW w:w="9067" w:type="dxa"/>
            <w:gridSpan w:val="6"/>
          </w:tcPr>
          <w:p w:rsidR="006F1B06" w:rsidRDefault="006F1B06" w:rsidP="00C55EAE">
            <w:pPr>
              <w:rPr>
                <w:rFonts w:ascii="Arial Narrow" w:hAnsi="Arial Narrow"/>
                <w:b/>
                <w:sz w:val="18"/>
                <w:szCs w:val="18"/>
              </w:rPr>
            </w:pPr>
            <w:r w:rsidRPr="0040606D">
              <w:rPr>
                <w:rFonts w:ascii="Arial Narrow" w:hAnsi="Arial Narrow"/>
                <w:b/>
                <w:sz w:val="18"/>
                <w:szCs w:val="18"/>
              </w:rPr>
              <w:t>Available brands</w:t>
            </w:r>
          </w:p>
          <w:p w:rsidR="006F1B06" w:rsidRDefault="006F1B06" w:rsidP="00C55EAE">
            <w:pPr>
              <w:rPr>
                <w:rFonts w:ascii="Arial Narrow" w:hAnsi="Arial Narrow"/>
                <w:sz w:val="18"/>
                <w:szCs w:val="18"/>
              </w:rPr>
            </w:pPr>
            <w:r>
              <w:rPr>
                <w:rFonts w:ascii="Arial Narrow" w:hAnsi="Arial Narrow"/>
                <w:b/>
                <w:sz w:val="18"/>
                <w:szCs w:val="18"/>
              </w:rPr>
              <w:t>(medicinal product pack)</w:t>
            </w:r>
          </w:p>
        </w:tc>
      </w:tr>
      <w:tr w:rsidR="006F1B06" w:rsidRPr="00507253" w:rsidTr="00C55EAE">
        <w:trPr>
          <w:cantSplit/>
          <w:trHeight w:val="360"/>
        </w:trPr>
        <w:tc>
          <w:tcPr>
            <w:tcW w:w="9067" w:type="dxa"/>
            <w:gridSpan w:val="6"/>
          </w:tcPr>
          <w:p w:rsidR="006F1B06" w:rsidRDefault="006F1B06" w:rsidP="00C55EAE">
            <w:pPr>
              <w:rPr>
                <w:rFonts w:ascii="Arial Narrow" w:hAnsi="Arial Narrow"/>
                <w:sz w:val="18"/>
                <w:szCs w:val="18"/>
              </w:rPr>
            </w:pPr>
            <w:r>
              <w:rPr>
                <w:rFonts w:ascii="Arial Narrow" w:hAnsi="Arial Narrow"/>
                <w:sz w:val="18"/>
                <w:szCs w:val="18"/>
              </w:rPr>
              <w:t>Imfinzi</w:t>
            </w:r>
          </w:p>
          <w:p w:rsidR="006F1B06" w:rsidDel="0040606D" w:rsidRDefault="006F1B06" w:rsidP="00C55EAE">
            <w:pPr>
              <w:rPr>
                <w:rFonts w:ascii="Arial Narrow" w:hAnsi="Arial Narrow"/>
                <w:sz w:val="18"/>
                <w:szCs w:val="18"/>
              </w:rPr>
            </w:pPr>
            <w:r>
              <w:rPr>
                <w:rFonts w:ascii="Arial Narrow" w:hAnsi="Arial Narrow"/>
                <w:sz w:val="18"/>
                <w:szCs w:val="18"/>
              </w:rPr>
              <w:t>(</w:t>
            </w:r>
            <w:r w:rsidRPr="0040606D">
              <w:rPr>
                <w:rFonts w:ascii="Arial Narrow" w:hAnsi="Arial Narrow"/>
                <w:sz w:val="18"/>
                <w:szCs w:val="18"/>
              </w:rPr>
              <w:t>durvalumab 500 mg/10 mL injection, 10 mL vial)</w:t>
            </w:r>
          </w:p>
        </w:tc>
      </w:tr>
      <w:tr w:rsidR="006F1B06" w:rsidRPr="00507253" w:rsidTr="00C55EAE">
        <w:trPr>
          <w:cantSplit/>
          <w:trHeight w:val="360"/>
        </w:trPr>
        <w:tc>
          <w:tcPr>
            <w:tcW w:w="9067" w:type="dxa"/>
            <w:gridSpan w:val="6"/>
          </w:tcPr>
          <w:p w:rsidR="006F1B06" w:rsidRDefault="006F1B06" w:rsidP="00C55EAE">
            <w:pPr>
              <w:rPr>
                <w:rFonts w:ascii="Arial Narrow" w:hAnsi="Arial Narrow"/>
                <w:sz w:val="18"/>
                <w:szCs w:val="18"/>
              </w:rPr>
            </w:pPr>
            <w:r>
              <w:rPr>
                <w:rFonts w:ascii="Arial Narrow" w:hAnsi="Arial Narrow"/>
                <w:sz w:val="18"/>
                <w:szCs w:val="18"/>
              </w:rPr>
              <w:t>Imfinzi</w:t>
            </w:r>
          </w:p>
          <w:p w:rsidR="006F1B06" w:rsidDel="0040606D" w:rsidRDefault="006F1B06" w:rsidP="00C55EAE">
            <w:pPr>
              <w:rPr>
                <w:rFonts w:ascii="Arial Narrow" w:hAnsi="Arial Narrow"/>
                <w:sz w:val="18"/>
                <w:szCs w:val="18"/>
              </w:rPr>
            </w:pPr>
            <w:r w:rsidRPr="0040606D">
              <w:rPr>
                <w:rFonts w:ascii="Arial Narrow" w:hAnsi="Arial Narrow"/>
                <w:sz w:val="18"/>
                <w:szCs w:val="18"/>
              </w:rPr>
              <w:t>(durvalumab 120 mg/2.4 mL injection, 2.4 mL vial)</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6F1B06" w:rsidRPr="0020649C" w:rsidRDefault="006F1B06" w:rsidP="00C55EAE">
            <w:pPr>
              <w:rPr>
                <w:rFonts w:ascii="Arial Narrow" w:hAnsi="Arial Narrow"/>
                <w:b/>
                <w:sz w:val="18"/>
                <w:szCs w:val="18"/>
              </w:rPr>
            </w:pPr>
            <w: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6F1B06" w:rsidRPr="007E7D43" w:rsidRDefault="006F1B06" w:rsidP="00C55EAE">
            <w:pPr>
              <w:rPr>
                <w:rFonts w:ascii="Arial Narrow" w:hAnsi="Arial Narrow"/>
                <w:b/>
                <w:sz w:val="16"/>
                <w:szCs w:val="16"/>
              </w:rPr>
            </w:pPr>
            <w:r w:rsidRPr="007E7D43">
              <w:rPr>
                <w:rFonts w:ascii="Arial Narrow" w:hAnsi="Arial Narrow"/>
                <w:b/>
                <w:sz w:val="16"/>
                <w:szCs w:val="16"/>
              </w:rPr>
              <w:t xml:space="preserve">Restriction Summary 10205 / Treatment of Concept: 10206 </w:t>
            </w:r>
            <w:r w:rsidRPr="007E7D43">
              <w:rPr>
                <w:rFonts w:ascii="Arial Narrow" w:hAnsi="Arial Narrow"/>
                <w:i/>
                <w:sz w:val="16"/>
                <w:szCs w:val="16"/>
              </w:rPr>
              <w:t>(same as atezolizumab, 11926Q / 11927R, current as of 1 November 2020)</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Merge w:val="restart"/>
            <w:tcBorders>
              <w:top w:val="single" w:sz="4" w:space="0" w:color="auto"/>
              <w:left w:val="single" w:sz="4" w:space="0" w:color="auto"/>
              <w:right w:val="single" w:sz="4" w:space="0" w:color="auto"/>
            </w:tcBorders>
          </w:tcPr>
          <w:p w:rsidR="006F1B06" w:rsidRPr="008A1165" w:rsidRDefault="006F1B06" w:rsidP="00C55EAE">
            <w:pPr>
              <w:jc w:val="center"/>
              <w:rPr>
                <w:rFonts w:ascii="Arial Narrow" w:hAnsi="Arial Narrow"/>
                <w:sz w:val="18"/>
                <w:szCs w:val="18"/>
              </w:rPr>
            </w:pPr>
          </w:p>
        </w:tc>
        <w:tc>
          <w:tcPr>
            <w:tcW w:w="7968" w:type="dxa"/>
            <w:gridSpan w:val="5"/>
            <w:tcBorders>
              <w:top w:val="single" w:sz="4" w:space="0" w:color="auto"/>
              <w:left w:val="single" w:sz="4" w:space="0" w:color="auto"/>
              <w:bottom w:val="single" w:sz="4" w:space="0" w:color="auto"/>
              <w:right w:val="single" w:sz="4" w:space="0" w:color="auto"/>
            </w:tcBorders>
          </w:tcPr>
          <w:p w:rsidR="006F1B06" w:rsidRPr="00120A12" w:rsidRDefault="006F1B06" w:rsidP="00C55EAE">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Section 100 – Efficient Funding of Chemotherapy </w:t>
            </w:r>
            <w:r>
              <w:rPr>
                <w:rFonts w:ascii="Arial Narrow" w:hAnsi="Arial Narrow"/>
                <w:sz w:val="18"/>
                <w:szCs w:val="18"/>
              </w:rPr>
              <w:t>Public/Private hospitals</w:t>
            </w:r>
            <w:r w:rsidRPr="003D201F">
              <w:rPr>
                <w:rFonts w:ascii="Arial Narrow" w:hAnsi="Arial Narrow"/>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rPr>
          <w:trHeight w:val="240"/>
        </w:trPr>
        <w:tc>
          <w:tcPr>
            <w:tcW w:w="1099" w:type="dxa"/>
            <w:vMerge/>
            <w:tcBorders>
              <w:left w:val="single" w:sz="4" w:space="0" w:color="auto"/>
              <w:right w:val="single" w:sz="4" w:space="0" w:color="auto"/>
            </w:tcBorders>
          </w:tcPr>
          <w:p w:rsidR="006F1B06" w:rsidRPr="0020649C" w:rsidRDefault="006F1B06" w:rsidP="00C55EAE">
            <w:pPr>
              <w:rPr>
                <w:rFonts w:ascii="Arial Narrow" w:hAnsi="Arial Narrow"/>
                <w:sz w:val="18"/>
                <w:szCs w:val="18"/>
              </w:rPr>
            </w:pPr>
          </w:p>
        </w:tc>
        <w:tc>
          <w:tcPr>
            <w:tcW w:w="7968" w:type="dxa"/>
            <w:gridSpan w:val="5"/>
            <w:tcBorders>
              <w:top w:val="single" w:sz="4" w:space="0" w:color="auto"/>
              <w:left w:val="single" w:sz="4" w:space="0" w:color="auto"/>
              <w:bottom w:val="single" w:sz="4" w:space="0" w:color="auto"/>
              <w:right w:val="single" w:sz="4" w:space="0" w:color="auto"/>
            </w:tcBorders>
          </w:tcPr>
          <w:p w:rsidR="006F1B06" w:rsidRPr="00772067" w:rsidRDefault="006F1B06" w:rsidP="00C55EAE">
            <w:pPr>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5B4049">
              <w:rPr>
                <w:rFonts w:ascii="Arial Narrow" w:hAnsi="Arial Narrow"/>
                <w:sz w:val="18"/>
                <w:szCs w:val="18"/>
              </w:rPr>
            </w:r>
            <w:r w:rsidR="005B4049">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r w:rsidRPr="00120A12">
              <w:rPr>
                <w:rFonts w:ascii="Arial Narrow" w:hAnsi="Arial Narrow"/>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Merge/>
            <w:tcBorders>
              <w:left w:val="single" w:sz="4" w:space="0" w:color="auto"/>
              <w:bottom w:val="single" w:sz="4" w:space="0" w:color="auto"/>
              <w:right w:val="single" w:sz="4" w:space="0" w:color="auto"/>
            </w:tcBorders>
          </w:tcPr>
          <w:p w:rsidR="006F1B06" w:rsidRPr="0020649C" w:rsidRDefault="006F1B06" w:rsidP="00C55EAE">
            <w:pPr>
              <w:rPr>
                <w:rFonts w:ascii="Arial Narrow" w:hAnsi="Arial Narrow"/>
                <w:sz w:val="18"/>
                <w:szCs w:val="18"/>
              </w:rPr>
            </w:pPr>
          </w:p>
        </w:tc>
        <w:tc>
          <w:tcPr>
            <w:tcW w:w="7968" w:type="dxa"/>
            <w:gridSpan w:val="5"/>
            <w:tcBorders>
              <w:top w:val="single" w:sz="4" w:space="0" w:color="auto"/>
              <w:left w:val="single" w:sz="4" w:space="0" w:color="auto"/>
              <w:bottom w:val="single" w:sz="4" w:space="0" w:color="auto"/>
              <w:right w:val="single" w:sz="4" w:space="0" w:color="auto"/>
            </w:tcBorders>
          </w:tcPr>
          <w:p w:rsidR="006F1B06" w:rsidRPr="008A1165" w:rsidRDefault="006F1B06" w:rsidP="00C55EAE">
            <w:pPr>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5B4049">
              <w:rPr>
                <w:rFonts w:ascii="Arial Narrow" w:eastAsia="Calibri" w:hAnsi="Arial Narrow"/>
                <w:sz w:val="18"/>
                <w:szCs w:val="18"/>
              </w:rPr>
            </w:r>
            <w:r w:rsidR="005B4049">
              <w:rPr>
                <w:rFonts w:ascii="Arial Narrow" w:eastAsia="Calibri" w:hAnsi="Arial Narrow"/>
                <w:sz w:val="18"/>
                <w:szCs w:val="18"/>
              </w:rPr>
              <w:fldChar w:fldCharType="separate"/>
            </w:r>
            <w:r>
              <w:rPr>
                <w:rFonts w:ascii="Arial Narrow" w:eastAsia="Calibri" w:hAnsi="Arial Narrow"/>
                <w:sz w:val="18"/>
                <w:szCs w:val="18"/>
              </w:rPr>
              <w:fldChar w:fldCharType="end"/>
            </w:r>
            <w:r w:rsidRPr="00F86065">
              <w:rPr>
                <w:rFonts w:ascii="Arial Narrow" w:eastAsia="Calibri" w:hAnsi="Arial Narrow"/>
                <w:sz w:val="18"/>
                <w:szCs w:val="18"/>
              </w:rPr>
              <w:t>Authority Required – Streamlined</w:t>
            </w:r>
            <w:r>
              <w:rPr>
                <w:rFonts w:ascii="Arial Narrow" w:eastAsia="Calibri" w:hAnsi="Arial Narrow"/>
                <w:sz w:val="18"/>
                <w:szCs w:val="18"/>
              </w:rPr>
              <w:t xml:space="preserve"> [10206]</w:t>
            </w:r>
            <w:r w:rsidRPr="00F86065">
              <w:rPr>
                <w:rFonts w:ascii="Arial Narrow" w:eastAsia="Calibri" w:hAnsi="Arial Narrow"/>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Administrative Advice:</w:t>
            </w:r>
          </w:p>
          <w:p w:rsidR="006F1B06" w:rsidRPr="00AA2595" w:rsidRDefault="006F1B06" w:rsidP="00C55EAE">
            <w:pPr>
              <w:rPr>
                <w:rFonts w:ascii="Arial Narrow" w:hAnsi="Arial Narrow"/>
                <w:color w:val="333333"/>
                <w:sz w:val="18"/>
                <w:szCs w:val="18"/>
              </w:rPr>
            </w:pPr>
            <w:r w:rsidRPr="00AA2595">
              <w:rPr>
                <w:rFonts w:ascii="Arial Narrow" w:hAnsi="Arial Narrow"/>
                <w:color w:val="333333"/>
                <w:sz w:val="18"/>
                <w:szCs w:val="18"/>
              </w:rPr>
              <w:t>No increase in the maximum quantity or number of units may be authorised</w:t>
            </w:r>
          </w:p>
          <w:p w:rsidR="006F1B06" w:rsidRPr="00AA2595" w:rsidRDefault="006F1B06" w:rsidP="00C55EAE">
            <w:pPr>
              <w:rPr>
                <w:rFonts w:ascii="Arial Narrow" w:hAnsi="Arial Narrow"/>
                <w:color w:val="333333"/>
                <w:sz w:val="18"/>
                <w:szCs w:val="18"/>
              </w:rPr>
            </w:pPr>
            <w:r w:rsidRPr="00AA2595">
              <w:rPr>
                <w:rFonts w:ascii="Arial Narrow" w:hAnsi="Arial Narrow"/>
                <w:color w:val="333333"/>
                <w:sz w:val="18"/>
                <w:szCs w:val="18"/>
              </w:rPr>
              <w:t>No increase in the maximum number of repeats will be authorised</w:t>
            </w:r>
          </w:p>
          <w:p w:rsidR="006F1B06" w:rsidRPr="00120A12" w:rsidRDefault="006F1B06" w:rsidP="00C55EAE">
            <w:pPr>
              <w:rPr>
                <w:rFonts w:ascii="Arial Narrow" w:hAnsi="Arial Narrow"/>
                <w:color w:val="333333"/>
                <w:sz w:val="18"/>
                <w:szCs w:val="18"/>
              </w:rPr>
            </w:pPr>
            <w:r w:rsidRPr="00AA2595">
              <w:rPr>
                <w:rFonts w:ascii="Arial Narrow" w:hAnsi="Arial Narrow"/>
                <w:color w:val="333333"/>
                <w:sz w:val="18"/>
                <w:szCs w:val="18"/>
              </w:rPr>
              <w:t>Special pricing arrangements apply</w:t>
            </w:r>
          </w:p>
        </w:tc>
      </w:tr>
      <w:tr w:rsidR="006F1B06" w:rsidRPr="00120A12" w:rsidTr="006F1B06">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sidRPr="00AA2595">
              <w:rPr>
                <w:rFonts w:ascii="Arial Narrow" w:hAnsi="Arial Narrow"/>
                <w:color w:val="333333"/>
                <w:sz w:val="18"/>
                <w:szCs w:val="18"/>
              </w:rPr>
              <w:t>Extensive</w:t>
            </w:r>
            <w:r>
              <w:rPr>
                <w:rFonts w:ascii="Arial Narrow" w:hAnsi="Arial Narrow"/>
                <w:color w:val="333333"/>
                <w:sz w:val="18"/>
                <w:szCs w:val="18"/>
              </w:rPr>
              <w:t>-</w:t>
            </w:r>
            <w:r w:rsidRPr="00AA2595">
              <w:rPr>
                <w:rFonts w:ascii="Arial Narrow" w:hAnsi="Arial Narrow"/>
                <w:color w:val="333333"/>
                <w:sz w:val="18"/>
                <w:szCs w:val="18"/>
              </w:rPr>
              <w:t>stage small cell</w:t>
            </w:r>
            <w:r>
              <w:rPr>
                <w:rFonts w:ascii="Arial Narrow" w:hAnsi="Arial Narrow"/>
                <w:color w:val="333333"/>
                <w:sz w:val="18"/>
                <w:szCs w:val="18"/>
              </w:rPr>
              <w:t xml:space="preserve"> </w:t>
            </w:r>
            <w:r w:rsidRPr="007B4807">
              <w:rPr>
                <w:rFonts w:ascii="Arial Narrow" w:hAnsi="Arial Narrow"/>
                <w:color w:val="333333"/>
                <w:sz w:val="18"/>
                <w:szCs w:val="18"/>
              </w:rPr>
              <w:t>lung cancer</w:t>
            </w:r>
            <w:r w:rsidRPr="00AA2595">
              <w:rPr>
                <w:rFonts w:ascii="Arial Narrow" w:hAnsi="Arial Narrow"/>
                <w:color w:val="333333"/>
                <w:sz w:val="18"/>
                <w:szCs w:val="18"/>
              </w:rPr>
              <w:t xml:space="preserve"> </w:t>
            </w:r>
          </w:p>
        </w:tc>
      </w:tr>
      <w:tr w:rsidR="006F1B06" w:rsidRPr="00120A12" w:rsidTr="006F1B06">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D50A50" w:rsidRDefault="006F1B06" w:rsidP="00C55EAE">
            <w:pPr>
              <w:rPr>
                <w:rFonts w:ascii="Arial Narrow" w:hAnsi="Arial Narrow"/>
                <w:i/>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Initial treatment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AA2595">
              <w:rPr>
                <w:rFonts w:ascii="Arial Narrow" w:hAnsi="Arial Narrow"/>
                <w:color w:val="333333"/>
                <w:sz w:val="18"/>
                <w:szCs w:val="18"/>
              </w:rPr>
              <w:t xml:space="preserve">The condition </w:t>
            </w:r>
            <w:r>
              <w:rPr>
                <w:rFonts w:ascii="Arial Narrow" w:hAnsi="Arial Narrow"/>
                <w:color w:val="333333"/>
                <w:sz w:val="18"/>
                <w:szCs w:val="18"/>
              </w:rPr>
              <w:t>must be previously untreated</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AND</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Clinical criteria:</w:t>
            </w:r>
            <w:r w:rsidRPr="00AA2595">
              <w:rPr>
                <w:rFonts w:ascii="Arial Narrow" w:hAnsi="Arial Narrow"/>
                <w:color w:val="333333"/>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AA2595">
              <w:rPr>
                <w:rFonts w:ascii="Arial Narrow" w:hAnsi="Arial Narrow"/>
                <w:color w:val="333333"/>
                <w:sz w:val="18"/>
                <w:szCs w:val="18"/>
              </w:rPr>
              <w:t>Patient must have a WHO performance status of 0 or 1</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AND</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1099" w:type="dxa"/>
            <w:vAlign w:val="center"/>
          </w:tcPr>
          <w:p w:rsidR="006F1B06" w:rsidRPr="00120A12" w:rsidRDefault="006F1B06" w:rsidP="00C55EAE">
            <w:pPr>
              <w:jc w:val="center"/>
              <w:rPr>
                <w:rFonts w:ascii="Arial Narrow" w:hAnsi="Arial Narrow"/>
                <w:color w:val="333333"/>
                <w:sz w:val="18"/>
                <w:szCs w:val="18"/>
              </w:rPr>
            </w:pPr>
          </w:p>
        </w:tc>
        <w:tc>
          <w:tcPr>
            <w:tcW w:w="7968" w:type="dxa"/>
            <w:gridSpan w:val="5"/>
            <w:vAlign w:val="center"/>
            <w:hideMark/>
          </w:tcPr>
          <w:p w:rsidR="006F1B06" w:rsidRPr="00120A12" w:rsidRDefault="006F1B06" w:rsidP="00C55EAE">
            <w:pPr>
              <w:rPr>
                <w:rFonts w:ascii="Arial Narrow" w:hAnsi="Arial Narrow"/>
                <w:color w:val="333333"/>
                <w:sz w:val="18"/>
                <w:szCs w:val="18"/>
              </w:rPr>
            </w:pPr>
            <w:r w:rsidRPr="00AA2595">
              <w:rPr>
                <w:rFonts w:ascii="Arial Narrow" w:hAnsi="Arial Narrow"/>
                <w:color w:val="333333"/>
                <w:sz w:val="18"/>
                <w:szCs w:val="18"/>
              </w:rPr>
              <w:t>The treatment must be in combination with etoposide and a pla</w:t>
            </w:r>
            <w:r>
              <w:rPr>
                <w:rFonts w:ascii="Arial Narrow" w:hAnsi="Arial Narrow"/>
                <w:color w:val="333333"/>
                <w:sz w:val="18"/>
                <w:szCs w:val="18"/>
              </w:rPr>
              <w:t>tinum</w:t>
            </w:r>
            <w:r>
              <w:rPr>
                <w:rFonts w:ascii="Arial Narrow" w:hAnsi="Arial Narrow"/>
                <w:color w:val="333333"/>
                <w:sz w:val="18"/>
                <w:szCs w:val="18"/>
              </w:rPr>
              <w:noBreakHyphen/>
              <w:t>based antineoplastic drug</w:t>
            </w:r>
          </w:p>
        </w:tc>
      </w:tr>
    </w:tbl>
    <w:p w:rsidR="006F1B06" w:rsidRDefault="006F1B06" w:rsidP="006F1B06">
      <w:pPr>
        <w:rPr>
          <w:b/>
          <w:snapToGrid w:val="0"/>
          <w:sz w:val="28"/>
          <w:szCs w:val="22"/>
        </w:rPr>
      </w:pPr>
    </w:p>
    <w:p w:rsidR="00723863" w:rsidRDefault="00723863">
      <w:r>
        <w:rPr>
          <w:b/>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708"/>
        <w:gridCol w:w="1842"/>
        <w:gridCol w:w="1276"/>
        <w:gridCol w:w="1276"/>
        <w:gridCol w:w="1984"/>
      </w:tblGrid>
      <w:tr w:rsidR="006F1B06" w:rsidRPr="00120A12" w:rsidTr="00C55EAE">
        <w:trPr>
          <w:cantSplit/>
          <w:trHeight w:val="471"/>
        </w:trPr>
        <w:tc>
          <w:tcPr>
            <w:tcW w:w="2689" w:type="dxa"/>
            <w:gridSpan w:val="2"/>
          </w:tcPr>
          <w:p w:rsidR="006F1B06" w:rsidRDefault="006F1B06" w:rsidP="00C55EAE">
            <w:pPr>
              <w:pStyle w:val="In-tableHeading"/>
              <w:rPr>
                <w:snapToGrid w:val="0"/>
              </w:rPr>
            </w:pPr>
            <w:r>
              <w:rPr>
                <w:snapToGrid w:val="0"/>
              </w:rPr>
              <w:lastRenderedPageBreak/>
              <w:t>MEDICINAL PRODUCT</w:t>
            </w:r>
          </w:p>
          <w:p w:rsidR="006F1B06" w:rsidRPr="00120A12" w:rsidRDefault="006F1B06" w:rsidP="00C55EAE">
            <w:pPr>
              <w:pStyle w:val="In-tableHeading"/>
            </w:pPr>
            <w:r>
              <w:t>Form</w:t>
            </w:r>
          </w:p>
        </w:tc>
        <w:tc>
          <w:tcPr>
            <w:tcW w:w="1842" w:type="dxa"/>
          </w:tcPr>
          <w:p w:rsidR="006F1B06" w:rsidRPr="00507253" w:rsidRDefault="006F1B06" w:rsidP="00C55EAE">
            <w:pPr>
              <w:keepNext/>
              <w:ind w:left="-108"/>
              <w:jc w:val="center"/>
              <w:rPr>
                <w:rFonts w:ascii="Arial Narrow" w:hAnsi="Arial Narrow"/>
                <w:b/>
                <w:sz w:val="18"/>
                <w:szCs w:val="18"/>
              </w:rPr>
            </w:pPr>
            <w:r w:rsidRPr="00507253">
              <w:rPr>
                <w:rFonts w:ascii="Arial Narrow" w:hAnsi="Arial Narrow"/>
                <w:b/>
                <w:sz w:val="18"/>
                <w:szCs w:val="18"/>
              </w:rPr>
              <w:t>PBS item code</w:t>
            </w:r>
          </w:p>
        </w:tc>
        <w:tc>
          <w:tcPr>
            <w:tcW w:w="1276" w:type="dxa"/>
          </w:tcPr>
          <w:p w:rsidR="006F1B06" w:rsidRPr="00120A12" w:rsidRDefault="006F1B06" w:rsidP="00C55EAE">
            <w:pPr>
              <w:keepNext/>
              <w:ind w:left="-108"/>
              <w:jc w:val="center"/>
              <w:rPr>
                <w:rFonts w:ascii="Arial Narrow" w:hAnsi="Arial Narrow"/>
                <w:b/>
                <w:sz w:val="18"/>
                <w:szCs w:val="18"/>
              </w:rPr>
            </w:pPr>
            <w:r w:rsidRPr="00120A12">
              <w:rPr>
                <w:rFonts w:ascii="Arial Narrow" w:hAnsi="Arial Narrow"/>
                <w:b/>
                <w:sz w:val="18"/>
                <w:szCs w:val="18"/>
              </w:rPr>
              <w:t>Max.</w:t>
            </w:r>
            <w:r>
              <w:rPr>
                <w:rFonts w:ascii="Arial Narrow" w:hAnsi="Arial Narrow"/>
                <w:b/>
                <w:sz w:val="18"/>
                <w:szCs w:val="18"/>
              </w:rPr>
              <w:t xml:space="preserve"> </w:t>
            </w:r>
            <w:r w:rsidRPr="00120A12">
              <w:rPr>
                <w:rFonts w:ascii="Arial Narrow" w:hAnsi="Arial Narrow"/>
                <w:b/>
                <w:sz w:val="18"/>
                <w:szCs w:val="18"/>
              </w:rPr>
              <w:t>Amount</w:t>
            </w:r>
          </w:p>
        </w:tc>
        <w:tc>
          <w:tcPr>
            <w:tcW w:w="1276" w:type="dxa"/>
          </w:tcPr>
          <w:p w:rsidR="006F1B06" w:rsidRPr="00120A12" w:rsidRDefault="006F1B06" w:rsidP="00C55EAE">
            <w:pPr>
              <w:keepNext/>
              <w:ind w:left="-108"/>
              <w:jc w:val="center"/>
              <w:rPr>
                <w:rFonts w:ascii="Arial Narrow" w:hAnsi="Arial Narrow"/>
                <w:b/>
                <w:sz w:val="18"/>
                <w:szCs w:val="18"/>
              </w:rPr>
            </w:pPr>
            <w:r w:rsidRPr="00120A12">
              <w:rPr>
                <w:rFonts w:ascii="Arial Narrow" w:hAnsi="Arial Narrow"/>
                <w:b/>
                <w:sz w:val="18"/>
                <w:szCs w:val="18"/>
              </w:rPr>
              <w:t>№.of</w:t>
            </w:r>
            <w:r>
              <w:rPr>
                <w:rFonts w:ascii="Arial Narrow" w:hAnsi="Arial Narrow"/>
                <w:b/>
                <w:sz w:val="18"/>
                <w:szCs w:val="18"/>
              </w:rPr>
              <w:t xml:space="preserve"> </w:t>
            </w:r>
            <w:r w:rsidRPr="00120A12">
              <w:rPr>
                <w:rFonts w:ascii="Arial Narrow" w:hAnsi="Arial Narrow"/>
                <w:b/>
                <w:sz w:val="18"/>
                <w:szCs w:val="18"/>
              </w:rPr>
              <w:t>R</w:t>
            </w:r>
            <w:r>
              <w:rPr>
                <w:rFonts w:ascii="Arial Narrow" w:hAnsi="Arial Narrow"/>
                <w:b/>
                <w:sz w:val="18"/>
                <w:szCs w:val="18"/>
              </w:rPr>
              <w:t>e</w:t>
            </w:r>
            <w:r w:rsidRPr="00120A12">
              <w:rPr>
                <w:rFonts w:ascii="Arial Narrow" w:hAnsi="Arial Narrow"/>
                <w:b/>
                <w:sz w:val="18"/>
                <w:szCs w:val="18"/>
              </w:rPr>
              <w:t>p</w:t>
            </w:r>
            <w:r>
              <w:rPr>
                <w:rFonts w:ascii="Arial Narrow" w:hAnsi="Arial Narrow"/>
                <w:b/>
                <w:sz w:val="18"/>
                <w:szCs w:val="18"/>
              </w:rPr>
              <w:t>ea</w:t>
            </w:r>
            <w:r w:rsidRPr="00120A12">
              <w:rPr>
                <w:rFonts w:ascii="Arial Narrow" w:hAnsi="Arial Narrow"/>
                <w:b/>
                <w:sz w:val="18"/>
                <w:szCs w:val="18"/>
              </w:rPr>
              <w:t>ts</w:t>
            </w:r>
          </w:p>
        </w:tc>
        <w:tc>
          <w:tcPr>
            <w:tcW w:w="1984" w:type="dxa"/>
          </w:tcPr>
          <w:p w:rsidR="006F1B06" w:rsidRPr="00120A12" w:rsidRDefault="006F1B06" w:rsidP="00C55EAE">
            <w:pPr>
              <w:keepNext/>
              <w:rPr>
                <w:rFonts w:ascii="Arial Narrow" w:hAnsi="Arial Narrow"/>
                <w:b/>
                <w:sz w:val="18"/>
                <w:szCs w:val="18"/>
                <w:lang w:val="fr-FR"/>
              </w:rPr>
            </w:pPr>
            <w:r w:rsidRPr="00120A12">
              <w:rPr>
                <w:rFonts w:ascii="Arial Narrow" w:hAnsi="Arial Narrow"/>
                <w:b/>
                <w:sz w:val="18"/>
                <w:szCs w:val="18"/>
              </w:rPr>
              <w:t>Manufacturer</w:t>
            </w:r>
          </w:p>
        </w:tc>
      </w:tr>
      <w:tr w:rsidR="006F1B06" w:rsidRPr="00120A12" w:rsidTr="00C55EAE">
        <w:trPr>
          <w:cantSplit/>
          <w:trHeight w:val="577"/>
        </w:trPr>
        <w:tc>
          <w:tcPr>
            <w:tcW w:w="2689" w:type="dxa"/>
            <w:gridSpan w:val="2"/>
          </w:tcPr>
          <w:p w:rsidR="006F1B06" w:rsidRPr="00AA2595" w:rsidRDefault="006F1B06" w:rsidP="00C55EAE">
            <w:pPr>
              <w:keepNext/>
              <w:rPr>
                <w:rFonts w:ascii="Arial Narrow" w:hAnsi="Arial Narrow"/>
                <w:sz w:val="18"/>
                <w:szCs w:val="18"/>
              </w:rPr>
            </w:pPr>
            <w:r w:rsidRPr="00AA2595">
              <w:rPr>
                <w:rFonts w:ascii="Arial Narrow" w:hAnsi="Arial Narrow"/>
                <w:sz w:val="18"/>
                <w:szCs w:val="18"/>
              </w:rPr>
              <w:t>D</w:t>
            </w:r>
            <w:r>
              <w:rPr>
                <w:rFonts w:ascii="Arial Narrow" w:hAnsi="Arial Narrow"/>
                <w:sz w:val="18"/>
                <w:szCs w:val="18"/>
              </w:rPr>
              <w:t>URVALUMAB</w:t>
            </w:r>
          </w:p>
          <w:p w:rsidR="006F1B06" w:rsidRPr="00120A12" w:rsidRDefault="006F1B06" w:rsidP="00C55EAE">
            <w:pPr>
              <w:keepNext/>
              <w:rPr>
                <w:rFonts w:ascii="Arial Narrow" w:hAnsi="Arial Narrow"/>
                <w:sz w:val="18"/>
                <w:szCs w:val="18"/>
              </w:rPr>
            </w:pPr>
            <w:r>
              <w:rPr>
                <w:rFonts w:ascii="Arial Narrow" w:hAnsi="Arial Narrow"/>
                <w:sz w:val="18"/>
                <w:szCs w:val="18"/>
              </w:rPr>
              <w:t>Injection</w:t>
            </w:r>
          </w:p>
        </w:tc>
        <w:tc>
          <w:tcPr>
            <w:tcW w:w="1842" w:type="dxa"/>
          </w:tcPr>
          <w:p w:rsidR="006F1B06" w:rsidRPr="00507253" w:rsidRDefault="006F1B06" w:rsidP="00C55EAE">
            <w:pPr>
              <w:keepNext/>
              <w:ind w:left="-108"/>
              <w:jc w:val="center"/>
              <w:rPr>
                <w:rFonts w:ascii="Arial Narrow" w:hAnsi="Arial Narrow"/>
                <w:sz w:val="18"/>
                <w:szCs w:val="18"/>
              </w:rPr>
            </w:pPr>
            <w:r w:rsidRPr="00507253">
              <w:rPr>
                <w:rFonts w:ascii="Arial Narrow" w:hAnsi="Arial Narrow"/>
                <w:sz w:val="18"/>
                <w:szCs w:val="18"/>
              </w:rPr>
              <w:t>NEW (Public)</w:t>
            </w:r>
          </w:p>
          <w:p w:rsidR="006F1B06" w:rsidRPr="00507253" w:rsidRDefault="006F1B06" w:rsidP="00C55EAE">
            <w:pPr>
              <w:keepNext/>
              <w:ind w:left="-108"/>
              <w:jc w:val="center"/>
              <w:rPr>
                <w:rFonts w:ascii="Arial Narrow" w:hAnsi="Arial Narrow"/>
                <w:sz w:val="18"/>
                <w:szCs w:val="18"/>
              </w:rPr>
            </w:pPr>
            <w:r w:rsidRPr="00507253">
              <w:rPr>
                <w:rFonts w:ascii="Arial Narrow" w:hAnsi="Arial Narrow"/>
                <w:sz w:val="18"/>
                <w:szCs w:val="18"/>
              </w:rPr>
              <w:t>NEW (Private)</w:t>
            </w:r>
          </w:p>
        </w:tc>
        <w:tc>
          <w:tcPr>
            <w:tcW w:w="1276" w:type="dxa"/>
          </w:tcPr>
          <w:p w:rsidR="006F1B06" w:rsidRPr="00AA2595" w:rsidRDefault="006F1B06" w:rsidP="00C55EAE">
            <w:pPr>
              <w:keepNext/>
              <w:jc w:val="center"/>
              <w:rPr>
                <w:rFonts w:ascii="Arial Narrow" w:hAnsi="Arial Narrow"/>
                <w:sz w:val="18"/>
                <w:szCs w:val="18"/>
              </w:rPr>
            </w:pPr>
            <w:r>
              <w:rPr>
                <w:rFonts w:ascii="Arial Narrow" w:hAnsi="Arial Narrow"/>
                <w:sz w:val="18"/>
                <w:szCs w:val="18"/>
              </w:rPr>
              <w:t>1500 mg</w:t>
            </w:r>
          </w:p>
        </w:tc>
        <w:tc>
          <w:tcPr>
            <w:tcW w:w="1276" w:type="dxa"/>
          </w:tcPr>
          <w:p w:rsidR="006F1B06" w:rsidRPr="00120A12" w:rsidRDefault="006F1B06" w:rsidP="00C55EAE">
            <w:pPr>
              <w:keepNext/>
              <w:jc w:val="center"/>
              <w:rPr>
                <w:rFonts w:ascii="Arial Narrow" w:hAnsi="Arial Narrow"/>
                <w:sz w:val="18"/>
                <w:szCs w:val="18"/>
              </w:rPr>
            </w:pPr>
            <w:r>
              <w:rPr>
                <w:rFonts w:ascii="Arial Narrow" w:hAnsi="Arial Narrow"/>
                <w:sz w:val="18"/>
                <w:szCs w:val="18"/>
              </w:rPr>
              <w:t>5</w:t>
            </w:r>
          </w:p>
        </w:tc>
        <w:tc>
          <w:tcPr>
            <w:tcW w:w="1984" w:type="dxa"/>
          </w:tcPr>
          <w:p w:rsidR="006F1B06" w:rsidRDefault="006F1B06" w:rsidP="00C55EAE">
            <w:pPr>
              <w:keepNext/>
              <w:rPr>
                <w:rFonts w:ascii="Arial Narrow" w:hAnsi="Arial Narrow"/>
                <w:sz w:val="18"/>
                <w:szCs w:val="18"/>
              </w:rPr>
            </w:pPr>
          </w:p>
          <w:p w:rsidR="006F1B06" w:rsidRPr="00120A12" w:rsidRDefault="006F1B06" w:rsidP="00C55EAE">
            <w:pPr>
              <w:keepNext/>
              <w:rPr>
                <w:rFonts w:ascii="Arial Narrow" w:hAnsi="Arial Narrow"/>
                <w:sz w:val="18"/>
                <w:szCs w:val="18"/>
              </w:rPr>
            </w:pPr>
            <w:r>
              <w:rPr>
                <w:rFonts w:ascii="Arial Narrow" w:hAnsi="Arial Narrow"/>
                <w:sz w:val="18"/>
                <w:szCs w:val="18"/>
              </w:rPr>
              <w:t xml:space="preserve">AstraZeneca </w:t>
            </w:r>
            <w:r w:rsidRPr="00507253">
              <w:rPr>
                <w:rFonts w:ascii="Arial Narrow" w:hAnsi="Arial Narrow"/>
                <w:sz w:val="18"/>
                <w:szCs w:val="18"/>
              </w:rPr>
              <w:t>Pty Ltd</w:t>
            </w:r>
          </w:p>
        </w:tc>
      </w:tr>
      <w:tr w:rsidR="006F1B06" w:rsidTr="00C55EAE">
        <w:trPr>
          <w:cantSplit/>
          <w:trHeight w:val="360"/>
        </w:trPr>
        <w:tc>
          <w:tcPr>
            <w:tcW w:w="9067" w:type="dxa"/>
            <w:gridSpan w:val="6"/>
          </w:tcPr>
          <w:p w:rsidR="006F1B06" w:rsidRDefault="006F1B06" w:rsidP="00C55EAE">
            <w:pPr>
              <w:rPr>
                <w:rFonts w:ascii="Arial Narrow" w:hAnsi="Arial Narrow"/>
                <w:b/>
                <w:sz w:val="18"/>
                <w:szCs w:val="18"/>
              </w:rPr>
            </w:pPr>
            <w:r w:rsidRPr="0040606D">
              <w:rPr>
                <w:rFonts w:ascii="Arial Narrow" w:hAnsi="Arial Narrow"/>
                <w:b/>
                <w:sz w:val="18"/>
                <w:szCs w:val="18"/>
              </w:rPr>
              <w:t>Available brands</w:t>
            </w:r>
          </w:p>
          <w:p w:rsidR="006F1B06" w:rsidRDefault="006F1B06" w:rsidP="00C55EAE">
            <w:pPr>
              <w:rPr>
                <w:rFonts w:ascii="Arial Narrow" w:hAnsi="Arial Narrow"/>
                <w:sz w:val="18"/>
                <w:szCs w:val="18"/>
              </w:rPr>
            </w:pPr>
            <w:r w:rsidRPr="00D34556">
              <w:rPr>
                <w:rFonts w:ascii="Arial Narrow" w:hAnsi="Arial Narrow"/>
                <w:b/>
                <w:sz w:val="18"/>
                <w:szCs w:val="18"/>
              </w:rPr>
              <w:t>(medicinal product pack)</w:t>
            </w:r>
          </w:p>
        </w:tc>
      </w:tr>
      <w:tr w:rsidR="006F1B06" w:rsidDel="0040606D" w:rsidTr="00C55EAE">
        <w:trPr>
          <w:cantSplit/>
          <w:trHeight w:val="360"/>
        </w:trPr>
        <w:tc>
          <w:tcPr>
            <w:tcW w:w="9067" w:type="dxa"/>
            <w:gridSpan w:val="6"/>
          </w:tcPr>
          <w:p w:rsidR="006F1B06" w:rsidRDefault="006F1B06" w:rsidP="00C55EAE">
            <w:pPr>
              <w:rPr>
                <w:rFonts w:ascii="Arial Narrow" w:hAnsi="Arial Narrow"/>
                <w:sz w:val="18"/>
                <w:szCs w:val="18"/>
              </w:rPr>
            </w:pPr>
            <w:r>
              <w:rPr>
                <w:rFonts w:ascii="Arial Narrow" w:hAnsi="Arial Narrow"/>
                <w:sz w:val="18"/>
                <w:szCs w:val="18"/>
              </w:rPr>
              <w:t>Imfinzi</w:t>
            </w:r>
          </w:p>
          <w:p w:rsidR="006F1B06" w:rsidDel="0040606D" w:rsidRDefault="006F1B06" w:rsidP="00C55EAE">
            <w:pPr>
              <w:rPr>
                <w:rFonts w:ascii="Arial Narrow" w:hAnsi="Arial Narrow"/>
                <w:sz w:val="18"/>
                <w:szCs w:val="18"/>
              </w:rPr>
            </w:pPr>
            <w:r>
              <w:rPr>
                <w:rFonts w:ascii="Arial Narrow" w:hAnsi="Arial Narrow"/>
                <w:sz w:val="18"/>
                <w:szCs w:val="18"/>
              </w:rPr>
              <w:t>(</w:t>
            </w:r>
            <w:r w:rsidRPr="0040606D">
              <w:rPr>
                <w:rFonts w:ascii="Arial Narrow" w:hAnsi="Arial Narrow"/>
                <w:sz w:val="18"/>
                <w:szCs w:val="18"/>
              </w:rPr>
              <w:t>durvalumab 500 mg/10 mL injection, 10 mL vial)</w:t>
            </w:r>
          </w:p>
        </w:tc>
      </w:tr>
      <w:tr w:rsidR="006F1B06" w:rsidDel="0040606D" w:rsidTr="00C55EAE">
        <w:trPr>
          <w:cantSplit/>
          <w:trHeight w:val="360"/>
        </w:trPr>
        <w:tc>
          <w:tcPr>
            <w:tcW w:w="9067" w:type="dxa"/>
            <w:gridSpan w:val="6"/>
          </w:tcPr>
          <w:p w:rsidR="006F1B06" w:rsidRDefault="006F1B06" w:rsidP="00C55EAE">
            <w:pPr>
              <w:rPr>
                <w:rFonts w:ascii="Arial Narrow" w:hAnsi="Arial Narrow"/>
                <w:sz w:val="18"/>
                <w:szCs w:val="18"/>
              </w:rPr>
            </w:pPr>
            <w:r>
              <w:rPr>
                <w:rFonts w:ascii="Arial Narrow" w:hAnsi="Arial Narrow"/>
                <w:sz w:val="18"/>
                <w:szCs w:val="18"/>
              </w:rPr>
              <w:t>Imfinzi</w:t>
            </w:r>
          </w:p>
          <w:p w:rsidR="006F1B06" w:rsidDel="0040606D" w:rsidRDefault="006F1B06" w:rsidP="00C55EAE">
            <w:pPr>
              <w:rPr>
                <w:rFonts w:ascii="Arial Narrow" w:hAnsi="Arial Narrow"/>
                <w:sz w:val="18"/>
                <w:szCs w:val="18"/>
              </w:rPr>
            </w:pPr>
            <w:r w:rsidRPr="0040606D">
              <w:rPr>
                <w:rFonts w:ascii="Arial Narrow" w:hAnsi="Arial Narrow"/>
                <w:sz w:val="18"/>
                <w:szCs w:val="18"/>
              </w:rPr>
              <w:t>(durvalumab 120 mg/2.4 mL injection, 2.4 mL vial)</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6F1B06" w:rsidRPr="0020649C" w:rsidRDefault="006F1B06" w:rsidP="00C55EAE">
            <w:pPr>
              <w:rPr>
                <w:rFonts w:ascii="Arial Narrow" w:hAnsi="Arial Narrow"/>
                <w:b/>
                <w:sz w:val="18"/>
                <w:szCs w:val="18"/>
              </w:rPr>
            </w:pP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6F1B06" w:rsidRPr="00FD3061" w:rsidRDefault="006F1B06" w:rsidP="00C55EAE">
            <w:pPr>
              <w:rPr>
                <w:rFonts w:ascii="Arial Narrow" w:hAnsi="Arial Narrow"/>
                <w:i/>
                <w:sz w:val="18"/>
                <w:szCs w:val="18"/>
              </w:rPr>
            </w:pPr>
            <w:r w:rsidRPr="00FD3061">
              <w:rPr>
                <w:rFonts w:ascii="Arial Narrow" w:hAnsi="Arial Narrow"/>
                <w:b/>
                <w:sz w:val="18"/>
                <w:szCs w:val="18"/>
              </w:rPr>
              <w:t xml:space="preserve">Restriction Summary </w:t>
            </w:r>
            <w:r>
              <w:rPr>
                <w:rFonts w:ascii="Arial Narrow" w:hAnsi="Arial Narrow"/>
                <w:b/>
                <w:sz w:val="18"/>
                <w:szCs w:val="18"/>
              </w:rPr>
              <w:t xml:space="preserve">10509 / Treatment of Concept: 10509 </w:t>
            </w:r>
            <w:r w:rsidRPr="007E7D43">
              <w:rPr>
                <w:rFonts w:ascii="Arial Narrow" w:hAnsi="Arial Narrow"/>
                <w:i/>
                <w:sz w:val="16"/>
                <w:szCs w:val="16"/>
              </w:rPr>
              <w:t>(same as atezolizumab, 12076N / 12078Q current as of 1 November 2020)</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rsidR="006F1B06" w:rsidRPr="00D34556" w:rsidRDefault="006F1B06" w:rsidP="00C55EAE">
            <w:pPr>
              <w:jc w:val="center"/>
              <w:rPr>
                <w:rFonts w:ascii="Arial Narrow" w:hAnsi="Arial Narrow"/>
                <w:sz w:val="18"/>
                <w:szCs w:val="18"/>
              </w:rPr>
            </w:pPr>
          </w:p>
        </w:tc>
        <w:tc>
          <w:tcPr>
            <w:tcW w:w="8086" w:type="dxa"/>
            <w:gridSpan w:val="5"/>
            <w:tcBorders>
              <w:top w:val="single" w:sz="4" w:space="0" w:color="auto"/>
              <w:left w:val="single" w:sz="4" w:space="0" w:color="auto"/>
              <w:bottom w:val="single" w:sz="4" w:space="0" w:color="auto"/>
              <w:right w:val="single" w:sz="4" w:space="0" w:color="auto"/>
            </w:tcBorders>
          </w:tcPr>
          <w:p w:rsidR="006F1B06" w:rsidRPr="00120A12" w:rsidRDefault="006F1B06" w:rsidP="00C55EAE">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 xml:space="preserve">Section 100 – Efficient Funding of Chemotherapy </w:t>
            </w:r>
            <w:r>
              <w:rPr>
                <w:rFonts w:ascii="Arial Narrow" w:hAnsi="Arial Narrow"/>
                <w:sz w:val="18"/>
                <w:szCs w:val="18"/>
              </w:rPr>
              <w:t>Public/Private hospitals</w:t>
            </w:r>
            <w:r w:rsidRPr="003D201F">
              <w:rPr>
                <w:rFonts w:ascii="Arial Narrow" w:hAnsi="Arial Narrow"/>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rsidR="006F1B06" w:rsidRPr="0020649C" w:rsidRDefault="006F1B06" w:rsidP="00C55EAE">
            <w:pPr>
              <w:rPr>
                <w:rFonts w:ascii="Arial Narrow" w:hAnsi="Arial Narrow"/>
                <w:sz w:val="18"/>
                <w:szCs w:val="18"/>
              </w:rPr>
            </w:pPr>
          </w:p>
        </w:tc>
        <w:tc>
          <w:tcPr>
            <w:tcW w:w="8086" w:type="dxa"/>
            <w:gridSpan w:val="5"/>
            <w:tcBorders>
              <w:top w:val="single" w:sz="4" w:space="0" w:color="auto"/>
              <w:left w:val="single" w:sz="4" w:space="0" w:color="auto"/>
              <w:bottom w:val="single" w:sz="4" w:space="0" w:color="auto"/>
              <w:right w:val="single" w:sz="4" w:space="0" w:color="auto"/>
            </w:tcBorders>
          </w:tcPr>
          <w:p w:rsidR="006F1B06" w:rsidRPr="00772067" w:rsidRDefault="006F1B06" w:rsidP="00C55EAE">
            <w:pPr>
              <w:rPr>
                <w:rFonts w:ascii="Arial Narrow" w:hAnsi="Arial Narrow"/>
                <w:b/>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5B4049">
              <w:rPr>
                <w:rFonts w:ascii="Arial Narrow" w:hAnsi="Arial Narrow"/>
                <w:sz w:val="18"/>
                <w:szCs w:val="18"/>
              </w:rPr>
            </w:r>
            <w:r w:rsidR="005B4049">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r w:rsidRPr="00120A12">
              <w:rPr>
                <w:rFonts w:ascii="Arial Narrow" w:hAnsi="Arial Narrow"/>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rPr>
          <w:trHeight w:val="273"/>
        </w:trPr>
        <w:tc>
          <w:tcPr>
            <w:tcW w:w="981" w:type="dxa"/>
            <w:vMerge/>
            <w:tcBorders>
              <w:left w:val="single" w:sz="4" w:space="0" w:color="auto"/>
              <w:bottom w:val="single" w:sz="4" w:space="0" w:color="auto"/>
              <w:right w:val="single" w:sz="4" w:space="0" w:color="auto"/>
            </w:tcBorders>
          </w:tcPr>
          <w:p w:rsidR="006F1B06" w:rsidRPr="0020649C" w:rsidRDefault="006F1B06" w:rsidP="00C55EAE">
            <w:pPr>
              <w:rPr>
                <w:rFonts w:ascii="Arial Narrow" w:hAnsi="Arial Narrow"/>
                <w:sz w:val="18"/>
                <w:szCs w:val="18"/>
              </w:rPr>
            </w:pPr>
          </w:p>
        </w:tc>
        <w:tc>
          <w:tcPr>
            <w:tcW w:w="8086" w:type="dxa"/>
            <w:gridSpan w:val="5"/>
            <w:tcBorders>
              <w:top w:val="single" w:sz="4" w:space="0" w:color="auto"/>
              <w:left w:val="single" w:sz="4" w:space="0" w:color="auto"/>
              <w:bottom w:val="single" w:sz="4" w:space="0" w:color="auto"/>
              <w:right w:val="single" w:sz="4" w:space="0" w:color="auto"/>
            </w:tcBorders>
          </w:tcPr>
          <w:p w:rsidR="006F1B06" w:rsidRPr="00D34556" w:rsidRDefault="006F1B06" w:rsidP="00C55EAE">
            <w:pPr>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 xml:space="preserve">Type: </w:t>
            </w:r>
            <w:r>
              <w:rPr>
                <w:rFonts w:ascii="Arial Narrow" w:eastAsia="Calibri" w:hAnsi="Arial Narrow"/>
                <w:sz w:val="18"/>
                <w:szCs w:val="18"/>
              </w:rPr>
              <w:fldChar w:fldCharType="begin">
                <w:ffData>
                  <w:name w:val=""/>
                  <w:enabled/>
                  <w:calcOnExit w:val="0"/>
                  <w:checkBox>
                    <w:sizeAuto/>
                    <w:default w:val="1"/>
                  </w:checkBox>
                </w:ffData>
              </w:fldChar>
            </w:r>
            <w:r>
              <w:rPr>
                <w:rFonts w:ascii="Arial Narrow" w:eastAsia="Calibri" w:hAnsi="Arial Narrow"/>
                <w:sz w:val="18"/>
                <w:szCs w:val="18"/>
              </w:rPr>
              <w:instrText xml:space="preserve"> FORMCHECKBOX </w:instrText>
            </w:r>
            <w:r w:rsidR="005B4049">
              <w:rPr>
                <w:rFonts w:ascii="Arial Narrow" w:eastAsia="Calibri" w:hAnsi="Arial Narrow"/>
                <w:sz w:val="18"/>
                <w:szCs w:val="18"/>
              </w:rPr>
            </w:r>
            <w:r w:rsidR="005B4049">
              <w:rPr>
                <w:rFonts w:ascii="Arial Narrow" w:eastAsia="Calibri" w:hAnsi="Arial Narrow"/>
                <w:sz w:val="18"/>
                <w:szCs w:val="18"/>
              </w:rPr>
              <w:fldChar w:fldCharType="separate"/>
            </w:r>
            <w:r>
              <w:rPr>
                <w:rFonts w:ascii="Arial Narrow" w:eastAsia="Calibri" w:hAnsi="Arial Narrow"/>
                <w:sz w:val="18"/>
                <w:szCs w:val="18"/>
              </w:rPr>
              <w:fldChar w:fldCharType="end"/>
            </w:r>
            <w:r>
              <w:rPr>
                <w:rFonts w:ascii="Arial Narrow" w:eastAsia="Calibri" w:hAnsi="Arial Narrow"/>
                <w:sz w:val="18"/>
                <w:szCs w:val="18"/>
              </w:rPr>
              <w:t xml:space="preserve"> </w:t>
            </w:r>
            <w:r w:rsidRPr="00F86065">
              <w:rPr>
                <w:rFonts w:ascii="Arial Narrow" w:eastAsia="Calibri" w:hAnsi="Arial Narrow"/>
                <w:sz w:val="18"/>
                <w:szCs w:val="18"/>
              </w:rPr>
              <w:t>Authority Required – Streamlined</w:t>
            </w:r>
            <w:r>
              <w:rPr>
                <w:rFonts w:ascii="Arial Narrow" w:eastAsia="Calibri" w:hAnsi="Arial Narrow"/>
                <w:sz w:val="18"/>
                <w:szCs w:val="18"/>
              </w:rPr>
              <w:t xml:space="preserve"> [10509]</w:t>
            </w:r>
            <w:r w:rsidRPr="00F86065">
              <w:rPr>
                <w:rFonts w:ascii="Arial Narrow" w:eastAsia="Calibri" w:hAnsi="Arial Narrow"/>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Administrative Advice:</w:t>
            </w:r>
          </w:p>
          <w:p w:rsidR="006F1B06" w:rsidRPr="00AA2595" w:rsidRDefault="006F1B06" w:rsidP="00C55EAE">
            <w:pPr>
              <w:rPr>
                <w:rFonts w:ascii="Arial Narrow" w:hAnsi="Arial Narrow"/>
                <w:color w:val="333333"/>
                <w:sz w:val="18"/>
                <w:szCs w:val="18"/>
              </w:rPr>
            </w:pPr>
            <w:r w:rsidRPr="00AA2595">
              <w:rPr>
                <w:rFonts w:ascii="Arial Narrow" w:hAnsi="Arial Narrow"/>
                <w:color w:val="333333"/>
                <w:sz w:val="18"/>
                <w:szCs w:val="18"/>
              </w:rPr>
              <w:t>No increase in the maximum quantity or number of units may be authorised</w:t>
            </w:r>
          </w:p>
          <w:p w:rsidR="006F1B06" w:rsidRPr="00AA2595" w:rsidRDefault="006F1B06" w:rsidP="00C55EAE">
            <w:pPr>
              <w:rPr>
                <w:rFonts w:ascii="Arial Narrow" w:hAnsi="Arial Narrow"/>
                <w:color w:val="333333"/>
                <w:sz w:val="18"/>
                <w:szCs w:val="18"/>
              </w:rPr>
            </w:pPr>
            <w:r w:rsidRPr="00AA2595">
              <w:rPr>
                <w:rFonts w:ascii="Arial Narrow" w:hAnsi="Arial Narrow"/>
                <w:color w:val="333333"/>
                <w:sz w:val="18"/>
                <w:szCs w:val="18"/>
              </w:rPr>
              <w:t>No increase in the maximum number of repeats will be authorised</w:t>
            </w:r>
          </w:p>
          <w:p w:rsidR="006F1B06" w:rsidRPr="00120A12" w:rsidRDefault="006F1B06" w:rsidP="00C55EAE">
            <w:pPr>
              <w:rPr>
                <w:rFonts w:ascii="Arial Narrow" w:hAnsi="Arial Narrow"/>
                <w:color w:val="333333"/>
                <w:sz w:val="18"/>
                <w:szCs w:val="18"/>
              </w:rPr>
            </w:pPr>
            <w:r w:rsidRPr="00AA2595">
              <w:rPr>
                <w:rFonts w:ascii="Arial Narrow" w:hAnsi="Arial Narrow"/>
                <w:color w:val="333333"/>
                <w:sz w:val="18"/>
                <w:szCs w:val="18"/>
              </w:rPr>
              <w:t>Special pricing arrangements apply</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Extensive-</w:t>
            </w:r>
            <w:r w:rsidRPr="00AA2595">
              <w:rPr>
                <w:rFonts w:ascii="Arial Narrow" w:hAnsi="Arial Narrow"/>
                <w:color w:val="333333"/>
                <w:sz w:val="18"/>
                <w:szCs w:val="18"/>
              </w:rPr>
              <w:t>stage small cell</w:t>
            </w:r>
            <w:r>
              <w:rPr>
                <w:rFonts w:ascii="Arial Narrow" w:hAnsi="Arial Narrow"/>
                <w:color w:val="333333"/>
                <w:sz w:val="18"/>
                <w:szCs w:val="18"/>
              </w:rPr>
              <w:t xml:space="preserve"> </w:t>
            </w:r>
            <w:r w:rsidRPr="00D34556">
              <w:rPr>
                <w:rFonts w:ascii="Arial Narrow" w:hAnsi="Arial Narrow"/>
                <w:color w:val="333333"/>
                <w:sz w:val="18"/>
                <w:szCs w:val="18"/>
              </w:rPr>
              <w:t>lung cancer</w:t>
            </w:r>
            <w:r w:rsidRPr="00AA2595">
              <w:rPr>
                <w:rFonts w:ascii="Arial Narrow" w:hAnsi="Arial Narrow"/>
                <w:color w:val="333333"/>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Continuing treatment – </w:t>
            </w:r>
            <w:r w:rsidRPr="00D34556">
              <w:rPr>
                <w:rFonts w:ascii="Arial Narrow" w:hAnsi="Arial Narrow"/>
                <w:color w:val="333333"/>
                <w:sz w:val="18"/>
                <w:szCs w:val="18"/>
              </w:rPr>
              <w:t>4 weekly treatment regimen</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E33EF">
              <w:rPr>
                <w:rFonts w:ascii="Arial Narrow" w:hAnsi="Arial Narrow"/>
                <w:color w:val="333333"/>
                <w:sz w:val="18"/>
                <w:szCs w:val="18"/>
              </w:rPr>
              <w:t>The treatment must be as monotherapy</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AND</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Clinical criteria:</w:t>
            </w:r>
            <w:r w:rsidRPr="00AA2595">
              <w:rPr>
                <w:rFonts w:ascii="Arial Narrow" w:hAnsi="Arial Narrow"/>
                <w:color w:val="333333"/>
                <w:sz w:val="18"/>
                <w:szCs w:val="18"/>
              </w:rPr>
              <w:t xml:space="preserve"> </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E33EF">
              <w:rPr>
                <w:rFonts w:ascii="Arial Narrow" w:hAnsi="Arial Narrow"/>
                <w:color w:val="333333"/>
                <w:sz w:val="18"/>
                <w:szCs w:val="18"/>
              </w:rPr>
              <w:t>Patient must have previously received PBS subsidised treatment with this drug for this condition</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AND</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6F1B06" w:rsidRPr="00120A12" w:rsidTr="00C55EAE">
        <w:tblPrEx>
          <w:tblCellMar>
            <w:top w:w="15" w:type="dxa"/>
            <w:left w:w="15" w:type="dxa"/>
            <w:bottom w:w="15" w:type="dxa"/>
            <w:right w:w="15" w:type="dxa"/>
          </w:tblCellMar>
          <w:tblLook w:val="04A0" w:firstRow="1" w:lastRow="0" w:firstColumn="1" w:lastColumn="0" w:noHBand="0" w:noVBand="1"/>
        </w:tblPrEx>
        <w:tc>
          <w:tcPr>
            <w:tcW w:w="981" w:type="dxa"/>
            <w:vAlign w:val="center"/>
          </w:tcPr>
          <w:p w:rsidR="006F1B06" w:rsidRPr="00120A12" w:rsidRDefault="006F1B06" w:rsidP="00C55EAE">
            <w:pPr>
              <w:jc w:val="center"/>
              <w:rPr>
                <w:rFonts w:ascii="Arial Narrow" w:hAnsi="Arial Narrow"/>
                <w:color w:val="333333"/>
                <w:sz w:val="18"/>
                <w:szCs w:val="18"/>
              </w:rPr>
            </w:pPr>
          </w:p>
        </w:tc>
        <w:tc>
          <w:tcPr>
            <w:tcW w:w="8086" w:type="dxa"/>
            <w:gridSpan w:val="5"/>
            <w:vAlign w:val="center"/>
            <w:hideMark/>
          </w:tcPr>
          <w:p w:rsidR="006F1B06" w:rsidRPr="00120A12" w:rsidRDefault="006F1B06" w:rsidP="00C55EAE">
            <w:pPr>
              <w:rPr>
                <w:rFonts w:ascii="Arial Narrow" w:hAnsi="Arial Narrow"/>
                <w:color w:val="333333"/>
                <w:sz w:val="18"/>
                <w:szCs w:val="18"/>
              </w:rPr>
            </w:pPr>
            <w:r w:rsidRPr="001E33EF">
              <w:rPr>
                <w:rFonts w:ascii="Arial Narrow" w:hAnsi="Arial Narrow"/>
                <w:color w:val="333333"/>
                <w:sz w:val="18"/>
                <w:szCs w:val="18"/>
              </w:rPr>
              <w:t>Patient must not have developed disease progression while being treated wi</w:t>
            </w:r>
            <w:r>
              <w:rPr>
                <w:rFonts w:ascii="Arial Narrow" w:hAnsi="Arial Narrow"/>
                <w:color w:val="333333"/>
                <w:sz w:val="18"/>
                <w:szCs w:val="18"/>
              </w:rPr>
              <w:t>th this drug for this condition</w:t>
            </w:r>
          </w:p>
        </w:tc>
      </w:tr>
    </w:tbl>
    <w:p w:rsidR="00AD5070" w:rsidRPr="006B435E" w:rsidRDefault="00AD5070" w:rsidP="00AD5070">
      <w:pPr>
        <w:rPr>
          <w:rFonts w:asciiTheme="minorHAnsi" w:hAnsiTheme="minorHAnsi"/>
          <w:bCs/>
          <w:snapToGrid w:val="0"/>
        </w:rPr>
      </w:pPr>
    </w:p>
    <w:bookmarkEnd w:id="37"/>
    <w:p w:rsidR="008C7C19" w:rsidRDefault="00671912" w:rsidP="00671912">
      <w:pPr>
        <w:keepNext/>
        <w:keepLines/>
        <w:spacing w:before="160" w:after="120"/>
        <w:jc w:val="left"/>
        <w:outlineLvl w:val="2"/>
        <w:rPr>
          <w:b/>
          <w:i/>
        </w:rPr>
      </w:pPr>
      <w:r w:rsidRPr="00671912">
        <w:rPr>
          <w:b/>
          <w:i/>
        </w:rPr>
        <w:t>This restriction may be subject to further review. Should there be any changes made to the restriction the Sponsor will be informed.</w:t>
      </w:r>
    </w:p>
    <w:p w:rsidR="000F4C89" w:rsidRDefault="000F4C89" w:rsidP="00671912">
      <w:pPr>
        <w:keepNext/>
        <w:keepLines/>
        <w:spacing w:before="160" w:after="120"/>
        <w:jc w:val="left"/>
        <w:outlineLvl w:val="2"/>
        <w:rPr>
          <w:b/>
          <w:i/>
        </w:rPr>
      </w:pPr>
    </w:p>
    <w:p w:rsidR="000F4C89" w:rsidRPr="000F4C89" w:rsidRDefault="000F4C89" w:rsidP="000F4C89">
      <w:pPr>
        <w:pStyle w:val="2-SectionHeading"/>
      </w:pPr>
      <w:r w:rsidRPr="000F4C89">
        <w:t>Context for Decision</w:t>
      </w:r>
    </w:p>
    <w:p w:rsidR="000F4C89" w:rsidRPr="000F4C89" w:rsidRDefault="000F4C89" w:rsidP="006F1B06">
      <w:pPr>
        <w:widowControl w:val="0"/>
        <w:spacing w:after="120"/>
        <w:ind w:left="720"/>
        <w:rPr>
          <w:rFonts w:asciiTheme="minorHAnsi" w:hAnsiTheme="minorHAnsi"/>
          <w:bCs/>
          <w:snapToGrid w:val="0"/>
        </w:rPr>
      </w:pPr>
      <w:r w:rsidRPr="000F4C89">
        <w:rPr>
          <w:rFonts w:asciiTheme="minorHAnsi" w:hAnsiTheme="minorHAnsi"/>
          <w:bCs/>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F4C89" w:rsidRPr="00C07617" w:rsidRDefault="000F4C89" w:rsidP="000F4C89">
      <w:pPr>
        <w:pStyle w:val="2-SectionHeading"/>
      </w:pPr>
      <w:r>
        <w:t>Sponsor’s Comment</w:t>
      </w:r>
    </w:p>
    <w:p w:rsidR="000F4C89" w:rsidRPr="000F4C89" w:rsidRDefault="000F4C89" w:rsidP="003D755E">
      <w:pPr>
        <w:widowControl w:val="0"/>
        <w:spacing w:after="120"/>
        <w:ind w:firstLine="720"/>
        <w:rPr>
          <w:rFonts w:asciiTheme="minorHAnsi" w:hAnsiTheme="minorHAnsi"/>
          <w:bCs/>
          <w:snapToGrid w:val="0"/>
        </w:rPr>
      </w:pPr>
      <w:r w:rsidRPr="000F4C89">
        <w:rPr>
          <w:rFonts w:asciiTheme="minorHAnsi" w:hAnsiTheme="minorHAnsi"/>
          <w:bCs/>
          <w:snapToGrid w:val="0"/>
        </w:rPr>
        <w:t>The sponsor had no comment.</w:t>
      </w:r>
    </w:p>
    <w:p w:rsidR="000F4C89" w:rsidRPr="00671912" w:rsidRDefault="000F4C89" w:rsidP="00671912">
      <w:pPr>
        <w:keepNext/>
        <w:keepLines/>
        <w:spacing w:before="160" w:after="120"/>
        <w:jc w:val="left"/>
        <w:outlineLvl w:val="2"/>
        <w:rPr>
          <w:b/>
          <w:i/>
        </w:rPr>
      </w:pPr>
    </w:p>
    <w:sectPr w:rsidR="000F4C89" w:rsidRPr="00671912"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6DA38" w16cex:dateUtc="2020-10-18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258BDB" w16cid:durableId="2365FE7F"/>
  <w16cid:commentId w16cid:paraId="0A26DFC5" w16cid:durableId="2365FC38"/>
  <w16cid:commentId w16cid:paraId="20EF07F8" w16cid:durableId="2365FC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0BB" w:rsidRDefault="00E020BB" w:rsidP="00124A51">
      <w:r>
        <w:separator/>
      </w:r>
    </w:p>
    <w:p w:rsidR="00E020BB" w:rsidRDefault="00E020BB"/>
  </w:endnote>
  <w:endnote w:type="continuationSeparator" w:id="0">
    <w:p w:rsidR="00E020BB" w:rsidRDefault="00E020BB" w:rsidP="00124A51">
      <w:r>
        <w:continuationSeparator/>
      </w:r>
    </w:p>
    <w:p w:rsidR="00E020BB" w:rsidRDefault="00E02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0BB" w:rsidRDefault="00E02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5C" w:rsidRDefault="00DD605C">
    <w:pPr>
      <w:pStyle w:val="Footer"/>
    </w:pPr>
  </w:p>
  <w:p w:rsidR="00DD605C" w:rsidRPr="004E71F0" w:rsidRDefault="00DD605C" w:rsidP="00287D55">
    <w:pPr>
      <w:pStyle w:val="Footer"/>
      <w:jc w:val="center"/>
      <w:rPr>
        <w:b/>
      </w:rPr>
    </w:pPr>
    <w:r w:rsidRPr="004E71F0">
      <w:rPr>
        <w:b/>
      </w:rPr>
      <w:fldChar w:fldCharType="begin"/>
    </w:r>
    <w:r w:rsidRPr="004E71F0">
      <w:rPr>
        <w:b/>
      </w:rPr>
      <w:instrText xml:space="preserve"> PAGE   \* MERGEFORMAT </w:instrText>
    </w:r>
    <w:r w:rsidRPr="004E71F0">
      <w:rPr>
        <w:b/>
      </w:rPr>
      <w:fldChar w:fldCharType="separate"/>
    </w:r>
    <w:r w:rsidR="005B4049">
      <w:rPr>
        <w:b/>
        <w:noProof/>
      </w:rPr>
      <w:t>22</w:t>
    </w:r>
    <w:r w:rsidRPr="004E71F0">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0BB" w:rsidRDefault="00E02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0BB" w:rsidRDefault="00E020BB" w:rsidP="00124A51">
      <w:r>
        <w:separator/>
      </w:r>
    </w:p>
    <w:p w:rsidR="00E020BB" w:rsidRDefault="00E020BB"/>
  </w:footnote>
  <w:footnote w:type="continuationSeparator" w:id="0">
    <w:p w:rsidR="00E020BB" w:rsidRDefault="00E020BB" w:rsidP="00124A51">
      <w:r>
        <w:continuationSeparator/>
      </w:r>
    </w:p>
    <w:p w:rsidR="00E020BB" w:rsidRDefault="00E020BB"/>
  </w:footnote>
  <w:footnote w:id="1">
    <w:p w:rsidR="00DD605C" w:rsidRPr="00F64287" w:rsidRDefault="00DD605C" w:rsidP="00F64287">
      <w:pPr>
        <w:pStyle w:val="3-BodyText"/>
        <w:numPr>
          <w:ilvl w:val="0"/>
          <w:numId w:val="0"/>
        </w:numPr>
        <w:rPr>
          <w:sz w:val="20"/>
          <w:szCs w:val="20"/>
        </w:rPr>
      </w:pPr>
      <w:r w:rsidRPr="00F64287">
        <w:rPr>
          <w:rStyle w:val="FootnoteReference"/>
          <w:sz w:val="20"/>
          <w:szCs w:val="20"/>
        </w:rPr>
        <w:footnoteRef/>
      </w:r>
      <w:r w:rsidRPr="00F64287">
        <w:rPr>
          <w:sz w:val="20"/>
          <w:szCs w:val="20"/>
        </w:rPr>
        <w:t xml:space="preserve"> Cherny NI, Dafni U, Bogaerts J, et al: ESMO-Magnitude of Clinical Benefit Scale version 1.1. Annals of Oncology 28:2340-2366, 2017]</w:t>
      </w:r>
    </w:p>
    <w:p w:rsidR="00DD605C" w:rsidRDefault="00DD605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0BB" w:rsidRDefault="00E02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05C" w:rsidRPr="004E71F0" w:rsidRDefault="00DD605C" w:rsidP="001E1361">
    <w:pPr>
      <w:pStyle w:val="Header"/>
      <w:rPr>
        <w:i/>
      </w:rPr>
    </w:pPr>
    <w:r>
      <w:rPr>
        <w:i/>
      </w:rPr>
      <w:t>Public Summary Document</w:t>
    </w:r>
    <w:r w:rsidRPr="004E71F0">
      <w:rPr>
        <w:i/>
      </w:rPr>
      <w:t xml:space="preserve"> – November 2020 PBAC Meeting</w:t>
    </w:r>
  </w:p>
  <w:p w:rsidR="00DD605C" w:rsidRPr="004E71F0" w:rsidRDefault="00DD605C">
    <w:pPr>
      <w:pStyle w:val="Header"/>
      <w:rPr>
        <w:i/>
      </w:rPr>
    </w:pPr>
  </w:p>
  <w:p w:rsidR="00DD605C" w:rsidRPr="004E71F0" w:rsidRDefault="00DD605C">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0BB" w:rsidRDefault="00E02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10EDF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6C15C5"/>
    <w:multiLevelType w:val="hybridMultilevel"/>
    <w:tmpl w:val="7814F5B4"/>
    <w:lvl w:ilvl="0" w:tplc="21040142">
      <w:start w:val="350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463F9"/>
    <w:multiLevelType w:val="multilevel"/>
    <w:tmpl w:val="2C401A8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snapToGrid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B41C87"/>
    <w:multiLevelType w:val="multilevel"/>
    <w:tmpl w:val="3B3CDB02"/>
    <w:lvl w:ilvl="0">
      <w:start w:val="1"/>
      <w:numFmt w:val="bullet"/>
      <w:lvlText w:val=""/>
      <w:lvlJc w:val="left"/>
      <w:pPr>
        <w:ind w:left="720" w:hanging="360"/>
      </w:pPr>
      <w:rPr>
        <w:rFonts w:ascii="Symbol" w:hAnsi="Symbol" w:hint="default"/>
        <w:b/>
      </w:rPr>
    </w:lvl>
    <w:lvl w:ilvl="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360"/>
      </w:pPr>
      <w:rPr>
        <w:rFonts w:ascii="Symbol" w:hAnsi="Symbol"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bullet"/>
      <w:lvlText w:val=""/>
      <w:lvlJc w:val="left"/>
      <w:pPr>
        <w:ind w:left="720" w:hanging="360"/>
      </w:pPr>
      <w:rPr>
        <w:rFonts w:ascii="Symbol" w:hAnsi="Symbol"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8" w15:restartNumberingAfterBreak="0">
    <w:nsid w:val="2353555F"/>
    <w:multiLevelType w:val="hybridMultilevel"/>
    <w:tmpl w:val="AD9258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8FB6B056"/>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80D69"/>
    <w:multiLevelType w:val="hybridMultilevel"/>
    <w:tmpl w:val="5ACC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51BD7"/>
    <w:multiLevelType w:val="hybridMultilevel"/>
    <w:tmpl w:val="9182ABC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AFB8A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CA33CD"/>
    <w:multiLevelType w:val="hybridMultilevel"/>
    <w:tmpl w:val="FB905F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7806F3"/>
    <w:multiLevelType w:val="hybridMultilevel"/>
    <w:tmpl w:val="8DB4C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D033C"/>
    <w:multiLevelType w:val="multilevel"/>
    <w:tmpl w:val="12B059E2"/>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hint="default"/>
        <w:b w:val="0"/>
        <w:bCs w:val="0"/>
        <w:i w:val="0"/>
        <w:iCs w:val="0"/>
        <w:caps w:val="0"/>
        <w:smallCaps w:val="0"/>
        <w:strike w:val="0"/>
        <w:dstrike w:val="0"/>
        <w:outline w:val="0"/>
        <w:shadow w:val="0"/>
        <w:emboss w:val="0"/>
        <w:imprint w:val="0"/>
        <w:noProof w:val="0"/>
        <w:snapToGrid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A62691"/>
    <w:multiLevelType w:val="hybridMultilevel"/>
    <w:tmpl w:val="EB6AC5EA"/>
    <w:lvl w:ilvl="0" w:tplc="04090001">
      <w:start w:val="1"/>
      <w:numFmt w:val="bullet"/>
      <w:lvlText w:val=""/>
      <w:lvlJc w:val="left"/>
      <w:pPr>
        <w:ind w:left="720" w:hanging="360"/>
      </w:pPr>
      <w:rPr>
        <w:rFonts w:ascii="Symbol" w:hAnsi="Symbol" w:hint="default"/>
      </w:rPr>
    </w:lvl>
    <w:lvl w:ilvl="1" w:tplc="37204F2A">
      <w:numFmt w:val="bullet"/>
      <w:lvlText w:val="•"/>
      <w:lvlJc w:val="left"/>
      <w:pPr>
        <w:ind w:left="1740" w:hanging="6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C272B"/>
    <w:multiLevelType w:val="hybridMultilevel"/>
    <w:tmpl w:val="AD5AC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8"/>
  </w:num>
  <w:num w:numId="4">
    <w:abstractNumId w:val="14"/>
  </w:num>
  <w:num w:numId="5">
    <w:abstractNumId w:val="0"/>
  </w:num>
  <w:num w:numId="6">
    <w:abstractNumId w:val="25"/>
  </w:num>
  <w:num w:numId="7">
    <w:abstractNumId w:val="2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7"/>
  </w:num>
  <w:num w:numId="11">
    <w:abstractNumId w:val="22"/>
  </w:num>
  <w:num w:numId="12">
    <w:abstractNumId w:val="19"/>
  </w:num>
  <w:num w:numId="13">
    <w:abstractNumId w:val="16"/>
  </w:num>
  <w:num w:numId="14">
    <w:abstractNumId w:val="26"/>
  </w:num>
  <w:num w:numId="15">
    <w:abstractNumId w:val="24"/>
  </w:num>
  <w:num w:numId="16">
    <w:abstractNumId w:val="13"/>
  </w:num>
  <w:num w:numId="17">
    <w:abstractNumId w:val="5"/>
  </w:num>
  <w:num w:numId="18">
    <w:abstractNumId w:val="25"/>
  </w:num>
  <w:num w:numId="19">
    <w:abstractNumId w:val="10"/>
  </w:num>
  <w:num w:numId="20">
    <w:abstractNumId w:val="7"/>
  </w:num>
  <w:num w:numId="21">
    <w:abstractNumId w:val="25"/>
  </w:num>
  <w:num w:numId="22">
    <w:abstractNumId w:val="25"/>
  </w:num>
  <w:num w:numId="23">
    <w:abstractNumId w:val="25"/>
  </w:num>
  <w:num w:numId="24">
    <w:abstractNumId w:val="25"/>
  </w:num>
  <w:num w:numId="25">
    <w:abstractNumId w:val="21"/>
  </w:num>
  <w:num w:numId="26">
    <w:abstractNumId w:val="4"/>
  </w:num>
  <w:num w:numId="27">
    <w:abstractNumId w:val="25"/>
  </w:num>
  <w:num w:numId="28">
    <w:abstractNumId w:val="25"/>
  </w:num>
  <w:num w:numId="29">
    <w:abstractNumId w:val="25"/>
  </w:num>
  <w:num w:numId="30">
    <w:abstractNumId w:val="20"/>
  </w:num>
  <w:num w:numId="31">
    <w:abstractNumId w:val="3"/>
  </w:num>
  <w:num w:numId="32">
    <w:abstractNumId w:val="1"/>
  </w:num>
  <w:num w:numId="33">
    <w:abstractNumId w:val="11"/>
  </w:num>
  <w:num w:numId="34">
    <w:abstractNumId w:val="12"/>
  </w:num>
  <w:num w:numId="35">
    <w:abstractNumId w:val="9"/>
  </w:num>
  <w:num w:numId="36">
    <w:abstractNumId w:val="25"/>
  </w:num>
  <w:num w:numId="37">
    <w:abstractNumId w:val="8"/>
  </w:num>
  <w:num w:numId="38">
    <w:abstractNumId w:val="25"/>
  </w:num>
  <w:num w:numId="39">
    <w:abstractNumId w:val="15"/>
  </w:num>
  <w:num w:numId="40">
    <w:abstractNumId w:val="25"/>
  </w:num>
  <w:num w:numId="4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B8B"/>
    <w:rsid w:val="00003499"/>
    <w:rsid w:val="000039B7"/>
    <w:rsid w:val="0000639A"/>
    <w:rsid w:val="00013247"/>
    <w:rsid w:val="00015886"/>
    <w:rsid w:val="000162EF"/>
    <w:rsid w:val="0001663B"/>
    <w:rsid w:val="000207C9"/>
    <w:rsid w:val="00020FC2"/>
    <w:rsid w:val="0002225F"/>
    <w:rsid w:val="00023763"/>
    <w:rsid w:val="0002610E"/>
    <w:rsid w:val="000274B8"/>
    <w:rsid w:val="000303CA"/>
    <w:rsid w:val="00032D0E"/>
    <w:rsid w:val="00033863"/>
    <w:rsid w:val="00035BF6"/>
    <w:rsid w:val="00035DC0"/>
    <w:rsid w:val="00036229"/>
    <w:rsid w:val="00036829"/>
    <w:rsid w:val="00040895"/>
    <w:rsid w:val="000435EE"/>
    <w:rsid w:val="00043C37"/>
    <w:rsid w:val="00045017"/>
    <w:rsid w:val="000452AD"/>
    <w:rsid w:val="00045A2B"/>
    <w:rsid w:val="00045F2D"/>
    <w:rsid w:val="0004698F"/>
    <w:rsid w:val="00050D56"/>
    <w:rsid w:val="00051770"/>
    <w:rsid w:val="0005250F"/>
    <w:rsid w:val="000539D0"/>
    <w:rsid w:val="00054621"/>
    <w:rsid w:val="000546D7"/>
    <w:rsid w:val="000569BF"/>
    <w:rsid w:val="00056ECF"/>
    <w:rsid w:val="000604DF"/>
    <w:rsid w:val="00061875"/>
    <w:rsid w:val="00062AF1"/>
    <w:rsid w:val="00065059"/>
    <w:rsid w:val="000653B5"/>
    <w:rsid w:val="00066360"/>
    <w:rsid w:val="00066AF8"/>
    <w:rsid w:val="00071248"/>
    <w:rsid w:val="000720B9"/>
    <w:rsid w:val="000737F7"/>
    <w:rsid w:val="00076350"/>
    <w:rsid w:val="0007672F"/>
    <w:rsid w:val="00076B54"/>
    <w:rsid w:val="000774F0"/>
    <w:rsid w:val="00080909"/>
    <w:rsid w:val="000812CA"/>
    <w:rsid w:val="00081E63"/>
    <w:rsid w:val="0008258D"/>
    <w:rsid w:val="00082D00"/>
    <w:rsid w:val="00083E99"/>
    <w:rsid w:val="000848CF"/>
    <w:rsid w:val="00084FA8"/>
    <w:rsid w:val="000856C5"/>
    <w:rsid w:val="00085C31"/>
    <w:rsid w:val="000860FD"/>
    <w:rsid w:val="000902D9"/>
    <w:rsid w:val="00090C7E"/>
    <w:rsid w:val="00091BE0"/>
    <w:rsid w:val="00092600"/>
    <w:rsid w:val="0009262B"/>
    <w:rsid w:val="00093310"/>
    <w:rsid w:val="0009445C"/>
    <w:rsid w:val="00095200"/>
    <w:rsid w:val="000956CA"/>
    <w:rsid w:val="00095FE5"/>
    <w:rsid w:val="00096284"/>
    <w:rsid w:val="00096A61"/>
    <w:rsid w:val="000A1788"/>
    <w:rsid w:val="000A1BC0"/>
    <w:rsid w:val="000A6039"/>
    <w:rsid w:val="000A7453"/>
    <w:rsid w:val="000A764A"/>
    <w:rsid w:val="000A7D08"/>
    <w:rsid w:val="000B0121"/>
    <w:rsid w:val="000B0670"/>
    <w:rsid w:val="000B0E75"/>
    <w:rsid w:val="000B2DCB"/>
    <w:rsid w:val="000B2E26"/>
    <w:rsid w:val="000B5CE0"/>
    <w:rsid w:val="000B6CAC"/>
    <w:rsid w:val="000B7612"/>
    <w:rsid w:val="000B78AE"/>
    <w:rsid w:val="000C3DF9"/>
    <w:rsid w:val="000C6713"/>
    <w:rsid w:val="000D1BFC"/>
    <w:rsid w:val="000D1D5D"/>
    <w:rsid w:val="000D281A"/>
    <w:rsid w:val="000D2848"/>
    <w:rsid w:val="000D326A"/>
    <w:rsid w:val="000D4DAF"/>
    <w:rsid w:val="000D51FB"/>
    <w:rsid w:val="000E0640"/>
    <w:rsid w:val="000E135D"/>
    <w:rsid w:val="000F00BA"/>
    <w:rsid w:val="000F1892"/>
    <w:rsid w:val="000F316A"/>
    <w:rsid w:val="000F3C74"/>
    <w:rsid w:val="000F3E1A"/>
    <w:rsid w:val="000F4BB8"/>
    <w:rsid w:val="000F4C06"/>
    <w:rsid w:val="000F4C89"/>
    <w:rsid w:val="000F4FA9"/>
    <w:rsid w:val="000F53FB"/>
    <w:rsid w:val="000F7127"/>
    <w:rsid w:val="000F7740"/>
    <w:rsid w:val="000F7B54"/>
    <w:rsid w:val="00100F8A"/>
    <w:rsid w:val="00102448"/>
    <w:rsid w:val="001033E2"/>
    <w:rsid w:val="00104250"/>
    <w:rsid w:val="0010452E"/>
    <w:rsid w:val="00105464"/>
    <w:rsid w:val="00105AE2"/>
    <w:rsid w:val="001060C6"/>
    <w:rsid w:val="00106758"/>
    <w:rsid w:val="00106B80"/>
    <w:rsid w:val="0011032E"/>
    <w:rsid w:val="0011348B"/>
    <w:rsid w:val="0011511F"/>
    <w:rsid w:val="00115982"/>
    <w:rsid w:val="00115E8F"/>
    <w:rsid w:val="00116C53"/>
    <w:rsid w:val="001170CB"/>
    <w:rsid w:val="00121799"/>
    <w:rsid w:val="001222FC"/>
    <w:rsid w:val="00123902"/>
    <w:rsid w:val="00124157"/>
    <w:rsid w:val="00124A51"/>
    <w:rsid w:val="00126621"/>
    <w:rsid w:val="00126B1D"/>
    <w:rsid w:val="001301E9"/>
    <w:rsid w:val="00131D82"/>
    <w:rsid w:val="00132B22"/>
    <w:rsid w:val="00133D36"/>
    <w:rsid w:val="00134465"/>
    <w:rsid w:val="00137645"/>
    <w:rsid w:val="0014015A"/>
    <w:rsid w:val="00140CEE"/>
    <w:rsid w:val="00140E99"/>
    <w:rsid w:val="001423AB"/>
    <w:rsid w:val="00143F67"/>
    <w:rsid w:val="00145536"/>
    <w:rsid w:val="00145540"/>
    <w:rsid w:val="001456B0"/>
    <w:rsid w:val="00147189"/>
    <w:rsid w:val="00156F8F"/>
    <w:rsid w:val="00157130"/>
    <w:rsid w:val="00157559"/>
    <w:rsid w:val="001576B1"/>
    <w:rsid w:val="0016047B"/>
    <w:rsid w:val="00160A4C"/>
    <w:rsid w:val="001615E3"/>
    <w:rsid w:val="00161742"/>
    <w:rsid w:val="00162913"/>
    <w:rsid w:val="00163EFF"/>
    <w:rsid w:val="00163F66"/>
    <w:rsid w:val="001661FB"/>
    <w:rsid w:val="001671A0"/>
    <w:rsid w:val="0016767F"/>
    <w:rsid w:val="00172425"/>
    <w:rsid w:val="00173565"/>
    <w:rsid w:val="00173B07"/>
    <w:rsid w:val="001751FA"/>
    <w:rsid w:val="001806B2"/>
    <w:rsid w:val="00181D9C"/>
    <w:rsid w:val="00182619"/>
    <w:rsid w:val="00184B0E"/>
    <w:rsid w:val="0018752F"/>
    <w:rsid w:val="00193838"/>
    <w:rsid w:val="00194AD8"/>
    <w:rsid w:val="00195222"/>
    <w:rsid w:val="001975D8"/>
    <w:rsid w:val="001A178E"/>
    <w:rsid w:val="001A43A7"/>
    <w:rsid w:val="001A43FA"/>
    <w:rsid w:val="001A47C5"/>
    <w:rsid w:val="001A59FB"/>
    <w:rsid w:val="001A5E9E"/>
    <w:rsid w:val="001A6354"/>
    <w:rsid w:val="001A6366"/>
    <w:rsid w:val="001A7A31"/>
    <w:rsid w:val="001A7AE8"/>
    <w:rsid w:val="001B204E"/>
    <w:rsid w:val="001B2372"/>
    <w:rsid w:val="001B3443"/>
    <w:rsid w:val="001B4D20"/>
    <w:rsid w:val="001B6B19"/>
    <w:rsid w:val="001C2A9B"/>
    <w:rsid w:val="001C4299"/>
    <w:rsid w:val="001C4784"/>
    <w:rsid w:val="001C4874"/>
    <w:rsid w:val="001C5F94"/>
    <w:rsid w:val="001C67DC"/>
    <w:rsid w:val="001C6E66"/>
    <w:rsid w:val="001D1100"/>
    <w:rsid w:val="001D1391"/>
    <w:rsid w:val="001D25D7"/>
    <w:rsid w:val="001D50B2"/>
    <w:rsid w:val="001D7645"/>
    <w:rsid w:val="001E1361"/>
    <w:rsid w:val="001E1E86"/>
    <w:rsid w:val="001E238E"/>
    <w:rsid w:val="001E2483"/>
    <w:rsid w:val="001E2B1E"/>
    <w:rsid w:val="001E2CFF"/>
    <w:rsid w:val="001E2F24"/>
    <w:rsid w:val="001E30D4"/>
    <w:rsid w:val="001E34DF"/>
    <w:rsid w:val="001E52EB"/>
    <w:rsid w:val="001E5BC2"/>
    <w:rsid w:val="001E61D2"/>
    <w:rsid w:val="001E740C"/>
    <w:rsid w:val="001F1235"/>
    <w:rsid w:val="001F1CB3"/>
    <w:rsid w:val="001F38B5"/>
    <w:rsid w:val="001F4081"/>
    <w:rsid w:val="001F7361"/>
    <w:rsid w:val="002011B0"/>
    <w:rsid w:val="0020156F"/>
    <w:rsid w:val="002024B4"/>
    <w:rsid w:val="00202595"/>
    <w:rsid w:val="00203181"/>
    <w:rsid w:val="00203783"/>
    <w:rsid w:val="0020385F"/>
    <w:rsid w:val="00204275"/>
    <w:rsid w:val="002068A0"/>
    <w:rsid w:val="00207021"/>
    <w:rsid w:val="0020732F"/>
    <w:rsid w:val="00207D00"/>
    <w:rsid w:val="002105C1"/>
    <w:rsid w:val="00213EF5"/>
    <w:rsid w:val="00215858"/>
    <w:rsid w:val="0021637A"/>
    <w:rsid w:val="00216BF5"/>
    <w:rsid w:val="00217281"/>
    <w:rsid w:val="00221B65"/>
    <w:rsid w:val="0022226B"/>
    <w:rsid w:val="00223B49"/>
    <w:rsid w:val="00223D5A"/>
    <w:rsid w:val="00224467"/>
    <w:rsid w:val="00224DD4"/>
    <w:rsid w:val="00225F00"/>
    <w:rsid w:val="002278A0"/>
    <w:rsid w:val="002309CC"/>
    <w:rsid w:val="0023209F"/>
    <w:rsid w:val="00233C01"/>
    <w:rsid w:val="0023413C"/>
    <w:rsid w:val="002346F0"/>
    <w:rsid w:val="0023629D"/>
    <w:rsid w:val="00237255"/>
    <w:rsid w:val="002424AF"/>
    <w:rsid w:val="002439DC"/>
    <w:rsid w:val="002441D2"/>
    <w:rsid w:val="00244DC8"/>
    <w:rsid w:val="002458BA"/>
    <w:rsid w:val="00245CE9"/>
    <w:rsid w:val="0024636C"/>
    <w:rsid w:val="00247925"/>
    <w:rsid w:val="00251006"/>
    <w:rsid w:val="002524D5"/>
    <w:rsid w:val="00253B1D"/>
    <w:rsid w:val="002541BF"/>
    <w:rsid w:val="00254232"/>
    <w:rsid w:val="00254DCF"/>
    <w:rsid w:val="0025534B"/>
    <w:rsid w:val="00255BB7"/>
    <w:rsid w:val="00257541"/>
    <w:rsid w:val="00257716"/>
    <w:rsid w:val="00257A39"/>
    <w:rsid w:val="00257AC4"/>
    <w:rsid w:val="00261EEF"/>
    <w:rsid w:val="00262A1A"/>
    <w:rsid w:val="00262A87"/>
    <w:rsid w:val="002646AB"/>
    <w:rsid w:val="00264D26"/>
    <w:rsid w:val="00267642"/>
    <w:rsid w:val="00267AEA"/>
    <w:rsid w:val="002700E6"/>
    <w:rsid w:val="0027294B"/>
    <w:rsid w:val="00273EB4"/>
    <w:rsid w:val="00274682"/>
    <w:rsid w:val="00275C5A"/>
    <w:rsid w:val="00277B45"/>
    <w:rsid w:val="00281014"/>
    <w:rsid w:val="0028665D"/>
    <w:rsid w:val="00287D55"/>
    <w:rsid w:val="00294F52"/>
    <w:rsid w:val="002A14AB"/>
    <w:rsid w:val="002A2ADE"/>
    <w:rsid w:val="002A2F50"/>
    <w:rsid w:val="002A50B0"/>
    <w:rsid w:val="002A6B0B"/>
    <w:rsid w:val="002B05A1"/>
    <w:rsid w:val="002B09A4"/>
    <w:rsid w:val="002B1C1F"/>
    <w:rsid w:val="002B432F"/>
    <w:rsid w:val="002B5B77"/>
    <w:rsid w:val="002B5C52"/>
    <w:rsid w:val="002B62B3"/>
    <w:rsid w:val="002B6754"/>
    <w:rsid w:val="002B6CCE"/>
    <w:rsid w:val="002C2510"/>
    <w:rsid w:val="002C2775"/>
    <w:rsid w:val="002C27C1"/>
    <w:rsid w:val="002C5099"/>
    <w:rsid w:val="002C5889"/>
    <w:rsid w:val="002C71CE"/>
    <w:rsid w:val="002D08F8"/>
    <w:rsid w:val="002D261E"/>
    <w:rsid w:val="002D577C"/>
    <w:rsid w:val="002E1071"/>
    <w:rsid w:val="002E15B9"/>
    <w:rsid w:val="002E2158"/>
    <w:rsid w:val="002E4F02"/>
    <w:rsid w:val="002E4F4F"/>
    <w:rsid w:val="002E7722"/>
    <w:rsid w:val="002E7BC0"/>
    <w:rsid w:val="002F07BA"/>
    <w:rsid w:val="002F0DA9"/>
    <w:rsid w:val="002F1014"/>
    <w:rsid w:val="002F3E89"/>
    <w:rsid w:val="002F5E2A"/>
    <w:rsid w:val="002F643C"/>
    <w:rsid w:val="002F65C4"/>
    <w:rsid w:val="002F6782"/>
    <w:rsid w:val="002F71C0"/>
    <w:rsid w:val="002F74F1"/>
    <w:rsid w:val="002F7860"/>
    <w:rsid w:val="00301017"/>
    <w:rsid w:val="0030155F"/>
    <w:rsid w:val="00302C91"/>
    <w:rsid w:val="00304C8E"/>
    <w:rsid w:val="0030587B"/>
    <w:rsid w:val="00306D98"/>
    <w:rsid w:val="0030786C"/>
    <w:rsid w:val="0031031A"/>
    <w:rsid w:val="00310981"/>
    <w:rsid w:val="003124D9"/>
    <w:rsid w:val="00312594"/>
    <w:rsid w:val="00312956"/>
    <w:rsid w:val="00315498"/>
    <w:rsid w:val="00316474"/>
    <w:rsid w:val="00322107"/>
    <w:rsid w:val="00322355"/>
    <w:rsid w:val="00322846"/>
    <w:rsid w:val="00326DA7"/>
    <w:rsid w:val="003270E4"/>
    <w:rsid w:val="00327437"/>
    <w:rsid w:val="00330DAA"/>
    <w:rsid w:val="00330F5C"/>
    <w:rsid w:val="003313CE"/>
    <w:rsid w:val="003366C9"/>
    <w:rsid w:val="003371B0"/>
    <w:rsid w:val="00340439"/>
    <w:rsid w:val="00340DF1"/>
    <w:rsid w:val="0034124F"/>
    <w:rsid w:val="00341AFE"/>
    <w:rsid w:val="0034541E"/>
    <w:rsid w:val="003517F9"/>
    <w:rsid w:val="00351BA9"/>
    <w:rsid w:val="00353302"/>
    <w:rsid w:val="00354F64"/>
    <w:rsid w:val="0035620E"/>
    <w:rsid w:val="00360345"/>
    <w:rsid w:val="00361A05"/>
    <w:rsid w:val="003624C4"/>
    <w:rsid w:val="00363B00"/>
    <w:rsid w:val="003654AC"/>
    <w:rsid w:val="00370E67"/>
    <w:rsid w:val="003710CF"/>
    <w:rsid w:val="0037358A"/>
    <w:rsid w:val="003750F6"/>
    <w:rsid w:val="003760FC"/>
    <w:rsid w:val="0038188F"/>
    <w:rsid w:val="0038365C"/>
    <w:rsid w:val="0038369B"/>
    <w:rsid w:val="00383B78"/>
    <w:rsid w:val="00385397"/>
    <w:rsid w:val="00385A9D"/>
    <w:rsid w:val="003902B1"/>
    <w:rsid w:val="0039179C"/>
    <w:rsid w:val="00396896"/>
    <w:rsid w:val="00396FD0"/>
    <w:rsid w:val="003A1A7A"/>
    <w:rsid w:val="003A2392"/>
    <w:rsid w:val="003A2831"/>
    <w:rsid w:val="003A3CB6"/>
    <w:rsid w:val="003A3ED1"/>
    <w:rsid w:val="003A44DB"/>
    <w:rsid w:val="003A4F82"/>
    <w:rsid w:val="003A56BE"/>
    <w:rsid w:val="003A7109"/>
    <w:rsid w:val="003B1FFD"/>
    <w:rsid w:val="003B3971"/>
    <w:rsid w:val="003B4F88"/>
    <w:rsid w:val="003B55D1"/>
    <w:rsid w:val="003B5B61"/>
    <w:rsid w:val="003B6CB0"/>
    <w:rsid w:val="003C1654"/>
    <w:rsid w:val="003C1C28"/>
    <w:rsid w:val="003C3123"/>
    <w:rsid w:val="003C5542"/>
    <w:rsid w:val="003C7D19"/>
    <w:rsid w:val="003C7D2F"/>
    <w:rsid w:val="003D06C2"/>
    <w:rsid w:val="003D1828"/>
    <w:rsid w:val="003D1DE4"/>
    <w:rsid w:val="003D1E9A"/>
    <w:rsid w:val="003D2422"/>
    <w:rsid w:val="003D39A1"/>
    <w:rsid w:val="003D3FBF"/>
    <w:rsid w:val="003D4A30"/>
    <w:rsid w:val="003D7452"/>
    <w:rsid w:val="003D755E"/>
    <w:rsid w:val="003D79BB"/>
    <w:rsid w:val="003D7C98"/>
    <w:rsid w:val="003D7D9D"/>
    <w:rsid w:val="003E0543"/>
    <w:rsid w:val="003E6501"/>
    <w:rsid w:val="003E749E"/>
    <w:rsid w:val="003F4156"/>
    <w:rsid w:val="003F5ADF"/>
    <w:rsid w:val="00400930"/>
    <w:rsid w:val="00400B29"/>
    <w:rsid w:val="00403CA7"/>
    <w:rsid w:val="0040504B"/>
    <w:rsid w:val="004059F4"/>
    <w:rsid w:val="00405B44"/>
    <w:rsid w:val="00407FE5"/>
    <w:rsid w:val="004101B0"/>
    <w:rsid w:val="00410326"/>
    <w:rsid w:val="00410708"/>
    <w:rsid w:val="00410EC7"/>
    <w:rsid w:val="00411B39"/>
    <w:rsid w:val="004127A7"/>
    <w:rsid w:val="00413A1E"/>
    <w:rsid w:val="00414476"/>
    <w:rsid w:val="00414C2E"/>
    <w:rsid w:val="004151CF"/>
    <w:rsid w:val="00416364"/>
    <w:rsid w:val="00416AD5"/>
    <w:rsid w:val="0042047F"/>
    <w:rsid w:val="00420AA6"/>
    <w:rsid w:val="00420B9F"/>
    <w:rsid w:val="0042192C"/>
    <w:rsid w:val="00422260"/>
    <w:rsid w:val="0042413F"/>
    <w:rsid w:val="0042471E"/>
    <w:rsid w:val="004319F8"/>
    <w:rsid w:val="00431E55"/>
    <w:rsid w:val="004321F6"/>
    <w:rsid w:val="00433044"/>
    <w:rsid w:val="00434088"/>
    <w:rsid w:val="004375B9"/>
    <w:rsid w:val="00441A1F"/>
    <w:rsid w:val="004428D0"/>
    <w:rsid w:val="00444185"/>
    <w:rsid w:val="004443A7"/>
    <w:rsid w:val="0044442C"/>
    <w:rsid w:val="00445941"/>
    <w:rsid w:val="004464EB"/>
    <w:rsid w:val="00447D26"/>
    <w:rsid w:val="00447DFC"/>
    <w:rsid w:val="00455D45"/>
    <w:rsid w:val="00464595"/>
    <w:rsid w:val="004658B5"/>
    <w:rsid w:val="00466A5D"/>
    <w:rsid w:val="00471A2A"/>
    <w:rsid w:val="00471EA5"/>
    <w:rsid w:val="00472A79"/>
    <w:rsid w:val="00473F19"/>
    <w:rsid w:val="00475E22"/>
    <w:rsid w:val="00475F01"/>
    <w:rsid w:val="00475F53"/>
    <w:rsid w:val="0048088E"/>
    <w:rsid w:val="00480F2B"/>
    <w:rsid w:val="00482720"/>
    <w:rsid w:val="004835E7"/>
    <w:rsid w:val="004867E2"/>
    <w:rsid w:val="00490B17"/>
    <w:rsid w:val="0049171F"/>
    <w:rsid w:val="00491B3A"/>
    <w:rsid w:val="00491C8B"/>
    <w:rsid w:val="004923E5"/>
    <w:rsid w:val="00492CFD"/>
    <w:rsid w:val="0049386E"/>
    <w:rsid w:val="004940B1"/>
    <w:rsid w:val="00494207"/>
    <w:rsid w:val="00494DD5"/>
    <w:rsid w:val="004961DB"/>
    <w:rsid w:val="004962D2"/>
    <w:rsid w:val="004A03D2"/>
    <w:rsid w:val="004A0DA1"/>
    <w:rsid w:val="004A13D6"/>
    <w:rsid w:val="004A240A"/>
    <w:rsid w:val="004A52E9"/>
    <w:rsid w:val="004A57F3"/>
    <w:rsid w:val="004A6040"/>
    <w:rsid w:val="004A6597"/>
    <w:rsid w:val="004A7848"/>
    <w:rsid w:val="004B1CB4"/>
    <w:rsid w:val="004B2F18"/>
    <w:rsid w:val="004B3DDB"/>
    <w:rsid w:val="004B44FD"/>
    <w:rsid w:val="004B5CFC"/>
    <w:rsid w:val="004B6F79"/>
    <w:rsid w:val="004B7507"/>
    <w:rsid w:val="004B774D"/>
    <w:rsid w:val="004C1390"/>
    <w:rsid w:val="004C3BDC"/>
    <w:rsid w:val="004C43C3"/>
    <w:rsid w:val="004C4AED"/>
    <w:rsid w:val="004C5E74"/>
    <w:rsid w:val="004D0221"/>
    <w:rsid w:val="004D05F1"/>
    <w:rsid w:val="004D2C2D"/>
    <w:rsid w:val="004D31F8"/>
    <w:rsid w:val="004D35E1"/>
    <w:rsid w:val="004D3854"/>
    <w:rsid w:val="004D63A9"/>
    <w:rsid w:val="004D69B5"/>
    <w:rsid w:val="004D7227"/>
    <w:rsid w:val="004E0E7F"/>
    <w:rsid w:val="004E0EB8"/>
    <w:rsid w:val="004E18E9"/>
    <w:rsid w:val="004E1D27"/>
    <w:rsid w:val="004E2ADC"/>
    <w:rsid w:val="004E3353"/>
    <w:rsid w:val="004E43B2"/>
    <w:rsid w:val="004E4E65"/>
    <w:rsid w:val="004E71F0"/>
    <w:rsid w:val="004F1D02"/>
    <w:rsid w:val="004F2679"/>
    <w:rsid w:val="004F2F21"/>
    <w:rsid w:val="004F3DE5"/>
    <w:rsid w:val="004F66D1"/>
    <w:rsid w:val="004F6913"/>
    <w:rsid w:val="004F7865"/>
    <w:rsid w:val="00500493"/>
    <w:rsid w:val="0050174E"/>
    <w:rsid w:val="00501854"/>
    <w:rsid w:val="0050219B"/>
    <w:rsid w:val="00503F17"/>
    <w:rsid w:val="00506928"/>
    <w:rsid w:val="005077EF"/>
    <w:rsid w:val="00507A81"/>
    <w:rsid w:val="00511AD5"/>
    <w:rsid w:val="00511DC7"/>
    <w:rsid w:val="005132BB"/>
    <w:rsid w:val="005142C5"/>
    <w:rsid w:val="0051501B"/>
    <w:rsid w:val="005152B5"/>
    <w:rsid w:val="0052123C"/>
    <w:rsid w:val="00521319"/>
    <w:rsid w:val="00522BC8"/>
    <w:rsid w:val="00523C28"/>
    <w:rsid w:val="0052654A"/>
    <w:rsid w:val="0053176B"/>
    <w:rsid w:val="00533216"/>
    <w:rsid w:val="00536F42"/>
    <w:rsid w:val="00537182"/>
    <w:rsid w:val="00541589"/>
    <w:rsid w:val="00541EDD"/>
    <w:rsid w:val="00542743"/>
    <w:rsid w:val="00542C2D"/>
    <w:rsid w:val="0054451B"/>
    <w:rsid w:val="00544BF1"/>
    <w:rsid w:val="00544E5D"/>
    <w:rsid w:val="005478BD"/>
    <w:rsid w:val="005479E3"/>
    <w:rsid w:val="00551985"/>
    <w:rsid w:val="00552BD3"/>
    <w:rsid w:val="005532A0"/>
    <w:rsid w:val="00555109"/>
    <w:rsid w:val="00556B35"/>
    <w:rsid w:val="0055741A"/>
    <w:rsid w:val="005611B7"/>
    <w:rsid w:val="005618D4"/>
    <w:rsid w:val="00565DF0"/>
    <w:rsid w:val="0056696F"/>
    <w:rsid w:val="00572269"/>
    <w:rsid w:val="0057244A"/>
    <w:rsid w:val="00572F26"/>
    <w:rsid w:val="005750C5"/>
    <w:rsid w:val="005752DE"/>
    <w:rsid w:val="00575D8D"/>
    <w:rsid w:val="00576972"/>
    <w:rsid w:val="00583699"/>
    <w:rsid w:val="0058370F"/>
    <w:rsid w:val="005838DB"/>
    <w:rsid w:val="00585CDD"/>
    <w:rsid w:val="00587058"/>
    <w:rsid w:val="00591957"/>
    <w:rsid w:val="005931EB"/>
    <w:rsid w:val="00597BF9"/>
    <w:rsid w:val="005A309A"/>
    <w:rsid w:val="005A373D"/>
    <w:rsid w:val="005A54A0"/>
    <w:rsid w:val="005B095C"/>
    <w:rsid w:val="005B0B58"/>
    <w:rsid w:val="005B4049"/>
    <w:rsid w:val="005B4E53"/>
    <w:rsid w:val="005B5857"/>
    <w:rsid w:val="005C1B83"/>
    <w:rsid w:val="005C25FF"/>
    <w:rsid w:val="005C2D55"/>
    <w:rsid w:val="005C346B"/>
    <w:rsid w:val="005D044D"/>
    <w:rsid w:val="005D0ABD"/>
    <w:rsid w:val="005D18AD"/>
    <w:rsid w:val="005D1CEA"/>
    <w:rsid w:val="005D26B4"/>
    <w:rsid w:val="005E187F"/>
    <w:rsid w:val="005E29E6"/>
    <w:rsid w:val="005E58FB"/>
    <w:rsid w:val="005E6CBC"/>
    <w:rsid w:val="005E72FF"/>
    <w:rsid w:val="005E73C0"/>
    <w:rsid w:val="005F2706"/>
    <w:rsid w:val="005F6A8F"/>
    <w:rsid w:val="005F6BB7"/>
    <w:rsid w:val="005F7588"/>
    <w:rsid w:val="00603DB9"/>
    <w:rsid w:val="00606FBA"/>
    <w:rsid w:val="00607669"/>
    <w:rsid w:val="006076F4"/>
    <w:rsid w:val="00607AFD"/>
    <w:rsid w:val="006105FA"/>
    <w:rsid w:val="00612F97"/>
    <w:rsid w:val="0061345D"/>
    <w:rsid w:val="0061549B"/>
    <w:rsid w:val="00616802"/>
    <w:rsid w:val="00617E12"/>
    <w:rsid w:val="006202AC"/>
    <w:rsid w:val="00620C25"/>
    <w:rsid w:val="00621477"/>
    <w:rsid w:val="00621ADA"/>
    <w:rsid w:val="00623F7B"/>
    <w:rsid w:val="0063158F"/>
    <w:rsid w:val="00631D6B"/>
    <w:rsid w:val="00632183"/>
    <w:rsid w:val="006330A1"/>
    <w:rsid w:val="00634094"/>
    <w:rsid w:val="0063479F"/>
    <w:rsid w:val="006353F0"/>
    <w:rsid w:val="006357B5"/>
    <w:rsid w:val="006364A1"/>
    <w:rsid w:val="0063678E"/>
    <w:rsid w:val="00637BFD"/>
    <w:rsid w:val="00641C4E"/>
    <w:rsid w:val="00641FB3"/>
    <w:rsid w:val="006427FE"/>
    <w:rsid w:val="0064434C"/>
    <w:rsid w:val="006471CC"/>
    <w:rsid w:val="00647A29"/>
    <w:rsid w:val="0065079F"/>
    <w:rsid w:val="00650E72"/>
    <w:rsid w:val="00652A28"/>
    <w:rsid w:val="0065379F"/>
    <w:rsid w:val="00656188"/>
    <w:rsid w:val="0065715A"/>
    <w:rsid w:val="006610F1"/>
    <w:rsid w:val="00661C6B"/>
    <w:rsid w:val="00665808"/>
    <w:rsid w:val="006671B2"/>
    <w:rsid w:val="00671004"/>
    <w:rsid w:val="00671912"/>
    <w:rsid w:val="00672646"/>
    <w:rsid w:val="00673BD9"/>
    <w:rsid w:val="00674E42"/>
    <w:rsid w:val="006800C5"/>
    <w:rsid w:val="006808E7"/>
    <w:rsid w:val="006813F8"/>
    <w:rsid w:val="00682112"/>
    <w:rsid w:val="00682BA0"/>
    <w:rsid w:val="00682BA6"/>
    <w:rsid w:val="00683A3B"/>
    <w:rsid w:val="00686957"/>
    <w:rsid w:val="006872BA"/>
    <w:rsid w:val="00690795"/>
    <w:rsid w:val="00691648"/>
    <w:rsid w:val="006917D7"/>
    <w:rsid w:val="006926E9"/>
    <w:rsid w:val="0069434C"/>
    <w:rsid w:val="00694F44"/>
    <w:rsid w:val="00695D61"/>
    <w:rsid w:val="00696F51"/>
    <w:rsid w:val="006979A5"/>
    <w:rsid w:val="006A60AE"/>
    <w:rsid w:val="006A6B99"/>
    <w:rsid w:val="006A7E5F"/>
    <w:rsid w:val="006B261B"/>
    <w:rsid w:val="006B2C90"/>
    <w:rsid w:val="006B35E6"/>
    <w:rsid w:val="006B435E"/>
    <w:rsid w:val="006B465A"/>
    <w:rsid w:val="006B50C2"/>
    <w:rsid w:val="006B6DD0"/>
    <w:rsid w:val="006C0160"/>
    <w:rsid w:val="006C0399"/>
    <w:rsid w:val="006C2A8E"/>
    <w:rsid w:val="006C3255"/>
    <w:rsid w:val="006C3F26"/>
    <w:rsid w:val="006C4FB4"/>
    <w:rsid w:val="006C5351"/>
    <w:rsid w:val="006D0D17"/>
    <w:rsid w:val="006D3C7D"/>
    <w:rsid w:val="006D4659"/>
    <w:rsid w:val="006D5D5F"/>
    <w:rsid w:val="006D68FB"/>
    <w:rsid w:val="006E1533"/>
    <w:rsid w:val="006E2868"/>
    <w:rsid w:val="006E3D01"/>
    <w:rsid w:val="006E5428"/>
    <w:rsid w:val="006F037F"/>
    <w:rsid w:val="006F1B06"/>
    <w:rsid w:val="006F306C"/>
    <w:rsid w:val="006F63A5"/>
    <w:rsid w:val="0070142B"/>
    <w:rsid w:val="00701A53"/>
    <w:rsid w:val="0070276E"/>
    <w:rsid w:val="00702F8F"/>
    <w:rsid w:val="007079FC"/>
    <w:rsid w:val="00711A36"/>
    <w:rsid w:val="00711D86"/>
    <w:rsid w:val="00714C26"/>
    <w:rsid w:val="0071529C"/>
    <w:rsid w:val="00716FDF"/>
    <w:rsid w:val="007170DA"/>
    <w:rsid w:val="007172AD"/>
    <w:rsid w:val="00720801"/>
    <w:rsid w:val="00722B1B"/>
    <w:rsid w:val="00723863"/>
    <w:rsid w:val="00723C94"/>
    <w:rsid w:val="0072416F"/>
    <w:rsid w:val="00727C94"/>
    <w:rsid w:val="00731B0A"/>
    <w:rsid w:val="00731EAE"/>
    <w:rsid w:val="00733073"/>
    <w:rsid w:val="00735033"/>
    <w:rsid w:val="00735328"/>
    <w:rsid w:val="00735BF3"/>
    <w:rsid w:val="0073685B"/>
    <w:rsid w:val="0073787E"/>
    <w:rsid w:val="00741B70"/>
    <w:rsid w:val="007449BF"/>
    <w:rsid w:val="00744DA2"/>
    <w:rsid w:val="00745275"/>
    <w:rsid w:val="00746BC0"/>
    <w:rsid w:val="007510B4"/>
    <w:rsid w:val="00752142"/>
    <w:rsid w:val="007523F9"/>
    <w:rsid w:val="00752414"/>
    <w:rsid w:val="0075357E"/>
    <w:rsid w:val="00754E0A"/>
    <w:rsid w:val="00755154"/>
    <w:rsid w:val="007573E8"/>
    <w:rsid w:val="00760C4E"/>
    <w:rsid w:val="00760F9E"/>
    <w:rsid w:val="00761B5D"/>
    <w:rsid w:val="007627BE"/>
    <w:rsid w:val="007645D3"/>
    <w:rsid w:val="00764F03"/>
    <w:rsid w:val="00765B1A"/>
    <w:rsid w:val="00777335"/>
    <w:rsid w:val="0078210A"/>
    <w:rsid w:val="0078269F"/>
    <w:rsid w:val="007843F2"/>
    <w:rsid w:val="00785A9F"/>
    <w:rsid w:val="007868A4"/>
    <w:rsid w:val="00787E7A"/>
    <w:rsid w:val="007905C3"/>
    <w:rsid w:val="007925DF"/>
    <w:rsid w:val="00795CCB"/>
    <w:rsid w:val="007A01B3"/>
    <w:rsid w:val="007A08AA"/>
    <w:rsid w:val="007A0A12"/>
    <w:rsid w:val="007A132D"/>
    <w:rsid w:val="007A1345"/>
    <w:rsid w:val="007A2DDB"/>
    <w:rsid w:val="007A3AF3"/>
    <w:rsid w:val="007A70BA"/>
    <w:rsid w:val="007B0D68"/>
    <w:rsid w:val="007B251D"/>
    <w:rsid w:val="007B2CD2"/>
    <w:rsid w:val="007B4F58"/>
    <w:rsid w:val="007B528D"/>
    <w:rsid w:val="007B63CA"/>
    <w:rsid w:val="007B7667"/>
    <w:rsid w:val="007B77D1"/>
    <w:rsid w:val="007C07C7"/>
    <w:rsid w:val="007C1CD9"/>
    <w:rsid w:val="007C32EF"/>
    <w:rsid w:val="007C361D"/>
    <w:rsid w:val="007C4B84"/>
    <w:rsid w:val="007C70FF"/>
    <w:rsid w:val="007C7C25"/>
    <w:rsid w:val="007D004F"/>
    <w:rsid w:val="007D0B38"/>
    <w:rsid w:val="007D2D3A"/>
    <w:rsid w:val="007D3ADC"/>
    <w:rsid w:val="007D5440"/>
    <w:rsid w:val="007D69EB"/>
    <w:rsid w:val="007E128F"/>
    <w:rsid w:val="007E246A"/>
    <w:rsid w:val="007E4E11"/>
    <w:rsid w:val="007E72A5"/>
    <w:rsid w:val="007E7D43"/>
    <w:rsid w:val="007E7F97"/>
    <w:rsid w:val="007F1017"/>
    <w:rsid w:val="007F4A3F"/>
    <w:rsid w:val="007F4A61"/>
    <w:rsid w:val="007F5255"/>
    <w:rsid w:val="007F56CC"/>
    <w:rsid w:val="007F61C2"/>
    <w:rsid w:val="00805142"/>
    <w:rsid w:val="00805FCE"/>
    <w:rsid w:val="00807A8B"/>
    <w:rsid w:val="00811383"/>
    <w:rsid w:val="00812149"/>
    <w:rsid w:val="00812CAC"/>
    <w:rsid w:val="00816361"/>
    <w:rsid w:val="008166EF"/>
    <w:rsid w:val="00816FEF"/>
    <w:rsid w:val="00820745"/>
    <w:rsid w:val="00820A8C"/>
    <w:rsid w:val="008215FB"/>
    <w:rsid w:val="00822F13"/>
    <w:rsid w:val="00823174"/>
    <w:rsid w:val="00825458"/>
    <w:rsid w:val="00825751"/>
    <w:rsid w:val="008264EB"/>
    <w:rsid w:val="00833B05"/>
    <w:rsid w:val="008362B4"/>
    <w:rsid w:val="00840CA2"/>
    <w:rsid w:val="00843227"/>
    <w:rsid w:val="0084374F"/>
    <w:rsid w:val="00844371"/>
    <w:rsid w:val="00844A22"/>
    <w:rsid w:val="00847703"/>
    <w:rsid w:val="00847DF5"/>
    <w:rsid w:val="0085309D"/>
    <w:rsid w:val="008542BA"/>
    <w:rsid w:val="00855286"/>
    <w:rsid w:val="00856897"/>
    <w:rsid w:val="00856E9A"/>
    <w:rsid w:val="0086075D"/>
    <w:rsid w:val="00860D2D"/>
    <w:rsid w:val="00861DF8"/>
    <w:rsid w:val="00862502"/>
    <w:rsid w:val="00862CC1"/>
    <w:rsid w:val="00864AE9"/>
    <w:rsid w:val="008660D4"/>
    <w:rsid w:val="00871FA9"/>
    <w:rsid w:val="008728E9"/>
    <w:rsid w:val="0087431D"/>
    <w:rsid w:val="00874794"/>
    <w:rsid w:val="00882874"/>
    <w:rsid w:val="00882E3C"/>
    <w:rsid w:val="00883787"/>
    <w:rsid w:val="008855E4"/>
    <w:rsid w:val="00886CD2"/>
    <w:rsid w:val="00887D7C"/>
    <w:rsid w:val="00891E6F"/>
    <w:rsid w:val="0089275D"/>
    <w:rsid w:val="00892A36"/>
    <w:rsid w:val="00892DFA"/>
    <w:rsid w:val="00893239"/>
    <w:rsid w:val="00893DA8"/>
    <w:rsid w:val="00894489"/>
    <w:rsid w:val="008963A5"/>
    <w:rsid w:val="008963EF"/>
    <w:rsid w:val="0089692C"/>
    <w:rsid w:val="00896D5D"/>
    <w:rsid w:val="008A0545"/>
    <w:rsid w:val="008A1165"/>
    <w:rsid w:val="008A19FB"/>
    <w:rsid w:val="008A3363"/>
    <w:rsid w:val="008A3371"/>
    <w:rsid w:val="008A3C3E"/>
    <w:rsid w:val="008A79DE"/>
    <w:rsid w:val="008B1757"/>
    <w:rsid w:val="008B7992"/>
    <w:rsid w:val="008B7D7E"/>
    <w:rsid w:val="008C5610"/>
    <w:rsid w:val="008C5739"/>
    <w:rsid w:val="008C6DAA"/>
    <w:rsid w:val="008C7C19"/>
    <w:rsid w:val="008C7ECB"/>
    <w:rsid w:val="008D3B86"/>
    <w:rsid w:val="008D4755"/>
    <w:rsid w:val="008D4C3D"/>
    <w:rsid w:val="008D6857"/>
    <w:rsid w:val="008D743C"/>
    <w:rsid w:val="008E0D3C"/>
    <w:rsid w:val="008E1B9E"/>
    <w:rsid w:val="008E55AB"/>
    <w:rsid w:val="008F120A"/>
    <w:rsid w:val="008F27E0"/>
    <w:rsid w:val="008F48EB"/>
    <w:rsid w:val="008F4F0B"/>
    <w:rsid w:val="0090344B"/>
    <w:rsid w:val="009046C4"/>
    <w:rsid w:val="00905704"/>
    <w:rsid w:val="009062A5"/>
    <w:rsid w:val="00910FA7"/>
    <w:rsid w:val="00911272"/>
    <w:rsid w:val="009135D6"/>
    <w:rsid w:val="00914C77"/>
    <w:rsid w:val="00914D24"/>
    <w:rsid w:val="009172EE"/>
    <w:rsid w:val="009213FF"/>
    <w:rsid w:val="00921ACB"/>
    <w:rsid w:val="0092369B"/>
    <w:rsid w:val="00924145"/>
    <w:rsid w:val="009256CE"/>
    <w:rsid w:val="0092610D"/>
    <w:rsid w:val="009322F6"/>
    <w:rsid w:val="00934988"/>
    <w:rsid w:val="00937089"/>
    <w:rsid w:val="00944F8A"/>
    <w:rsid w:val="00946DE3"/>
    <w:rsid w:val="00950C17"/>
    <w:rsid w:val="009510A2"/>
    <w:rsid w:val="0095306F"/>
    <w:rsid w:val="00953257"/>
    <w:rsid w:val="0095389C"/>
    <w:rsid w:val="00953C3E"/>
    <w:rsid w:val="0095474C"/>
    <w:rsid w:val="00962CB9"/>
    <w:rsid w:val="009639DB"/>
    <w:rsid w:val="00964312"/>
    <w:rsid w:val="00965B8A"/>
    <w:rsid w:val="0097071F"/>
    <w:rsid w:val="0097091F"/>
    <w:rsid w:val="009713A5"/>
    <w:rsid w:val="009717AC"/>
    <w:rsid w:val="009751C1"/>
    <w:rsid w:val="00977E4F"/>
    <w:rsid w:val="009811F1"/>
    <w:rsid w:val="00983E57"/>
    <w:rsid w:val="00984CA5"/>
    <w:rsid w:val="00985DE2"/>
    <w:rsid w:val="0098675D"/>
    <w:rsid w:val="00987FEC"/>
    <w:rsid w:val="009921A3"/>
    <w:rsid w:val="009926E0"/>
    <w:rsid w:val="0099451E"/>
    <w:rsid w:val="00994CEB"/>
    <w:rsid w:val="00996B1A"/>
    <w:rsid w:val="009A0E22"/>
    <w:rsid w:val="009A2DCC"/>
    <w:rsid w:val="009A5ABC"/>
    <w:rsid w:val="009A5ACC"/>
    <w:rsid w:val="009A7F10"/>
    <w:rsid w:val="009B018E"/>
    <w:rsid w:val="009B3E26"/>
    <w:rsid w:val="009C00B5"/>
    <w:rsid w:val="009C188C"/>
    <w:rsid w:val="009C3706"/>
    <w:rsid w:val="009C3A3A"/>
    <w:rsid w:val="009C6375"/>
    <w:rsid w:val="009C6CEA"/>
    <w:rsid w:val="009C7B85"/>
    <w:rsid w:val="009D0254"/>
    <w:rsid w:val="009D1A64"/>
    <w:rsid w:val="009D5350"/>
    <w:rsid w:val="009D5B91"/>
    <w:rsid w:val="009D5D5F"/>
    <w:rsid w:val="009D792E"/>
    <w:rsid w:val="009E0DFE"/>
    <w:rsid w:val="009E1556"/>
    <w:rsid w:val="009E215B"/>
    <w:rsid w:val="009E31F6"/>
    <w:rsid w:val="009E3CC1"/>
    <w:rsid w:val="009E4C07"/>
    <w:rsid w:val="00A00580"/>
    <w:rsid w:val="00A01184"/>
    <w:rsid w:val="00A03474"/>
    <w:rsid w:val="00A037C2"/>
    <w:rsid w:val="00A03D43"/>
    <w:rsid w:val="00A04380"/>
    <w:rsid w:val="00A05472"/>
    <w:rsid w:val="00A05C32"/>
    <w:rsid w:val="00A0653F"/>
    <w:rsid w:val="00A1009B"/>
    <w:rsid w:val="00A11CD0"/>
    <w:rsid w:val="00A13948"/>
    <w:rsid w:val="00A1555B"/>
    <w:rsid w:val="00A155C5"/>
    <w:rsid w:val="00A16AD8"/>
    <w:rsid w:val="00A20291"/>
    <w:rsid w:val="00A217D4"/>
    <w:rsid w:val="00A21C95"/>
    <w:rsid w:val="00A21CF3"/>
    <w:rsid w:val="00A21E7C"/>
    <w:rsid w:val="00A24813"/>
    <w:rsid w:val="00A27AEC"/>
    <w:rsid w:val="00A30122"/>
    <w:rsid w:val="00A320DB"/>
    <w:rsid w:val="00A35D16"/>
    <w:rsid w:val="00A37BCD"/>
    <w:rsid w:val="00A37BD2"/>
    <w:rsid w:val="00A41689"/>
    <w:rsid w:val="00A42592"/>
    <w:rsid w:val="00A43C59"/>
    <w:rsid w:val="00A44598"/>
    <w:rsid w:val="00A50ECD"/>
    <w:rsid w:val="00A518F3"/>
    <w:rsid w:val="00A52729"/>
    <w:rsid w:val="00A528D4"/>
    <w:rsid w:val="00A53675"/>
    <w:rsid w:val="00A548F6"/>
    <w:rsid w:val="00A564D7"/>
    <w:rsid w:val="00A56B6A"/>
    <w:rsid w:val="00A578DC"/>
    <w:rsid w:val="00A638D0"/>
    <w:rsid w:val="00A640E2"/>
    <w:rsid w:val="00A64D65"/>
    <w:rsid w:val="00A65AF0"/>
    <w:rsid w:val="00A6725B"/>
    <w:rsid w:val="00A70605"/>
    <w:rsid w:val="00A72DB5"/>
    <w:rsid w:val="00A73134"/>
    <w:rsid w:val="00A7525E"/>
    <w:rsid w:val="00A76001"/>
    <w:rsid w:val="00A777B2"/>
    <w:rsid w:val="00A825D4"/>
    <w:rsid w:val="00A828F6"/>
    <w:rsid w:val="00A82B73"/>
    <w:rsid w:val="00A834E1"/>
    <w:rsid w:val="00A8663F"/>
    <w:rsid w:val="00A86E8B"/>
    <w:rsid w:val="00A87164"/>
    <w:rsid w:val="00A87761"/>
    <w:rsid w:val="00A91ECE"/>
    <w:rsid w:val="00A91FD9"/>
    <w:rsid w:val="00A93072"/>
    <w:rsid w:val="00A938BD"/>
    <w:rsid w:val="00A93953"/>
    <w:rsid w:val="00A94732"/>
    <w:rsid w:val="00A959D8"/>
    <w:rsid w:val="00A95DF3"/>
    <w:rsid w:val="00A975F4"/>
    <w:rsid w:val="00A97DDB"/>
    <w:rsid w:val="00AA113D"/>
    <w:rsid w:val="00AA6BD5"/>
    <w:rsid w:val="00AA6BD8"/>
    <w:rsid w:val="00AA6C7D"/>
    <w:rsid w:val="00AA7FD6"/>
    <w:rsid w:val="00AB042A"/>
    <w:rsid w:val="00AB19EF"/>
    <w:rsid w:val="00AB2D34"/>
    <w:rsid w:val="00AB3430"/>
    <w:rsid w:val="00AB37B9"/>
    <w:rsid w:val="00AB4AD1"/>
    <w:rsid w:val="00AB5E07"/>
    <w:rsid w:val="00AB6781"/>
    <w:rsid w:val="00AB7CFA"/>
    <w:rsid w:val="00AC0468"/>
    <w:rsid w:val="00AC5B48"/>
    <w:rsid w:val="00AD1450"/>
    <w:rsid w:val="00AD40E6"/>
    <w:rsid w:val="00AD5070"/>
    <w:rsid w:val="00AD6502"/>
    <w:rsid w:val="00AD6B38"/>
    <w:rsid w:val="00AE003B"/>
    <w:rsid w:val="00AE0695"/>
    <w:rsid w:val="00AE3E7E"/>
    <w:rsid w:val="00AF0ECF"/>
    <w:rsid w:val="00AF1315"/>
    <w:rsid w:val="00AF19BF"/>
    <w:rsid w:val="00AF2DC3"/>
    <w:rsid w:val="00AF3A8A"/>
    <w:rsid w:val="00B033E5"/>
    <w:rsid w:val="00B03A63"/>
    <w:rsid w:val="00B1644E"/>
    <w:rsid w:val="00B201A4"/>
    <w:rsid w:val="00B201D1"/>
    <w:rsid w:val="00B213A6"/>
    <w:rsid w:val="00B235B0"/>
    <w:rsid w:val="00B24525"/>
    <w:rsid w:val="00B24DF6"/>
    <w:rsid w:val="00B24E0B"/>
    <w:rsid w:val="00B25F95"/>
    <w:rsid w:val="00B31577"/>
    <w:rsid w:val="00B3479A"/>
    <w:rsid w:val="00B34FE2"/>
    <w:rsid w:val="00B35166"/>
    <w:rsid w:val="00B357D8"/>
    <w:rsid w:val="00B360F4"/>
    <w:rsid w:val="00B36A00"/>
    <w:rsid w:val="00B37BFC"/>
    <w:rsid w:val="00B40358"/>
    <w:rsid w:val="00B41614"/>
    <w:rsid w:val="00B42851"/>
    <w:rsid w:val="00B42F80"/>
    <w:rsid w:val="00B435CB"/>
    <w:rsid w:val="00B502A4"/>
    <w:rsid w:val="00B505C8"/>
    <w:rsid w:val="00B50DB8"/>
    <w:rsid w:val="00B53654"/>
    <w:rsid w:val="00B53905"/>
    <w:rsid w:val="00B54B5B"/>
    <w:rsid w:val="00B5562E"/>
    <w:rsid w:val="00B55D65"/>
    <w:rsid w:val="00B57000"/>
    <w:rsid w:val="00B57FC2"/>
    <w:rsid w:val="00B60939"/>
    <w:rsid w:val="00B60AFD"/>
    <w:rsid w:val="00B62715"/>
    <w:rsid w:val="00B65611"/>
    <w:rsid w:val="00B70E8E"/>
    <w:rsid w:val="00B73746"/>
    <w:rsid w:val="00B74964"/>
    <w:rsid w:val="00B76C92"/>
    <w:rsid w:val="00B777C5"/>
    <w:rsid w:val="00B8021F"/>
    <w:rsid w:val="00B81002"/>
    <w:rsid w:val="00B81063"/>
    <w:rsid w:val="00B818A4"/>
    <w:rsid w:val="00B83872"/>
    <w:rsid w:val="00B83EAC"/>
    <w:rsid w:val="00B84117"/>
    <w:rsid w:val="00B858F0"/>
    <w:rsid w:val="00B85AA2"/>
    <w:rsid w:val="00B8649C"/>
    <w:rsid w:val="00B8695D"/>
    <w:rsid w:val="00B87F0A"/>
    <w:rsid w:val="00B92332"/>
    <w:rsid w:val="00B9240F"/>
    <w:rsid w:val="00B92B36"/>
    <w:rsid w:val="00B92D0B"/>
    <w:rsid w:val="00B93787"/>
    <w:rsid w:val="00B94945"/>
    <w:rsid w:val="00B94DD6"/>
    <w:rsid w:val="00B967DF"/>
    <w:rsid w:val="00BA322D"/>
    <w:rsid w:val="00BA63FA"/>
    <w:rsid w:val="00BA7D69"/>
    <w:rsid w:val="00BB00B3"/>
    <w:rsid w:val="00BB0BDD"/>
    <w:rsid w:val="00BB176C"/>
    <w:rsid w:val="00BB2A73"/>
    <w:rsid w:val="00BB3A45"/>
    <w:rsid w:val="00BB4ACC"/>
    <w:rsid w:val="00BB703E"/>
    <w:rsid w:val="00BB732D"/>
    <w:rsid w:val="00BB7405"/>
    <w:rsid w:val="00BC098E"/>
    <w:rsid w:val="00BC0C14"/>
    <w:rsid w:val="00BC3631"/>
    <w:rsid w:val="00BC591F"/>
    <w:rsid w:val="00BC6B57"/>
    <w:rsid w:val="00BC7D6D"/>
    <w:rsid w:val="00BD2108"/>
    <w:rsid w:val="00BD68A3"/>
    <w:rsid w:val="00BD6938"/>
    <w:rsid w:val="00BD6CF3"/>
    <w:rsid w:val="00BE044D"/>
    <w:rsid w:val="00BE0C14"/>
    <w:rsid w:val="00BE0ECA"/>
    <w:rsid w:val="00BE2180"/>
    <w:rsid w:val="00BE21F2"/>
    <w:rsid w:val="00BE305A"/>
    <w:rsid w:val="00BE4275"/>
    <w:rsid w:val="00BE5592"/>
    <w:rsid w:val="00BE5D65"/>
    <w:rsid w:val="00BF06AE"/>
    <w:rsid w:val="00BF0F95"/>
    <w:rsid w:val="00BF2433"/>
    <w:rsid w:val="00BF3159"/>
    <w:rsid w:val="00BF61C9"/>
    <w:rsid w:val="00BF6C94"/>
    <w:rsid w:val="00C00424"/>
    <w:rsid w:val="00C1179F"/>
    <w:rsid w:val="00C12C14"/>
    <w:rsid w:val="00C137E4"/>
    <w:rsid w:val="00C15F04"/>
    <w:rsid w:val="00C16A10"/>
    <w:rsid w:val="00C179B3"/>
    <w:rsid w:val="00C17E3F"/>
    <w:rsid w:val="00C200AA"/>
    <w:rsid w:val="00C229A0"/>
    <w:rsid w:val="00C237ED"/>
    <w:rsid w:val="00C242E4"/>
    <w:rsid w:val="00C24632"/>
    <w:rsid w:val="00C25418"/>
    <w:rsid w:val="00C25D9C"/>
    <w:rsid w:val="00C26731"/>
    <w:rsid w:val="00C2778B"/>
    <w:rsid w:val="00C31649"/>
    <w:rsid w:val="00C3434C"/>
    <w:rsid w:val="00C40385"/>
    <w:rsid w:val="00C40F21"/>
    <w:rsid w:val="00C41768"/>
    <w:rsid w:val="00C475AA"/>
    <w:rsid w:val="00C50F60"/>
    <w:rsid w:val="00C53C98"/>
    <w:rsid w:val="00C56FCF"/>
    <w:rsid w:val="00C57B6C"/>
    <w:rsid w:val="00C61774"/>
    <w:rsid w:val="00C628A6"/>
    <w:rsid w:val="00C64344"/>
    <w:rsid w:val="00C65108"/>
    <w:rsid w:val="00C65576"/>
    <w:rsid w:val="00C66165"/>
    <w:rsid w:val="00C7060A"/>
    <w:rsid w:val="00C7151A"/>
    <w:rsid w:val="00C717E3"/>
    <w:rsid w:val="00C71F60"/>
    <w:rsid w:val="00C72241"/>
    <w:rsid w:val="00C73F81"/>
    <w:rsid w:val="00C750C8"/>
    <w:rsid w:val="00C7560F"/>
    <w:rsid w:val="00C76D0F"/>
    <w:rsid w:val="00C80A0E"/>
    <w:rsid w:val="00C8213F"/>
    <w:rsid w:val="00C85154"/>
    <w:rsid w:val="00C8797A"/>
    <w:rsid w:val="00C900B8"/>
    <w:rsid w:val="00C90C71"/>
    <w:rsid w:val="00C91FD1"/>
    <w:rsid w:val="00C931CF"/>
    <w:rsid w:val="00C938CF"/>
    <w:rsid w:val="00C94053"/>
    <w:rsid w:val="00C9624D"/>
    <w:rsid w:val="00C969DA"/>
    <w:rsid w:val="00CA09E8"/>
    <w:rsid w:val="00CA0DF5"/>
    <w:rsid w:val="00CA2C77"/>
    <w:rsid w:val="00CA444F"/>
    <w:rsid w:val="00CA5245"/>
    <w:rsid w:val="00CA71F4"/>
    <w:rsid w:val="00CA7B09"/>
    <w:rsid w:val="00CB12A5"/>
    <w:rsid w:val="00CB1CAC"/>
    <w:rsid w:val="00CB2F2A"/>
    <w:rsid w:val="00CB5B1A"/>
    <w:rsid w:val="00CB6B22"/>
    <w:rsid w:val="00CB70CB"/>
    <w:rsid w:val="00CB7F5F"/>
    <w:rsid w:val="00CC1B39"/>
    <w:rsid w:val="00CC35EA"/>
    <w:rsid w:val="00CC3848"/>
    <w:rsid w:val="00CD0C62"/>
    <w:rsid w:val="00CD2C32"/>
    <w:rsid w:val="00CD3F77"/>
    <w:rsid w:val="00CD6ADC"/>
    <w:rsid w:val="00CD7193"/>
    <w:rsid w:val="00CE0DC6"/>
    <w:rsid w:val="00CE12D3"/>
    <w:rsid w:val="00CE130A"/>
    <w:rsid w:val="00CE38C8"/>
    <w:rsid w:val="00CE6274"/>
    <w:rsid w:val="00CE6D8A"/>
    <w:rsid w:val="00CE77B6"/>
    <w:rsid w:val="00CF2B8D"/>
    <w:rsid w:val="00CF456B"/>
    <w:rsid w:val="00CF5206"/>
    <w:rsid w:val="00CF5A22"/>
    <w:rsid w:val="00D0007A"/>
    <w:rsid w:val="00D0262E"/>
    <w:rsid w:val="00D0518C"/>
    <w:rsid w:val="00D05E3D"/>
    <w:rsid w:val="00D06139"/>
    <w:rsid w:val="00D074DA"/>
    <w:rsid w:val="00D110BD"/>
    <w:rsid w:val="00D13675"/>
    <w:rsid w:val="00D141E1"/>
    <w:rsid w:val="00D15314"/>
    <w:rsid w:val="00D16E73"/>
    <w:rsid w:val="00D17D6C"/>
    <w:rsid w:val="00D2155B"/>
    <w:rsid w:val="00D23D11"/>
    <w:rsid w:val="00D244B6"/>
    <w:rsid w:val="00D25B39"/>
    <w:rsid w:val="00D2754D"/>
    <w:rsid w:val="00D27AB0"/>
    <w:rsid w:val="00D27B27"/>
    <w:rsid w:val="00D33BE9"/>
    <w:rsid w:val="00D33F93"/>
    <w:rsid w:val="00D357FF"/>
    <w:rsid w:val="00D40F63"/>
    <w:rsid w:val="00D42427"/>
    <w:rsid w:val="00D424C7"/>
    <w:rsid w:val="00D43B2A"/>
    <w:rsid w:val="00D43D83"/>
    <w:rsid w:val="00D45C86"/>
    <w:rsid w:val="00D47575"/>
    <w:rsid w:val="00D5243B"/>
    <w:rsid w:val="00D533EC"/>
    <w:rsid w:val="00D53EC9"/>
    <w:rsid w:val="00D55AFC"/>
    <w:rsid w:val="00D56A95"/>
    <w:rsid w:val="00D654FE"/>
    <w:rsid w:val="00D6634A"/>
    <w:rsid w:val="00D67F71"/>
    <w:rsid w:val="00D70F16"/>
    <w:rsid w:val="00D7129E"/>
    <w:rsid w:val="00D72F57"/>
    <w:rsid w:val="00D76A44"/>
    <w:rsid w:val="00D80BD3"/>
    <w:rsid w:val="00D815EF"/>
    <w:rsid w:val="00D81F26"/>
    <w:rsid w:val="00D82A35"/>
    <w:rsid w:val="00D8497B"/>
    <w:rsid w:val="00D86231"/>
    <w:rsid w:val="00D91923"/>
    <w:rsid w:val="00D93753"/>
    <w:rsid w:val="00DA3167"/>
    <w:rsid w:val="00DA4DC3"/>
    <w:rsid w:val="00DA65EE"/>
    <w:rsid w:val="00DA77A5"/>
    <w:rsid w:val="00DB2FAD"/>
    <w:rsid w:val="00DB3DBF"/>
    <w:rsid w:val="00DB484F"/>
    <w:rsid w:val="00DB496A"/>
    <w:rsid w:val="00DB4C7B"/>
    <w:rsid w:val="00DC04F6"/>
    <w:rsid w:val="00DC0690"/>
    <w:rsid w:val="00DC1AA7"/>
    <w:rsid w:val="00DC1D65"/>
    <w:rsid w:val="00DC3C57"/>
    <w:rsid w:val="00DC5501"/>
    <w:rsid w:val="00DC5BC9"/>
    <w:rsid w:val="00DC7154"/>
    <w:rsid w:val="00DC7E8A"/>
    <w:rsid w:val="00DD0F78"/>
    <w:rsid w:val="00DD273C"/>
    <w:rsid w:val="00DD3F28"/>
    <w:rsid w:val="00DD4537"/>
    <w:rsid w:val="00DD4E15"/>
    <w:rsid w:val="00DD5CA9"/>
    <w:rsid w:val="00DD5D20"/>
    <w:rsid w:val="00DD605C"/>
    <w:rsid w:val="00DE2304"/>
    <w:rsid w:val="00DE3138"/>
    <w:rsid w:val="00DE37F8"/>
    <w:rsid w:val="00DE4FCB"/>
    <w:rsid w:val="00DE5D07"/>
    <w:rsid w:val="00DE723E"/>
    <w:rsid w:val="00DE72A7"/>
    <w:rsid w:val="00DE7832"/>
    <w:rsid w:val="00DF039A"/>
    <w:rsid w:val="00DF18FC"/>
    <w:rsid w:val="00DF3546"/>
    <w:rsid w:val="00DF3903"/>
    <w:rsid w:val="00DF5D2B"/>
    <w:rsid w:val="00E00039"/>
    <w:rsid w:val="00E00E8E"/>
    <w:rsid w:val="00E01C8F"/>
    <w:rsid w:val="00E020BB"/>
    <w:rsid w:val="00E05630"/>
    <w:rsid w:val="00E06DBB"/>
    <w:rsid w:val="00E07ADC"/>
    <w:rsid w:val="00E10149"/>
    <w:rsid w:val="00E11340"/>
    <w:rsid w:val="00E122A1"/>
    <w:rsid w:val="00E16372"/>
    <w:rsid w:val="00E20E4D"/>
    <w:rsid w:val="00E20ED6"/>
    <w:rsid w:val="00E21358"/>
    <w:rsid w:val="00E2249B"/>
    <w:rsid w:val="00E22A0D"/>
    <w:rsid w:val="00E24247"/>
    <w:rsid w:val="00E244F6"/>
    <w:rsid w:val="00E2771E"/>
    <w:rsid w:val="00E311EF"/>
    <w:rsid w:val="00E32180"/>
    <w:rsid w:val="00E341FE"/>
    <w:rsid w:val="00E34948"/>
    <w:rsid w:val="00E35500"/>
    <w:rsid w:val="00E3577C"/>
    <w:rsid w:val="00E37569"/>
    <w:rsid w:val="00E401B2"/>
    <w:rsid w:val="00E41383"/>
    <w:rsid w:val="00E41E30"/>
    <w:rsid w:val="00E42F73"/>
    <w:rsid w:val="00E43D70"/>
    <w:rsid w:val="00E466F3"/>
    <w:rsid w:val="00E47B2C"/>
    <w:rsid w:val="00E51560"/>
    <w:rsid w:val="00E53FC8"/>
    <w:rsid w:val="00E54049"/>
    <w:rsid w:val="00E54347"/>
    <w:rsid w:val="00E55424"/>
    <w:rsid w:val="00E55915"/>
    <w:rsid w:val="00E55BB5"/>
    <w:rsid w:val="00E60CBF"/>
    <w:rsid w:val="00E64902"/>
    <w:rsid w:val="00E65E79"/>
    <w:rsid w:val="00E66445"/>
    <w:rsid w:val="00E66BA2"/>
    <w:rsid w:val="00E67416"/>
    <w:rsid w:val="00E718B6"/>
    <w:rsid w:val="00E723BA"/>
    <w:rsid w:val="00E72DC5"/>
    <w:rsid w:val="00E731D5"/>
    <w:rsid w:val="00E73581"/>
    <w:rsid w:val="00E77871"/>
    <w:rsid w:val="00E82663"/>
    <w:rsid w:val="00E833F7"/>
    <w:rsid w:val="00E83BDF"/>
    <w:rsid w:val="00E87A1D"/>
    <w:rsid w:val="00E9094A"/>
    <w:rsid w:val="00E911B2"/>
    <w:rsid w:val="00E91D35"/>
    <w:rsid w:val="00E926A5"/>
    <w:rsid w:val="00E93F6C"/>
    <w:rsid w:val="00E953F7"/>
    <w:rsid w:val="00EA17C3"/>
    <w:rsid w:val="00EA2CAA"/>
    <w:rsid w:val="00EA3864"/>
    <w:rsid w:val="00EA3D78"/>
    <w:rsid w:val="00EA4431"/>
    <w:rsid w:val="00EA7F1C"/>
    <w:rsid w:val="00EB15B6"/>
    <w:rsid w:val="00EB3D06"/>
    <w:rsid w:val="00EB4916"/>
    <w:rsid w:val="00EC00C9"/>
    <w:rsid w:val="00EC0DD9"/>
    <w:rsid w:val="00EC2649"/>
    <w:rsid w:val="00EC31ED"/>
    <w:rsid w:val="00EC5836"/>
    <w:rsid w:val="00EC688C"/>
    <w:rsid w:val="00ED0212"/>
    <w:rsid w:val="00ED3AF5"/>
    <w:rsid w:val="00ED57EA"/>
    <w:rsid w:val="00ED5BD4"/>
    <w:rsid w:val="00ED7DD4"/>
    <w:rsid w:val="00EE07D3"/>
    <w:rsid w:val="00EE1996"/>
    <w:rsid w:val="00EE1C01"/>
    <w:rsid w:val="00EE22AF"/>
    <w:rsid w:val="00EE3E4E"/>
    <w:rsid w:val="00EE6990"/>
    <w:rsid w:val="00EE7C10"/>
    <w:rsid w:val="00EF0085"/>
    <w:rsid w:val="00EF0171"/>
    <w:rsid w:val="00EF1B25"/>
    <w:rsid w:val="00EF1DA0"/>
    <w:rsid w:val="00EF4747"/>
    <w:rsid w:val="00EF4BF8"/>
    <w:rsid w:val="00EF4F57"/>
    <w:rsid w:val="00F02253"/>
    <w:rsid w:val="00F03C2E"/>
    <w:rsid w:val="00F04A66"/>
    <w:rsid w:val="00F04B25"/>
    <w:rsid w:val="00F04B4B"/>
    <w:rsid w:val="00F0516C"/>
    <w:rsid w:val="00F067A2"/>
    <w:rsid w:val="00F07B9E"/>
    <w:rsid w:val="00F1116F"/>
    <w:rsid w:val="00F11BB6"/>
    <w:rsid w:val="00F11CCF"/>
    <w:rsid w:val="00F1263A"/>
    <w:rsid w:val="00F13781"/>
    <w:rsid w:val="00F15B77"/>
    <w:rsid w:val="00F22789"/>
    <w:rsid w:val="00F24837"/>
    <w:rsid w:val="00F2575F"/>
    <w:rsid w:val="00F27565"/>
    <w:rsid w:val="00F310D4"/>
    <w:rsid w:val="00F314D5"/>
    <w:rsid w:val="00F31D5A"/>
    <w:rsid w:val="00F33975"/>
    <w:rsid w:val="00F33DE9"/>
    <w:rsid w:val="00F35E6D"/>
    <w:rsid w:val="00F3619A"/>
    <w:rsid w:val="00F37195"/>
    <w:rsid w:val="00F40AAA"/>
    <w:rsid w:val="00F40BA7"/>
    <w:rsid w:val="00F40F9D"/>
    <w:rsid w:val="00F41ACD"/>
    <w:rsid w:val="00F46CB6"/>
    <w:rsid w:val="00F46EDD"/>
    <w:rsid w:val="00F4756D"/>
    <w:rsid w:val="00F47DE8"/>
    <w:rsid w:val="00F51255"/>
    <w:rsid w:val="00F52D90"/>
    <w:rsid w:val="00F542C1"/>
    <w:rsid w:val="00F55E73"/>
    <w:rsid w:val="00F55EDA"/>
    <w:rsid w:val="00F56C80"/>
    <w:rsid w:val="00F60092"/>
    <w:rsid w:val="00F61C18"/>
    <w:rsid w:val="00F64287"/>
    <w:rsid w:val="00F642C4"/>
    <w:rsid w:val="00F65F4B"/>
    <w:rsid w:val="00F67A69"/>
    <w:rsid w:val="00F70BFF"/>
    <w:rsid w:val="00F70C9D"/>
    <w:rsid w:val="00F71E47"/>
    <w:rsid w:val="00F74CD9"/>
    <w:rsid w:val="00F80A7B"/>
    <w:rsid w:val="00F80E5D"/>
    <w:rsid w:val="00F81E78"/>
    <w:rsid w:val="00F851CE"/>
    <w:rsid w:val="00F8630D"/>
    <w:rsid w:val="00F91219"/>
    <w:rsid w:val="00F9230C"/>
    <w:rsid w:val="00F92444"/>
    <w:rsid w:val="00F92BC5"/>
    <w:rsid w:val="00F9393E"/>
    <w:rsid w:val="00F95278"/>
    <w:rsid w:val="00F96FD0"/>
    <w:rsid w:val="00F97A78"/>
    <w:rsid w:val="00FA0B20"/>
    <w:rsid w:val="00FA16AC"/>
    <w:rsid w:val="00FA24E7"/>
    <w:rsid w:val="00FA3245"/>
    <w:rsid w:val="00FA571B"/>
    <w:rsid w:val="00FA5EE6"/>
    <w:rsid w:val="00FA6B1A"/>
    <w:rsid w:val="00FA7104"/>
    <w:rsid w:val="00FA7956"/>
    <w:rsid w:val="00FB2390"/>
    <w:rsid w:val="00FB2FCB"/>
    <w:rsid w:val="00FB7C55"/>
    <w:rsid w:val="00FC1074"/>
    <w:rsid w:val="00FC1884"/>
    <w:rsid w:val="00FC371D"/>
    <w:rsid w:val="00FC5F0B"/>
    <w:rsid w:val="00FD2100"/>
    <w:rsid w:val="00FD33AF"/>
    <w:rsid w:val="00FD436C"/>
    <w:rsid w:val="00FD446D"/>
    <w:rsid w:val="00FD4F2C"/>
    <w:rsid w:val="00FD6394"/>
    <w:rsid w:val="00FE0E6C"/>
    <w:rsid w:val="00FE1CDC"/>
    <w:rsid w:val="00FE6CE1"/>
    <w:rsid w:val="00FE70C3"/>
    <w:rsid w:val="00FF09D4"/>
    <w:rsid w:val="00FF2AD9"/>
    <w:rsid w:val="00FF359F"/>
    <w:rsid w:val="00FF3DCF"/>
    <w:rsid w:val="00FF492C"/>
    <w:rsid w:val="00FF4A21"/>
    <w:rsid w:val="00FF50D7"/>
    <w:rsid w:val="00FF5AA3"/>
    <w:rsid w:val="00FF5AD8"/>
    <w:rsid w:val="00FF6C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0B7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23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ES Paragraph,PBAC normal points,Bullet Lis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Heading0">
    <w:name w:val="Table Heading"/>
    <w:basedOn w:val="TableText0"/>
    <w:link w:val="TableHeadingChar"/>
    <w:qFormat/>
    <w:rsid w:val="001033E2"/>
    <w:pPr>
      <w:keepLines/>
      <w:spacing w:before="20" w:after="20" w:line="276" w:lineRule="auto"/>
    </w:pPr>
    <w:rPr>
      <w:rFonts w:cs="Arial"/>
      <w:b/>
      <w:bCs w:val="0"/>
      <w:szCs w:val="20"/>
      <w:lang w:bidi="en-US"/>
    </w:rPr>
  </w:style>
  <w:style w:type="table" w:customStyle="1" w:styleId="AZTable">
    <w:name w:val="AZ Table"/>
    <w:basedOn w:val="TableNormal"/>
    <w:uiPriority w:val="99"/>
    <w:rsid w:val="00103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HeadingChar">
    <w:name w:val="Table Heading Char"/>
    <w:basedOn w:val="DefaultParagraphFont"/>
    <w:link w:val="TableHeading0"/>
    <w:locked/>
    <w:rsid w:val="001033E2"/>
    <w:rPr>
      <w:rFonts w:ascii="Arial Narrow" w:eastAsiaTheme="majorEastAsia" w:hAnsi="Arial Narrow" w:cs="Arial"/>
      <w:b/>
      <w:lang w:bidi="en-US"/>
    </w:rPr>
  </w:style>
  <w:style w:type="table" w:styleId="PlainTable2">
    <w:name w:val="Plain Table 2"/>
    <w:basedOn w:val="TableNormal"/>
    <w:uiPriority w:val="42"/>
    <w:rsid w:val="00161742"/>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ummarybox1">
    <w:name w:val="Summary box1"/>
    <w:basedOn w:val="TableNormal"/>
    <w:next w:val="TableGrid"/>
    <w:rsid w:val="0006505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link w:val="SourcesChar"/>
    <w:qFormat/>
    <w:rsid w:val="008C7C19"/>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8C7C19"/>
    <w:rPr>
      <w:rFonts w:ascii="Arial" w:eastAsiaTheme="minorHAnsi" w:hAnsi="Arial" w:cstheme="minorBidi"/>
      <w:sz w:val="16"/>
      <w:szCs w:val="22"/>
      <w:lang w:eastAsia="en-US"/>
    </w:rPr>
  </w:style>
  <w:style w:type="paragraph" w:customStyle="1" w:styleId="Default">
    <w:name w:val="Default"/>
    <w:rsid w:val="005D1CEA"/>
    <w:pPr>
      <w:autoSpaceDE w:val="0"/>
      <w:autoSpaceDN w:val="0"/>
      <w:adjustRightInd w:val="0"/>
    </w:pPr>
    <w:rPr>
      <w:rFonts w:ascii="Arial Narrow" w:hAnsi="Arial Narrow" w:cs="Arial Narrow"/>
      <w:color w:val="000000"/>
      <w:sz w:val="24"/>
      <w:szCs w:val="24"/>
      <w:lang w:val="en-US"/>
    </w:rPr>
  </w:style>
  <w:style w:type="paragraph" w:styleId="FootnoteText">
    <w:name w:val="footnote text"/>
    <w:basedOn w:val="Normal"/>
    <w:link w:val="FootnoteTextChar"/>
    <w:semiHidden/>
    <w:unhideWhenUsed/>
    <w:rsid w:val="00F64287"/>
    <w:rPr>
      <w:sz w:val="20"/>
      <w:szCs w:val="20"/>
    </w:rPr>
  </w:style>
  <w:style w:type="character" w:customStyle="1" w:styleId="FootnoteTextChar">
    <w:name w:val="Footnote Text Char"/>
    <w:basedOn w:val="DefaultParagraphFont"/>
    <w:link w:val="FootnoteText"/>
    <w:semiHidden/>
    <w:rsid w:val="00F64287"/>
    <w:rPr>
      <w:rFonts w:ascii="Calibri" w:hAnsi="Calibri" w:cs="Arial"/>
    </w:rPr>
  </w:style>
  <w:style w:type="character" w:styleId="FootnoteReference">
    <w:name w:val="footnote reference"/>
    <w:basedOn w:val="DefaultParagraphFont"/>
    <w:semiHidden/>
    <w:unhideWhenUsed/>
    <w:rsid w:val="00F64287"/>
    <w:rPr>
      <w:vertAlign w:val="superscript"/>
    </w:rPr>
  </w:style>
  <w:style w:type="paragraph" w:customStyle="1" w:styleId="2Sections">
    <w:name w:val="2. Sections"/>
    <w:qFormat/>
    <w:rsid w:val="0034124F"/>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34124F"/>
    <w:pPr>
      <w:ind w:left="720" w:hanging="720"/>
    </w:pPr>
    <w:rPr>
      <w:rFonts w:eastAsiaTheme="minorHAnsi" w:cstheme="minorBidi"/>
      <w:snapToGrid/>
      <w:szCs w:val="22"/>
      <w:lang w:eastAsia="en-US"/>
    </w:rPr>
  </w:style>
  <w:style w:type="character" w:customStyle="1" w:styleId="3BodytextChar">
    <w:name w:val="3. Body text Char"/>
    <w:basedOn w:val="DefaultParagraphFont"/>
    <w:link w:val="3Bodytext"/>
    <w:rsid w:val="0034124F"/>
    <w:rPr>
      <w:rFonts w:asciiTheme="minorHAnsi" w:eastAsiaTheme="minorHAnsi"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513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1473481">
      <w:bodyDiv w:val="1"/>
      <w:marLeft w:val="0"/>
      <w:marRight w:val="0"/>
      <w:marTop w:val="0"/>
      <w:marBottom w:val="0"/>
      <w:divBdr>
        <w:top w:val="none" w:sz="0" w:space="0" w:color="auto"/>
        <w:left w:val="none" w:sz="0" w:space="0" w:color="auto"/>
        <w:bottom w:val="none" w:sz="0" w:space="0" w:color="auto"/>
        <w:right w:val="none" w:sz="0" w:space="0" w:color="auto"/>
      </w:divBdr>
      <w:divsChild>
        <w:div w:id="1713992986">
          <w:marLeft w:val="0"/>
          <w:marRight w:val="0"/>
          <w:marTop w:val="0"/>
          <w:marBottom w:val="0"/>
          <w:divBdr>
            <w:top w:val="none" w:sz="0" w:space="0" w:color="auto"/>
            <w:left w:val="none" w:sz="0" w:space="0" w:color="auto"/>
            <w:bottom w:val="none" w:sz="0" w:space="0" w:color="auto"/>
            <w:right w:val="none" w:sz="0" w:space="0" w:color="auto"/>
          </w:divBdr>
          <w:divsChild>
            <w:div w:id="386417518">
              <w:marLeft w:val="0"/>
              <w:marRight w:val="0"/>
              <w:marTop w:val="0"/>
              <w:marBottom w:val="0"/>
              <w:divBdr>
                <w:top w:val="none" w:sz="0" w:space="0" w:color="auto"/>
                <w:left w:val="none" w:sz="0" w:space="0" w:color="auto"/>
                <w:bottom w:val="none" w:sz="0" w:space="0" w:color="auto"/>
                <w:right w:val="none" w:sz="0" w:space="0" w:color="auto"/>
              </w:divBdr>
              <w:divsChild>
                <w:div w:id="20530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759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98450522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7919">
      <w:bodyDiv w:val="1"/>
      <w:marLeft w:val="0"/>
      <w:marRight w:val="0"/>
      <w:marTop w:val="0"/>
      <w:marBottom w:val="0"/>
      <w:divBdr>
        <w:top w:val="none" w:sz="0" w:space="0" w:color="auto"/>
        <w:left w:val="none" w:sz="0" w:space="0" w:color="auto"/>
        <w:bottom w:val="none" w:sz="0" w:space="0" w:color="auto"/>
        <w:right w:val="none" w:sz="0" w:space="0" w:color="auto"/>
      </w:divBdr>
    </w:div>
    <w:div w:id="1871332638">
      <w:bodyDiv w:val="1"/>
      <w:marLeft w:val="0"/>
      <w:marRight w:val="0"/>
      <w:marTop w:val="0"/>
      <w:marBottom w:val="0"/>
      <w:divBdr>
        <w:top w:val="none" w:sz="0" w:space="0" w:color="auto"/>
        <w:left w:val="none" w:sz="0" w:space="0" w:color="auto"/>
        <w:bottom w:val="none" w:sz="0" w:space="0" w:color="auto"/>
        <w:right w:val="none" w:sz="0" w:space="0" w:color="auto"/>
      </w:divBdr>
    </w:div>
    <w:div w:id="188228626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B742-0302-4F93-8CD3-4D7C3B58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7707</Words>
  <Characters>43807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2021-03-01T05:44:00Z</dcterms:created>
  <dcterms:modified xsi:type="dcterms:W3CDTF">2021-03-01T05:49:00Z</dcterms:modified>
</cp:coreProperties>
</file>