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27A0" w:rsidRPr="008F1678" w:rsidRDefault="00561BCD" w:rsidP="00417410">
      <w:pPr>
        <w:pStyle w:val="1MainTitle"/>
        <w:jc w:val="left"/>
      </w:pPr>
      <w:r w:rsidRPr="008F1678">
        <w:rPr>
          <w:rFonts w:eastAsia="Calibri"/>
          <w:lang w:eastAsia="en-US"/>
        </w:rPr>
        <w:t>3.02</w:t>
      </w:r>
      <w:r w:rsidR="00651014" w:rsidRPr="008F1678">
        <w:t xml:space="preserve"> </w:t>
      </w:r>
      <w:r w:rsidR="00651014" w:rsidRPr="008F1678">
        <w:rPr>
          <w:rFonts w:eastAsia="Calibri"/>
          <w:lang w:eastAsia="en-US"/>
        </w:rPr>
        <w:t>DUPILUMAB</w:t>
      </w:r>
      <w:r w:rsidR="005E0D82" w:rsidRPr="008F1678">
        <w:rPr>
          <w:rFonts w:eastAsia="Calibri"/>
          <w:lang w:eastAsia="en-US"/>
        </w:rPr>
        <w:br/>
      </w:r>
      <w:r w:rsidR="00651014" w:rsidRPr="008F1678">
        <w:t>Injection</w:t>
      </w:r>
      <w:r w:rsidR="00417410" w:rsidRPr="008F1678">
        <w:t xml:space="preserve"> 200 mg in 1.14 mL single dose pre-filled syringe, </w:t>
      </w:r>
      <w:r w:rsidR="00417410" w:rsidRPr="008F1678">
        <w:br/>
        <w:t>Injection 300 mg in 2 mL single dose pre-filled syringe</w:t>
      </w:r>
      <w:r w:rsidR="000427B9" w:rsidRPr="008F1678">
        <w:br/>
      </w:r>
      <w:r w:rsidR="00651014" w:rsidRPr="008F1678">
        <w:t>Dupixent</w:t>
      </w:r>
      <w:r w:rsidR="00651014" w:rsidRPr="008F1678">
        <w:rPr>
          <w:vertAlign w:val="superscript"/>
        </w:rPr>
        <w:t>®</w:t>
      </w:r>
      <w:r w:rsidR="00651014" w:rsidRPr="008F1678">
        <w:t xml:space="preserve">, </w:t>
      </w:r>
      <w:r w:rsidR="00651014" w:rsidRPr="008F1678">
        <w:br/>
        <w:t>S</w:t>
      </w:r>
      <w:r w:rsidR="00C661FD" w:rsidRPr="008F1678">
        <w:t>anofi-Aventis Australia Pty Ltd</w:t>
      </w:r>
    </w:p>
    <w:p w:rsidR="008A50F1" w:rsidRPr="008F1678" w:rsidRDefault="00CE10C4" w:rsidP="008F0213">
      <w:pPr>
        <w:pStyle w:val="2-SectionHeading"/>
      </w:pPr>
      <w:r w:rsidRPr="008F1678">
        <w:t xml:space="preserve">Purpose of </w:t>
      </w:r>
      <w:r w:rsidR="0004240E" w:rsidRPr="008F1678">
        <w:t>Application</w:t>
      </w:r>
      <w:r w:rsidR="00034905" w:rsidRPr="008F1678">
        <w:t xml:space="preserve"> </w:t>
      </w:r>
    </w:p>
    <w:p w:rsidR="001A5E79" w:rsidRPr="008F1678" w:rsidRDefault="001A5E79" w:rsidP="00D60D91">
      <w:pPr>
        <w:pStyle w:val="3Bodytext"/>
      </w:pPr>
      <w:r w:rsidRPr="008F1678">
        <w:t>Dupilumab for the treatment of patients aged 12 years and older with severe atopic dermatitis (AD) who are inadequately controlled on topical therapies was recommended at the March 2020 PBAC meeting.</w:t>
      </w:r>
    </w:p>
    <w:p w:rsidR="001A5E79" w:rsidRPr="008F1678" w:rsidRDefault="001A5E79" w:rsidP="00D60D91">
      <w:pPr>
        <w:pStyle w:val="3Bodytext"/>
      </w:pPr>
      <w:r w:rsidRPr="008F1678">
        <w:t xml:space="preserve">Following the recommendation, the sponsor submitted pricing proposals to the </w:t>
      </w:r>
      <w:r w:rsidR="00982D34" w:rsidRPr="008F1678">
        <w:t>Department, which</w:t>
      </w:r>
      <w:r w:rsidRPr="008F1678">
        <w:t xml:space="preserve"> were not </w:t>
      </w:r>
      <w:r w:rsidR="00982D34" w:rsidRPr="008F1678">
        <w:t>accepted,</w:t>
      </w:r>
      <w:r w:rsidRPr="008F1678">
        <w:t xml:space="preserve"> as they were not consistent with the PBAC advice</w:t>
      </w:r>
      <w:r w:rsidR="001D6059" w:rsidRPr="008F1678">
        <w:t>.</w:t>
      </w:r>
      <w:r w:rsidRPr="008F1678">
        <w:t xml:space="preserve"> </w:t>
      </w:r>
      <w:r w:rsidR="001D6059" w:rsidRPr="008F1678">
        <w:t>P</w:t>
      </w:r>
      <w:r w:rsidRPr="008F1678">
        <w:t>rimarily, after</w:t>
      </w:r>
      <w:r w:rsidR="001D6059" w:rsidRPr="008F1678">
        <w:t xml:space="preserve"> the sponsor’s</w:t>
      </w:r>
      <w:r w:rsidRPr="008F1678">
        <w:t xml:space="preserve"> adjustment to the economic model, the resulting ICER was higher than </w:t>
      </w:r>
      <w:r w:rsidR="0062508B" w:rsidRPr="008F1678">
        <w:t>the range considered by the</w:t>
      </w:r>
      <w:r w:rsidRPr="008F1678">
        <w:t xml:space="preserve"> PBAC. </w:t>
      </w:r>
    </w:p>
    <w:p w:rsidR="00D063C8" w:rsidRPr="008F1678" w:rsidRDefault="001A5E79" w:rsidP="00D60D91">
      <w:pPr>
        <w:pStyle w:val="3Bodytext"/>
      </w:pPr>
      <w:r w:rsidRPr="008F1678">
        <w:t>The sponsor</w:t>
      </w:r>
      <w:r w:rsidR="00C32F96" w:rsidRPr="008F1678">
        <w:t xml:space="preserve"> </w:t>
      </w:r>
      <w:r w:rsidRPr="008F1678">
        <w:t xml:space="preserve">requested </w:t>
      </w:r>
      <w:r w:rsidR="002F0DFC" w:rsidRPr="008F1678">
        <w:t xml:space="preserve">the </w:t>
      </w:r>
      <w:r w:rsidR="00561BCD" w:rsidRPr="008F1678">
        <w:t xml:space="preserve">PBAC’s consideration of </w:t>
      </w:r>
      <w:r w:rsidRPr="008F1678">
        <w:t>its latest</w:t>
      </w:r>
      <w:r w:rsidR="003C14F4" w:rsidRPr="008F1678">
        <w:t xml:space="preserve"> proposal </w:t>
      </w:r>
      <w:r w:rsidR="00561BCD" w:rsidRPr="008F1678">
        <w:t>which presents:</w:t>
      </w:r>
    </w:p>
    <w:p w:rsidR="00561BCD" w:rsidRPr="008F1678" w:rsidRDefault="00B9437F" w:rsidP="00D60D91">
      <w:pPr>
        <w:pStyle w:val="3Bodytext"/>
        <w:numPr>
          <w:ilvl w:val="0"/>
          <w:numId w:val="14"/>
        </w:numPr>
      </w:pPr>
      <w:r w:rsidRPr="008F1678">
        <w:t>Revised</w:t>
      </w:r>
      <w:r w:rsidR="00561BCD" w:rsidRPr="008F1678">
        <w:t xml:space="preserve"> inputs to the economic model and a new base case ICER</w:t>
      </w:r>
      <w:r w:rsidR="002F0DFC" w:rsidRPr="008F1678">
        <w:t>; and</w:t>
      </w:r>
    </w:p>
    <w:p w:rsidR="00561BCD" w:rsidRPr="008F1678" w:rsidRDefault="00A15EFE">
      <w:pPr>
        <w:pStyle w:val="3Bodytext"/>
        <w:numPr>
          <w:ilvl w:val="0"/>
          <w:numId w:val="14"/>
        </w:numPr>
      </w:pPr>
      <w:r w:rsidRPr="008F1678">
        <w:t xml:space="preserve">Revised </w:t>
      </w:r>
      <w:r w:rsidR="00340492" w:rsidRPr="008F1678">
        <w:t>inputs to the</w:t>
      </w:r>
      <w:r w:rsidR="00561BCD" w:rsidRPr="008F1678">
        <w:t xml:space="preserve"> financial</w:t>
      </w:r>
      <w:r w:rsidR="002F29AB" w:rsidRPr="008F1678">
        <w:t xml:space="preserve"> estimate</w:t>
      </w:r>
      <w:r w:rsidR="00561BCD" w:rsidRPr="008F1678">
        <w:t>s</w:t>
      </w:r>
      <w:r w:rsidR="00340492" w:rsidRPr="008F1678">
        <w:t>, including alternate uptake rates</w:t>
      </w:r>
      <w:r w:rsidR="00561BCD" w:rsidRPr="008F1678">
        <w:t xml:space="preserve"> </w:t>
      </w:r>
      <w:r w:rsidR="002F0DFC" w:rsidRPr="008F1678">
        <w:t>applied using a</w:t>
      </w:r>
      <w:r w:rsidR="00561BCD" w:rsidRPr="008F1678">
        <w:t xml:space="preserve"> </w:t>
      </w:r>
      <w:r w:rsidR="00830C34" w:rsidRPr="008F1678">
        <w:t xml:space="preserve">different </w:t>
      </w:r>
      <w:r w:rsidRPr="008F1678">
        <w:t xml:space="preserve">approach </w:t>
      </w:r>
      <w:r w:rsidR="002F0DFC" w:rsidRPr="008F1678">
        <w:t xml:space="preserve">to that </w:t>
      </w:r>
      <w:r w:rsidRPr="008F1678">
        <w:t>specified</w:t>
      </w:r>
      <w:r w:rsidR="000B1678" w:rsidRPr="008F1678">
        <w:t xml:space="preserve"> </w:t>
      </w:r>
      <w:r w:rsidR="002F0DFC" w:rsidRPr="008F1678">
        <w:t xml:space="preserve">in </w:t>
      </w:r>
      <w:r w:rsidR="000B1678" w:rsidRPr="008F1678">
        <w:t>the PBAC</w:t>
      </w:r>
      <w:r w:rsidR="002F0DFC" w:rsidRPr="008F1678">
        <w:t xml:space="preserve"> minutes.</w:t>
      </w:r>
    </w:p>
    <w:p w:rsidR="00A01432" w:rsidRPr="008F1678" w:rsidRDefault="00A01432" w:rsidP="006F0A71">
      <w:pPr>
        <w:pStyle w:val="2-SectionHeading"/>
      </w:pPr>
      <w:r w:rsidRPr="008F1678">
        <w:t xml:space="preserve">Background </w:t>
      </w:r>
    </w:p>
    <w:p w:rsidR="00A01432" w:rsidRPr="008F1678" w:rsidRDefault="00A01432" w:rsidP="00B16273">
      <w:pPr>
        <w:pStyle w:val="4-SubsectionHeading"/>
      </w:pPr>
      <w:r w:rsidRPr="008F1678">
        <w:t xml:space="preserve">Previous PBAC consideration </w:t>
      </w:r>
    </w:p>
    <w:p w:rsidR="000D604C" w:rsidRPr="008F1678" w:rsidRDefault="000D604C" w:rsidP="00D60D91">
      <w:pPr>
        <w:pStyle w:val="3Bodytext"/>
      </w:pPr>
      <w:r w:rsidRPr="008F1678">
        <w:t>D</w:t>
      </w:r>
      <w:r w:rsidR="000B7CCE" w:rsidRPr="008F1678">
        <w:t>upilumab</w:t>
      </w:r>
      <w:r w:rsidRPr="008F1678">
        <w:t xml:space="preserve"> was previously considered for this indication</w:t>
      </w:r>
      <w:r w:rsidR="009F1465" w:rsidRPr="008F1678">
        <w:t xml:space="preserve"> by the PBAC in July 2018, July </w:t>
      </w:r>
      <w:r w:rsidRPr="008F1678">
        <w:t>2019, and recommended at its March 2020 meeting</w:t>
      </w:r>
      <w:r w:rsidR="000B7CCE" w:rsidRPr="008F1678">
        <w:t xml:space="preserve">. </w:t>
      </w:r>
    </w:p>
    <w:p w:rsidR="000427B9" w:rsidRPr="008F1678" w:rsidRDefault="001B5053" w:rsidP="00D60D91">
      <w:pPr>
        <w:pStyle w:val="3Bodytext"/>
        <w:rPr>
          <w:i/>
          <w:lang w:eastAsia="en-US"/>
        </w:rPr>
      </w:pPr>
      <w:r w:rsidRPr="008F1678">
        <w:rPr>
          <w:lang w:eastAsia="en-US"/>
        </w:rPr>
        <w:t xml:space="preserve">A summary of the </w:t>
      </w:r>
      <w:r w:rsidR="007567A6" w:rsidRPr="008F1678">
        <w:rPr>
          <w:lang w:eastAsia="en-US"/>
        </w:rPr>
        <w:t>March 2020</w:t>
      </w:r>
      <w:r w:rsidRPr="008F1678">
        <w:rPr>
          <w:lang w:eastAsia="en-US"/>
        </w:rPr>
        <w:t xml:space="preserve"> </w:t>
      </w:r>
      <w:r w:rsidR="00790663" w:rsidRPr="008F1678">
        <w:rPr>
          <w:lang w:eastAsia="en-US"/>
        </w:rPr>
        <w:t xml:space="preserve">PBAC consideration </w:t>
      </w:r>
      <w:r w:rsidRPr="008F1678">
        <w:rPr>
          <w:lang w:eastAsia="en-US"/>
        </w:rPr>
        <w:t xml:space="preserve">and current </w:t>
      </w:r>
      <w:r w:rsidR="007567A6" w:rsidRPr="008F1678">
        <w:rPr>
          <w:lang w:eastAsia="en-US"/>
        </w:rPr>
        <w:t>proposal</w:t>
      </w:r>
      <w:r w:rsidRPr="008F1678">
        <w:rPr>
          <w:lang w:eastAsia="en-US"/>
        </w:rPr>
        <w:t xml:space="preserve"> is provided in the table below.</w:t>
      </w:r>
    </w:p>
    <w:p w:rsidR="00344B46" w:rsidRDefault="00344B46">
      <w:pPr>
        <w:jc w:val="left"/>
        <w:rPr>
          <w:rFonts w:ascii="Arial Narrow" w:eastAsiaTheme="majorEastAsia" w:hAnsi="Arial Narrow" w:cstheme="majorBidi"/>
          <w:b/>
          <w:bCs/>
          <w:sz w:val="20"/>
          <w:lang w:eastAsia="en-US"/>
        </w:rPr>
      </w:pPr>
      <w:r>
        <w:rPr>
          <w:lang w:eastAsia="en-US"/>
        </w:rPr>
        <w:br w:type="page"/>
      </w:r>
    </w:p>
    <w:p w:rsidR="007964DE" w:rsidRPr="008F1678" w:rsidRDefault="007964DE" w:rsidP="00D60D91">
      <w:pPr>
        <w:pStyle w:val="TableFigureHeading"/>
        <w:rPr>
          <w:lang w:eastAsia="en-US"/>
        </w:rPr>
      </w:pPr>
      <w:r w:rsidRPr="008F1678">
        <w:rPr>
          <w:lang w:eastAsia="en-US"/>
        </w:rPr>
        <w:lastRenderedPageBreak/>
        <w:t xml:space="preserve">Table </w:t>
      </w:r>
      <w:r w:rsidR="00415397" w:rsidRPr="008F1678">
        <w:rPr>
          <w:lang w:eastAsia="en-US"/>
        </w:rPr>
        <w:t>1</w:t>
      </w:r>
      <w:r w:rsidRPr="008F1678">
        <w:rPr>
          <w:lang w:eastAsia="en-US"/>
        </w:rPr>
        <w:t xml:space="preserve">: Summary of the </w:t>
      </w:r>
      <w:r w:rsidR="00F035E5" w:rsidRPr="008F1678">
        <w:rPr>
          <w:lang w:eastAsia="en-US"/>
        </w:rPr>
        <w:t>March 2020</w:t>
      </w:r>
      <w:r w:rsidRPr="008F1678">
        <w:rPr>
          <w:lang w:eastAsia="en-US"/>
        </w:rPr>
        <w:t xml:space="preserve"> </w:t>
      </w:r>
      <w:r w:rsidR="00E26FDC" w:rsidRPr="008F1678">
        <w:rPr>
          <w:lang w:eastAsia="en-US"/>
        </w:rPr>
        <w:t xml:space="preserve">PBAC consideration </w:t>
      </w:r>
      <w:r w:rsidRPr="008F1678">
        <w:rPr>
          <w:lang w:eastAsia="en-US"/>
        </w:rPr>
        <w:t>and current proposal</w:t>
      </w:r>
    </w:p>
    <w:tbl>
      <w:tblPr>
        <w:tblStyle w:val="TableGrid"/>
        <w:tblW w:w="5000" w:type="pct"/>
        <w:tblLook w:val="04A0" w:firstRow="1" w:lastRow="0" w:firstColumn="1" w:lastColumn="0" w:noHBand="0" w:noVBand="1"/>
        <w:tblCaption w:val="Table 1: Summary of the March 2020 PBAC consideration and current proposal"/>
      </w:tblPr>
      <w:tblGrid>
        <w:gridCol w:w="1713"/>
        <w:gridCol w:w="3543"/>
        <w:gridCol w:w="3760"/>
      </w:tblGrid>
      <w:tr w:rsidR="00C57E52" w:rsidRPr="008F1678" w:rsidTr="00D60D91">
        <w:trPr>
          <w:cantSplit/>
          <w:tblHeader/>
        </w:trPr>
        <w:tc>
          <w:tcPr>
            <w:tcW w:w="950" w:type="pct"/>
          </w:tcPr>
          <w:p w:rsidR="00C57E52" w:rsidRPr="008F1678" w:rsidRDefault="00C57E52" w:rsidP="00A020BD">
            <w:pPr>
              <w:pStyle w:val="Bodytextitalics"/>
              <w:jc w:val="left"/>
              <w:rPr>
                <w:rFonts w:ascii="Arial Narrow" w:hAnsi="Arial Narrow"/>
                <w:i w:val="0"/>
                <w:sz w:val="20"/>
                <w:szCs w:val="20"/>
              </w:rPr>
            </w:pPr>
          </w:p>
        </w:tc>
        <w:tc>
          <w:tcPr>
            <w:tcW w:w="1965" w:type="pct"/>
          </w:tcPr>
          <w:p w:rsidR="00C57E52" w:rsidRPr="008F1678" w:rsidRDefault="00C57E52" w:rsidP="00005342">
            <w:pPr>
              <w:pStyle w:val="Bodytextitalics"/>
              <w:jc w:val="left"/>
              <w:rPr>
                <w:rFonts w:ascii="Arial Narrow" w:hAnsi="Arial Narrow"/>
                <w:b/>
                <w:i w:val="0"/>
                <w:sz w:val="20"/>
                <w:szCs w:val="20"/>
              </w:rPr>
            </w:pPr>
            <w:r w:rsidRPr="008F1678">
              <w:rPr>
                <w:rFonts w:ascii="Arial Narrow" w:hAnsi="Arial Narrow"/>
                <w:b/>
                <w:i w:val="0"/>
                <w:sz w:val="20"/>
                <w:szCs w:val="20"/>
              </w:rPr>
              <w:t xml:space="preserve">March 2020 </w:t>
            </w:r>
            <w:r w:rsidR="00790663" w:rsidRPr="008F1678">
              <w:rPr>
                <w:rFonts w:ascii="Arial Narrow" w:hAnsi="Arial Narrow"/>
                <w:b/>
                <w:i w:val="0"/>
                <w:sz w:val="20"/>
                <w:szCs w:val="20"/>
              </w:rPr>
              <w:t>PBAC consideration</w:t>
            </w:r>
          </w:p>
        </w:tc>
        <w:tc>
          <w:tcPr>
            <w:tcW w:w="2085" w:type="pct"/>
          </w:tcPr>
          <w:p w:rsidR="00C57E52" w:rsidRPr="008F1678" w:rsidRDefault="00C57E52" w:rsidP="00005342">
            <w:pPr>
              <w:pStyle w:val="Bodytextitalics"/>
              <w:jc w:val="left"/>
              <w:rPr>
                <w:rFonts w:ascii="Arial Narrow" w:hAnsi="Arial Narrow"/>
                <w:b/>
                <w:i w:val="0"/>
                <w:sz w:val="20"/>
                <w:szCs w:val="20"/>
              </w:rPr>
            </w:pPr>
            <w:r w:rsidRPr="008F1678">
              <w:rPr>
                <w:rFonts w:ascii="Arial Narrow" w:hAnsi="Arial Narrow"/>
                <w:b/>
                <w:i w:val="0"/>
                <w:sz w:val="20"/>
                <w:szCs w:val="20"/>
              </w:rPr>
              <w:t>Current proposal</w:t>
            </w:r>
          </w:p>
        </w:tc>
      </w:tr>
      <w:tr w:rsidR="00E17974" w:rsidRPr="008F1678" w:rsidTr="00D60D91">
        <w:trPr>
          <w:cantSplit/>
        </w:trPr>
        <w:tc>
          <w:tcPr>
            <w:tcW w:w="950" w:type="pct"/>
          </w:tcPr>
          <w:p w:rsidR="00E17974" w:rsidRPr="008F1678" w:rsidRDefault="00E17974" w:rsidP="00A020BD">
            <w:pPr>
              <w:pStyle w:val="Bodytextitalics"/>
              <w:jc w:val="left"/>
              <w:rPr>
                <w:rFonts w:ascii="Arial Narrow" w:hAnsi="Arial Narrow"/>
                <w:i w:val="0"/>
                <w:sz w:val="20"/>
                <w:szCs w:val="20"/>
              </w:rPr>
            </w:pPr>
            <w:r w:rsidRPr="008F1678">
              <w:rPr>
                <w:rFonts w:ascii="Arial Narrow" w:hAnsi="Arial Narrow"/>
                <w:i w:val="0"/>
                <w:sz w:val="20"/>
                <w:szCs w:val="20"/>
              </w:rPr>
              <w:t>Requested effective DPMQ</w:t>
            </w:r>
          </w:p>
        </w:tc>
        <w:tc>
          <w:tcPr>
            <w:tcW w:w="1965" w:type="pct"/>
          </w:tcPr>
          <w:p w:rsidR="00E17974" w:rsidRPr="008F1678" w:rsidRDefault="00E17974" w:rsidP="00005342">
            <w:pPr>
              <w:pStyle w:val="Bodytextitalics"/>
              <w:jc w:val="left"/>
              <w:rPr>
                <w:rFonts w:ascii="Arial Narrow" w:hAnsi="Arial Narrow"/>
                <w:i w:val="0"/>
                <w:sz w:val="20"/>
                <w:szCs w:val="20"/>
              </w:rPr>
            </w:pPr>
            <w:r w:rsidRPr="008F1678">
              <w:rPr>
                <w:rFonts w:ascii="Arial Narrow" w:hAnsi="Arial Narrow"/>
                <w:i w:val="0"/>
                <w:sz w:val="20"/>
                <w:szCs w:val="20"/>
              </w:rPr>
              <w:t>$</w:t>
            </w:r>
            <w:r w:rsidR="00975575">
              <w:rPr>
                <w:rFonts w:ascii="Arial Narrow" w:hAnsi="Arial Narrow"/>
                <w:i w:val="0"/>
                <w:noProof/>
                <w:color w:val="000000"/>
                <w:sz w:val="20"/>
                <w:szCs w:val="20"/>
                <w:highlight w:val="black"/>
              </w:rPr>
              <w:t>'''''''''''''''''''</w:t>
            </w:r>
          </w:p>
        </w:tc>
        <w:tc>
          <w:tcPr>
            <w:tcW w:w="2085" w:type="pct"/>
          </w:tcPr>
          <w:p w:rsidR="00E17974" w:rsidRPr="008F1678" w:rsidRDefault="00E17974" w:rsidP="00005342">
            <w:pPr>
              <w:pStyle w:val="Bodytextitalics"/>
              <w:jc w:val="left"/>
              <w:rPr>
                <w:rFonts w:ascii="Arial Narrow" w:hAnsi="Arial Narrow"/>
                <w:i w:val="0"/>
                <w:sz w:val="20"/>
                <w:szCs w:val="20"/>
              </w:rPr>
            </w:pPr>
            <w:r w:rsidRPr="008F1678">
              <w:rPr>
                <w:rFonts w:ascii="Arial Narrow" w:hAnsi="Arial Narrow"/>
                <w:i w:val="0"/>
                <w:sz w:val="20"/>
                <w:szCs w:val="20"/>
              </w:rPr>
              <w:t>$</w:t>
            </w:r>
            <w:r w:rsidR="00975575">
              <w:rPr>
                <w:rFonts w:ascii="Arial Narrow" w:hAnsi="Arial Narrow"/>
                <w:i w:val="0"/>
                <w:noProof/>
                <w:color w:val="000000"/>
                <w:sz w:val="20"/>
                <w:szCs w:val="20"/>
                <w:highlight w:val="black"/>
              </w:rPr>
              <w:t>'''''''''''''''''''</w:t>
            </w:r>
          </w:p>
        </w:tc>
      </w:tr>
      <w:tr w:rsidR="0035248B" w:rsidRPr="008F1678" w:rsidTr="00D60D91">
        <w:trPr>
          <w:cantSplit/>
        </w:trPr>
        <w:tc>
          <w:tcPr>
            <w:tcW w:w="5000" w:type="pct"/>
            <w:gridSpan w:val="3"/>
          </w:tcPr>
          <w:p w:rsidR="0035248B" w:rsidRPr="008F1678" w:rsidRDefault="0035248B" w:rsidP="00A020BD">
            <w:pPr>
              <w:pStyle w:val="Bodytextitalics"/>
              <w:jc w:val="left"/>
              <w:rPr>
                <w:rFonts w:ascii="Arial Narrow" w:hAnsi="Arial Narrow"/>
                <w:b/>
                <w:sz w:val="20"/>
                <w:szCs w:val="20"/>
              </w:rPr>
            </w:pPr>
            <w:r w:rsidRPr="008F1678">
              <w:rPr>
                <w:rFonts w:ascii="Arial Narrow" w:hAnsi="Arial Narrow"/>
                <w:b/>
                <w:i w:val="0"/>
                <w:sz w:val="20"/>
                <w:szCs w:val="20"/>
              </w:rPr>
              <w:t>Economic evaluation</w:t>
            </w:r>
          </w:p>
        </w:tc>
      </w:tr>
      <w:tr w:rsidR="0035248B" w:rsidRPr="008F1678" w:rsidTr="00D60D91">
        <w:trPr>
          <w:cantSplit/>
        </w:trPr>
        <w:tc>
          <w:tcPr>
            <w:tcW w:w="950" w:type="pct"/>
          </w:tcPr>
          <w:p w:rsidR="0035248B" w:rsidRPr="008F1678" w:rsidRDefault="004D38EB" w:rsidP="00A020BD">
            <w:pPr>
              <w:pStyle w:val="Bodytextitalics"/>
              <w:jc w:val="left"/>
              <w:rPr>
                <w:rFonts w:ascii="Arial Narrow" w:hAnsi="Arial Narrow"/>
                <w:i w:val="0"/>
                <w:sz w:val="20"/>
                <w:szCs w:val="20"/>
              </w:rPr>
            </w:pPr>
            <w:r w:rsidRPr="008F1678">
              <w:rPr>
                <w:rFonts w:ascii="Arial Narrow" w:hAnsi="Arial Narrow"/>
                <w:i w:val="0"/>
                <w:sz w:val="20"/>
                <w:szCs w:val="20"/>
              </w:rPr>
              <w:t>Extent of use of p</w:t>
            </w:r>
            <w:r w:rsidR="0035248B" w:rsidRPr="008F1678">
              <w:rPr>
                <w:rFonts w:ascii="Arial Narrow" w:hAnsi="Arial Narrow"/>
                <w:i w:val="0"/>
                <w:sz w:val="20"/>
                <w:szCs w:val="20"/>
              </w:rPr>
              <w:t xml:space="preserve">hototherapy </w:t>
            </w:r>
          </w:p>
        </w:tc>
        <w:tc>
          <w:tcPr>
            <w:tcW w:w="1965" w:type="pct"/>
          </w:tcPr>
          <w:p w:rsidR="0035248B" w:rsidRPr="008F1678" w:rsidRDefault="00105ADA" w:rsidP="00005342">
            <w:pPr>
              <w:pStyle w:val="Bodytextitalics"/>
              <w:jc w:val="left"/>
              <w:rPr>
                <w:rFonts w:ascii="Arial Narrow" w:hAnsi="Arial Narrow"/>
                <w:i w:val="0"/>
                <w:sz w:val="20"/>
                <w:szCs w:val="20"/>
              </w:rPr>
            </w:pPr>
            <w:r w:rsidRPr="008F1678">
              <w:rPr>
                <w:rFonts w:ascii="Arial Narrow" w:hAnsi="Arial Narrow"/>
                <w:i w:val="0"/>
                <w:sz w:val="20"/>
                <w:szCs w:val="20"/>
              </w:rPr>
              <w:t>…t</w:t>
            </w:r>
            <w:r w:rsidR="0035248B" w:rsidRPr="008F1678">
              <w:rPr>
                <w:rFonts w:ascii="Arial Narrow" w:hAnsi="Arial Narrow"/>
                <w:i w:val="0"/>
                <w:sz w:val="20"/>
                <w:szCs w:val="20"/>
              </w:rPr>
              <w:t>he PBAC agreed with the ESC that the magnitude of cost offsets from phototherapy applied in the model was not reasonable, particularly as the model included no effectiveness from phototherapy utilisation</w:t>
            </w:r>
            <w:r w:rsidRPr="008F1678">
              <w:rPr>
                <w:rFonts w:ascii="Arial Narrow" w:hAnsi="Arial Narrow"/>
                <w:i w:val="0"/>
                <w:sz w:val="20"/>
                <w:szCs w:val="20"/>
              </w:rPr>
              <w:t xml:space="preserve"> (paragraph 7.15, Dupilumab PSD, March 2020 PBAC Meeting)</w:t>
            </w:r>
            <w:r w:rsidR="0035248B" w:rsidRPr="008F1678">
              <w:rPr>
                <w:rFonts w:ascii="Arial Narrow" w:hAnsi="Arial Narrow"/>
                <w:i w:val="0"/>
                <w:sz w:val="20"/>
                <w:szCs w:val="20"/>
              </w:rPr>
              <w:t>.</w:t>
            </w:r>
          </w:p>
        </w:tc>
        <w:tc>
          <w:tcPr>
            <w:tcW w:w="2085" w:type="pct"/>
          </w:tcPr>
          <w:p w:rsidR="0035248B" w:rsidRPr="008F1678" w:rsidRDefault="0035248B" w:rsidP="00005342">
            <w:pPr>
              <w:pStyle w:val="Bodytextitalics"/>
              <w:jc w:val="left"/>
              <w:rPr>
                <w:rFonts w:ascii="Arial Narrow" w:hAnsi="Arial Narrow"/>
                <w:i w:val="0"/>
                <w:sz w:val="20"/>
                <w:szCs w:val="20"/>
              </w:rPr>
            </w:pPr>
            <w:r w:rsidRPr="008F1678">
              <w:rPr>
                <w:rFonts w:ascii="Arial Narrow" w:hAnsi="Arial Narrow"/>
                <w:i w:val="0"/>
                <w:sz w:val="20"/>
                <w:szCs w:val="20"/>
              </w:rPr>
              <w:t xml:space="preserve">Number of phototherapy treatments per week reduced </w:t>
            </w:r>
            <w:r w:rsidR="00C8128C" w:rsidRPr="008F1678">
              <w:rPr>
                <w:rFonts w:ascii="Arial Narrow" w:hAnsi="Arial Narrow"/>
                <w:i w:val="0"/>
                <w:sz w:val="20"/>
                <w:szCs w:val="20"/>
              </w:rPr>
              <w:t xml:space="preserve">in the economic model </w:t>
            </w:r>
            <w:r w:rsidRPr="008F1678">
              <w:rPr>
                <w:rFonts w:ascii="Arial Narrow" w:hAnsi="Arial Narrow"/>
                <w:i w:val="0"/>
                <w:sz w:val="20"/>
                <w:szCs w:val="20"/>
              </w:rPr>
              <w:t>from 3.0 to 2.0.</w:t>
            </w:r>
          </w:p>
        </w:tc>
      </w:tr>
      <w:tr w:rsidR="0035248B" w:rsidRPr="008F1678" w:rsidTr="00D60D91">
        <w:trPr>
          <w:cantSplit/>
        </w:trPr>
        <w:tc>
          <w:tcPr>
            <w:tcW w:w="950" w:type="pct"/>
          </w:tcPr>
          <w:p w:rsidR="0035248B" w:rsidRPr="008F1678" w:rsidRDefault="0035248B" w:rsidP="00A020BD">
            <w:pPr>
              <w:pStyle w:val="Bodytextitalics"/>
              <w:jc w:val="left"/>
              <w:rPr>
                <w:rFonts w:ascii="Arial Narrow" w:hAnsi="Arial Narrow"/>
                <w:i w:val="0"/>
                <w:sz w:val="20"/>
                <w:szCs w:val="20"/>
              </w:rPr>
            </w:pPr>
            <w:r w:rsidRPr="008F1678">
              <w:rPr>
                <w:rFonts w:ascii="Arial Narrow" w:hAnsi="Arial Narrow"/>
                <w:i w:val="0"/>
                <w:sz w:val="20"/>
                <w:szCs w:val="20"/>
              </w:rPr>
              <w:t>Maintenance of response</w:t>
            </w:r>
          </w:p>
        </w:tc>
        <w:tc>
          <w:tcPr>
            <w:tcW w:w="1965" w:type="pct"/>
          </w:tcPr>
          <w:p w:rsidR="0035248B" w:rsidRPr="008F1678" w:rsidRDefault="00C5349A" w:rsidP="00D70952">
            <w:pPr>
              <w:pStyle w:val="Bodytextitalics"/>
              <w:jc w:val="left"/>
              <w:rPr>
                <w:rFonts w:ascii="Arial Narrow" w:hAnsi="Arial Narrow"/>
                <w:i w:val="0"/>
                <w:sz w:val="20"/>
                <w:szCs w:val="20"/>
              </w:rPr>
            </w:pPr>
            <w:r w:rsidRPr="008F1678">
              <w:rPr>
                <w:rFonts w:ascii="Arial Narrow" w:hAnsi="Arial Narrow"/>
                <w:i w:val="0"/>
                <w:sz w:val="20"/>
                <w:szCs w:val="20"/>
              </w:rPr>
              <w:t>The PBAC noted a differential maintenance of response for dupilumab and SoC was assumed in the economic model. The pre-PBAC response</w:t>
            </w:r>
            <w:r w:rsidR="001660DA" w:rsidRPr="008F1678">
              <w:rPr>
                <w:rFonts w:ascii="Arial Narrow" w:hAnsi="Arial Narrow"/>
                <w:i w:val="0"/>
                <w:sz w:val="20"/>
                <w:szCs w:val="20"/>
              </w:rPr>
              <w:t xml:space="preserve"> argued</w:t>
            </w:r>
            <w:r w:rsidR="00D70952" w:rsidRPr="008F1678">
              <w:rPr>
                <w:rFonts w:ascii="Arial Narrow" w:hAnsi="Arial Narrow"/>
                <w:i w:val="0"/>
                <w:sz w:val="20"/>
                <w:szCs w:val="20"/>
              </w:rPr>
              <w:t>,</w:t>
            </w:r>
            <w:r w:rsidRPr="008F1678">
              <w:rPr>
                <w:rFonts w:ascii="Arial Narrow" w:hAnsi="Arial Narrow"/>
                <w:i w:val="0"/>
                <w:sz w:val="20"/>
                <w:szCs w:val="20"/>
              </w:rPr>
              <w:t xml:space="preserve"> rather than applying the same </w:t>
            </w:r>
            <w:r w:rsidRPr="008F1678">
              <w:rPr>
                <w:rFonts w:ascii="Arial Narrow" w:hAnsi="Arial Narrow"/>
                <w:i w:val="0"/>
                <w:sz w:val="20"/>
                <w:szCs w:val="20"/>
                <w:u w:val="single"/>
              </w:rPr>
              <w:t>relative</w:t>
            </w:r>
            <w:r w:rsidRPr="008F1678">
              <w:rPr>
                <w:rFonts w:ascii="Arial Narrow" w:hAnsi="Arial Narrow"/>
                <w:i w:val="0"/>
                <w:sz w:val="20"/>
                <w:szCs w:val="20"/>
              </w:rPr>
              <w:t xml:space="preserve"> reduction to the response rate</w:t>
            </w:r>
            <w:r w:rsidR="00C8128C" w:rsidRPr="008F1678">
              <w:rPr>
                <w:rFonts w:ascii="Arial Narrow" w:hAnsi="Arial Narrow"/>
                <w:i w:val="0"/>
                <w:sz w:val="20"/>
                <w:szCs w:val="20"/>
              </w:rPr>
              <w:t>s</w:t>
            </w:r>
            <w:r w:rsidRPr="008F1678">
              <w:rPr>
                <w:rFonts w:ascii="Arial Narrow" w:hAnsi="Arial Narrow"/>
                <w:i w:val="0"/>
                <w:sz w:val="20"/>
                <w:szCs w:val="20"/>
              </w:rPr>
              <w:t xml:space="preserve"> over time </w:t>
            </w:r>
            <w:r w:rsidR="00C8128C" w:rsidRPr="008F1678">
              <w:rPr>
                <w:rFonts w:ascii="Arial Narrow" w:hAnsi="Arial Narrow"/>
                <w:i w:val="0"/>
                <w:sz w:val="20"/>
                <w:szCs w:val="20"/>
              </w:rPr>
              <w:t>(as had been done in the evaluation)</w:t>
            </w:r>
            <w:r w:rsidR="00D70952" w:rsidRPr="008F1678">
              <w:rPr>
                <w:rFonts w:ascii="Arial Narrow" w:hAnsi="Arial Narrow"/>
                <w:i w:val="0"/>
                <w:sz w:val="20"/>
                <w:szCs w:val="20"/>
              </w:rPr>
              <w:t>,</w:t>
            </w:r>
            <w:r w:rsidR="00C8128C" w:rsidRPr="008F1678">
              <w:rPr>
                <w:rFonts w:ascii="Arial Narrow" w:hAnsi="Arial Narrow"/>
                <w:i w:val="0"/>
                <w:sz w:val="20"/>
                <w:szCs w:val="20"/>
              </w:rPr>
              <w:t xml:space="preserve"> that the same </w:t>
            </w:r>
            <w:r w:rsidR="00C8128C" w:rsidRPr="008F1678">
              <w:rPr>
                <w:rFonts w:ascii="Arial Narrow" w:hAnsi="Arial Narrow"/>
                <w:i w:val="0"/>
                <w:sz w:val="20"/>
                <w:szCs w:val="20"/>
                <w:u w:val="single"/>
              </w:rPr>
              <w:t>absolute</w:t>
            </w:r>
            <w:r w:rsidR="00C8128C" w:rsidRPr="008F1678">
              <w:rPr>
                <w:rFonts w:ascii="Arial Narrow" w:hAnsi="Arial Narrow"/>
                <w:i w:val="0"/>
                <w:sz w:val="20"/>
                <w:szCs w:val="20"/>
              </w:rPr>
              <w:t xml:space="preserve"> reduction should be applied. </w:t>
            </w:r>
            <w:r w:rsidR="00432DED" w:rsidRPr="008F1678">
              <w:rPr>
                <w:rFonts w:ascii="Arial Narrow" w:hAnsi="Arial Narrow"/>
                <w:i w:val="0"/>
                <w:sz w:val="20"/>
                <w:szCs w:val="20"/>
              </w:rPr>
              <w:t xml:space="preserve">(paragraph 7.16, Dupilumab ratified </w:t>
            </w:r>
            <w:r w:rsidR="00133DF9">
              <w:rPr>
                <w:rFonts w:ascii="Arial Narrow" w:hAnsi="Arial Narrow"/>
                <w:i w:val="0"/>
                <w:sz w:val="20"/>
                <w:szCs w:val="20"/>
              </w:rPr>
              <w:t>PSD</w:t>
            </w:r>
            <w:r w:rsidR="00432DED" w:rsidRPr="008F1678">
              <w:rPr>
                <w:rFonts w:ascii="Arial Narrow" w:hAnsi="Arial Narrow"/>
                <w:i w:val="0"/>
                <w:sz w:val="20"/>
                <w:szCs w:val="20"/>
              </w:rPr>
              <w:t>, March 2020 PBAC Meeting).</w:t>
            </w:r>
          </w:p>
        </w:tc>
        <w:tc>
          <w:tcPr>
            <w:tcW w:w="2085" w:type="pct"/>
          </w:tcPr>
          <w:p w:rsidR="0035248B" w:rsidRPr="008F1678" w:rsidRDefault="00C8128C" w:rsidP="00005342">
            <w:pPr>
              <w:pStyle w:val="Bodytextitalics"/>
              <w:jc w:val="left"/>
              <w:rPr>
                <w:rFonts w:ascii="Arial Narrow" w:hAnsi="Arial Narrow"/>
                <w:i w:val="0"/>
                <w:sz w:val="20"/>
                <w:szCs w:val="20"/>
              </w:rPr>
            </w:pPr>
            <w:r w:rsidRPr="008F1678">
              <w:rPr>
                <w:rFonts w:ascii="Arial Narrow" w:hAnsi="Arial Narrow"/>
                <w:i w:val="0"/>
                <w:sz w:val="20"/>
                <w:szCs w:val="20"/>
              </w:rPr>
              <w:t xml:space="preserve">Maintenance of response in the </w:t>
            </w:r>
            <w:r w:rsidR="001660DA" w:rsidRPr="008F1678">
              <w:rPr>
                <w:rFonts w:ascii="Arial Narrow" w:hAnsi="Arial Narrow"/>
                <w:i w:val="0"/>
                <w:sz w:val="20"/>
                <w:szCs w:val="20"/>
              </w:rPr>
              <w:t xml:space="preserve">revised </w:t>
            </w:r>
            <w:r w:rsidRPr="008F1678">
              <w:rPr>
                <w:rFonts w:ascii="Arial Narrow" w:hAnsi="Arial Narrow"/>
                <w:i w:val="0"/>
                <w:sz w:val="20"/>
                <w:szCs w:val="20"/>
              </w:rPr>
              <w:t xml:space="preserve">economic model </w:t>
            </w:r>
            <w:r w:rsidR="001660DA" w:rsidRPr="008F1678">
              <w:rPr>
                <w:rFonts w:ascii="Arial Narrow" w:hAnsi="Arial Narrow"/>
                <w:i w:val="0"/>
                <w:sz w:val="20"/>
                <w:szCs w:val="20"/>
              </w:rPr>
              <w:t xml:space="preserve">is </w:t>
            </w:r>
            <w:r w:rsidRPr="008F1678">
              <w:rPr>
                <w:rFonts w:ascii="Arial Narrow" w:hAnsi="Arial Narrow"/>
                <w:i w:val="0"/>
                <w:sz w:val="20"/>
                <w:szCs w:val="20"/>
              </w:rPr>
              <w:t xml:space="preserve">based </w:t>
            </w:r>
            <w:r w:rsidR="00D70952" w:rsidRPr="008F1678">
              <w:rPr>
                <w:rFonts w:ascii="Arial Narrow" w:hAnsi="Arial Narrow"/>
                <w:i w:val="0"/>
                <w:sz w:val="20"/>
                <w:szCs w:val="20"/>
              </w:rPr>
              <w:t xml:space="preserve">on </w:t>
            </w:r>
            <w:r w:rsidR="001660DA" w:rsidRPr="008F1678">
              <w:rPr>
                <w:rFonts w:ascii="Arial Narrow" w:hAnsi="Arial Narrow"/>
                <w:i w:val="0"/>
                <w:sz w:val="20"/>
                <w:szCs w:val="20"/>
              </w:rPr>
              <w:t xml:space="preserve">use of the </w:t>
            </w:r>
            <w:r w:rsidRPr="008F1678">
              <w:rPr>
                <w:rFonts w:ascii="Arial Narrow" w:hAnsi="Arial Narrow"/>
                <w:i w:val="0"/>
                <w:sz w:val="20"/>
                <w:szCs w:val="20"/>
              </w:rPr>
              <w:t>same absolute reduction over time as presented</w:t>
            </w:r>
            <w:r w:rsidR="0035248B" w:rsidRPr="008F1678">
              <w:rPr>
                <w:rFonts w:ascii="Arial Narrow" w:hAnsi="Arial Narrow"/>
                <w:i w:val="0"/>
                <w:sz w:val="20"/>
                <w:szCs w:val="20"/>
              </w:rPr>
              <w:t xml:space="preserve"> in</w:t>
            </w:r>
            <w:r w:rsidRPr="008F1678">
              <w:rPr>
                <w:rFonts w:ascii="Arial Narrow" w:hAnsi="Arial Narrow"/>
                <w:i w:val="0"/>
                <w:sz w:val="20"/>
                <w:szCs w:val="20"/>
              </w:rPr>
              <w:t xml:space="preserve"> the</w:t>
            </w:r>
            <w:r w:rsidR="0035248B" w:rsidRPr="008F1678">
              <w:rPr>
                <w:rFonts w:ascii="Arial Narrow" w:hAnsi="Arial Narrow"/>
                <w:i w:val="0"/>
                <w:sz w:val="20"/>
                <w:szCs w:val="20"/>
              </w:rPr>
              <w:t xml:space="preserve"> March 2020 </w:t>
            </w:r>
            <w:r w:rsidR="00D23E3D" w:rsidRPr="008F1678">
              <w:rPr>
                <w:rFonts w:ascii="Arial Narrow" w:hAnsi="Arial Narrow"/>
                <w:i w:val="0"/>
                <w:sz w:val="20"/>
                <w:szCs w:val="20"/>
              </w:rPr>
              <w:t>p</w:t>
            </w:r>
            <w:r w:rsidR="0035248B" w:rsidRPr="008F1678">
              <w:rPr>
                <w:rFonts w:ascii="Arial Narrow" w:hAnsi="Arial Narrow"/>
                <w:i w:val="0"/>
                <w:sz w:val="20"/>
                <w:szCs w:val="20"/>
              </w:rPr>
              <w:t>re-PBAC response.</w:t>
            </w:r>
          </w:p>
          <w:p w:rsidR="0035248B" w:rsidRPr="008F1678" w:rsidRDefault="0035248B" w:rsidP="00005342">
            <w:pPr>
              <w:pStyle w:val="Bodytextitalics"/>
              <w:jc w:val="left"/>
              <w:rPr>
                <w:rFonts w:ascii="Arial Narrow" w:hAnsi="Arial Narrow"/>
                <w:i w:val="0"/>
                <w:sz w:val="20"/>
                <w:szCs w:val="20"/>
              </w:rPr>
            </w:pPr>
          </w:p>
        </w:tc>
      </w:tr>
      <w:tr w:rsidR="0035248B" w:rsidRPr="008F1678" w:rsidTr="00D60D91">
        <w:trPr>
          <w:cantSplit/>
          <w:trHeight w:val="658"/>
        </w:trPr>
        <w:tc>
          <w:tcPr>
            <w:tcW w:w="950" w:type="pct"/>
          </w:tcPr>
          <w:p w:rsidR="0035248B" w:rsidRPr="008F1678" w:rsidRDefault="0035248B" w:rsidP="00A020BD">
            <w:pPr>
              <w:pStyle w:val="Bodytextitalics"/>
              <w:jc w:val="left"/>
              <w:rPr>
                <w:rFonts w:ascii="Arial Narrow" w:hAnsi="Arial Narrow"/>
                <w:i w:val="0"/>
                <w:sz w:val="20"/>
                <w:szCs w:val="20"/>
              </w:rPr>
            </w:pPr>
            <w:r w:rsidRPr="008F1678">
              <w:rPr>
                <w:rFonts w:ascii="Arial Narrow" w:hAnsi="Arial Narrow"/>
                <w:i w:val="0"/>
                <w:sz w:val="20"/>
                <w:szCs w:val="20"/>
              </w:rPr>
              <w:t>Medical resource unit costs</w:t>
            </w:r>
          </w:p>
        </w:tc>
        <w:tc>
          <w:tcPr>
            <w:tcW w:w="1965" w:type="pct"/>
          </w:tcPr>
          <w:p w:rsidR="0035248B" w:rsidRPr="008F1678" w:rsidRDefault="00307DAB" w:rsidP="00005342">
            <w:pPr>
              <w:pStyle w:val="Bodytextitalics"/>
              <w:jc w:val="left"/>
              <w:rPr>
                <w:rFonts w:ascii="Arial Narrow" w:hAnsi="Arial Narrow"/>
                <w:i w:val="0"/>
                <w:sz w:val="20"/>
                <w:szCs w:val="20"/>
              </w:rPr>
            </w:pPr>
            <w:r w:rsidRPr="008F1678">
              <w:rPr>
                <w:rFonts w:ascii="Arial Narrow" w:hAnsi="Arial Narrow"/>
                <w:i w:val="0"/>
                <w:sz w:val="20"/>
                <w:szCs w:val="20"/>
              </w:rPr>
              <w:t xml:space="preserve">As per </w:t>
            </w:r>
            <w:r w:rsidR="009E0B03" w:rsidRPr="008F1678">
              <w:rPr>
                <w:rFonts w:ascii="Arial Narrow" w:hAnsi="Arial Narrow"/>
                <w:i w:val="0"/>
                <w:sz w:val="20"/>
                <w:szCs w:val="20"/>
              </w:rPr>
              <w:t xml:space="preserve">submission. </w:t>
            </w:r>
          </w:p>
        </w:tc>
        <w:tc>
          <w:tcPr>
            <w:tcW w:w="2085" w:type="pct"/>
          </w:tcPr>
          <w:p w:rsidR="0035248B" w:rsidRPr="008F1678" w:rsidRDefault="00187A55" w:rsidP="00005342">
            <w:pPr>
              <w:pStyle w:val="Bodytextitalics"/>
              <w:jc w:val="left"/>
              <w:rPr>
                <w:rFonts w:ascii="Arial Narrow" w:hAnsi="Arial Narrow"/>
                <w:sz w:val="20"/>
                <w:szCs w:val="20"/>
              </w:rPr>
            </w:pPr>
            <w:r w:rsidRPr="008F1678">
              <w:rPr>
                <w:rFonts w:ascii="Arial Narrow" w:hAnsi="Arial Narrow"/>
                <w:i w:val="0"/>
                <w:sz w:val="20"/>
                <w:szCs w:val="20"/>
              </w:rPr>
              <w:t>U</w:t>
            </w:r>
            <w:r w:rsidR="0035248B" w:rsidRPr="008F1678">
              <w:rPr>
                <w:rFonts w:ascii="Arial Narrow" w:hAnsi="Arial Narrow"/>
                <w:i w:val="0"/>
                <w:sz w:val="20"/>
                <w:szCs w:val="20"/>
              </w:rPr>
              <w:t xml:space="preserve">nit costs for medical resource utilisation </w:t>
            </w:r>
            <w:r w:rsidRPr="008F1678">
              <w:rPr>
                <w:rFonts w:ascii="Arial Narrow" w:hAnsi="Arial Narrow"/>
                <w:i w:val="0"/>
                <w:sz w:val="20"/>
                <w:szCs w:val="20"/>
              </w:rPr>
              <w:t xml:space="preserve">updated </w:t>
            </w:r>
            <w:r w:rsidR="0035248B" w:rsidRPr="008F1678">
              <w:rPr>
                <w:rFonts w:ascii="Arial Narrow" w:hAnsi="Arial Narrow"/>
                <w:i w:val="0"/>
                <w:sz w:val="20"/>
                <w:szCs w:val="20"/>
              </w:rPr>
              <w:t>in economic model to reflect 2020 costs</w:t>
            </w:r>
            <w:r w:rsidRPr="008F1678">
              <w:rPr>
                <w:rFonts w:ascii="Arial Narrow" w:hAnsi="Arial Narrow"/>
                <w:i w:val="0"/>
                <w:sz w:val="20"/>
                <w:szCs w:val="20"/>
              </w:rPr>
              <w:t xml:space="preserve"> (see Table 6 of sponsor’s proposal)</w:t>
            </w:r>
            <w:r w:rsidR="0035248B" w:rsidRPr="008F1678">
              <w:rPr>
                <w:rFonts w:ascii="Arial Narrow" w:hAnsi="Arial Narrow"/>
                <w:i w:val="0"/>
                <w:sz w:val="20"/>
                <w:szCs w:val="20"/>
              </w:rPr>
              <w:t>.</w:t>
            </w:r>
          </w:p>
        </w:tc>
      </w:tr>
      <w:tr w:rsidR="00C5349A" w:rsidRPr="008F1678" w:rsidTr="00D60D91">
        <w:trPr>
          <w:cantSplit/>
        </w:trPr>
        <w:tc>
          <w:tcPr>
            <w:tcW w:w="950" w:type="pct"/>
          </w:tcPr>
          <w:p w:rsidR="00C5349A" w:rsidRPr="008F1678" w:rsidRDefault="00C5349A" w:rsidP="00A020BD">
            <w:pPr>
              <w:pStyle w:val="Bodytextitalics"/>
              <w:jc w:val="left"/>
              <w:rPr>
                <w:rFonts w:ascii="Arial Narrow" w:hAnsi="Arial Narrow"/>
                <w:i w:val="0"/>
                <w:sz w:val="20"/>
                <w:szCs w:val="20"/>
              </w:rPr>
            </w:pPr>
            <w:r w:rsidRPr="008F1678">
              <w:rPr>
                <w:rFonts w:ascii="Arial Narrow" w:hAnsi="Arial Narrow"/>
                <w:i w:val="0"/>
                <w:sz w:val="20"/>
                <w:szCs w:val="20"/>
              </w:rPr>
              <w:t>ICER</w:t>
            </w:r>
          </w:p>
        </w:tc>
        <w:tc>
          <w:tcPr>
            <w:tcW w:w="1965" w:type="pct"/>
          </w:tcPr>
          <w:p w:rsidR="00187A55" w:rsidRPr="008F1678" w:rsidRDefault="00C5349A" w:rsidP="00D70952">
            <w:pPr>
              <w:pStyle w:val="Bodytextitalics"/>
              <w:jc w:val="left"/>
              <w:rPr>
                <w:rFonts w:ascii="Arial Narrow" w:hAnsi="Arial Narrow"/>
                <w:i w:val="0"/>
                <w:sz w:val="20"/>
                <w:szCs w:val="20"/>
              </w:rPr>
            </w:pPr>
            <w:r w:rsidRPr="008F1678">
              <w:rPr>
                <w:rFonts w:ascii="Arial Narrow" w:hAnsi="Arial Narrow"/>
                <w:i w:val="0"/>
                <w:sz w:val="20"/>
                <w:szCs w:val="20"/>
              </w:rPr>
              <w:t>Overall in relation to the cost-effectiveness of dupilumab, the PBAC noted the base case ICERs presented in the resubmission were $</w:t>
            </w:r>
            <w:r w:rsidR="00975575">
              <w:rPr>
                <w:rFonts w:ascii="Arial Narrow" w:hAnsi="Arial Narrow"/>
                <w:i w:val="0"/>
                <w:noProof/>
                <w:color w:val="000000"/>
                <w:sz w:val="20"/>
                <w:szCs w:val="20"/>
                <w:highlight w:val="black"/>
              </w:rPr>
              <w:t>''''''''''''''''</w:t>
            </w:r>
            <w:r w:rsidR="00954814" w:rsidRPr="005513B1">
              <w:rPr>
                <w:rFonts w:ascii="Arial Narrow" w:hAnsi="Arial Narrow"/>
                <w:i w:val="0"/>
                <w:sz w:val="20"/>
                <w:szCs w:val="20"/>
                <w:vertAlign w:val="superscript"/>
              </w:rPr>
              <w:t>1</w:t>
            </w:r>
            <w:r w:rsidRPr="008F1678">
              <w:rPr>
                <w:rFonts w:ascii="Arial Narrow" w:hAnsi="Arial Narrow"/>
                <w:i w:val="0"/>
                <w:sz w:val="20"/>
                <w:szCs w:val="20"/>
              </w:rPr>
              <w:t xml:space="preserve">/QALY </w:t>
            </w:r>
            <w:r w:rsidRPr="00133DF9">
              <w:rPr>
                <w:rFonts w:ascii="Arial Narrow" w:hAnsi="Arial Narrow"/>
                <w:i w:val="0"/>
                <w:sz w:val="20"/>
                <w:szCs w:val="20"/>
              </w:rPr>
              <w:t xml:space="preserve">for </w:t>
            </w:r>
            <w:r w:rsidRPr="008F1678">
              <w:rPr>
                <w:rFonts w:ascii="Arial Narrow" w:hAnsi="Arial Narrow"/>
                <w:i w:val="0"/>
                <w:sz w:val="20"/>
                <w:szCs w:val="20"/>
              </w:rPr>
              <w:t>the CsA-</w:t>
            </w:r>
            <w:r w:rsidR="00081482" w:rsidRPr="008F1678">
              <w:rPr>
                <w:rFonts w:ascii="Arial Narrow" w:hAnsi="Arial Narrow"/>
                <w:i w:val="0"/>
                <w:sz w:val="20"/>
                <w:szCs w:val="20"/>
              </w:rPr>
              <w:t>naive</w:t>
            </w:r>
            <w:r w:rsidR="00081482" w:rsidRPr="008F1678">
              <w:rPr>
                <w:rFonts w:ascii="Arial Narrow" w:hAnsi="Arial Narrow"/>
                <w:i w:val="0"/>
                <w:sz w:val="20"/>
                <w:szCs w:val="20"/>
                <w:vertAlign w:val="superscript"/>
              </w:rPr>
              <w:t>a</w:t>
            </w:r>
            <w:r w:rsidRPr="008F1678">
              <w:rPr>
                <w:rFonts w:ascii="Arial Narrow" w:hAnsi="Arial Narrow"/>
                <w:i w:val="0"/>
                <w:sz w:val="20"/>
                <w:szCs w:val="20"/>
              </w:rPr>
              <w:t xml:space="preserve"> population and $</w:t>
            </w:r>
            <w:r w:rsidR="00975575">
              <w:rPr>
                <w:rFonts w:ascii="Arial Narrow" w:hAnsi="Arial Narrow"/>
                <w:i w:val="0"/>
                <w:noProof/>
                <w:color w:val="000000"/>
                <w:sz w:val="20"/>
                <w:szCs w:val="20"/>
                <w:highlight w:val="black"/>
              </w:rPr>
              <w:t>''''''''''''''''''</w:t>
            </w:r>
            <w:r w:rsidR="00954814" w:rsidRPr="005513B1">
              <w:rPr>
                <w:rFonts w:ascii="Arial Narrow" w:hAnsi="Arial Narrow"/>
                <w:i w:val="0"/>
                <w:sz w:val="20"/>
                <w:szCs w:val="20"/>
                <w:vertAlign w:val="superscript"/>
              </w:rPr>
              <w:t>2</w:t>
            </w:r>
            <w:r w:rsidRPr="008F1678">
              <w:rPr>
                <w:rFonts w:ascii="Arial Narrow" w:hAnsi="Arial Narrow"/>
                <w:i w:val="0"/>
                <w:sz w:val="20"/>
                <w:szCs w:val="20"/>
              </w:rPr>
              <w:t>/QALY for the CsA-</w:t>
            </w:r>
            <w:r w:rsidR="00081482" w:rsidRPr="008F1678">
              <w:rPr>
                <w:rFonts w:ascii="Arial Narrow" w:hAnsi="Arial Narrow"/>
                <w:i w:val="0"/>
                <w:sz w:val="20"/>
                <w:szCs w:val="20"/>
              </w:rPr>
              <w:t>experienced</w:t>
            </w:r>
            <w:r w:rsidR="00081482" w:rsidRPr="008F1678">
              <w:rPr>
                <w:rFonts w:ascii="Arial Narrow" w:hAnsi="Arial Narrow"/>
                <w:i w:val="0"/>
                <w:sz w:val="20"/>
                <w:szCs w:val="20"/>
                <w:vertAlign w:val="superscript"/>
              </w:rPr>
              <w:t>a</w:t>
            </w:r>
            <w:r w:rsidRPr="008F1678">
              <w:rPr>
                <w:rFonts w:ascii="Arial Narrow" w:hAnsi="Arial Narrow"/>
                <w:i w:val="0"/>
                <w:sz w:val="20"/>
                <w:szCs w:val="20"/>
              </w:rPr>
              <w:t xml:space="preserve"> population.</w:t>
            </w:r>
            <w:r w:rsidRPr="008F1678">
              <w:rPr>
                <w:rFonts w:ascii="Arial Narrow" w:hAnsi="Arial Narrow"/>
                <w:sz w:val="20"/>
                <w:szCs w:val="20"/>
              </w:rPr>
              <w:t xml:space="preserve"> </w:t>
            </w:r>
            <w:r w:rsidR="00187A55" w:rsidRPr="008F1678">
              <w:rPr>
                <w:rFonts w:ascii="Arial Narrow" w:hAnsi="Arial Narrow"/>
                <w:i w:val="0"/>
                <w:sz w:val="20"/>
                <w:szCs w:val="20"/>
              </w:rPr>
              <w:t>The PBAC considered the ICERs to be underestimated due to overestimating the extent of phototherapy use</w:t>
            </w:r>
            <w:r w:rsidR="00D70952" w:rsidRPr="008F1678">
              <w:rPr>
                <w:rFonts w:ascii="Arial Narrow" w:hAnsi="Arial Narrow"/>
                <w:i w:val="0"/>
                <w:sz w:val="20"/>
                <w:szCs w:val="20"/>
              </w:rPr>
              <w:t xml:space="preserve"> and</w:t>
            </w:r>
            <w:r w:rsidR="00187A55" w:rsidRPr="008F1678">
              <w:rPr>
                <w:rFonts w:ascii="Arial Narrow" w:hAnsi="Arial Narrow"/>
                <w:i w:val="0"/>
                <w:sz w:val="20"/>
                <w:szCs w:val="20"/>
              </w:rPr>
              <w:t xml:space="preserve"> the submission’s assumptions regarding maintenance of response. </w:t>
            </w:r>
            <w:r w:rsidRPr="008F1678">
              <w:rPr>
                <w:rFonts w:ascii="Arial Narrow" w:hAnsi="Arial Narrow"/>
                <w:i w:val="0"/>
                <w:sz w:val="20"/>
                <w:szCs w:val="20"/>
              </w:rPr>
              <w:t>The PBAC considered that the effective price for dupilumab should be reduced to address the likely underestimation of the ICER (paragraph 7.17, Dupilumab PSD, March 2020 PBAC Meeting).</w:t>
            </w:r>
          </w:p>
        </w:tc>
        <w:tc>
          <w:tcPr>
            <w:tcW w:w="2085" w:type="pct"/>
          </w:tcPr>
          <w:p w:rsidR="00C5349A" w:rsidRPr="008F1678" w:rsidRDefault="00187A55" w:rsidP="00005342">
            <w:pPr>
              <w:pStyle w:val="Bodytextitalics"/>
              <w:jc w:val="left"/>
              <w:rPr>
                <w:rFonts w:ascii="Arial Narrow" w:hAnsi="Arial Narrow"/>
                <w:i w:val="0"/>
                <w:sz w:val="20"/>
                <w:szCs w:val="20"/>
              </w:rPr>
            </w:pPr>
            <w:r w:rsidRPr="008F1678">
              <w:rPr>
                <w:rFonts w:ascii="Arial Narrow" w:hAnsi="Arial Narrow"/>
                <w:i w:val="0"/>
                <w:sz w:val="20"/>
                <w:szCs w:val="20"/>
              </w:rPr>
              <w:t xml:space="preserve">ICERs for economic model with revised effective price, use of phototherapy, maintenance of response and medical resource unit costs: </w:t>
            </w:r>
          </w:p>
          <w:p w:rsidR="00187A55" w:rsidRPr="008F1678" w:rsidRDefault="00187A55" w:rsidP="00005342">
            <w:pPr>
              <w:pStyle w:val="Bodytextitalics"/>
              <w:numPr>
                <w:ilvl w:val="0"/>
                <w:numId w:val="20"/>
              </w:numPr>
              <w:jc w:val="left"/>
              <w:rPr>
                <w:rFonts w:ascii="Arial Narrow" w:hAnsi="Arial Narrow"/>
                <w:i w:val="0"/>
                <w:sz w:val="20"/>
                <w:szCs w:val="20"/>
              </w:rPr>
            </w:pPr>
            <w:r w:rsidRPr="008F1678">
              <w:rPr>
                <w:rFonts w:ascii="Arial Narrow" w:hAnsi="Arial Narrow"/>
                <w:i w:val="0"/>
                <w:sz w:val="20"/>
                <w:szCs w:val="20"/>
              </w:rPr>
              <w:t>$</w:t>
            </w:r>
            <w:r w:rsidR="00975575">
              <w:rPr>
                <w:rFonts w:ascii="Arial Narrow" w:hAnsi="Arial Narrow"/>
                <w:i w:val="0"/>
                <w:noProof/>
                <w:color w:val="000000"/>
                <w:sz w:val="20"/>
                <w:szCs w:val="20"/>
                <w:highlight w:val="black"/>
              </w:rPr>
              <w:t>'''''''''''''''</w:t>
            </w:r>
            <w:r w:rsidR="00954814" w:rsidRPr="005513B1">
              <w:rPr>
                <w:rFonts w:ascii="Arial Narrow" w:hAnsi="Arial Narrow"/>
                <w:i w:val="0"/>
                <w:sz w:val="20"/>
                <w:szCs w:val="20"/>
                <w:vertAlign w:val="superscript"/>
              </w:rPr>
              <w:t>2</w:t>
            </w:r>
            <w:r w:rsidR="001660DA" w:rsidRPr="008F1678">
              <w:rPr>
                <w:rFonts w:ascii="Arial Narrow" w:hAnsi="Arial Narrow"/>
                <w:i w:val="0"/>
                <w:sz w:val="20"/>
                <w:szCs w:val="20"/>
              </w:rPr>
              <w:t>/QALY</w:t>
            </w:r>
            <w:r w:rsidR="00081482" w:rsidRPr="008F1678">
              <w:rPr>
                <w:rFonts w:ascii="Arial Narrow" w:hAnsi="Arial Narrow"/>
                <w:i w:val="0"/>
                <w:sz w:val="20"/>
                <w:szCs w:val="20"/>
              </w:rPr>
              <w:t xml:space="preserve"> for CsA-naïve</w:t>
            </w:r>
          </w:p>
          <w:p w:rsidR="00081482" w:rsidRPr="008F1678" w:rsidRDefault="00081482" w:rsidP="00005342">
            <w:pPr>
              <w:pStyle w:val="Bodytextitalics"/>
              <w:numPr>
                <w:ilvl w:val="0"/>
                <w:numId w:val="20"/>
              </w:numPr>
              <w:jc w:val="left"/>
              <w:rPr>
                <w:rFonts w:ascii="Arial Narrow" w:hAnsi="Arial Narrow"/>
                <w:i w:val="0"/>
                <w:sz w:val="20"/>
                <w:szCs w:val="20"/>
              </w:rPr>
            </w:pPr>
            <w:r w:rsidRPr="008F1678">
              <w:rPr>
                <w:rFonts w:ascii="Arial Narrow" w:hAnsi="Arial Narrow"/>
                <w:i w:val="0"/>
                <w:sz w:val="20"/>
                <w:szCs w:val="20"/>
              </w:rPr>
              <w:t>$</w:t>
            </w:r>
            <w:r w:rsidR="00975575">
              <w:rPr>
                <w:rFonts w:ascii="Arial Narrow" w:hAnsi="Arial Narrow"/>
                <w:i w:val="0"/>
                <w:noProof/>
                <w:color w:val="000000"/>
                <w:sz w:val="20"/>
                <w:szCs w:val="20"/>
                <w:highlight w:val="black"/>
              </w:rPr>
              <w:t>'''''''''''''''</w:t>
            </w:r>
            <w:r w:rsidR="00954814" w:rsidRPr="005513B1">
              <w:rPr>
                <w:rFonts w:ascii="Arial Narrow" w:hAnsi="Arial Narrow"/>
                <w:i w:val="0"/>
                <w:sz w:val="20"/>
                <w:szCs w:val="20"/>
                <w:vertAlign w:val="superscript"/>
              </w:rPr>
              <w:t>3</w:t>
            </w:r>
            <w:r w:rsidR="001660DA" w:rsidRPr="008F1678">
              <w:rPr>
                <w:rFonts w:ascii="Arial Narrow" w:hAnsi="Arial Narrow"/>
                <w:i w:val="0"/>
                <w:sz w:val="20"/>
                <w:szCs w:val="20"/>
              </w:rPr>
              <w:t>/QALY</w:t>
            </w:r>
            <w:r w:rsidRPr="008F1678">
              <w:rPr>
                <w:rFonts w:ascii="Arial Narrow" w:hAnsi="Arial Narrow"/>
                <w:i w:val="0"/>
                <w:sz w:val="20"/>
                <w:szCs w:val="20"/>
              </w:rPr>
              <w:t xml:space="preserve"> for CsA-experience</w:t>
            </w:r>
          </w:p>
          <w:p w:rsidR="00C5349A" w:rsidRPr="008F1678" w:rsidRDefault="00C5349A" w:rsidP="00005342">
            <w:pPr>
              <w:pStyle w:val="Bodytextitalics"/>
              <w:jc w:val="left"/>
              <w:rPr>
                <w:rFonts w:ascii="Arial Narrow" w:hAnsi="Arial Narrow"/>
                <w:i w:val="0"/>
                <w:sz w:val="20"/>
                <w:szCs w:val="20"/>
              </w:rPr>
            </w:pPr>
          </w:p>
          <w:p w:rsidR="00187A55" w:rsidRPr="008F1678" w:rsidRDefault="00187A55" w:rsidP="00005342">
            <w:pPr>
              <w:pStyle w:val="Bodytextitalics"/>
              <w:jc w:val="left"/>
              <w:rPr>
                <w:rFonts w:ascii="Arial Narrow" w:hAnsi="Arial Narrow"/>
                <w:i w:val="0"/>
                <w:sz w:val="20"/>
                <w:szCs w:val="20"/>
              </w:rPr>
            </w:pPr>
          </w:p>
        </w:tc>
      </w:tr>
      <w:tr w:rsidR="0035248B" w:rsidRPr="008F1678" w:rsidTr="00D60D91">
        <w:trPr>
          <w:cantSplit/>
        </w:trPr>
        <w:tc>
          <w:tcPr>
            <w:tcW w:w="5000" w:type="pct"/>
            <w:gridSpan w:val="3"/>
          </w:tcPr>
          <w:p w:rsidR="0035248B" w:rsidRPr="008F1678" w:rsidRDefault="0035248B" w:rsidP="00772D8E">
            <w:pPr>
              <w:pStyle w:val="Bodytextitalics"/>
              <w:keepNext/>
              <w:jc w:val="left"/>
              <w:rPr>
                <w:rFonts w:ascii="Arial Narrow" w:hAnsi="Arial Narrow"/>
                <w:b/>
                <w:i w:val="0"/>
                <w:sz w:val="20"/>
                <w:szCs w:val="20"/>
              </w:rPr>
            </w:pPr>
            <w:r w:rsidRPr="008F1678">
              <w:rPr>
                <w:rFonts w:ascii="Arial Narrow" w:hAnsi="Arial Narrow"/>
                <w:b/>
                <w:i w:val="0"/>
                <w:sz w:val="20"/>
                <w:szCs w:val="20"/>
              </w:rPr>
              <w:lastRenderedPageBreak/>
              <w:t>Estimated net cost to PBS</w:t>
            </w:r>
          </w:p>
        </w:tc>
      </w:tr>
      <w:tr w:rsidR="0035248B" w:rsidRPr="008F1678" w:rsidTr="00D60D91">
        <w:trPr>
          <w:cantSplit/>
        </w:trPr>
        <w:tc>
          <w:tcPr>
            <w:tcW w:w="950" w:type="pct"/>
          </w:tcPr>
          <w:p w:rsidR="0035248B" w:rsidRPr="008F1678" w:rsidRDefault="0035248B" w:rsidP="00772D8E">
            <w:pPr>
              <w:pStyle w:val="Bodytextitalics"/>
              <w:keepNext/>
              <w:jc w:val="left"/>
              <w:rPr>
                <w:rFonts w:ascii="Arial Narrow" w:hAnsi="Arial Narrow"/>
                <w:i w:val="0"/>
                <w:sz w:val="20"/>
                <w:szCs w:val="20"/>
              </w:rPr>
            </w:pPr>
            <w:r w:rsidRPr="008F1678">
              <w:rPr>
                <w:rFonts w:ascii="Arial Narrow" w:hAnsi="Arial Narrow"/>
                <w:i w:val="0"/>
                <w:sz w:val="20"/>
                <w:szCs w:val="20"/>
              </w:rPr>
              <w:t>Addition of adolescent population</w:t>
            </w:r>
          </w:p>
        </w:tc>
        <w:tc>
          <w:tcPr>
            <w:tcW w:w="1965" w:type="pct"/>
          </w:tcPr>
          <w:p w:rsidR="00EB7C12" w:rsidRPr="008F1678" w:rsidRDefault="008331C3" w:rsidP="00772D8E">
            <w:pPr>
              <w:pStyle w:val="Bodytextitalics"/>
              <w:keepNext/>
              <w:jc w:val="left"/>
              <w:rPr>
                <w:rFonts w:ascii="Arial Narrow" w:hAnsi="Arial Narrow"/>
                <w:i w:val="0"/>
                <w:sz w:val="20"/>
                <w:szCs w:val="20"/>
              </w:rPr>
            </w:pPr>
            <w:r w:rsidRPr="008F1678">
              <w:rPr>
                <w:rFonts w:ascii="Arial Narrow" w:hAnsi="Arial Narrow"/>
                <w:i w:val="0"/>
                <w:sz w:val="20"/>
                <w:szCs w:val="20"/>
              </w:rPr>
              <w:t>The PBAC noted the financial estimates</w:t>
            </w:r>
            <w:r w:rsidR="00D70952" w:rsidRPr="008F1678">
              <w:rPr>
                <w:rFonts w:ascii="Arial Narrow" w:hAnsi="Arial Narrow"/>
                <w:i w:val="0"/>
                <w:sz w:val="20"/>
                <w:szCs w:val="20"/>
              </w:rPr>
              <w:t xml:space="preserve"> would need to be revised to i</w:t>
            </w:r>
            <w:r w:rsidRPr="008F1678">
              <w:rPr>
                <w:rFonts w:ascii="Arial Narrow" w:hAnsi="Arial Narrow"/>
                <w:i w:val="0"/>
                <w:sz w:val="20"/>
                <w:szCs w:val="20"/>
              </w:rPr>
              <w:t xml:space="preserve">nclude patients aged 12-17 years. </w:t>
            </w:r>
            <w:r w:rsidR="0035248B" w:rsidRPr="008F1678">
              <w:rPr>
                <w:rFonts w:ascii="Arial Narrow" w:hAnsi="Arial Narrow"/>
                <w:i w:val="0"/>
                <w:sz w:val="20"/>
                <w:szCs w:val="20"/>
              </w:rPr>
              <w:t xml:space="preserve">The PBAC noted that the population size </w:t>
            </w:r>
            <w:r w:rsidR="00A020BD" w:rsidRPr="008F1678">
              <w:rPr>
                <w:rFonts w:ascii="Arial Narrow" w:hAnsi="Arial Narrow"/>
                <w:i w:val="0"/>
                <w:sz w:val="20"/>
                <w:szCs w:val="20"/>
              </w:rPr>
              <w:t xml:space="preserve">increases </w:t>
            </w:r>
            <w:r w:rsidR="0035248B" w:rsidRPr="008F1678">
              <w:rPr>
                <w:rFonts w:ascii="Arial Narrow" w:hAnsi="Arial Narrow"/>
                <w:i w:val="0"/>
                <w:sz w:val="20"/>
                <w:szCs w:val="20"/>
              </w:rPr>
              <w:t>by approximately 9%. The PBAC noted that a reduced dose (200 mg every other week) is recommended in patients aged 12-17 years with a body weight of &lt;60 kg and considered the reduced dose should be accounted for in the financial estimates</w:t>
            </w:r>
            <w:r w:rsidRPr="008F1678">
              <w:rPr>
                <w:rFonts w:ascii="Arial Narrow" w:hAnsi="Arial Narrow"/>
                <w:i w:val="0"/>
                <w:sz w:val="20"/>
                <w:szCs w:val="20"/>
              </w:rPr>
              <w:t xml:space="preserve"> (paragraph 7.18, Dupilumab PSD, March 2020 PBAC Meeting). </w:t>
            </w:r>
          </w:p>
        </w:tc>
        <w:tc>
          <w:tcPr>
            <w:tcW w:w="2085" w:type="pct"/>
          </w:tcPr>
          <w:p w:rsidR="0035248B" w:rsidRPr="008F1678" w:rsidRDefault="00D70952" w:rsidP="00772D8E">
            <w:pPr>
              <w:pStyle w:val="Bodytextitalics"/>
              <w:keepNext/>
              <w:jc w:val="left"/>
              <w:rPr>
                <w:rFonts w:ascii="Arial Narrow" w:hAnsi="Arial Narrow"/>
                <w:sz w:val="20"/>
                <w:szCs w:val="20"/>
              </w:rPr>
            </w:pPr>
            <w:r w:rsidRPr="008F1678">
              <w:rPr>
                <w:rFonts w:ascii="Arial Narrow" w:hAnsi="Arial Narrow"/>
                <w:i w:val="0"/>
                <w:sz w:val="20"/>
                <w:szCs w:val="20"/>
              </w:rPr>
              <w:t>A</w:t>
            </w:r>
            <w:r w:rsidR="0035248B" w:rsidRPr="008F1678">
              <w:rPr>
                <w:rFonts w:ascii="Arial Narrow" w:hAnsi="Arial Narrow"/>
                <w:i w:val="0"/>
                <w:sz w:val="20"/>
                <w:szCs w:val="20"/>
              </w:rPr>
              <w:t>dolescent (12-17 year olds) population and 200</w:t>
            </w:r>
            <w:r w:rsidR="00B4618E" w:rsidRPr="008F1678">
              <w:rPr>
                <w:rFonts w:ascii="Arial Narrow" w:hAnsi="Arial Narrow"/>
                <w:i w:val="0"/>
                <w:sz w:val="20"/>
                <w:szCs w:val="20"/>
              </w:rPr>
              <w:t> </w:t>
            </w:r>
            <w:r w:rsidR="0035248B" w:rsidRPr="008F1678">
              <w:rPr>
                <w:rFonts w:ascii="Arial Narrow" w:hAnsi="Arial Narrow"/>
                <w:i w:val="0"/>
                <w:sz w:val="20"/>
                <w:szCs w:val="20"/>
              </w:rPr>
              <w:t>mg dose</w:t>
            </w:r>
            <w:r w:rsidRPr="008F1678">
              <w:rPr>
                <w:rFonts w:ascii="Arial Narrow" w:hAnsi="Arial Narrow"/>
                <w:i w:val="0"/>
                <w:sz w:val="20"/>
                <w:szCs w:val="20"/>
              </w:rPr>
              <w:t xml:space="preserve"> included</w:t>
            </w:r>
            <w:r w:rsidR="0035248B" w:rsidRPr="008F1678">
              <w:rPr>
                <w:rFonts w:ascii="Arial Narrow" w:hAnsi="Arial Narrow"/>
                <w:i w:val="0"/>
                <w:sz w:val="20"/>
                <w:szCs w:val="20"/>
              </w:rPr>
              <w:t>.</w:t>
            </w:r>
          </w:p>
        </w:tc>
      </w:tr>
      <w:tr w:rsidR="0035248B" w:rsidRPr="008F1678" w:rsidTr="00D60D91">
        <w:trPr>
          <w:cantSplit/>
        </w:trPr>
        <w:tc>
          <w:tcPr>
            <w:tcW w:w="950" w:type="pct"/>
          </w:tcPr>
          <w:p w:rsidR="0035248B" w:rsidRPr="008F1678" w:rsidRDefault="00F230F2" w:rsidP="00A020BD">
            <w:pPr>
              <w:pStyle w:val="Bodytextitalics"/>
              <w:jc w:val="left"/>
              <w:rPr>
                <w:rFonts w:ascii="Arial Narrow" w:hAnsi="Arial Narrow"/>
                <w:i w:val="0"/>
                <w:sz w:val="20"/>
                <w:szCs w:val="20"/>
              </w:rPr>
            </w:pPr>
            <w:r w:rsidRPr="008F1678">
              <w:rPr>
                <w:rFonts w:ascii="Arial Narrow" w:hAnsi="Arial Narrow"/>
                <w:i w:val="0"/>
                <w:sz w:val="20"/>
                <w:szCs w:val="20"/>
              </w:rPr>
              <w:t xml:space="preserve">Proportion of topical corticosteroid </w:t>
            </w:r>
            <w:r w:rsidR="001E77C8" w:rsidRPr="008F1678">
              <w:rPr>
                <w:rFonts w:ascii="Arial Narrow" w:hAnsi="Arial Narrow"/>
                <w:i w:val="0"/>
                <w:sz w:val="20"/>
                <w:szCs w:val="20"/>
              </w:rPr>
              <w:t xml:space="preserve">(TCS) </w:t>
            </w:r>
            <w:r w:rsidRPr="008F1678">
              <w:rPr>
                <w:rFonts w:ascii="Arial Narrow" w:hAnsi="Arial Narrow"/>
                <w:i w:val="0"/>
                <w:sz w:val="20"/>
                <w:szCs w:val="20"/>
              </w:rPr>
              <w:t>therapy patients who have uncontrolled AD</w:t>
            </w:r>
          </w:p>
        </w:tc>
        <w:tc>
          <w:tcPr>
            <w:tcW w:w="1965" w:type="pct"/>
          </w:tcPr>
          <w:p w:rsidR="00EE27ED" w:rsidRPr="008F1678" w:rsidRDefault="00D70952">
            <w:pPr>
              <w:pStyle w:val="Bodytextitalics"/>
              <w:jc w:val="left"/>
              <w:rPr>
                <w:rFonts w:ascii="Arial Narrow" w:hAnsi="Arial Narrow"/>
                <w:i w:val="0"/>
                <w:sz w:val="20"/>
                <w:szCs w:val="20"/>
              </w:rPr>
            </w:pPr>
            <w:r w:rsidRPr="008F1678">
              <w:rPr>
                <w:rFonts w:ascii="Arial Narrow" w:hAnsi="Arial Narrow"/>
                <w:i w:val="0"/>
                <w:sz w:val="20"/>
                <w:szCs w:val="20"/>
              </w:rPr>
              <w:t>This was estimated to be 68% in the March 2020 resubmission. During the evaluation of the March 2020 resubmission it was stated that it was inappropriate to have assumed some severe AD patients would be ‘adequately controlled’ on</w:t>
            </w:r>
            <w:r w:rsidRPr="008F1678">
              <w:rPr>
                <w:rFonts w:ascii="Arial Narrow" w:hAnsi="Arial Narrow"/>
                <w:sz w:val="20"/>
                <w:szCs w:val="20"/>
              </w:rPr>
              <w:t xml:space="preserve"> </w:t>
            </w:r>
            <w:r w:rsidRPr="008F1678">
              <w:rPr>
                <w:rFonts w:ascii="Arial Narrow" w:hAnsi="Arial Narrow"/>
                <w:i w:val="0"/>
                <w:sz w:val="20"/>
                <w:szCs w:val="20"/>
              </w:rPr>
              <w:t xml:space="preserve">treatment. </w:t>
            </w:r>
            <w:r w:rsidR="00CF1005" w:rsidRPr="008F1678">
              <w:rPr>
                <w:rFonts w:ascii="Arial Narrow" w:hAnsi="Arial Narrow"/>
                <w:i w:val="0"/>
                <w:sz w:val="20"/>
                <w:szCs w:val="20"/>
              </w:rPr>
              <w:t>It was also stated in the evaluation that t</w:t>
            </w:r>
            <w:r w:rsidRPr="008F1678">
              <w:rPr>
                <w:rFonts w:ascii="Arial Narrow" w:hAnsi="Arial Narrow"/>
                <w:i w:val="0"/>
                <w:sz w:val="20"/>
                <w:szCs w:val="20"/>
              </w:rPr>
              <w:t xml:space="preserve">his is a major source of uncertainty in the financial estimates and may underestimate the eligible patients </w:t>
            </w:r>
            <w:r w:rsidR="00653893" w:rsidRPr="008F1678">
              <w:rPr>
                <w:rFonts w:ascii="Arial Narrow" w:hAnsi="Arial Narrow"/>
                <w:i w:val="0"/>
                <w:sz w:val="20"/>
                <w:szCs w:val="20"/>
              </w:rPr>
              <w:t>(</w:t>
            </w:r>
            <w:r w:rsidR="00964207" w:rsidRPr="008F1678">
              <w:rPr>
                <w:rFonts w:ascii="Arial Narrow" w:hAnsi="Arial Narrow"/>
                <w:i w:val="0"/>
                <w:sz w:val="20"/>
                <w:szCs w:val="20"/>
              </w:rPr>
              <w:t>Table 19</w:t>
            </w:r>
            <w:r w:rsidR="00653893" w:rsidRPr="008F1678">
              <w:rPr>
                <w:rFonts w:ascii="Arial Narrow" w:hAnsi="Arial Narrow"/>
                <w:i w:val="0"/>
                <w:sz w:val="20"/>
                <w:szCs w:val="20"/>
              </w:rPr>
              <w:t>, Dupilumab PSD, March 2020 PBAC Meeting).</w:t>
            </w:r>
            <w:r w:rsidR="00964207" w:rsidRPr="008F1678">
              <w:rPr>
                <w:rFonts w:ascii="Arial Narrow" w:hAnsi="Arial Narrow"/>
                <w:i w:val="0"/>
                <w:sz w:val="20"/>
                <w:szCs w:val="20"/>
              </w:rPr>
              <w:t xml:space="preserve"> The PBAC did not recommend revision</w:t>
            </w:r>
            <w:r w:rsidR="001660DA" w:rsidRPr="008F1678">
              <w:rPr>
                <w:rFonts w:ascii="Arial Narrow" w:hAnsi="Arial Narrow"/>
                <w:i w:val="0"/>
                <w:sz w:val="20"/>
                <w:szCs w:val="20"/>
              </w:rPr>
              <w:t>s</w:t>
            </w:r>
            <w:r w:rsidR="00964207" w:rsidRPr="008F1678">
              <w:rPr>
                <w:rFonts w:ascii="Arial Narrow" w:hAnsi="Arial Narrow"/>
                <w:i w:val="0"/>
                <w:sz w:val="20"/>
                <w:szCs w:val="20"/>
              </w:rPr>
              <w:t xml:space="preserve"> to this input</w:t>
            </w:r>
            <w:r w:rsidR="001660DA" w:rsidRPr="008F1678">
              <w:rPr>
                <w:rFonts w:ascii="Arial Narrow" w:hAnsi="Arial Narrow"/>
                <w:i w:val="0"/>
                <w:sz w:val="20"/>
                <w:szCs w:val="20"/>
              </w:rPr>
              <w:t>;</w:t>
            </w:r>
            <w:r w:rsidR="00964207" w:rsidRPr="008F1678">
              <w:rPr>
                <w:rFonts w:ascii="Arial Narrow" w:hAnsi="Arial Narrow"/>
                <w:i w:val="0"/>
                <w:sz w:val="20"/>
                <w:szCs w:val="20"/>
              </w:rPr>
              <w:t xml:space="preserve"> recommended revisions are noted in paragraph 7.17 of the March 2020 </w:t>
            </w:r>
            <w:r w:rsidR="003605F3">
              <w:rPr>
                <w:rFonts w:ascii="Arial Narrow" w:hAnsi="Arial Narrow"/>
                <w:i w:val="0"/>
                <w:sz w:val="20"/>
                <w:szCs w:val="20"/>
              </w:rPr>
              <w:t>PSD</w:t>
            </w:r>
            <w:r w:rsidR="00964207" w:rsidRPr="008F1678">
              <w:rPr>
                <w:rFonts w:ascii="Arial Narrow" w:hAnsi="Arial Narrow"/>
                <w:i w:val="0"/>
                <w:sz w:val="20"/>
                <w:szCs w:val="20"/>
              </w:rPr>
              <w:t>.</w:t>
            </w:r>
          </w:p>
        </w:tc>
        <w:tc>
          <w:tcPr>
            <w:tcW w:w="2085" w:type="pct"/>
          </w:tcPr>
          <w:p w:rsidR="0035248B" w:rsidRPr="008F1678" w:rsidRDefault="00964207" w:rsidP="001B76C3">
            <w:pPr>
              <w:pStyle w:val="Bodytextitalics"/>
              <w:jc w:val="left"/>
              <w:rPr>
                <w:rFonts w:ascii="Arial Narrow" w:hAnsi="Arial Narrow"/>
                <w:i w:val="0"/>
                <w:sz w:val="20"/>
                <w:szCs w:val="20"/>
              </w:rPr>
            </w:pPr>
            <w:r w:rsidRPr="008F1678">
              <w:rPr>
                <w:rFonts w:ascii="Arial Narrow" w:hAnsi="Arial Narrow"/>
                <w:i w:val="0"/>
                <w:sz w:val="20"/>
                <w:szCs w:val="20"/>
              </w:rPr>
              <w:t>A</w:t>
            </w:r>
            <w:r w:rsidR="00D70952" w:rsidRPr="008F1678">
              <w:rPr>
                <w:rFonts w:ascii="Arial Narrow" w:hAnsi="Arial Narrow"/>
                <w:i w:val="0"/>
                <w:sz w:val="20"/>
                <w:szCs w:val="20"/>
              </w:rPr>
              <w:t>ssumed</w:t>
            </w:r>
            <w:r w:rsidRPr="008F1678">
              <w:rPr>
                <w:rFonts w:ascii="Arial Narrow" w:hAnsi="Arial Narrow"/>
                <w:i w:val="0"/>
                <w:sz w:val="20"/>
                <w:szCs w:val="20"/>
              </w:rPr>
              <w:t xml:space="preserve"> 100% of patients on TCS therapy would have uncontrolled AD.</w:t>
            </w:r>
          </w:p>
        </w:tc>
      </w:tr>
      <w:tr w:rsidR="00BA6F28" w:rsidRPr="008F1678" w:rsidTr="00D60D91">
        <w:trPr>
          <w:cantSplit/>
        </w:trPr>
        <w:tc>
          <w:tcPr>
            <w:tcW w:w="950" w:type="pct"/>
          </w:tcPr>
          <w:p w:rsidR="00BA6F28" w:rsidRPr="008F1678" w:rsidRDefault="00BA6F28" w:rsidP="0075386C">
            <w:pPr>
              <w:pStyle w:val="Bodytextitalics"/>
              <w:jc w:val="left"/>
              <w:rPr>
                <w:rFonts w:ascii="Arial Narrow" w:hAnsi="Arial Narrow"/>
                <w:i w:val="0"/>
                <w:sz w:val="20"/>
                <w:szCs w:val="20"/>
              </w:rPr>
            </w:pPr>
            <w:r w:rsidRPr="008F1678">
              <w:rPr>
                <w:rFonts w:ascii="Arial Narrow" w:hAnsi="Arial Narrow"/>
                <w:i w:val="0"/>
                <w:sz w:val="20"/>
                <w:szCs w:val="20"/>
              </w:rPr>
              <w:t>Uptake rates</w:t>
            </w:r>
            <w:r w:rsidR="001B76C3" w:rsidRPr="008F1678">
              <w:rPr>
                <w:rFonts w:ascii="Arial Narrow" w:hAnsi="Arial Narrow"/>
                <w:i w:val="0"/>
                <w:sz w:val="20"/>
                <w:szCs w:val="20"/>
              </w:rPr>
              <w:t xml:space="preserve"> applied to prevalent patient pool</w:t>
            </w:r>
          </w:p>
        </w:tc>
        <w:tc>
          <w:tcPr>
            <w:tcW w:w="1965" w:type="pct"/>
          </w:tcPr>
          <w:p w:rsidR="00BA6F28" w:rsidRPr="008F1678" w:rsidRDefault="00BA6F28">
            <w:pPr>
              <w:pStyle w:val="Bodytextitalics"/>
              <w:jc w:val="left"/>
              <w:rPr>
                <w:rFonts w:ascii="Arial Narrow" w:hAnsi="Arial Narrow"/>
                <w:i w:val="0"/>
                <w:sz w:val="20"/>
                <w:szCs w:val="20"/>
              </w:rPr>
            </w:pPr>
            <w:r w:rsidRPr="008F1678">
              <w:rPr>
                <w:rFonts w:ascii="Arial Narrow" w:hAnsi="Arial Narrow"/>
                <w:i w:val="0"/>
                <w:sz w:val="20"/>
                <w:szCs w:val="20"/>
              </w:rPr>
              <w:t xml:space="preserve">The PBAC noted that the uptake rates of 5% in year 1, increasing to 7.5% in year 6 were applied to the prevalent pool of eligible patients each year to calculate the number of patients initiating treatment. When continuing patients are taken into account the overall uptake is higher, and by year 6 continuing patients represent 14% of the eligible patients (6,036/44,248). The PBAC considered that it was reasonable that the overall uptake of dupilumab would increase in each year, accounting for both new and continuing patients. However, the PBAC considered it is not reasonable to assume the uptake rate of new patients from the prevalent pool would increase each year. The PBAC considered that the uptake rates of 5.5% in year 2, increasing to 7.5% in year 6 should be applied such that they reflect the proportion of continuing patients in each year (e.g. 3,319 continuing patients in year 6 is 7.5% (3,319/44,248) of the eligible patients) (paragraph 6.56, Dupilumab ratified </w:t>
            </w:r>
            <w:r w:rsidR="003605F3">
              <w:rPr>
                <w:rFonts w:ascii="Arial Narrow" w:hAnsi="Arial Narrow"/>
                <w:i w:val="0"/>
                <w:sz w:val="20"/>
                <w:szCs w:val="20"/>
              </w:rPr>
              <w:t>PSD</w:t>
            </w:r>
            <w:r w:rsidRPr="008F1678">
              <w:rPr>
                <w:rFonts w:ascii="Arial Narrow" w:hAnsi="Arial Narrow"/>
                <w:i w:val="0"/>
                <w:sz w:val="20"/>
                <w:szCs w:val="20"/>
              </w:rPr>
              <w:t>, March 2020 PBAC Meeting)</w:t>
            </w:r>
            <w:r w:rsidR="00FD07C3" w:rsidRPr="008F1678">
              <w:rPr>
                <w:rFonts w:ascii="Arial Narrow" w:hAnsi="Arial Narrow"/>
                <w:i w:val="0"/>
                <w:sz w:val="20"/>
                <w:szCs w:val="20"/>
              </w:rPr>
              <w:t xml:space="preserve">. </w:t>
            </w:r>
          </w:p>
        </w:tc>
        <w:tc>
          <w:tcPr>
            <w:tcW w:w="2085" w:type="pct"/>
          </w:tcPr>
          <w:p w:rsidR="000C035F" w:rsidRPr="008F1678" w:rsidRDefault="0067665F" w:rsidP="000C035F">
            <w:pPr>
              <w:pStyle w:val="CommentText"/>
              <w:rPr>
                <w:rFonts w:ascii="Arial Narrow" w:hAnsi="Arial Narrow"/>
              </w:rPr>
            </w:pPr>
            <w:r w:rsidRPr="008F1678">
              <w:rPr>
                <w:rFonts w:ascii="Arial Narrow" w:hAnsi="Arial Narrow"/>
              </w:rPr>
              <w:t xml:space="preserve">Revised uptake rates </w:t>
            </w:r>
            <w:r w:rsidR="000C035F" w:rsidRPr="008F1678">
              <w:rPr>
                <w:rFonts w:ascii="Arial Narrow" w:hAnsi="Arial Narrow"/>
              </w:rPr>
              <w:t xml:space="preserve">based on </w:t>
            </w:r>
            <w:r w:rsidRPr="008F1678">
              <w:rPr>
                <w:rFonts w:ascii="Arial Narrow" w:hAnsi="Arial Narrow"/>
              </w:rPr>
              <w:t>PBS uptake</w:t>
            </w:r>
            <w:r w:rsidR="000C035F" w:rsidRPr="008F1678">
              <w:rPr>
                <w:rFonts w:ascii="Arial Narrow" w:hAnsi="Arial Narrow"/>
              </w:rPr>
              <w:t xml:space="preserve"> of biologic therap</w:t>
            </w:r>
            <w:r w:rsidRPr="008F1678">
              <w:rPr>
                <w:rFonts w:ascii="Arial Narrow" w:hAnsi="Arial Narrow"/>
              </w:rPr>
              <w:t>ies for ankylosing spondylitis, psoriasis and Crohn disease</w:t>
            </w:r>
            <w:r w:rsidR="000C035F" w:rsidRPr="008F1678">
              <w:rPr>
                <w:rFonts w:ascii="Arial Narrow" w:hAnsi="Arial Narrow"/>
              </w:rPr>
              <w:t>.</w:t>
            </w:r>
          </w:p>
          <w:p w:rsidR="000C035F" w:rsidRPr="008F1678" w:rsidRDefault="000C035F" w:rsidP="0075386C">
            <w:pPr>
              <w:pStyle w:val="CommentText"/>
              <w:jc w:val="left"/>
              <w:rPr>
                <w:rFonts w:ascii="Arial Narrow" w:hAnsi="Arial Narrow"/>
              </w:rPr>
            </w:pPr>
          </w:p>
          <w:p w:rsidR="001660DA" w:rsidRPr="008F1678" w:rsidRDefault="001660DA" w:rsidP="001660DA">
            <w:pPr>
              <w:pStyle w:val="CommentText"/>
              <w:rPr>
                <w:rFonts w:ascii="Arial Narrow" w:hAnsi="Arial Narrow"/>
                <w:u w:val="single"/>
              </w:rPr>
            </w:pPr>
            <w:r w:rsidRPr="008F1678">
              <w:rPr>
                <w:rFonts w:ascii="Arial Narrow" w:hAnsi="Arial Narrow"/>
                <w:u w:val="single"/>
              </w:rPr>
              <w:t>Uptake rates (years 1-6)</w:t>
            </w:r>
            <w:r w:rsidR="0067665F" w:rsidRPr="008F1678">
              <w:rPr>
                <w:rFonts w:ascii="Arial Narrow" w:hAnsi="Arial Narrow"/>
                <w:u w:val="single"/>
              </w:rPr>
              <w:t xml:space="preserve"> applied to prevalent pool of patients</w:t>
            </w:r>
          </w:p>
          <w:p w:rsidR="00FA0ECF" w:rsidRPr="008F1678" w:rsidRDefault="001660DA" w:rsidP="001660DA">
            <w:pPr>
              <w:pStyle w:val="CommentText"/>
              <w:rPr>
                <w:rFonts w:ascii="Arial Narrow" w:hAnsi="Arial Narrow"/>
              </w:rPr>
            </w:pPr>
            <w:r w:rsidRPr="008F1678">
              <w:rPr>
                <w:rFonts w:ascii="Arial Narrow" w:hAnsi="Arial Narrow"/>
              </w:rPr>
              <w:t>Mar</w:t>
            </w:r>
            <w:r w:rsidR="004F3E3E" w:rsidRPr="008F1678">
              <w:rPr>
                <w:rFonts w:ascii="Arial Narrow" w:hAnsi="Arial Narrow"/>
              </w:rPr>
              <w:t>ch</w:t>
            </w:r>
            <w:r w:rsidRPr="008F1678">
              <w:rPr>
                <w:rFonts w:ascii="Arial Narrow" w:hAnsi="Arial Narrow"/>
              </w:rPr>
              <w:t xml:space="preserve"> 20</w:t>
            </w:r>
            <w:r w:rsidR="00AC4D6A" w:rsidRPr="008F1678">
              <w:rPr>
                <w:rFonts w:ascii="Arial Narrow" w:hAnsi="Arial Narrow"/>
              </w:rPr>
              <w:t xml:space="preserve">20 </w:t>
            </w:r>
            <w:r w:rsidRPr="008F1678">
              <w:rPr>
                <w:rFonts w:ascii="Arial Narrow" w:hAnsi="Arial Narrow"/>
              </w:rPr>
              <w:t xml:space="preserve"> submission: </w:t>
            </w:r>
          </w:p>
          <w:p w:rsidR="001660DA" w:rsidRPr="008F1678" w:rsidRDefault="001660DA" w:rsidP="001660DA">
            <w:pPr>
              <w:pStyle w:val="CommentText"/>
              <w:rPr>
                <w:rFonts w:ascii="Arial Narrow" w:hAnsi="Arial Narrow"/>
              </w:rPr>
            </w:pPr>
            <w:r w:rsidRPr="008F1678">
              <w:rPr>
                <w:rFonts w:ascii="Arial Narrow" w:hAnsi="Arial Narrow"/>
              </w:rPr>
              <w:t>5%, 5.5%, 6.0%, 6.5%, 7.0%, 7.5%</w:t>
            </w:r>
          </w:p>
          <w:p w:rsidR="004F3E3E" w:rsidRPr="008F1678" w:rsidRDefault="004F3E3E" w:rsidP="001660DA">
            <w:pPr>
              <w:pStyle w:val="CommentText"/>
              <w:rPr>
                <w:rFonts w:ascii="Arial Narrow" w:hAnsi="Arial Narrow"/>
              </w:rPr>
            </w:pPr>
          </w:p>
          <w:p w:rsidR="00FA0ECF" w:rsidRPr="008F1678" w:rsidRDefault="001660DA" w:rsidP="001660DA">
            <w:pPr>
              <w:pStyle w:val="CommentText"/>
              <w:rPr>
                <w:rFonts w:ascii="Arial Narrow" w:hAnsi="Arial Narrow"/>
              </w:rPr>
            </w:pPr>
            <w:r w:rsidRPr="008F1678">
              <w:rPr>
                <w:rFonts w:ascii="Arial Narrow" w:hAnsi="Arial Narrow"/>
              </w:rPr>
              <w:t>March 20</w:t>
            </w:r>
            <w:r w:rsidR="00AC4D6A" w:rsidRPr="008F1678">
              <w:rPr>
                <w:rFonts w:ascii="Arial Narrow" w:hAnsi="Arial Narrow"/>
              </w:rPr>
              <w:t>20</w:t>
            </w:r>
            <w:r w:rsidRPr="008F1678">
              <w:rPr>
                <w:rFonts w:ascii="Arial Narrow" w:hAnsi="Arial Narrow"/>
              </w:rPr>
              <w:t xml:space="preserve"> PBAC recommendation: </w:t>
            </w:r>
          </w:p>
          <w:p w:rsidR="001660DA" w:rsidRPr="008F1678" w:rsidRDefault="001660DA" w:rsidP="001660DA">
            <w:pPr>
              <w:pStyle w:val="CommentText"/>
              <w:rPr>
                <w:rFonts w:ascii="Arial Narrow" w:hAnsi="Arial Narrow"/>
              </w:rPr>
            </w:pPr>
            <w:r w:rsidRPr="008F1678">
              <w:rPr>
                <w:rFonts w:ascii="Arial Narrow" w:hAnsi="Arial Narrow"/>
              </w:rPr>
              <w:t xml:space="preserve">5%, 4.2%, 2.7%, </w:t>
            </w:r>
            <w:r w:rsidR="0051057B" w:rsidRPr="008F1678">
              <w:rPr>
                <w:rFonts w:ascii="Arial Narrow" w:hAnsi="Arial Narrow"/>
              </w:rPr>
              <w:t>2.5</w:t>
            </w:r>
            <w:r w:rsidRPr="008F1678">
              <w:rPr>
                <w:rFonts w:ascii="Arial Narrow" w:hAnsi="Arial Narrow"/>
              </w:rPr>
              <w:t>%, 2.6%, 2.7%</w:t>
            </w:r>
          </w:p>
          <w:p w:rsidR="004F3E3E" w:rsidRPr="008F1678" w:rsidRDefault="004F3E3E" w:rsidP="001660DA">
            <w:pPr>
              <w:pStyle w:val="CommentText"/>
              <w:rPr>
                <w:rFonts w:ascii="Arial Narrow" w:hAnsi="Arial Narrow"/>
              </w:rPr>
            </w:pPr>
          </w:p>
          <w:p w:rsidR="001660DA" w:rsidRPr="008F1678" w:rsidRDefault="00897109" w:rsidP="001660DA">
            <w:pPr>
              <w:pStyle w:val="CommentText"/>
              <w:rPr>
                <w:rFonts w:ascii="Arial Narrow" w:hAnsi="Arial Narrow"/>
              </w:rPr>
            </w:pPr>
            <w:r w:rsidRPr="008F1678">
              <w:rPr>
                <w:rFonts w:ascii="Arial Narrow" w:hAnsi="Arial Narrow"/>
              </w:rPr>
              <w:t>P</w:t>
            </w:r>
            <w:r w:rsidR="00FA0ECF" w:rsidRPr="008F1678">
              <w:rPr>
                <w:rFonts w:ascii="Arial Narrow" w:hAnsi="Arial Narrow"/>
              </w:rPr>
              <w:t>ricing proposal</w:t>
            </w:r>
            <w:r w:rsidRPr="008F1678">
              <w:rPr>
                <w:rFonts w:ascii="Arial Narrow" w:hAnsi="Arial Narrow"/>
              </w:rPr>
              <w:t xml:space="preserve"> (as per sponsor’s clarification in pre-PBAC response)</w:t>
            </w:r>
            <w:r w:rsidR="001660DA" w:rsidRPr="008F1678">
              <w:rPr>
                <w:rFonts w:ascii="Arial Narrow" w:hAnsi="Arial Narrow"/>
              </w:rPr>
              <w:t>:</w:t>
            </w:r>
          </w:p>
          <w:p w:rsidR="001660DA" w:rsidRPr="008F1678" w:rsidRDefault="004136DC" w:rsidP="0075386C">
            <w:pPr>
              <w:pStyle w:val="CommentText"/>
              <w:jc w:val="left"/>
              <w:rPr>
                <w:rFonts w:ascii="Arial Narrow" w:hAnsi="Arial Narrow"/>
              </w:rPr>
            </w:pPr>
            <w:r w:rsidRPr="008F1678">
              <w:rPr>
                <w:rFonts w:ascii="Arial Narrow" w:hAnsi="Arial Narrow"/>
              </w:rPr>
              <w:t>5%, 4.50%, 4.0%, 3.5%, 3.5%, 3.5%</w:t>
            </w:r>
          </w:p>
        </w:tc>
      </w:tr>
      <w:tr w:rsidR="0035248B" w:rsidRPr="008F1678" w:rsidTr="00D60D91">
        <w:trPr>
          <w:cantSplit/>
        </w:trPr>
        <w:tc>
          <w:tcPr>
            <w:tcW w:w="950" w:type="pct"/>
          </w:tcPr>
          <w:p w:rsidR="0035248B" w:rsidRPr="008F1678" w:rsidRDefault="0035248B" w:rsidP="00A020BD">
            <w:pPr>
              <w:pStyle w:val="Bodytextitalics"/>
              <w:jc w:val="left"/>
              <w:rPr>
                <w:rFonts w:ascii="Arial Narrow" w:hAnsi="Arial Narrow"/>
                <w:i w:val="0"/>
                <w:sz w:val="20"/>
                <w:szCs w:val="20"/>
              </w:rPr>
            </w:pPr>
            <w:r w:rsidRPr="008F1678">
              <w:rPr>
                <w:rFonts w:ascii="Arial Narrow" w:hAnsi="Arial Narrow"/>
                <w:i w:val="0"/>
                <w:sz w:val="20"/>
                <w:szCs w:val="20"/>
              </w:rPr>
              <w:lastRenderedPageBreak/>
              <w:t>MBS phototherapy cost offsets</w:t>
            </w:r>
          </w:p>
        </w:tc>
        <w:tc>
          <w:tcPr>
            <w:tcW w:w="1965" w:type="pct"/>
          </w:tcPr>
          <w:p w:rsidR="0035248B" w:rsidRPr="008F1678" w:rsidRDefault="0035248B" w:rsidP="001B76C3">
            <w:pPr>
              <w:pStyle w:val="Bodytextitalics"/>
              <w:jc w:val="left"/>
              <w:rPr>
                <w:rFonts w:ascii="Arial Narrow" w:hAnsi="Arial Narrow"/>
                <w:i w:val="0"/>
                <w:sz w:val="20"/>
                <w:szCs w:val="20"/>
              </w:rPr>
            </w:pPr>
            <w:r w:rsidRPr="008F1678">
              <w:rPr>
                <w:rFonts w:ascii="Arial Narrow" w:hAnsi="Arial Narrow"/>
                <w:i w:val="0"/>
                <w:sz w:val="20"/>
                <w:szCs w:val="20"/>
              </w:rPr>
              <w:t>The PBAC considered that overall phototherapy services are unlikely to be reduced as a result of listing dupilumab as they are largely at capacity and therefore should not be included as cost-offsets in the financial estimates</w:t>
            </w:r>
            <w:r w:rsidR="00653893" w:rsidRPr="008F1678">
              <w:rPr>
                <w:rFonts w:ascii="Arial Narrow" w:hAnsi="Arial Narrow"/>
                <w:i w:val="0"/>
                <w:sz w:val="20"/>
                <w:szCs w:val="20"/>
              </w:rPr>
              <w:t xml:space="preserve"> (paragraph 7.19, Dupilumab PSD, March 2020 PBAC Meeting).</w:t>
            </w:r>
          </w:p>
        </w:tc>
        <w:tc>
          <w:tcPr>
            <w:tcW w:w="2085" w:type="pct"/>
          </w:tcPr>
          <w:p w:rsidR="0035248B" w:rsidRPr="008F1678" w:rsidRDefault="0035248B" w:rsidP="001B76C3">
            <w:pPr>
              <w:pStyle w:val="Bodytextitalics"/>
              <w:jc w:val="left"/>
              <w:rPr>
                <w:rFonts w:ascii="Arial Narrow" w:hAnsi="Arial Narrow"/>
                <w:i w:val="0"/>
                <w:sz w:val="20"/>
                <w:szCs w:val="20"/>
              </w:rPr>
            </w:pPr>
            <w:r w:rsidRPr="008F1678">
              <w:rPr>
                <w:rFonts w:ascii="Arial Narrow" w:hAnsi="Arial Narrow"/>
                <w:i w:val="0"/>
                <w:sz w:val="20"/>
                <w:szCs w:val="20"/>
              </w:rPr>
              <w:t>The cost offset of phototherapy has been removed from the calculated net changes to the MBS budget in the utilisation estimates workbook.</w:t>
            </w:r>
          </w:p>
        </w:tc>
      </w:tr>
      <w:tr w:rsidR="0035248B" w:rsidRPr="008F1678" w:rsidTr="00D60D91">
        <w:trPr>
          <w:cantSplit/>
        </w:trPr>
        <w:tc>
          <w:tcPr>
            <w:tcW w:w="950" w:type="pct"/>
          </w:tcPr>
          <w:p w:rsidR="0035248B" w:rsidRPr="008F1678" w:rsidRDefault="0035248B" w:rsidP="00A020BD">
            <w:pPr>
              <w:pStyle w:val="Bodytextitalics"/>
              <w:jc w:val="left"/>
              <w:rPr>
                <w:rFonts w:ascii="Arial Narrow" w:hAnsi="Arial Narrow"/>
                <w:i w:val="0"/>
                <w:sz w:val="20"/>
                <w:szCs w:val="20"/>
              </w:rPr>
            </w:pPr>
            <w:r w:rsidRPr="008F1678">
              <w:rPr>
                <w:rFonts w:ascii="Arial Narrow" w:hAnsi="Arial Narrow"/>
                <w:i w:val="0"/>
                <w:sz w:val="20"/>
                <w:szCs w:val="20"/>
              </w:rPr>
              <w:t>Risk sharing arrangement</w:t>
            </w:r>
          </w:p>
        </w:tc>
        <w:tc>
          <w:tcPr>
            <w:tcW w:w="1965" w:type="pct"/>
          </w:tcPr>
          <w:p w:rsidR="0035248B" w:rsidRPr="008F1678" w:rsidRDefault="0035248B" w:rsidP="001B76C3">
            <w:pPr>
              <w:pStyle w:val="Bodytextitalics"/>
              <w:jc w:val="left"/>
              <w:rPr>
                <w:rFonts w:ascii="Arial Narrow" w:hAnsi="Arial Narrow"/>
                <w:i w:val="0"/>
                <w:sz w:val="20"/>
                <w:szCs w:val="20"/>
              </w:rPr>
            </w:pPr>
            <w:r w:rsidRPr="008F1678">
              <w:rPr>
                <w:rFonts w:ascii="Arial Narrow" w:hAnsi="Arial Narrow"/>
                <w:i w:val="0"/>
                <w:sz w:val="20"/>
                <w:szCs w:val="20"/>
              </w:rPr>
              <w:t>The PBAC considered the potential for use of dupilumab outside the proposed restriction could be managed through a risk sharing arrangement</w:t>
            </w:r>
            <w:r w:rsidR="00006925" w:rsidRPr="008F1678">
              <w:rPr>
                <w:rFonts w:ascii="Arial Narrow" w:hAnsi="Arial Narrow"/>
                <w:i w:val="0"/>
                <w:sz w:val="20"/>
                <w:szCs w:val="20"/>
              </w:rPr>
              <w:t xml:space="preserve"> (paragraph 7.1, Dupilumab PSD, March 2020 PBAC Meeting).</w:t>
            </w:r>
          </w:p>
        </w:tc>
        <w:tc>
          <w:tcPr>
            <w:tcW w:w="2085" w:type="pct"/>
          </w:tcPr>
          <w:p w:rsidR="0035248B" w:rsidRPr="008F1678" w:rsidRDefault="004C7CB5" w:rsidP="001B76C3">
            <w:pPr>
              <w:pStyle w:val="Bodytextitalics"/>
              <w:jc w:val="left"/>
              <w:rPr>
                <w:rFonts w:ascii="Arial Narrow" w:hAnsi="Arial Narrow"/>
                <w:i w:val="0"/>
                <w:sz w:val="20"/>
                <w:szCs w:val="20"/>
              </w:rPr>
            </w:pPr>
            <w:r w:rsidRPr="008F1678">
              <w:rPr>
                <w:rFonts w:ascii="Arial Narrow" w:hAnsi="Arial Narrow"/>
                <w:i w:val="0"/>
                <w:sz w:val="20"/>
                <w:szCs w:val="20"/>
              </w:rPr>
              <w:t>Sponsor agrees in principle to the March 2020 recommendation regarding the proposed details of the RSA.</w:t>
            </w:r>
          </w:p>
        </w:tc>
      </w:tr>
    </w:tbl>
    <w:p w:rsidR="004F3E3E" w:rsidRDefault="004F3E3E" w:rsidP="000427B9">
      <w:pPr>
        <w:pStyle w:val="TableFooter"/>
      </w:pPr>
      <w:r w:rsidRPr="008F1678">
        <w:rPr>
          <w:vertAlign w:val="superscript"/>
        </w:rPr>
        <w:t>a</w:t>
      </w:r>
      <w:r w:rsidRPr="008F1678">
        <w:t xml:space="preserve"> </w:t>
      </w:r>
      <w:r w:rsidR="00CC43AD" w:rsidRPr="008F1678">
        <w:t>CsA-naïve and CsA-experienced erroneously switched</w:t>
      </w:r>
      <w:r w:rsidRPr="008F1678">
        <w:t xml:space="preserve"> in March 2020 PBAC </w:t>
      </w:r>
      <w:r w:rsidR="003605F3">
        <w:t>PSD</w:t>
      </w:r>
      <w:r w:rsidR="00133DF9">
        <w:t>= public summary document</w:t>
      </w:r>
    </w:p>
    <w:p w:rsidR="00215F43" w:rsidRPr="005513B1" w:rsidRDefault="00215F43" w:rsidP="000427B9">
      <w:pPr>
        <w:pStyle w:val="TableFooter"/>
        <w:rPr>
          <w:i/>
        </w:rPr>
      </w:pPr>
      <w:r w:rsidRPr="005513B1">
        <w:rPr>
          <w:i/>
        </w:rPr>
        <w:t>The redacted values correspond to the following ranges:</w:t>
      </w:r>
    </w:p>
    <w:p w:rsidR="00215F43" w:rsidRPr="005513B1" w:rsidRDefault="00215F43" w:rsidP="000427B9">
      <w:pPr>
        <w:pStyle w:val="TableFooter"/>
        <w:rPr>
          <w:i/>
        </w:rPr>
      </w:pPr>
      <w:r w:rsidRPr="005513B1">
        <w:rPr>
          <w:i/>
          <w:vertAlign w:val="superscript"/>
        </w:rPr>
        <w:t>1</w:t>
      </w:r>
      <w:r w:rsidRPr="005513B1">
        <w:rPr>
          <w:i/>
        </w:rPr>
        <w:t>$45,000 to &lt;$55,000/QALY gained</w:t>
      </w:r>
    </w:p>
    <w:p w:rsidR="00215F43" w:rsidRPr="005513B1" w:rsidRDefault="00215F43" w:rsidP="000427B9">
      <w:pPr>
        <w:pStyle w:val="TableFooter"/>
        <w:rPr>
          <w:i/>
        </w:rPr>
      </w:pPr>
      <w:r w:rsidRPr="005513B1">
        <w:rPr>
          <w:i/>
          <w:vertAlign w:val="superscript"/>
        </w:rPr>
        <w:t>2</w:t>
      </w:r>
      <w:r w:rsidRPr="005513B1">
        <w:rPr>
          <w:i/>
        </w:rPr>
        <w:t>$25,000 to &lt;$35,000/QALY gained</w:t>
      </w:r>
    </w:p>
    <w:p w:rsidR="00215F43" w:rsidRPr="005513B1" w:rsidRDefault="00215F43" w:rsidP="000427B9">
      <w:pPr>
        <w:pStyle w:val="TableFooter"/>
        <w:rPr>
          <w:b/>
          <w:i/>
        </w:rPr>
      </w:pPr>
      <w:r w:rsidRPr="005513B1">
        <w:rPr>
          <w:i/>
          <w:vertAlign w:val="superscript"/>
        </w:rPr>
        <w:t>3</w:t>
      </w:r>
      <w:r w:rsidRPr="005513B1">
        <w:rPr>
          <w:i/>
        </w:rPr>
        <w:t>$35,000 to &lt;$45,000/QALY gained</w:t>
      </w:r>
    </w:p>
    <w:p w:rsidR="002D58D5" w:rsidRPr="008F1678" w:rsidRDefault="002D58D5" w:rsidP="00E50476">
      <w:pPr>
        <w:pStyle w:val="2-SectionHeading"/>
        <w:numPr>
          <w:ilvl w:val="0"/>
          <w:numId w:val="1"/>
        </w:numPr>
      </w:pPr>
      <w:r w:rsidRPr="008F1678">
        <w:t>Requested listing</w:t>
      </w:r>
    </w:p>
    <w:p w:rsidR="002D58D5" w:rsidRPr="008F1678" w:rsidRDefault="002D58D5" w:rsidP="00D60D91">
      <w:pPr>
        <w:pStyle w:val="3Bodytext"/>
      </w:pPr>
      <w:r w:rsidRPr="008F1678">
        <w:t>The</w:t>
      </w:r>
      <w:r w:rsidR="00323C6F" w:rsidRPr="008F1678">
        <w:t>re are no</w:t>
      </w:r>
      <w:r w:rsidR="00906D5A" w:rsidRPr="008F1678">
        <w:t xml:space="preserve"> </w:t>
      </w:r>
      <w:r w:rsidRPr="008F1678">
        <w:t xml:space="preserve">requested </w:t>
      </w:r>
      <w:r w:rsidR="00906D5A" w:rsidRPr="008F1678">
        <w:t>changes</w:t>
      </w:r>
      <w:r w:rsidR="001820B6" w:rsidRPr="008F1678">
        <w:t xml:space="preserve"> to the</w:t>
      </w:r>
      <w:r w:rsidR="000D604C" w:rsidRPr="008F1678">
        <w:t xml:space="preserve"> </w:t>
      </w:r>
      <w:r w:rsidR="001820B6" w:rsidRPr="008F1678">
        <w:t xml:space="preserve">March 2020 </w:t>
      </w:r>
      <w:r w:rsidR="000D604C" w:rsidRPr="008F1678">
        <w:t>recommended listing</w:t>
      </w:r>
      <w:r w:rsidR="001820B6" w:rsidRPr="008F1678">
        <w:t>.</w:t>
      </w:r>
    </w:p>
    <w:p w:rsidR="00A44902" w:rsidRPr="008F1678" w:rsidRDefault="00A44902" w:rsidP="00A44902">
      <w:pPr>
        <w:pStyle w:val="Heading1"/>
        <w:keepLines/>
        <w:numPr>
          <w:ilvl w:val="0"/>
          <w:numId w:val="1"/>
        </w:numPr>
        <w:spacing w:before="240"/>
        <w:ind w:left="709" w:hanging="709"/>
        <w:rPr>
          <w:sz w:val="32"/>
          <w:szCs w:val="32"/>
        </w:rPr>
      </w:pPr>
      <w:r w:rsidRPr="008F1678">
        <w:rPr>
          <w:sz w:val="32"/>
          <w:szCs w:val="32"/>
        </w:rPr>
        <w:t>Consideration of the evidence</w:t>
      </w:r>
    </w:p>
    <w:p w:rsidR="00680935" w:rsidRPr="008F1678" w:rsidRDefault="00680935" w:rsidP="007A53C5">
      <w:pPr>
        <w:pStyle w:val="4-SubsectionHeading"/>
        <w:rPr>
          <w:snapToGrid w:val="0"/>
        </w:rPr>
      </w:pPr>
      <w:r w:rsidRPr="008F1678">
        <w:rPr>
          <w:snapToGrid w:val="0"/>
        </w:rPr>
        <w:t>Sponsor hearing</w:t>
      </w:r>
    </w:p>
    <w:p w:rsidR="00680935" w:rsidRPr="008F1678" w:rsidRDefault="00680935" w:rsidP="00680935">
      <w:pPr>
        <w:widowControl w:val="0"/>
        <w:numPr>
          <w:ilvl w:val="1"/>
          <w:numId w:val="1"/>
        </w:numPr>
        <w:spacing w:after="120"/>
        <w:rPr>
          <w:rFonts w:asciiTheme="minorHAnsi" w:hAnsiTheme="minorHAnsi" w:cs="Arial"/>
          <w:bCs/>
          <w:snapToGrid w:val="0"/>
        </w:rPr>
      </w:pPr>
      <w:r w:rsidRPr="008F1678">
        <w:rPr>
          <w:rFonts w:asciiTheme="minorHAnsi" w:hAnsiTheme="minorHAnsi" w:cs="Arial"/>
          <w:bCs/>
          <w:snapToGrid w:val="0"/>
        </w:rPr>
        <w:t>There was no hearing for this item.</w:t>
      </w:r>
    </w:p>
    <w:p w:rsidR="00680935" w:rsidRPr="008F1678" w:rsidRDefault="00680935" w:rsidP="007A53C5">
      <w:pPr>
        <w:pStyle w:val="4-SubsectionHeading"/>
        <w:rPr>
          <w:snapToGrid w:val="0"/>
        </w:rPr>
      </w:pPr>
      <w:r w:rsidRPr="008F1678">
        <w:rPr>
          <w:snapToGrid w:val="0"/>
        </w:rPr>
        <w:t>Consumer comments</w:t>
      </w:r>
    </w:p>
    <w:p w:rsidR="00680935" w:rsidRPr="008F1678" w:rsidRDefault="00680935" w:rsidP="00680935">
      <w:pPr>
        <w:widowControl w:val="0"/>
        <w:numPr>
          <w:ilvl w:val="1"/>
          <w:numId w:val="1"/>
        </w:numPr>
        <w:spacing w:after="120"/>
        <w:rPr>
          <w:rFonts w:asciiTheme="minorHAnsi" w:hAnsiTheme="minorHAnsi" w:cs="Arial"/>
          <w:bCs/>
          <w:snapToGrid w:val="0"/>
        </w:rPr>
      </w:pPr>
      <w:r w:rsidRPr="008F1678">
        <w:rPr>
          <w:rFonts w:asciiTheme="minorHAnsi" w:hAnsiTheme="minorHAnsi" w:cs="Arial"/>
          <w:bCs/>
          <w:snapToGrid w:val="0"/>
        </w:rPr>
        <w:t>The PBAC noted and welcomed the input from individuals (71) and organisations (2) via the Consumer Comments facility on the PBS website, and recalled the significant consumer input previously received in relation to the March 2020 consideration of dupilumab</w:t>
      </w:r>
      <w:r w:rsidR="00FD07C3" w:rsidRPr="008F1678">
        <w:rPr>
          <w:rFonts w:asciiTheme="minorHAnsi" w:hAnsiTheme="minorHAnsi" w:cs="Arial"/>
          <w:bCs/>
          <w:snapToGrid w:val="0"/>
        </w:rPr>
        <w:t xml:space="preserve">. </w:t>
      </w:r>
      <w:r w:rsidRPr="008F1678">
        <w:rPr>
          <w:rFonts w:asciiTheme="minorHAnsi" w:hAnsiTheme="minorHAnsi" w:cs="Arial"/>
          <w:bCs/>
          <w:snapToGrid w:val="0"/>
        </w:rPr>
        <w:t xml:space="preserve">The comments described </w:t>
      </w:r>
      <w:r w:rsidR="00411693" w:rsidRPr="008F1678">
        <w:rPr>
          <w:rFonts w:asciiTheme="minorHAnsi" w:hAnsiTheme="minorHAnsi" w:cs="Arial"/>
          <w:bCs/>
          <w:snapToGrid w:val="0"/>
        </w:rPr>
        <w:t xml:space="preserve">the significant disease burden and impact on quality of life associated with severe eczema and the range </w:t>
      </w:r>
      <w:r w:rsidRPr="008F1678">
        <w:rPr>
          <w:rFonts w:asciiTheme="minorHAnsi" w:hAnsiTheme="minorHAnsi" w:cs="Arial"/>
          <w:bCs/>
          <w:snapToGrid w:val="0"/>
        </w:rPr>
        <w:t xml:space="preserve">of </w:t>
      </w:r>
      <w:r w:rsidR="00411693" w:rsidRPr="008F1678">
        <w:rPr>
          <w:rFonts w:asciiTheme="minorHAnsi" w:hAnsiTheme="minorHAnsi" w:cs="Arial"/>
          <w:bCs/>
          <w:snapToGrid w:val="0"/>
        </w:rPr>
        <w:t xml:space="preserve">potential </w:t>
      </w:r>
      <w:r w:rsidRPr="008F1678">
        <w:rPr>
          <w:rFonts w:asciiTheme="minorHAnsi" w:hAnsiTheme="minorHAnsi" w:cs="Arial"/>
          <w:bCs/>
          <w:snapToGrid w:val="0"/>
        </w:rPr>
        <w:t xml:space="preserve">benefits of treatment with dupilumab including </w:t>
      </w:r>
      <w:r w:rsidR="004442F8" w:rsidRPr="008F1678">
        <w:rPr>
          <w:rFonts w:asciiTheme="minorHAnsi" w:hAnsiTheme="minorHAnsi" w:cs="Arial"/>
          <w:bCs/>
          <w:snapToGrid w:val="0"/>
        </w:rPr>
        <w:t>improvements in itch, pain, sleep, mental health and</w:t>
      </w:r>
      <w:r w:rsidRPr="008F1678">
        <w:rPr>
          <w:rFonts w:asciiTheme="minorHAnsi" w:hAnsiTheme="minorHAnsi" w:cs="Arial"/>
          <w:bCs/>
          <w:snapToGrid w:val="0"/>
        </w:rPr>
        <w:t xml:space="preserve"> ability </w:t>
      </w:r>
      <w:r w:rsidR="004442F8" w:rsidRPr="008F1678">
        <w:rPr>
          <w:rFonts w:asciiTheme="minorHAnsi" w:hAnsiTheme="minorHAnsi" w:cs="Arial"/>
          <w:bCs/>
          <w:snapToGrid w:val="0"/>
        </w:rPr>
        <w:t xml:space="preserve">to </w:t>
      </w:r>
      <w:r w:rsidRPr="008F1678">
        <w:rPr>
          <w:rFonts w:asciiTheme="minorHAnsi" w:hAnsiTheme="minorHAnsi" w:cs="Arial"/>
          <w:bCs/>
          <w:snapToGrid w:val="0"/>
        </w:rPr>
        <w:t>work</w:t>
      </w:r>
      <w:r w:rsidR="004442F8" w:rsidRPr="008F1678">
        <w:rPr>
          <w:rFonts w:asciiTheme="minorHAnsi" w:hAnsiTheme="minorHAnsi" w:cs="Arial"/>
          <w:bCs/>
          <w:snapToGrid w:val="0"/>
        </w:rPr>
        <w:t xml:space="preserve"> and study</w:t>
      </w:r>
      <w:r w:rsidR="00FD07C3" w:rsidRPr="008F1678">
        <w:rPr>
          <w:rFonts w:asciiTheme="minorHAnsi" w:hAnsiTheme="minorHAnsi" w:cs="Arial"/>
          <w:bCs/>
          <w:snapToGrid w:val="0"/>
        </w:rPr>
        <w:t xml:space="preserve">. </w:t>
      </w:r>
    </w:p>
    <w:p w:rsidR="00680935" w:rsidRPr="008F1678" w:rsidRDefault="00680935" w:rsidP="00680935">
      <w:pPr>
        <w:widowControl w:val="0"/>
        <w:numPr>
          <w:ilvl w:val="1"/>
          <w:numId w:val="1"/>
        </w:numPr>
        <w:spacing w:after="120"/>
        <w:rPr>
          <w:rFonts w:asciiTheme="minorHAnsi" w:hAnsiTheme="minorHAnsi" w:cs="Arial"/>
          <w:bCs/>
          <w:snapToGrid w:val="0"/>
        </w:rPr>
      </w:pPr>
      <w:r w:rsidRPr="008F1678">
        <w:rPr>
          <w:rFonts w:asciiTheme="minorHAnsi" w:hAnsiTheme="minorHAnsi" w:cs="Arial"/>
          <w:bCs/>
          <w:snapToGrid w:val="0"/>
        </w:rPr>
        <w:t xml:space="preserve">The PBAC noted the advice received from </w:t>
      </w:r>
      <w:r w:rsidR="00411693" w:rsidRPr="008F1678">
        <w:rPr>
          <w:rFonts w:asciiTheme="minorHAnsi" w:hAnsiTheme="minorHAnsi" w:cs="Arial"/>
          <w:bCs/>
          <w:snapToGrid w:val="0"/>
        </w:rPr>
        <w:t>the Eczema Association of Australia Inc and Eczema Support Australia that strongly supported the listing of dupilumab and highlighted the urgent need for a new treatment option f</w:t>
      </w:r>
      <w:r w:rsidR="00E9220F" w:rsidRPr="008F1678">
        <w:rPr>
          <w:rFonts w:asciiTheme="minorHAnsi" w:hAnsiTheme="minorHAnsi" w:cs="Arial"/>
          <w:bCs/>
          <w:snapToGrid w:val="0"/>
        </w:rPr>
        <w:t>or this condition that has significant physical, emotional and financial impacts on patients</w:t>
      </w:r>
      <w:r w:rsidR="00FD07C3" w:rsidRPr="008F1678">
        <w:rPr>
          <w:rFonts w:asciiTheme="minorHAnsi" w:hAnsiTheme="minorHAnsi" w:cs="Arial"/>
          <w:bCs/>
          <w:snapToGrid w:val="0"/>
        </w:rPr>
        <w:t xml:space="preserve">. </w:t>
      </w:r>
    </w:p>
    <w:p w:rsidR="00DE7927" w:rsidRPr="008F1678" w:rsidRDefault="00DE7927" w:rsidP="00D60D91">
      <w:pPr>
        <w:pStyle w:val="4-SubsectionHeading"/>
        <w:rPr>
          <w:lang w:eastAsia="en-US"/>
        </w:rPr>
      </w:pPr>
      <w:r w:rsidRPr="008F1678">
        <w:rPr>
          <w:lang w:eastAsia="en-US"/>
        </w:rPr>
        <w:t xml:space="preserve">Economic analysis </w:t>
      </w:r>
    </w:p>
    <w:p w:rsidR="00EA2C89" w:rsidRPr="008F1678" w:rsidRDefault="00EA2C89" w:rsidP="00D60D91">
      <w:pPr>
        <w:pStyle w:val="3Bodytext"/>
      </w:pPr>
      <w:r w:rsidRPr="008F1678">
        <w:t>The sponsor’s proposal makes the following adjustments to the base case economic model considered at the March 2020 meeting:</w:t>
      </w:r>
    </w:p>
    <w:p w:rsidR="00EA2C89" w:rsidRPr="008F1678" w:rsidRDefault="00EA2C89" w:rsidP="00D60D91">
      <w:pPr>
        <w:pStyle w:val="3Bodytext"/>
        <w:numPr>
          <w:ilvl w:val="0"/>
          <w:numId w:val="16"/>
        </w:numPr>
      </w:pPr>
      <w:r w:rsidRPr="008F1678">
        <w:t xml:space="preserve">Reduction in phototherapy </w:t>
      </w:r>
      <w:r w:rsidR="004F3E3E" w:rsidRPr="008F1678">
        <w:t>use</w:t>
      </w:r>
      <w:r w:rsidR="00461740" w:rsidRPr="008F1678">
        <w:t xml:space="preserve"> from 3 to 2 treatments per week</w:t>
      </w:r>
      <w:r w:rsidR="00471656" w:rsidRPr="008F1678">
        <w:t>;</w:t>
      </w:r>
    </w:p>
    <w:p w:rsidR="00EA2C89" w:rsidRPr="008F1678" w:rsidRDefault="00EA2C89" w:rsidP="00D60D91">
      <w:pPr>
        <w:pStyle w:val="3Bodytext"/>
        <w:numPr>
          <w:ilvl w:val="0"/>
          <w:numId w:val="16"/>
        </w:numPr>
      </w:pPr>
      <w:r w:rsidRPr="008F1678">
        <w:lastRenderedPageBreak/>
        <w:t>Revised maintenance</w:t>
      </w:r>
      <w:r w:rsidR="0051344C" w:rsidRPr="008F1678">
        <w:t xml:space="preserve"> of response</w:t>
      </w:r>
      <w:r w:rsidRPr="008F1678">
        <w:t xml:space="preserve"> </w:t>
      </w:r>
      <w:r w:rsidR="00097BF8" w:rsidRPr="008F1678">
        <w:t xml:space="preserve">using the approach outlined in </w:t>
      </w:r>
      <w:r w:rsidRPr="008F1678">
        <w:t>the pre</w:t>
      </w:r>
      <w:r w:rsidR="0025112C" w:rsidRPr="008F1678">
        <w:noBreakHyphen/>
      </w:r>
      <w:r w:rsidRPr="008F1678">
        <w:t xml:space="preserve">PBAC response </w:t>
      </w:r>
      <w:r w:rsidR="004F3E3E" w:rsidRPr="008F1678">
        <w:t>for</w:t>
      </w:r>
      <w:r w:rsidRPr="008F1678">
        <w:t xml:space="preserve"> the March 2020 </w:t>
      </w:r>
      <w:r w:rsidR="004F3E3E" w:rsidRPr="008F1678">
        <w:t>resubmission</w:t>
      </w:r>
      <w:r w:rsidR="00461740" w:rsidRPr="008F1678">
        <w:t xml:space="preserve"> such that the </w:t>
      </w:r>
      <w:r w:rsidR="00A44326" w:rsidRPr="008F1678">
        <w:t>absolute</w:t>
      </w:r>
      <w:r w:rsidR="00461740" w:rsidRPr="008F1678">
        <w:t xml:space="preserve"> reduction </w:t>
      </w:r>
      <w:r w:rsidR="00005342" w:rsidRPr="008F1678">
        <w:t>in</w:t>
      </w:r>
      <w:r w:rsidR="00461740" w:rsidRPr="008F1678">
        <w:t xml:space="preserve"> response estimated for dupilumab in year 2 was also applied to the </w:t>
      </w:r>
      <w:r w:rsidR="00005342" w:rsidRPr="008F1678">
        <w:t xml:space="preserve">comparator (standard of care); and </w:t>
      </w:r>
    </w:p>
    <w:p w:rsidR="00EA2C89" w:rsidRPr="008F1678" w:rsidRDefault="00EA2C89" w:rsidP="00D60D91">
      <w:pPr>
        <w:pStyle w:val="3Bodytext"/>
        <w:numPr>
          <w:ilvl w:val="0"/>
          <w:numId w:val="16"/>
        </w:numPr>
      </w:pPr>
      <w:r w:rsidRPr="008F1678">
        <w:t>Updated medical resource costs</w:t>
      </w:r>
      <w:r w:rsidR="00A44326" w:rsidRPr="008F1678">
        <w:t xml:space="preserve"> to 2020 values</w:t>
      </w:r>
      <w:r w:rsidR="00005342" w:rsidRPr="008F1678">
        <w:t>.</w:t>
      </w:r>
    </w:p>
    <w:p w:rsidR="00417410" w:rsidRPr="008F1678" w:rsidRDefault="008C4A61" w:rsidP="00D60D91">
      <w:pPr>
        <w:pStyle w:val="3Bodytext"/>
      </w:pPr>
      <w:r w:rsidRPr="008F1678">
        <w:t>The adjustments to the model described above, and the reduced proposed DPMQ of $</w:t>
      </w:r>
      <w:r w:rsidR="00975575">
        <w:rPr>
          <w:noProof/>
          <w:color w:val="000000"/>
          <w:highlight w:val="black"/>
        </w:rPr>
        <w:t>'''''''''''''''''</w:t>
      </w:r>
      <w:r w:rsidRPr="008F1678">
        <w:t>, result</w:t>
      </w:r>
      <w:r w:rsidR="00005342" w:rsidRPr="008F1678">
        <w:t>ed</w:t>
      </w:r>
      <w:r w:rsidRPr="008F1678">
        <w:t xml:space="preserve"> in a</w:t>
      </w:r>
      <w:r w:rsidR="00BE0E2E" w:rsidRPr="008F1678">
        <w:t>n</w:t>
      </w:r>
      <w:r w:rsidRPr="008F1678">
        <w:t xml:space="preserve"> ICER of $</w:t>
      </w:r>
      <w:r w:rsidR="00954814">
        <w:t>45,000 to &lt;$55,000</w:t>
      </w:r>
      <w:r w:rsidRPr="008F1678">
        <w:t xml:space="preserve">/QALY </w:t>
      </w:r>
      <w:r w:rsidR="00077ACF" w:rsidRPr="008F1678">
        <w:t xml:space="preserve">for </w:t>
      </w:r>
      <w:r w:rsidRPr="008F1678">
        <w:t>CsA-</w:t>
      </w:r>
      <w:r w:rsidR="00077ACF" w:rsidRPr="008F1678">
        <w:t>naïve patients (Table 2)</w:t>
      </w:r>
      <w:r w:rsidR="00B8527C" w:rsidRPr="008F1678">
        <w:t xml:space="preserve"> and $</w:t>
      </w:r>
      <w:r w:rsidR="00954814">
        <w:t>35,000 to &lt;$45,000</w:t>
      </w:r>
      <w:r w:rsidR="00B8527C" w:rsidRPr="008F1678">
        <w:t xml:space="preserve">/QALY </w:t>
      </w:r>
      <w:r w:rsidR="00077ACF" w:rsidRPr="008F1678">
        <w:t xml:space="preserve">for </w:t>
      </w:r>
      <w:r w:rsidR="00B8527C" w:rsidRPr="008F1678">
        <w:t>CsA-experienced</w:t>
      </w:r>
      <w:r w:rsidR="00077ACF" w:rsidRPr="008F1678">
        <w:t xml:space="preserve"> patients</w:t>
      </w:r>
      <w:r w:rsidRPr="008F1678">
        <w:t>. This is higher than the ICER</w:t>
      </w:r>
      <w:r w:rsidR="00B8527C" w:rsidRPr="008F1678">
        <w:t>s</w:t>
      </w:r>
      <w:r w:rsidRPr="008F1678">
        <w:t xml:space="preserve"> considered</w:t>
      </w:r>
      <w:r w:rsidR="00B8527C" w:rsidRPr="008F1678">
        <w:t xml:space="preserve"> by the PBAC</w:t>
      </w:r>
      <w:r w:rsidRPr="008F1678">
        <w:t xml:space="preserve"> in March 2020 ($</w:t>
      </w:r>
      <w:r w:rsidR="00954814">
        <w:t>45,000 to &lt;$55,000</w:t>
      </w:r>
      <w:r w:rsidRPr="008F1678">
        <w:t>/QALY</w:t>
      </w:r>
      <w:r w:rsidR="00B8527C" w:rsidRPr="008F1678">
        <w:t xml:space="preserve"> and $</w:t>
      </w:r>
      <w:r w:rsidR="00954814">
        <w:t>25,000 to &lt;$35,000</w:t>
      </w:r>
      <w:r w:rsidR="00005342" w:rsidRPr="008F1678">
        <w:t>/QALY</w:t>
      </w:r>
      <w:r w:rsidR="00B8527C" w:rsidRPr="008F1678">
        <w:t>, respectively</w:t>
      </w:r>
      <w:r w:rsidRPr="008F1678">
        <w:t>).</w:t>
      </w:r>
    </w:p>
    <w:p w:rsidR="00A42265" w:rsidRPr="008F1678" w:rsidRDefault="00A42265" w:rsidP="00D60D91">
      <w:pPr>
        <w:pStyle w:val="Tabletitles"/>
        <w:rPr>
          <w:lang w:eastAsia="en-US"/>
        </w:rPr>
      </w:pPr>
      <w:r w:rsidRPr="008F1678">
        <w:rPr>
          <w:lang w:eastAsia="en-US"/>
        </w:rPr>
        <w:t xml:space="preserve">Table </w:t>
      </w:r>
      <w:r w:rsidR="00415397" w:rsidRPr="008F1678">
        <w:rPr>
          <w:lang w:eastAsia="en-US"/>
        </w:rPr>
        <w:t>2</w:t>
      </w:r>
      <w:r w:rsidRPr="008F1678">
        <w:rPr>
          <w:lang w:eastAsia="en-US"/>
        </w:rPr>
        <w:t>: Summary of ICERs</w:t>
      </w:r>
      <w:r w:rsidR="008826E1" w:rsidRPr="008F1678">
        <w:rPr>
          <w:lang w:eastAsia="en-US"/>
        </w:rPr>
        <w:t xml:space="preserve"> for CsA-naïve patients</w:t>
      </w:r>
    </w:p>
    <w:tbl>
      <w:tblPr>
        <w:tblStyle w:val="TableGrid"/>
        <w:tblW w:w="5000" w:type="pct"/>
        <w:tblLook w:val="04A0" w:firstRow="1" w:lastRow="0" w:firstColumn="1" w:lastColumn="0" w:noHBand="0" w:noVBand="1"/>
        <w:tblCaption w:val="Table 2: Summary of ICERs for CsA-naïve patients"/>
      </w:tblPr>
      <w:tblGrid>
        <w:gridCol w:w="595"/>
        <w:gridCol w:w="6219"/>
        <w:gridCol w:w="2202"/>
      </w:tblGrid>
      <w:tr w:rsidR="00077ACF" w:rsidRPr="008F1678" w:rsidTr="00852A83">
        <w:trPr>
          <w:tblHeader/>
        </w:trPr>
        <w:tc>
          <w:tcPr>
            <w:tcW w:w="330" w:type="pct"/>
          </w:tcPr>
          <w:p w:rsidR="00077ACF" w:rsidRPr="008F1678" w:rsidRDefault="00077ACF" w:rsidP="00D60D91">
            <w:pPr>
              <w:pStyle w:val="3Bodytext"/>
              <w:numPr>
                <w:ilvl w:val="0"/>
                <w:numId w:val="0"/>
              </w:numPr>
              <w:rPr>
                <w:rFonts w:ascii="Arial Narrow" w:hAnsi="Arial Narrow"/>
                <w:sz w:val="20"/>
                <w:szCs w:val="20"/>
              </w:rPr>
            </w:pPr>
          </w:p>
        </w:tc>
        <w:tc>
          <w:tcPr>
            <w:tcW w:w="3449" w:type="pct"/>
          </w:tcPr>
          <w:p w:rsidR="00077ACF" w:rsidRPr="008F1678" w:rsidRDefault="00077ACF" w:rsidP="00D60D91">
            <w:pPr>
              <w:pStyle w:val="3Bodytext"/>
              <w:numPr>
                <w:ilvl w:val="0"/>
                <w:numId w:val="0"/>
              </w:numPr>
              <w:rPr>
                <w:rFonts w:ascii="Arial Narrow" w:hAnsi="Arial Narrow"/>
                <w:sz w:val="20"/>
                <w:szCs w:val="20"/>
              </w:rPr>
            </w:pPr>
            <w:r w:rsidRPr="008F1678">
              <w:rPr>
                <w:rFonts w:ascii="Arial Narrow" w:hAnsi="Arial Narrow"/>
                <w:sz w:val="20"/>
                <w:szCs w:val="20"/>
              </w:rPr>
              <w:t>Parameters changed</w:t>
            </w:r>
          </w:p>
        </w:tc>
        <w:tc>
          <w:tcPr>
            <w:tcW w:w="1221" w:type="pct"/>
          </w:tcPr>
          <w:p w:rsidR="00077ACF" w:rsidRPr="008F1678" w:rsidRDefault="00077ACF" w:rsidP="00D60D91">
            <w:pPr>
              <w:pStyle w:val="3Bodytext"/>
              <w:numPr>
                <w:ilvl w:val="0"/>
                <w:numId w:val="0"/>
              </w:numPr>
              <w:rPr>
                <w:rFonts w:ascii="Arial Narrow" w:hAnsi="Arial Narrow"/>
                <w:sz w:val="20"/>
                <w:szCs w:val="20"/>
              </w:rPr>
            </w:pPr>
            <w:r w:rsidRPr="008F1678">
              <w:rPr>
                <w:rFonts w:ascii="Arial Narrow" w:hAnsi="Arial Narrow"/>
                <w:sz w:val="20"/>
                <w:szCs w:val="20"/>
              </w:rPr>
              <w:t>ICER</w:t>
            </w:r>
            <w:r w:rsidR="004E4386" w:rsidRPr="008F1678">
              <w:rPr>
                <w:rFonts w:ascii="Arial Narrow" w:hAnsi="Arial Narrow"/>
                <w:sz w:val="20"/>
                <w:szCs w:val="20"/>
              </w:rPr>
              <w:t>/QALY</w:t>
            </w:r>
          </w:p>
        </w:tc>
      </w:tr>
      <w:tr w:rsidR="00077ACF" w:rsidRPr="008F1678" w:rsidTr="00D60D91">
        <w:tc>
          <w:tcPr>
            <w:tcW w:w="330" w:type="pct"/>
          </w:tcPr>
          <w:p w:rsidR="00077ACF" w:rsidRPr="008F1678" w:rsidRDefault="00077ACF" w:rsidP="00D60D91">
            <w:pPr>
              <w:pStyle w:val="3Bodytext"/>
              <w:numPr>
                <w:ilvl w:val="0"/>
                <w:numId w:val="0"/>
              </w:numPr>
              <w:rPr>
                <w:rFonts w:ascii="Arial Narrow" w:hAnsi="Arial Narrow"/>
                <w:sz w:val="20"/>
                <w:szCs w:val="20"/>
              </w:rPr>
            </w:pPr>
            <w:r w:rsidRPr="008F1678">
              <w:rPr>
                <w:rFonts w:ascii="Arial Narrow" w:hAnsi="Arial Narrow"/>
                <w:sz w:val="20"/>
                <w:szCs w:val="20"/>
              </w:rPr>
              <w:t>A</w:t>
            </w:r>
          </w:p>
        </w:tc>
        <w:tc>
          <w:tcPr>
            <w:tcW w:w="3449" w:type="pct"/>
          </w:tcPr>
          <w:p w:rsidR="00077ACF" w:rsidRPr="008F1678" w:rsidRDefault="00077ACF" w:rsidP="00D60D91">
            <w:pPr>
              <w:pStyle w:val="3Bodytext"/>
              <w:numPr>
                <w:ilvl w:val="0"/>
                <w:numId w:val="0"/>
              </w:numPr>
              <w:rPr>
                <w:rFonts w:ascii="Arial Narrow" w:hAnsi="Arial Narrow"/>
                <w:sz w:val="20"/>
                <w:szCs w:val="20"/>
              </w:rPr>
            </w:pPr>
            <w:r w:rsidRPr="008F1678">
              <w:rPr>
                <w:rFonts w:ascii="Arial Narrow" w:hAnsi="Arial Narrow"/>
                <w:sz w:val="20"/>
                <w:szCs w:val="20"/>
              </w:rPr>
              <w:t>Base case March 2020</w:t>
            </w:r>
          </w:p>
        </w:tc>
        <w:tc>
          <w:tcPr>
            <w:tcW w:w="1221" w:type="pct"/>
          </w:tcPr>
          <w:p w:rsidR="00077ACF" w:rsidRPr="005513B1" w:rsidRDefault="00077ACF" w:rsidP="00D60D91">
            <w:pPr>
              <w:pStyle w:val="3Bodytext"/>
              <w:numPr>
                <w:ilvl w:val="0"/>
                <w:numId w:val="0"/>
              </w:numPr>
              <w:rPr>
                <w:rFonts w:ascii="Arial Narrow" w:hAnsi="Arial Narrow"/>
                <w:sz w:val="20"/>
                <w:szCs w:val="20"/>
                <w:vertAlign w:val="superscript"/>
              </w:rPr>
            </w:pPr>
            <w:r w:rsidRPr="008F1678">
              <w:rPr>
                <w:rFonts w:ascii="Arial Narrow" w:hAnsi="Arial Narrow"/>
                <w:sz w:val="20"/>
                <w:szCs w:val="20"/>
              </w:rPr>
              <w:t>$</w:t>
            </w:r>
            <w:r w:rsidR="00975575">
              <w:rPr>
                <w:rFonts w:ascii="Arial Narrow" w:hAnsi="Arial Narrow"/>
                <w:noProof/>
                <w:color w:val="000000"/>
                <w:sz w:val="20"/>
                <w:szCs w:val="20"/>
                <w:highlight w:val="black"/>
              </w:rPr>
              <w:t>'''''''''''''''</w:t>
            </w:r>
            <w:r w:rsidR="00954814">
              <w:rPr>
                <w:rFonts w:ascii="Arial Narrow" w:hAnsi="Arial Narrow"/>
                <w:sz w:val="20"/>
                <w:szCs w:val="20"/>
                <w:vertAlign w:val="superscript"/>
              </w:rPr>
              <w:t>1</w:t>
            </w:r>
          </w:p>
        </w:tc>
      </w:tr>
      <w:tr w:rsidR="00077ACF" w:rsidRPr="008F1678" w:rsidTr="00D60D91">
        <w:tc>
          <w:tcPr>
            <w:tcW w:w="330" w:type="pct"/>
          </w:tcPr>
          <w:p w:rsidR="00077ACF" w:rsidRPr="008F1678" w:rsidRDefault="00077ACF" w:rsidP="00D60D91">
            <w:pPr>
              <w:pStyle w:val="3Bodytext"/>
              <w:numPr>
                <w:ilvl w:val="0"/>
                <w:numId w:val="0"/>
              </w:numPr>
              <w:rPr>
                <w:rFonts w:ascii="Arial Narrow" w:hAnsi="Arial Narrow"/>
                <w:sz w:val="20"/>
                <w:szCs w:val="20"/>
              </w:rPr>
            </w:pPr>
            <w:r w:rsidRPr="008F1678">
              <w:rPr>
                <w:rFonts w:ascii="Arial Narrow" w:hAnsi="Arial Narrow"/>
                <w:sz w:val="20"/>
                <w:szCs w:val="20"/>
              </w:rPr>
              <w:t>B</w:t>
            </w:r>
          </w:p>
        </w:tc>
        <w:tc>
          <w:tcPr>
            <w:tcW w:w="3449" w:type="pct"/>
          </w:tcPr>
          <w:p w:rsidR="00077ACF" w:rsidRPr="008F1678" w:rsidRDefault="00077ACF" w:rsidP="00D60D91">
            <w:pPr>
              <w:pStyle w:val="3Bodytext"/>
              <w:numPr>
                <w:ilvl w:val="0"/>
                <w:numId w:val="0"/>
              </w:numPr>
              <w:rPr>
                <w:rFonts w:ascii="Arial Narrow" w:hAnsi="Arial Narrow"/>
                <w:sz w:val="20"/>
                <w:szCs w:val="20"/>
              </w:rPr>
            </w:pPr>
            <w:r w:rsidRPr="008F1678">
              <w:rPr>
                <w:rFonts w:ascii="Arial Narrow" w:hAnsi="Arial Narrow"/>
                <w:sz w:val="20"/>
                <w:szCs w:val="20"/>
              </w:rPr>
              <w:t>Phototherapy costs revised to two sessions/week</w:t>
            </w:r>
          </w:p>
        </w:tc>
        <w:tc>
          <w:tcPr>
            <w:tcW w:w="1221" w:type="pct"/>
          </w:tcPr>
          <w:p w:rsidR="00077ACF" w:rsidRPr="005513B1" w:rsidRDefault="00077ACF" w:rsidP="00D60D91">
            <w:pPr>
              <w:pStyle w:val="3Bodytext"/>
              <w:numPr>
                <w:ilvl w:val="0"/>
                <w:numId w:val="0"/>
              </w:numPr>
              <w:rPr>
                <w:rFonts w:ascii="Arial Narrow" w:hAnsi="Arial Narrow"/>
                <w:sz w:val="20"/>
                <w:szCs w:val="20"/>
                <w:vertAlign w:val="superscript"/>
              </w:rPr>
            </w:pPr>
            <w:r w:rsidRPr="008F1678">
              <w:rPr>
                <w:rFonts w:ascii="Arial Narrow" w:hAnsi="Arial Narrow"/>
                <w:sz w:val="20"/>
                <w:szCs w:val="20"/>
              </w:rPr>
              <w:t>$</w:t>
            </w:r>
            <w:r w:rsidR="00975575">
              <w:rPr>
                <w:rFonts w:ascii="Arial Narrow" w:hAnsi="Arial Narrow"/>
                <w:noProof/>
                <w:color w:val="000000"/>
                <w:sz w:val="20"/>
                <w:szCs w:val="20"/>
                <w:highlight w:val="black"/>
              </w:rPr>
              <w:t>''''''''''''''''''</w:t>
            </w:r>
            <w:r w:rsidR="00954814">
              <w:rPr>
                <w:rFonts w:ascii="Arial Narrow" w:hAnsi="Arial Narrow"/>
                <w:sz w:val="20"/>
                <w:szCs w:val="20"/>
                <w:vertAlign w:val="superscript"/>
              </w:rPr>
              <w:t>1</w:t>
            </w:r>
          </w:p>
        </w:tc>
      </w:tr>
      <w:tr w:rsidR="00077ACF" w:rsidRPr="008F1678" w:rsidTr="00D60D91">
        <w:tc>
          <w:tcPr>
            <w:tcW w:w="330" w:type="pct"/>
          </w:tcPr>
          <w:p w:rsidR="00077ACF" w:rsidRPr="008F1678" w:rsidRDefault="00077ACF" w:rsidP="00D60D91">
            <w:pPr>
              <w:pStyle w:val="3Bodytext"/>
              <w:numPr>
                <w:ilvl w:val="0"/>
                <w:numId w:val="0"/>
              </w:numPr>
              <w:rPr>
                <w:rFonts w:ascii="Arial Narrow" w:hAnsi="Arial Narrow"/>
                <w:sz w:val="20"/>
                <w:szCs w:val="20"/>
              </w:rPr>
            </w:pPr>
            <w:r w:rsidRPr="008F1678">
              <w:rPr>
                <w:rFonts w:ascii="Arial Narrow" w:hAnsi="Arial Narrow"/>
                <w:sz w:val="20"/>
                <w:szCs w:val="20"/>
              </w:rPr>
              <w:t>C</w:t>
            </w:r>
          </w:p>
        </w:tc>
        <w:tc>
          <w:tcPr>
            <w:tcW w:w="3449" w:type="pct"/>
          </w:tcPr>
          <w:p w:rsidR="00077ACF" w:rsidRPr="008F1678" w:rsidRDefault="00077ACF" w:rsidP="00D60D91">
            <w:pPr>
              <w:pStyle w:val="3Bodytext"/>
              <w:numPr>
                <w:ilvl w:val="0"/>
                <w:numId w:val="0"/>
              </w:numPr>
              <w:rPr>
                <w:rFonts w:ascii="Arial Narrow" w:hAnsi="Arial Narrow"/>
                <w:sz w:val="20"/>
                <w:szCs w:val="20"/>
              </w:rPr>
            </w:pPr>
            <w:r w:rsidRPr="008F1678">
              <w:rPr>
                <w:rFonts w:ascii="Arial Narrow" w:hAnsi="Arial Narrow"/>
                <w:sz w:val="20"/>
                <w:szCs w:val="20"/>
              </w:rPr>
              <w:t>Maintenance of response applied as per March 2020 pre-PBAC response</w:t>
            </w:r>
          </w:p>
        </w:tc>
        <w:tc>
          <w:tcPr>
            <w:tcW w:w="1221" w:type="pct"/>
          </w:tcPr>
          <w:p w:rsidR="00077ACF" w:rsidRPr="005513B1" w:rsidRDefault="00077ACF" w:rsidP="00D60D91">
            <w:pPr>
              <w:pStyle w:val="3Bodytext"/>
              <w:numPr>
                <w:ilvl w:val="0"/>
                <w:numId w:val="0"/>
              </w:numPr>
              <w:rPr>
                <w:rFonts w:ascii="Arial Narrow" w:hAnsi="Arial Narrow"/>
                <w:sz w:val="20"/>
                <w:szCs w:val="20"/>
                <w:vertAlign w:val="superscript"/>
              </w:rPr>
            </w:pPr>
            <w:r w:rsidRPr="008F1678">
              <w:rPr>
                <w:rFonts w:ascii="Arial Narrow" w:hAnsi="Arial Narrow"/>
                <w:sz w:val="20"/>
                <w:szCs w:val="20"/>
              </w:rPr>
              <w:t>$</w:t>
            </w:r>
            <w:r w:rsidR="00975575">
              <w:rPr>
                <w:rFonts w:ascii="Arial Narrow" w:hAnsi="Arial Narrow"/>
                <w:noProof/>
                <w:color w:val="000000"/>
                <w:sz w:val="20"/>
                <w:szCs w:val="20"/>
                <w:highlight w:val="black"/>
              </w:rPr>
              <w:t>'''''''''''''''''</w:t>
            </w:r>
            <w:r w:rsidR="00954814">
              <w:rPr>
                <w:rFonts w:ascii="Arial Narrow" w:hAnsi="Arial Narrow"/>
                <w:sz w:val="20"/>
                <w:szCs w:val="20"/>
                <w:vertAlign w:val="superscript"/>
              </w:rPr>
              <w:t>1</w:t>
            </w:r>
          </w:p>
        </w:tc>
      </w:tr>
      <w:tr w:rsidR="00077ACF" w:rsidRPr="008F1678" w:rsidTr="00D60D91">
        <w:tc>
          <w:tcPr>
            <w:tcW w:w="330" w:type="pct"/>
          </w:tcPr>
          <w:p w:rsidR="00077ACF" w:rsidRPr="008F1678" w:rsidRDefault="00077ACF" w:rsidP="00D60D91">
            <w:pPr>
              <w:pStyle w:val="3Bodytext"/>
              <w:numPr>
                <w:ilvl w:val="0"/>
                <w:numId w:val="0"/>
              </w:numPr>
              <w:rPr>
                <w:rFonts w:ascii="Arial Narrow" w:hAnsi="Arial Narrow"/>
                <w:sz w:val="20"/>
                <w:szCs w:val="20"/>
              </w:rPr>
            </w:pPr>
            <w:r w:rsidRPr="008F1678">
              <w:rPr>
                <w:rFonts w:ascii="Arial Narrow" w:hAnsi="Arial Narrow"/>
                <w:sz w:val="20"/>
                <w:szCs w:val="20"/>
              </w:rPr>
              <w:t>D</w:t>
            </w:r>
          </w:p>
        </w:tc>
        <w:tc>
          <w:tcPr>
            <w:tcW w:w="3449" w:type="pct"/>
          </w:tcPr>
          <w:p w:rsidR="00077ACF" w:rsidRPr="008F1678" w:rsidRDefault="00077ACF" w:rsidP="00D60D91">
            <w:pPr>
              <w:pStyle w:val="3Bodytext"/>
              <w:numPr>
                <w:ilvl w:val="0"/>
                <w:numId w:val="0"/>
              </w:numPr>
              <w:rPr>
                <w:rFonts w:ascii="Arial Narrow" w:hAnsi="Arial Narrow"/>
                <w:sz w:val="20"/>
                <w:szCs w:val="20"/>
              </w:rPr>
            </w:pPr>
            <w:r w:rsidRPr="008F1678">
              <w:rPr>
                <w:rFonts w:ascii="Arial Narrow" w:hAnsi="Arial Narrow"/>
                <w:sz w:val="20"/>
                <w:szCs w:val="20"/>
              </w:rPr>
              <w:t xml:space="preserve">Apply </w:t>
            </w:r>
            <w:r w:rsidRPr="008F1678">
              <w:rPr>
                <w:rFonts w:ascii="Arial Narrow" w:hAnsi="Arial Narrow"/>
                <w:b/>
                <w:sz w:val="20"/>
                <w:szCs w:val="20"/>
              </w:rPr>
              <w:t>B</w:t>
            </w:r>
            <w:r w:rsidRPr="008F1678">
              <w:rPr>
                <w:rFonts w:ascii="Arial Narrow" w:hAnsi="Arial Narrow"/>
                <w:sz w:val="20"/>
                <w:szCs w:val="20"/>
              </w:rPr>
              <w:t xml:space="preserve"> &amp; </w:t>
            </w:r>
            <w:r w:rsidRPr="008F1678">
              <w:rPr>
                <w:rFonts w:ascii="Arial Narrow" w:hAnsi="Arial Narrow"/>
                <w:b/>
                <w:sz w:val="20"/>
                <w:szCs w:val="20"/>
              </w:rPr>
              <w:t>C</w:t>
            </w:r>
          </w:p>
        </w:tc>
        <w:tc>
          <w:tcPr>
            <w:tcW w:w="1221" w:type="pct"/>
          </w:tcPr>
          <w:p w:rsidR="00077ACF" w:rsidRPr="005513B1" w:rsidRDefault="00077ACF" w:rsidP="00D60D91">
            <w:pPr>
              <w:pStyle w:val="3Bodytext"/>
              <w:numPr>
                <w:ilvl w:val="0"/>
                <w:numId w:val="0"/>
              </w:numPr>
              <w:rPr>
                <w:rFonts w:ascii="Arial Narrow" w:hAnsi="Arial Narrow"/>
                <w:sz w:val="20"/>
                <w:szCs w:val="20"/>
                <w:vertAlign w:val="superscript"/>
              </w:rPr>
            </w:pPr>
            <w:r w:rsidRPr="008F1678">
              <w:rPr>
                <w:rFonts w:ascii="Arial Narrow" w:hAnsi="Arial Narrow"/>
                <w:sz w:val="20"/>
                <w:szCs w:val="20"/>
              </w:rPr>
              <w:t>$</w:t>
            </w:r>
            <w:r w:rsidR="00975575">
              <w:rPr>
                <w:rFonts w:ascii="Arial Narrow" w:hAnsi="Arial Narrow"/>
                <w:noProof/>
                <w:color w:val="000000"/>
                <w:sz w:val="20"/>
                <w:szCs w:val="20"/>
                <w:highlight w:val="black"/>
              </w:rPr>
              <w:t>'''''''''''''''</w:t>
            </w:r>
            <w:r w:rsidR="00954814">
              <w:rPr>
                <w:rFonts w:ascii="Arial Narrow" w:hAnsi="Arial Narrow"/>
                <w:sz w:val="20"/>
                <w:szCs w:val="20"/>
                <w:vertAlign w:val="superscript"/>
              </w:rPr>
              <w:t>2</w:t>
            </w:r>
          </w:p>
        </w:tc>
      </w:tr>
      <w:tr w:rsidR="00077ACF" w:rsidRPr="008F1678" w:rsidTr="00D60D91">
        <w:tc>
          <w:tcPr>
            <w:tcW w:w="330" w:type="pct"/>
          </w:tcPr>
          <w:p w:rsidR="00077ACF" w:rsidRPr="008F1678" w:rsidRDefault="00077ACF" w:rsidP="00D60D91">
            <w:pPr>
              <w:pStyle w:val="3Bodytext"/>
              <w:numPr>
                <w:ilvl w:val="0"/>
                <w:numId w:val="0"/>
              </w:numPr>
              <w:rPr>
                <w:rFonts w:ascii="Arial Narrow" w:hAnsi="Arial Narrow"/>
                <w:sz w:val="20"/>
                <w:szCs w:val="20"/>
              </w:rPr>
            </w:pPr>
            <w:r w:rsidRPr="008F1678">
              <w:rPr>
                <w:rFonts w:ascii="Arial Narrow" w:hAnsi="Arial Narrow"/>
                <w:sz w:val="20"/>
                <w:szCs w:val="20"/>
              </w:rPr>
              <w:t>E</w:t>
            </w:r>
          </w:p>
        </w:tc>
        <w:tc>
          <w:tcPr>
            <w:tcW w:w="3449" w:type="pct"/>
          </w:tcPr>
          <w:p w:rsidR="00077ACF" w:rsidRPr="008F1678" w:rsidRDefault="00077ACF" w:rsidP="00D60D91">
            <w:pPr>
              <w:pStyle w:val="3Bodytext"/>
              <w:numPr>
                <w:ilvl w:val="0"/>
                <w:numId w:val="0"/>
              </w:numPr>
              <w:rPr>
                <w:rFonts w:ascii="Arial Narrow" w:hAnsi="Arial Narrow"/>
                <w:sz w:val="20"/>
                <w:szCs w:val="20"/>
              </w:rPr>
            </w:pPr>
            <w:r w:rsidRPr="008F1678">
              <w:rPr>
                <w:rFonts w:ascii="Arial Narrow" w:hAnsi="Arial Narrow"/>
                <w:sz w:val="20"/>
                <w:szCs w:val="20"/>
              </w:rPr>
              <w:t xml:space="preserve">Apply updated medical resources costs to </w:t>
            </w:r>
            <w:r w:rsidRPr="008F1678">
              <w:rPr>
                <w:rFonts w:ascii="Arial Narrow" w:hAnsi="Arial Narrow"/>
                <w:b/>
                <w:sz w:val="20"/>
                <w:szCs w:val="20"/>
              </w:rPr>
              <w:t>D</w:t>
            </w:r>
          </w:p>
        </w:tc>
        <w:tc>
          <w:tcPr>
            <w:tcW w:w="1221" w:type="pct"/>
          </w:tcPr>
          <w:p w:rsidR="00077ACF" w:rsidRPr="005513B1" w:rsidRDefault="00077ACF" w:rsidP="00D60D91">
            <w:pPr>
              <w:pStyle w:val="3Bodytext"/>
              <w:numPr>
                <w:ilvl w:val="0"/>
                <w:numId w:val="0"/>
              </w:numPr>
              <w:rPr>
                <w:rFonts w:ascii="Arial Narrow" w:hAnsi="Arial Narrow"/>
                <w:sz w:val="20"/>
                <w:szCs w:val="20"/>
                <w:vertAlign w:val="superscript"/>
              </w:rPr>
            </w:pPr>
            <w:r w:rsidRPr="008F1678">
              <w:rPr>
                <w:rFonts w:ascii="Arial Narrow" w:hAnsi="Arial Narrow"/>
                <w:sz w:val="20"/>
                <w:szCs w:val="20"/>
              </w:rPr>
              <w:t>$</w:t>
            </w:r>
            <w:r w:rsidR="00975575">
              <w:rPr>
                <w:rFonts w:ascii="Arial Narrow" w:hAnsi="Arial Narrow"/>
                <w:noProof/>
                <w:color w:val="000000"/>
                <w:sz w:val="20"/>
                <w:szCs w:val="20"/>
                <w:highlight w:val="black"/>
              </w:rPr>
              <w:t>''''''''''''''''''</w:t>
            </w:r>
            <w:r w:rsidR="00954814">
              <w:rPr>
                <w:rFonts w:ascii="Arial Narrow" w:hAnsi="Arial Narrow"/>
                <w:sz w:val="20"/>
                <w:szCs w:val="20"/>
                <w:vertAlign w:val="superscript"/>
              </w:rPr>
              <w:t>2</w:t>
            </w:r>
          </w:p>
        </w:tc>
      </w:tr>
      <w:tr w:rsidR="00077ACF" w:rsidRPr="008F1678" w:rsidTr="00D60D91">
        <w:tc>
          <w:tcPr>
            <w:tcW w:w="330" w:type="pct"/>
          </w:tcPr>
          <w:p w:rsidR="00077ACF" w:rsidRPr="008F1678" w:rsidRDefault="00077ACF" w:rsidP="00D60D91">
            <w:pPr>
              <w:pStyle w:val="3Bodytext"/>
              <w:numPr>
                <w:ilvl w:val="0"/>
                <w:numId w:val="0"/>
              </w:numPr>
              <w:rPr>
                <w:rFonts w:ascii="Arial Narrow" w:hAnsi="Arial Narrow"/>
                <w:sz w:val="20"/>
                <w:szCs w:val="20"/>
              </w:rPr>
            </w:pPr>
            <w:r w:rsidRPr="008F1678">
              <w:rPr>
                <w:rFonts w:ascii="Arial Narrow" w:hAnsi="Arial Narrow"/>
                <w:sz w:val="20"/>
                <w:szCs w:val="20"/>
              </w:rPr>
              <w:t>F</w:t>
            </w:r>
          </w:p>
        </w:tc>
        <w:tc>
          <w:tcPr>
            <w:tcW w:w="3449" w:type="pct"/>
          </w:tcPr>
          <w:p w:rsidR="00077ACF" w:rsidRPr="008F1678" w:rsidRDefault="00077ACF" w:rsidP="00D60D91">
            <w:pPr>
              <w:pStyle w:val="3Bodytext"/>
              <w:numPr>
                <w:ilvl w:val="0"/>
                <w:numId w:val="0"/>
              </w:numPr>
              <w:rPr>
                <w:rFonts w:ascii="Arial Narrow" w:hAnsi="Arial Narrow"/>
                <w:sz w:val="20"/>
                <w:szCs w:val="20"/>
              </w:rPr>
            </w:pPr>
            <w:r w:rsidRPr="008F1678">
              <w:rPr>
                <w:rFonts w:ascii="Arial Narrow" w:hAnsi="Arial Narrow"/>
                <w:sz w:val="20"/>
                <w:szCs w:val="20"/>
              </w:rPr>
              <w:t>With proposed price reduction (DPMQ = $</w:t>
            </w:r>
            <w:r w:rsidR="00975575">
              <w:rPr>
                <w:rFonts w:ascii="Arial Narrow" w:hAnsi="Arial Narrow"/>
                <w:noProof/>
                <w:color w:val="000000"/>
                <w:sz w:val="20"/>
                <w:szCs w:val="20"/>
                <w:highlight w:val="black"/>
              </w:rPr>
              <w:t>'''''''''''''''''''</w:t>
            </w:r>
            <w:r w:rsidRPr="008F1678">
              <w:rPr>
                <w:rFonts w:ascii="Arial Narrow" w:hAnsi="Arial Narrow"/>
                <w:sz w:val="20"/>
                <w:szCs w:val="20"/>
              </w:rPr>
              <w:t>)</w:t>
            </w:r>
          </w:p>
        </w:tc>
        <w:tc>
          <w:tcPr>
            <w:tcW w:w="1221" w:type="pct"/>
          </w:tcPr>
          <w:p w:rsidR="00077ACF" w:rsidRPr="005513B1" w:rsidRDefault="00077ACF" w:rsidP="00D60D91">
            <w:pPr>
              <w:pStyle w:val="3Bodytext"/>
              <w:numPr>
                <w:ilvl w:val="0"/>
                <w:numId w:val="0"/>
              </w:numPr>
              <w:rPr>
                <w:rFonts w:ascii="Arial Narrow" w:hAnsi="Arial Narrow"/>
                <w:sz w:val="20"/>
                <w:szCs w:val="20"/>
                <w:vertAlign w:val="superscript"/>
              </w:rPr>
            </w:pPr>
            <w:r w:rsidRPr="008F1678">
              <w:rPr>
                <w:rFonts w:ascii="Arial Narrow" w:hAnsi="Arial Narrow"/>
                <w:sz w:val="20"/>
                <w:szCs w:val="20"/>
              </w:rPr>
              <w:t>$</w:t>
            </w:r>
            <w:r w:rsidR="00975575">
              <w:rPr>
                <w:rFonts w:ascii="Arial Narrow" w:hAnsi="Arial Narrow"/>
                <w:noProof/>
                <w:color w:val="000000"/>
                <w:sz w:val="20"/>
                <w:szCs w:val="20"/>
                <w:highlight w:val="black"/>
              </w:rPr>
              <w:t>''''''''''''''''</w:t>
            </w:r>
            <w:r w:rsidR="00954814">
              <w:rPr>
                <w:rFonts w:ascii="Arial Narrow" w:hAnsi="Arial Narrow"/>
                <w:sz w:val="20"/>
                <w:szCs w:val="20"/>
                <w:vertAlign w:val="superscript"/>
              </w:rPr>
              <w:t>1</w:t>
            </w:r>
          </w:p>
        </w:tc>
      </w:tr>
    </w:tbl>
    <w:p w:rsidR="00954814" w:rsidRPr="005513B1" w:rsidRDefault="00954814" w:rsidP="005513B1">
      <w:pPr>
        <w:pStyle w:val="TableFooter"/>
        <w:rPr>
          <w:i/>
        </w:rPr>
      </w:pPr>
      <w:r w:rsidRPr="005513B1">
        <w:rPr>
          <w:i/>
        </w:rPr>
        <w:t>The redacted values correspond to the following ranges:</w:t>
      </w:r>
    </w:p>
    <w:p w:rsidR="00954814" w:rsidRPr="005513B1" w:rsidRDefault="00954814" w:rsidP="005513B1">
      <w:pPr>
        <w:pStyle w:val="TableFooter"/>
        <w:rPr>
          <w:i/>
        </w:rPr>
      </w:pPr>
      <w:r w:rsidRPr="005513B1">
        <w:rPr>
          <w:i/>
          <w:vertAlign w:val="superscript"/>
        </w:rPr>
        <w:t>1</w:t>
      </w:r>
      <w:r w:rsidRPr="005513B1">
        <w:rPr>
          <w:i/>
        </w:rPr>
        <w:t>$45,000 to &lt;$55,000/QALY gained</w:t>
      </w:r>
    </w:p>
    <w:p w:rsidR="00954814" w:rsidRPr="005513B1" w:rsidRDefault="00954814" w:rsidP="005513B1">
      <w:pPr>
        <w:pStyle w:val="TableFooter"/>
        <w:rPr>
          <w:i/>
        </w:rPr>
      </w:pPr>
      <w:r w:rsidRPr="005513B1">
        <w:rPr>
          <w:i/>
          <w:vertAlign w:val="superscript"/>
        </w:rPr>
        <w:t>2</w:t>
      </w:r>
      <w:r w:rsidRPr="005513B1">
        <w:rPr>
          <w:i/>
        </w:rPr>
        <w:t>$55,000 to &lt;$65,000/QALY gained</w:t>
      </w:r>
    </w:p>
    <w:p w:rsidR="00954814" w:rsidRPr="005513B1" w:rsidRDefault="00954814" w:rsidP="005513B1">
      <w:pPr>
        <w:pStyle w:val="3Bodytext"/>
        <w:numPr>
          <w:ilvl w:val="0"/>
          <w:numId w:val="0"/>
        </w:numPr>
        <w:spacing w:before="120"/>
        <w:ind w:left="720" w:hanging="720"/>
        <w:rPr>
          <w:rFonts w:ascii="Arial Narrow" w:hAnsi="Arial Narrow"/>
          <w:sz w:val="18"/>
        </w:rPr>
      </w:pPr>
    </w:p>
    <w:p w:rsidR="00CC43AD" w:rsidRPr="008F1678" w:rsidRDefault="00EA2C89" w:rsidP="00D60D91">
      <w:pPr>
        <w:pStyle w:val="3Bodytext"/>
        <w:spacing w:before="120"/>
      </w:pPr>
      <w:r w:rsidRPr="008F1678">
        <w:t xml:space="preserve">In March 2020, the PBAC agreed with the ESC that the magnitude of cost offsets from phototherapy applied in the model was not </w:t>
      </w:r>
      <w:r w:rsidR="00417410" w:rsidRPr="008F1678">
        <w:t>reasonable;</w:t>
      </w:r>
      <w:r w:rsidRPr="008F1678">
        <w:t xml:space="preserve"> particularly as the model included no effectiveness from </w:t>
      </w:r>
      <w:r w:rsidR="00417410" w:rsidRPr="008F1678">
        <w:t>phototherapy</w:t>
      </w:r>
      <w:r w:rsidRPr="008F1678">
        <w:t xml:space="preserve"> utilisation</w:t>
      </w:r>
      <w:r w:rsidR="009B50CA" w:rsidRPr="008F1678">
        <w:t xml:space="preserve"> (paragraphs 6.61 and 7.18, dupilumab </w:t>
      </w:r>
      <w:r w:rsidR="00133DF9">
        <w:t>Public summary document (</w:t>
      </w:r>
      <w:r w:rsidR="008D6FA5" w:rsidRPr="008F1678">
        <w:t>PSD</w:t>
      </w:r>
      <w:r w:rsidR="00133DF9">
        <w:t>)</w:t>
      </w:r>
      <w:r w:rsidR="009B50CA" w:rsidRPr="008F1678">
        <w:t xml:space="preserve"> March 2020 PBAC)</w:t>
      </w:r>
      <w:r w:rsidRPr="008F1678">
        <w:t xml:space="preserve">. </w:t>
      </w:r>
    </w:p>
    <w:p w:rsidR="007B4742" w:rsidRPr="008F1678" w:rsidRDefault="00A13AFA" w:rsidP="00D60D91">
      <w:pPr>
        <w:pStyle w:val="3Bodytext"/>
      </w:pPr>
      <w:r w:rsidRPr="008F1678">
        <w:t>In its proposal, t</w:t>
      </w:r>
      <w:r w:rsidR="000433C2" w:rsidRPr="008F1678">
        <w:t xml:space="preserve">he sponsor maintained that the assumptions informing the number of phototherapy courses per year (courses of phototherapy and weeks per course) </w:t>
      </w:r>
      <w:r w:rsidR="001B76C3" w:rsidRPr="008F1678">
        <w:t xml:space="preserve">based on a clinician survey </w:t>
      </w:r>
      <w:r w:rsidR="00B068A7" w:rsidRPr="008F1678">
        <w:t xml:space="preserve">are valid. </w:t>
      </w:r>
      <w:r w:rsidR="00EA2C89" w:rsidRPr="008F1678">
        <w:t xml:space="preserve">The </w:t>
      </w:r>
      <w:r w:rsidR="00E368DA" w:rsidRPr="008F1678">
        <w:t>s</w:t>
      </w:r>
      <w:r w:rsidR="00EA2C89" w:rsidRPr="008F1678">
        <w:t xml:space="preserve">ponsor’s proposal </w:t>
      </w:r>
      <w:r w:rsidR="00B068A7" w:rsidRPr="008F1678">
        <w:t xml:space="preserve">claims that while the assumption of three phototherapy session per week is consistent with </w:t>
      </w:r>
      <w:r w:rsidR="00B068A7" w:rsidRPr="008F1678">
        <w:rPr>
          <w:i/>
        </w:rPr>
        <w:t>Patrizi et al 2015</w:t>
      </w:r>
      <w:r w:rsidR="00B068A7" w:rsidRPr="008F1678">
        <w:t>, it has been changed to two session</w:t>
      </w:r>
      <w:r w:rsidR="00832EA5" w:rsidRPr="008F1678">
        <w:t>s</w:t>
      </w:r>
      <w:r w:rsidR="00B068A7" w:rsidRPr="008F1678">
        <w:t xml:space="preserve"> per week in the revised economic model.</w:t>
      </w:r>
    </w:p>
    <w:p w:rsidR="00BF24E7" w:rsidRPr="008F1678" w:rsidRDefault="000A3550" w:rsidP="00D60D91">
      <w:pPr>
        <w:pStyle w:val="3Bodytext"/>
      </w:pPr>
      <w:r w:rsidRPr="008F1678">
        <w:t xml:space="preserve">In March 2020, the PBAC considered the ICER to be underestimated due to the submission’s assumption regarding maintenance of response, </w:t>
      </w:r>
      <w:r w:rsidR="00783578" w:rsidRPr="008F1678">
        <w:t xml:space="preserve">where </w:t>
      </w:r>
      <w:r w:rsidR="005B4395" w:rsidRPr="008F1678">
        <w:t>the</w:t>
      </w:r>
      <w:r w:rsidR="00783578" w:rsidRPr="008F1678">
        <w:t xml:space="preserve"> maintenance of response </w:t>
      </w:r>
      <w:r w:rsidR="007C7946" w:rsidRPr="008F1678">
        <w:t xml:space="preserve">was assumed to be higher for </w:t>
      </w:r>
      <w:r w:rsidR="005B4395" w:rsidRPr="008F1678">
        <w:t xml:space="preserve">dupilumab </w:t>
      </w:r>
      <w:r w:rsidR="007C7946" w:rsidRPr="008F1678">
        <w:t>compared with the</w:t>
      </w:r>
      <w:r w:rsidR="005B4395" w:rsidRPr="008F1678">
        <w:t xml:space="preserve"> comparator</w:t>
      </w:r>
      <w:r w:rsidR="004537C4" w:rsidRPr="008F1678">
        <w:t xml:space="preserve"> in the model. </w:t>
      </w:r>
      <w:r w:rsidR="00077ACF" w:rsidRPr="008F1678">
        <w:t xml:space="preserve">The </w:t>
      </w:r>
      <w:r w:rsidR="004537C4" w:rsidRPr="008F1678">
        <w:t xml:space="preserve">PBAC </w:t>
      </w:r>
      <w:r w:rsidRPr="008F1678">
        <w:t>noted that there are limited data available to inform these assumptions</w:t>
      </w:r>
      <w:r w:rsidR="00246CDA" w:rsidRPr="008F1678">
        <w:t xml:space="preserve"> (paragraph 7.17, dupilumab Public Summary Document March 2020 PBAC)</w:t>
      </w:r>
      <w:r w:rsidRPr="008F1678">
        <w:t xml:space="preserve">. </w:t>
      </w:r>
    </w:p>
    <w:p w:rsidR="00E368DA" w:rsidRPr="008F1678" w:rsidRDefault="003821D5" w:rsidP="00D60D91">
      <w:pPr>
        <w:pStyle w:val="3Bodytext"/>
      </w:pPr>
      <w:r w:rsidRPr="008F1678">
        <w:t>The pre-PBAC response for the March 2020 submission pro</w:t>
      </w:r>
      <w:r w:rsidR="00097CA7" w:rsidRPr="008F1678">
        <w:t>vided a respecified base case</w:t>
      </w:r>
      <w:r w:rsidRPr="008F1678">
        <w:t xml:space="preserve"> in which the absolute reduction in response from year 1 to year 2 was </w:t>
      </w:r>
      <w:r w:rsidRPr="008F1678">
        <w:lastRenderedPageBreak/>
        <w:t>approximately the same for both the dupilumab and stand</w:t>
      </w:r>
      <w:r w:rsidR="00783578" w:rsidRPr="008F1678">
        <w:t>ard</w:t>
      </w:r>
      <w:r w:rsidRPr="008F1678">
        <w:t xml:space="preserve"> of care arms (approximately 13%). </w:t>
      </w:r>
      <w:r w:rsidR="00DC0EA8" w:rsidRPr="008F1678">
        <w:t>This approach is used in the sponsor’s proposal.</w:t>
      </w:r>
    </w:p>
    <w:p w:rsidR="00E368DA" w:rsidRPr="008F1678" w:rsidRDefault="001856E1" w:rsidP="00D60D91">
      <w:pPr>
        <w:pStyle w:val="3Bodytext"/>
      </w:pPr>
      <w:r w:rsidRPr="008F1678">
        <w:t xml:space="preserve">The sponsor’s proposal also updated </w:t>
      </w:r>
      <w:r w:rsidR="007C7946" w:rsidRPr="008F1678">
        <w:t xml:space="preserve">the unit </w:t>
      </w:r>
      <w:r w:rsidRPr="008F1678">
        <w:t xml:space="preserve">costs for </w:t>
      </w:r>
      <w:r w:rsidR="007C7946" w:rsidRPr="008F1678">
        <w:t xml:space="preserve">the </w:t>
      </w:r>
      <w:r w:rsidRPr="008F1678">
        <w:t xml:space="preserve">medical resource utilisation </w:t>
      </w:r>
      <w:r w:rsidR="007C7946" w:rsidRPr="008F1678">
        <w:t xml:space="preserve">so that they </w:t>
      </w:r>
      <w:r w:rsidRPr="008F1678">
        <w:t>reflect</w:t>
      </w:r>
      <w:r w:rsidR="007C7946" w:rsidRPr="008F1678">
        <w:t>ed</w:t>
      </w:r>
      <w:r w:rsidRPr="008F1678">
        <w:t xml:space="preserve"> 2020 costs. This adjustment </w:t>
      </w:r>
      <w:r w:rsidR="007C7946" w:rsidRPr="008F1678">
        <w:t>reduced the ICER from $</w:t>
      </w:r>
      <w:r w:rsidR="001E5D27">
        <w:t>55,000 to &lt;$65,000</w:t>
      </w:r>
      <w:r w:rsidR="007C7946" w:rsidRPr="008F1678">
        <w:t>/QALY to $</w:t>
      </w:r>
      <w:r w:rsidR="001E5D27">
        <w:t>55,000 to &lt;$65,000</w:t>
      </w:r>
      <w:r w:rsidR="007C7946" w:rsidRPr="008F1678">
        <w:t xml:space="preserve">/QALY </w:t>
      </w:r>
      <w:r w:rsidR="00246CDA" w:rsidRPr="008F1678">
        <w:t xml:space="preserve">for CsA-naïve patients </w:t>
      </w:r>
      <w:r w:rsidR="007C7946" w:rsidRPr="008F1678">
        <w:t xml:space="preserve">(Table 2, ICERs </w:t>
      </w:r>
      <w:r w:rsidR="008826E1" w:rsidRPr="008F1678">
        <w:t>prior to application of</w:t>
      </w:r>
      <w:r w:rsidR="007C7946" w:rsidRPr="008F1678">
        <w:t xml:space="preserve"> revised dupilumab price)</w:t>
      </w:r>
      <w:r w:rsidR="00FD07C3" w:rsidRPr="008F1678">
        <w:t xml:space="preserve">. </w:t>
      </w:r>
    </w:p>
    <w:p w:rsidR="00B94DDF" w:rsidRPr="008F1678" w:rsidRDefault="00B94DDF" w:rsidP="00D60D91">
      <w:pPr>
        <w:pStyle w:val="3Bodytext"/>
      </w:pPr>
      <w:r w:rsidRPr="008F1678">
        <w:t>In March 2020, the PBAC considered the ICER to be underestimated due to the overestimation of the extent of phototherapy use and the assumptions regarding maintenance of response, and that the effective price for dupilumab should be reduced to address the likely underestimation of the ICER (paragraphs 7.16 and 7.17, dupilumab Public Summary Document March 2020 PBAC)</w:t>
      </w:r>
      <w:r w:rsidR="00CA0BBA" w:rsidRPr="008F1678">
        <w:t>.</w:t>
      </w:r>
    </w:p>
    <w:p w:rsidR="00047AF7" w:rsidRPr="008F1678" w:rsidRDefault="008336A8" w:rsidP="00D60D91">
      <w:pPr>
        <w:pStyle w:val="3Bodytext"/>
      </w:pPr>
      <w:r w:rsidRPr="008F1678">
        <w:t xml:space="preserve">The new effective price that the sponsor has proposed is </w:t>
      </w:r>
      <w:r w:rsidR="00111BAC" w:rsidRPr="008F1678">
        <w:t xml:space="preserve">approximately 8.3% lower </w:t>
      </w:r>
      <w:r w:rsidR="00A54D1E" w:rsidRPr="008F1678">
        <w:t>(at ex-man</w:t>
      </w:r>
      <w:r w:rsidR="00246CDA" w:rsidRPr="008F1678">
        <w:t>ufacturer level</w:t>
      </w:r>
      <w:r w:rsidR="00A54D1E" w:rsidRPr="008F1678">
        <w:t xml:space="preserve">) </w:t>
      </w:r>
      <w:r w:rsidR="00111BAC" w:rsidRPr="008F1678">
        <w:t xml:space="preserve">than proposed in the March 2020 submission, resulting in an </w:t>
      </w:r>
      <w:r w:rsidR="006A1D05" w:rsidRPr="008F1678">
        <w:t>ICER of $</w:t>
      </w:r>
      <w:r w:rsidR="001E5D27">
        <w:t>45,000 to &lt;$55,000</w:t>
      </w:r>
      <w:r w:rsidR="006A1D05" w:rsidRPr="008F1678">
        <w:t>/QALY (CsA-</w:t>
      </w:r>
      <w:r w:rsidR="004E4386" w:rsidRPr="008F1678">
        <w:t>naive</w:t>
      </w:r>
      <w:r w:rsidR="006A1D05" w:rsidRPr="008F1678">
        <w:t>)</w:t>
      </w:r>
      <w:r w:rsidR="00111BAC" w:rsidRPr="008F1678">
        <w:t xml:space="preserve">. </w:t>
      </w:r>
    </w:p>
    <w:p w:rsidR="007B4742" w:rsidRPr="008F1678" w:rsidRDefault="007B4742" w:rsidP="00D60D91">
      <w:pPr>
        <w:pStyle w:val="4-SubsectionHeading"/>
        <w:rPr>
          <w:lang w:eastAsia="en-US"/>
        </w:rPr>
      </w:pPr>
      <w:r w:rsidRPr="008F1678">
        <w:rPr>
          <w:lang w:eastAsia="en-US"/>
        </w:rPr>
        <w:t>Estimated PBS usage &amp; financial implications</w:t>
      </w:r>
    </w:p>
    <w:p w:rsidR="007B4742" w:rsidRPr="008F1678" w:rsidRDefault="00996E32" w:rsidP="00D60D91">
      <w:pPr>
        <w:pStyle w:val="3Bodytext"/>
      </w:pPr>
      <w:r w:rsidRPr="008F1678">
        <w:t>In March 2020, the PBAC noted that the financial estimates would need to be revised to (para</w:t>
      </w:r>
      <w:r w:rsidR="00CA0BBA" w:rsidRPr="008F1678">
        <w:t>graph</w:t>
      </w:r>
      <w:r w:rsidRPr="008F1678">
        <w:t xml:space="preserve"> 7.18</w:t>
      </w:r>
      <w:r w:rsidR="00132C09" w:rsidRPr="008F1678">
        <w:t xml:space="preserve">, March 2020 </w:t>
      </w:r>
      <w:r w:rsidR="000B1BAF" w:rsidRPr="008F1678">
        <w:t xml:space="preserve">dupilumab </w:t>
      </w:r>
      <w:r w:rsidR="00132C09" w:rsidRPr="008F1678">
        <w:t>PSD</w:t>
      </w:r>
      <w:r w:rsidRPr="008F1678">
        <w:t>):</w:t>
      </w:r>
    </w:p>
    <w:p w:rsidR="00AC4D6A" w:rsidRPr="008F1678" w:rsidRDefault="00996E32" w:rsidP="00D60D91">
      <w:pPr>
        <w:pStyle w:val="3Bodytext"/>
        <w:numPr>
          <w:ilvl w:val="0"/>
          <w:numId w:val="17"/>
        </w:numPr>
      </w:pPr>
      <w:r w:rsidRPr="008F1678">
        <w:t xml:space="preserve">Include patients aged 12-17 years. </w:t>
      </w:r>
      <w:r w:rsidR="00AC4D6A" w:rsidRPr="008F1678">
        <w:t>The PBAC noted that a reduced dose (200 mg every other week) is recommended in patients aged 12-17 years with a body weight of &lt;60 kg and considered the reduced dose should be accounted for in the financial estimates.</w:t>
      </w:r>
    </w:p>
    <w:p w:rsidR="00996E32" w:rsidRPr="008F1678" w:rsidRDefault="00996E32" w:rsidP="00D60D91">
      <w:pPr>
        <w:pStyle w:val="3Bodytext"/>
        <w:numPr>
          <w:ilvl w:val="0"/>
          <w:numId w:val="17"/>
        </w:numPr>
      </w:pPr>
      <w:r w:rsidRPr="008F1678">
        <w:t xml:space="preserve">Apply the uptake rates of 5% in year 1, increasing to 7.5% in year 6 such that they reflect the proportion of continuing patients in each year rather than only the initiating patients. </w:t>
      </w:r>
    </w:p>
    <w:p w:rsidR="00C8598A" w:rsidRPr="008F1678" w:rsidRDefault="00C8598A" w:rsidP="00D60D91">
      <w:pPr>
        <w:pStyle w:val="3Bodytext"/>
      </w:pPr>
      <w:r w:rsidRPr="008F1678">
        <w:t>In addition</w:t>
      </w:r>
      <w:r w:rsidR="00C04F18" w:rsidRPr="008F1678">
        <w:t xml:space="preserve"> to the above changes</w:t>
      </w:r>
      <w:r w:rsidRPr="008F1678">
        <w:t xml:space="preserve">, </w:t>
      </w:r>
      <w:r w:rsidR="00C04F18" w:rsidRPr="008F1678">
        <w:t xml:space="preserve">the proportion of patients with uncontrolled AD was revised in </w:t>
      </w:r>
      <w:r w:rsidRPr="008F1678">
        <w:t>the pricing proposal</w:t>
      </w:r>
      <w:r w:rsidR="00C04F18" w:rsidRPr="008F1678">
        <w:t>.</w:t>
      </w:r>
    </w:p>
    <w:p w:rsidR="00CA0BBA" w:rsidRPr="008F1678" w:rsidRDefault="00CA0BBA" w:rsidP="00D60D91">
      <w:pPr>
        <w:pStyle w:val="3Bodytext"/>
      </w:pPr>
      <w:r w:rsidRPr="008F1678">
        <w:t xml:space="preserve">In March 2020, the PBAC considered it would be reasonable to expand the population on which the estimates are based to include the Australian population aged 12-17 years with the remaining assumptions regarding the proportion of patients treated unchanged (paragraph 7.18, dupilumab </w:t>
      </w:r>
      <w:r w:rsidR="008D6FA5" w:rsidRPr="008F1678">
        <w:t>PSD</w:t>
      </w:r>
      <w:r w:rsidRPr="008F1678">
        <w:t xml:space="preserve"> March 2020 PBAC). The PBAC noted, based on the population data included in the submission, that expanding the population increases the population size by approximately 9%. The PBAC noted that a reduced dose (200 mg every other week) is recommended in patients aged 12-17 years with a body weight of &lt;60 kg.</w:t>
      </w:r>
      <w:r w:rsidRPr="008F1678">
        <w:rPr>
          <w:i/>
        </w:rPr>
        <w:t xml:space="preserve"> </w:t>
      </w:r>
      <w:r w:rsidRPr="008F1678">
        <w:t xml:space="preserve">This has been addressed in the sponsor’s proposal consistent with the March 2020 PBAC </w:t>
      </w:r>
      <w:r w:rsidR="003605F3">
        <w:t>PSD</w:t>
      </w:r>
      <w:r w:rsidRPr="008F1678">
        <w:t>.</w:t>
      </w:r>
    </w:p>
    <w:p w:rsidR="00C04F18" w:rsidRPr="008F1678" w:rsidRDefault="00C04F18" w:rsidP="00D60D91">
      <w:pPr>
        <w:pStyle w:val="3Bodytext"/>
      </w:pPr>
      <w:r w:rsidRPr="008F1678">
        <w:t xml:space="preserve">In the March 2020 resubmission the proportion of patients with uncontrolled AD </w:t>
      </w:r>
      <w:r w:rsidR="00134547" w:rsidRPr="008F1678">
        <w:t xml:space="preserve">(and therefore considered for treatment with dupilumab) </w:t>
      </w:r>
      <w:r w:rsidRPr="008F1678">
        <w:t xml:space="preserve">was estimated to be 68%. During the evaluation of the March 2020 resubmission it was stated that it was inappropriate to have assumed some severe AD patients would be ‘adequately controlled’ on </w:t>
      </w:r>
      <w:r w:rsidRPr="008F1678">
        <w:lastRenderedPageBreak/>
        <w:t xml:space="preserve">treatment. It was further noted in the evaluation that this is a major source of uncertainty in the financial estimates and may underestimate the eligible patients (Table 19, Dupilumab PSD, March 2020 PBAC Meeting). The PBAC did not recommend revision </w:t>
      </w:r>
      <w:r w:rsidR="0075386C" w:rsidRPr="008F1678">
        <w:t>of</w:t>
      </w:r>
      <w:r w:rsidRPr="008F1678">
        <w:t xml:space="preserve"> this input. The financial estimates in the pricing proposal assumed 100% of </w:t>
      </w:r>
      <w:r w:rsidR="008D6FA5" w:rsidRPr="008F1678">
        <w:t xml:space="preserve">severe </w:t>
      </w:r>
      <w:r w:rsidRPr="008F1678">
        <w:t>patients have uncontrolled AD</w:t>
      </w:r>
      <w:r w:rsidR="008D6FA5" w:rsidRPr="008F1678">
        <w:t xml:space="preserve"> and he</w:t>
      </w:r>
      <w:r w:rsidR="00982D34" w:rsidRPr="008F1678">
        <w:t>nce would be eligible for dupilu</w:t>
      </w:r>
      <w:r w:rsidR="008D6FA5" w:rsidRPr="008F1678">
        <w:t>mab treatment</w:t>
      </w:r>
      <w:r w:rsidRPr="008F1678">
        <w:t>.</w:t>
      </w:r>
      <w:r w:rsidR="00134547" w:rsidRPr="008F1678">
        <w:t xml:space="preserve"> This change increases the estimated patient nu</w:t>
      </w:r>
      <w:r w:rsidR="00CE7095" w:rsidRPr="008F1678">
        <w:t>mbers substantially (see Table 4 below</w:t>
      </w:r>
      <w:r w:rsidR="00134547" w:rsidRPr="008F1678">
        <w:t>).</w:t>
      </w:r>
      <w:r w:rsidR="00134547" w:rsidRPr="008F1678">
        <w:rPr>
          <w:i/>
        </w:rPr>
        <w:t xml:space="preserve"> </w:t>
      </w:r>
    </w:p>
    <w:p w:rsidR="00CA0BBA" w:rsidRPr="008F1678" w:rsidRDefault="00CA0BBA" w:rsidP="00D60D91">
      <w:pPr>
        <w:pStyle w:val="3Bodytext"/>
      </w:pPr>
      <w:r w:rsidRPr="008F1678">
        <w:t xml:space="preserve">In March 2020, the PBAC noted that the uptake rates of 5% in year 1, increasing to 7.5% in year 6 were applied to the prevalent pool of eligible patients each year to calculate the number of patients initiating treatment (paragraph 6.56, dupilumab </w:t>
      </w:r>
      <w:r w:rsidR="00CE7095" w:rsidRPr="008F1678">
        <w:t>PSD</w:t>
      </w:r>
      <w:r w:rsidRPr="008F1678">
        <w:t xml:space="preserve"> March 2020 PBAC). When continuing patients are taken into account the overall uptake is higher, and by year 6 continuing patients represented 14% of the eligible patients (6,036/44,248). The PBAC considered that it was reasonable that the overall uptake of dupilumab would increase in each year, accounting for both new and continuing patients. However, the PBAC considered it is not reasonable to assume the uptake rate of new patients from the prevalent pool would increase each year. The PBAC considered that the uptake rates of 5.5% in year 2, increasing to 7.5% in year 6 should be applied such that they reflect the proportion of continuing patients in each year (e.g. 3,319 continuing patients in year 6 is 7.5% (3,319/44,248) of the eligible patients).</w:t>
      </w:r>
    </w:p>
    <w:p w:rsidR="001E52B3" w:rsidRPr="008F1678" w:rsidRDefault="001E52B3" w:rsidP="00D60D91">
      <w:pPr>
        <w:pStyle w:val="3Bodytext"/>
      </w:pPr>
      <w:r w:rsidRPr="008F1678">
        <w:t>The sponsor’s pro</w:t>
      </w:r>
      <w:r w:rsidR="00CE7095" w:rsidRPr="008F1678">
        <w:t>posal stated</w:t>
      </w:r>
      <w:r w:rsidRPr="008F1678">
        <w:t xml:space="preserve"> that the application of uptake rates as </w:t>
      </w:r>
      <w:r w:rsidR="00CE7095" w:rsidRPr="008F1678">
        <w:t>per the</w:t>
      </w:r>
      <w:r w:rsidRPr="008F1678">
        <w:t xml:space="preserve"> PBAC’s feedback is not intuitive for a first-in-class biologic therapy, nor is it consistent with previous experience reported in DUSC reviews for biologic initiation and continuation of therapy in the first years of launch. Data from DUSC reviews of biological therapies are presented in the pricing proposal for ankylosing spondylitis, psoriasis and Crohn disease (see Figures 2, 3 and 4</w:t>
      </w:r>
      <w:r w:rsidR="00CC31D1" w:rsidRPr="008F1678">
        <w:t xml:space="preserve"> of the pricing proposal</w:t>
      </w:r>
      <w:r w:rsidRPr="008F1678">
        <w:t>).</w:t>
      </w:r>
    </w:p>
    <w:p w:rsidR="001E52B3" w:rsidRPr="008F1678" w:rsidRDefault="001E52B3" w:rsidP="00D60D91">
      <w:pPr>
        <w:pStyle w:val="3Bodytext"/>
      </w:pPr>
      <w:r w:rsidRPr="008F1678">
        <w:t xml:space="preserve">The </w:t>
      </w:r>
      <w:r w:rsidR="00353BC4" w:rsidRPr="008F1678">
        <w:t xml:space="preserve">sponsor’s estimate of the </w:t>
      </w:r>
      <w:r w:rsidR="00B85BF6" w:rsidRPr="008F1678">
        <w:t xml:space="preserve">number of patient initiations </w:t>
      </w:r>
      <w:r w:rsidR="00353BC4" w:rsidRPr="008F1678">
        <w:t xml:space="preserve">using </w:t>
      </w:r>
      <w:r w:rsidR="00B85BF6" w:rsidRPr="008F1678">
        <w:t xml:space="preserve">the approach </w:t>
      </w:r>
      <w:r w:rsidR="00353BC4" w:rsidRPr="008F1678">
        <w:t>specified</w:t>
      </w:r>
      <w:r w:rsidR="00B85BF6" w:rsidRPr="008F1678">
        <w:t xml:space="preserve"> in the March 2020 PBAC </w:t>
      </w:r>
      <w:r w:rsidR="003605F3">
        <w:t>PSD</w:t>
      </w:r>
      <w:r w:rsidR="00B85BF6" w:rsidRPr="008F1678">
        <w:t xml:space="preserve"> and </w:t>
      </w:r>
      <w:r w:rsidR="00353BC4" w:rsidRPr="008F1678">
        <w:t xml:space="preserve">the revised estimates as per the </w:t>
      </w:r>
      <w:r w:rsidR="00B85BF6" w:rsidRPr="008F1678">
        <w:t xml:space="preserve">pricing proposal are summarised in Table 3. </w:t>
      </w:r>
      <w:r w:rsidR="00353BC4" w:rsidRPr="008F1678">
        <w:t>These estimates include adolesce</w:t>
      </w:r>
      <w:r w:rsidR="00CE7095" w:rsidRPr="008F1678">
        <w:t xml:space="preserve">nt patients as per paragraph </w:t>
      </w:r>
      <w:r w:rsidR="00B622D8" w:rsidRPr="008F1678">
        <w:t>4.13</w:t>
      </w:r>
      <w:r w:rsidR="00353BC4" w:rsidRPr="008F1678">
        <w:t xml:space="preserve"> above and revision to the proportion of patients with uncontrolled AD as per paragraph 4.</w:t>
      </w:r>
      <w:r w:rsidR="00B622D8" w:rsidRPr="008F1678">
        <w:t>14</w:t>
      </w:r>
      <w:r w:rsidR="00353BC4" w:rsidRPr="008F1678">
        <w:t xml:space="preserve"> above.</w:t>
      </w:r>
      <w:r w:rsidRPr="008F1678">
        <w:t xml:space="preserve"> </w:t>
      </w:r>
      <w:r w:rsidR="00B85BF6" w:rsidRPr="008F1678">
        <w:t>The estimates in the pricing proposal are stated to be consistent with real world experience of biologic uptake in Australia with the uptake of dupilumab resulting in an initial bolus of patients being treated in the first two years before the number of initiating patients slowly declines before levelling off in years 4 to 6. It is also stated that the proposed estimates avoid a precipitous decrease from year 3 onwards</w:t>
      </w:r>
      <w:r w:rsidR="00353BC4" w:rsidRPr="008F1678">
        <w:t xml:space="preserve"> </w:t>
      </w:r>
      <w:r w:rsidR="00CE7095" w:rsidRPr="008F1678">
        <w:t>in</w:t>
      </w:r>
      <w:r w:rsidR="00353BC4" w:rsidRPr="008F1678">
        <w:t xml:space="preserve"> the PBAC es</w:t>
      </w:r>
      <w:r w:rsidR="005E5B4A" w:rsidRPr="008F1678">
        <w:t>t</w:t>
      </w:r>
      <w:r w:rsidR="00353BC4" w:rsidRPr="008F1678">
        <w:t>imates</w:t>
      </w:r>
      <w:r w:rsidR="00B85BF6" w:rsidRPr="008F1678">
        <w:t>, which is wholly inconsistent with Australian clinical experience with biologic treatment</w:t>
      </w:r>
      <w:r w:rsidR="00FD07C3" w:rsidRPr="008F1678">
        <w:t xml:space="preserve">. </w:t>
      </w:r>
      <w:r w:rsidR="007F7C94" w:rsidRPr="008F1678">
        <w:t xml:space="preserve">In March </w:t>
      </w:r>
      <w:r w:rsidR="00982D34" w:rsidRPr="008F1678">
        <w:t>2020,</w:t>
      </w:r>
      <w:r w:rsidR="007F7C94" w:rsidRPr="008F1678">
        <w:t xml:space="preserve"> </w:t>
      </w:r>
      <w:r w:rsidR="00CE7095" w:rsidRPr="008F1678">
        <w:t>the PBAC considered it is not reasonable to assume the uptake rate of new patients from the prevalent pool would increase each year.</w:t>
      </w:r>
      <w:r w:rsidR="00917D27" w:rsidRPr="008F1678">
        <w:t xml:space="preserve"> The proposed </w:t>
      </w:r>
      <w:r w:rsidR="007F7C94" w:rsidRPr="008F1678">
        <w:t xml:space="preserve">revised </w:t>
      </w:r>
      <w:r w:rsidR="00917D27" w:rsidRPr="008F1678">
        <w:t>number of patient initiations are consistent with the uptake rate of new patients from the prevalent pool decreasing each year</w:t>
      </w:r>
      <w:r w:rsidR="00B85BF6" w:rsidRPr="008F1678">
        <w:t xml:space="preserve"> </w:t>
      </w:r>
      <w:r w:rsidR="00917D27" w:rsidRPr="008F1678">
        <w:t>(See Table 1 above).</w:t>
      </w:r>
    </w:p>
    <w:p w:rsidR="00982D34" w:rsidRPr="008F1678" w:rsidRDefault="00982D34">
      <w:pPr>
        <w:jc w:val="left"/>
        <w:rPr>
          <w:rFonts w:ascii="Arial Narrow" w:hAnsi="Arial Narrow"/>
          <w:b/>
          <w:bCs/>
          <w:color w:val="000000" w:themeColor="text1"/>
          <w:sz w:val="20"/>
          <w:szCs w:val="18"/>
          <w:lang w:eastAsia="en-US"/>
        </w:rPr>
      </w:pPr>
    </w:p>
    <w:p w:rsidR="00995D80" w:rsidRPr="008F1678" w:rsidRDefault="00995D80" w:rsidP="00995D80">
      <w:pPr>
        <w:pStyle w:val="Tabletitles"/>
        <w:rPr>
          <w:lang w:eastAsia="en-US"/>
        </w:rPr>
      </w:pPr>
      <w:r w:rsidRPr="008F1678">
        <w:rPr>
          <w:lang w:eastAsia="en-US"/>
        </w:rPr>
        <w:lastRenderedPageBreak/>
        <w:t>Table 3: Patient initiations</w:t>
      </w:r>
    </w:p>
    <w:tbl>
      <w:tblPr>
        <w:tblStyle w:val="TableGrid"/>
        <w:tblW w:w="5000" w:type="pct"/>
        <w:tblLook w:val="04A0" w:firstRow="1" w:lastRow="0" w:firstColumn="1" w:lastColumn="0" w:noHBand="0" w:noVBand="1"/>
        <w:tblCaption w:val="Table 3: Patient initiations"/>
      </w:tblPr>
      <w:tblGrid>
        <w:gridCol w:w="1786"/>
        <w:gridCol w:w="1205"/>
        <w:gridCol w:w="1205"/>
        <w:gridCol w:w="1205"/>
        <w:gridCol w:w="1205"/>
        <w:gridCol w:w="1205"/>
        <w:gridCol w:w="1205"/>
      </w:tblGrid>
      <w:tr w:rsidR="00995D80" w:rsidRPr="008F1678" w:rsidTr="00852A83">
        <w:trPr>
          <w:tblHeader/>
        </w:trPr>
        <w:tc>
          <w:tcPr>
            <w:tcW w:w="990" w:type="pct"/>
            <w:vAlign w:val="center"/>
          </w:tcPr>
          <w:p w:rsidR="00995D80" w:rsidRPr="008F1678" w:rsidRDefault="00995D80" w:rsidP="00B629B0">
            <w:pPr>
              <w:rPr>
                <w:rFonts w:ascii="Arial Narrow" w:hAnsi="Arial Narrow" w:cstheme="minorHAnsi"/>
                <w:b/>
                <w:bCs/>
                <w:color w:val="000000"/>
                <w:sz w:val="20"/>
                <w:szCs w:val="20"/>
              </w:rPr>
            </w:pPr>
            <w:r w:rsidRPr="008F1678">
              <w:rPr>
                <w:rFonts w:ascii="Arial Narrow" w:hAnsi="Arial Narrow" w:cstheme="minorHAnsi"/>
                <w:b/>
                <w:bCs/>
                <w:color w:val="000000"/>
                <w:sz w:val="20"/>
                <w:szCs w:val="20"/>
              </w:rPr>
              <w:t> </w:t>
            </w:r>
          </w:p>
        </w:tc>
        <w:tc>
          <w:tcPr>
            <w:tcW w:w="668" w:type="pct"/>
            <w:vAlign w:val="bottom"/>
          </w:tcPr>
          <w:p w:rsidR="00995D80" w:rsidRPr="008F1678" w:rsidRDefault="00995D80" w:rsidP="00B629B0">
            <w:pPr>
              <w:rPr>
                <w:rFonts w:ascii="Arial Narrow" w:hAnsi="Arial Narrow" w:cstheme="minorHAnsi"/>
                <w:b/>
                <w:bCs/>
                <w:color w:val="000000"/>
                <w:sz w:val="20"/>
                <w:szCs w:val="20"/>
              </w:rPr>
            </w:pPr>
            <w:r w:rsidRPr="008F1678">
              <w:rPr>
                <w:rFonts w:ascii="Arial Narrow" w:hAnsi="Arial Narrow" w:cstheme="minorHAnsi"/>
                <w:b/>
                <w:bCs/>
                <w:color w:val="000000"/>
                <w:sz w:val="20"/>
                <w:szCs w:val="20"/>
              </w:rPr>
              <w:t>Year 1</w:t>
            </w:r>
          </w:p>
        </w:tc>
        <w:tc>
          <w:tcPr>
            <w:tcW w:w="668" w:type="pct"/>
            <w:vAlign w:val="bottom"/>
          </w:tcPr>
          <w:p w:rsidR="00995D80" w:rsidRPr="008F1678" w:rsidRDefault="00995D80" w:rsidP="00B629B0">
            <w:pPr>
              <w:rPr>
                <w:rFonts w:ascii="Arial Narrow" w:hAnsi="Arial Narrow" w:cstheme="minorHAnsi"/>
                <w:b/>
                <w:bCs/>
                <w:color w:val="000000"/>
                <w:sz w:val="20"/>
                <w:szCs w:val="20"/>
              </w:rPr>
            </w:pPr>
            <w:r w:rsidRPr="008F1678">
              <w:rPr>
                <w:rFonts w:ascii="Arial Narrow" w:hAnsi="Arial Narrow" w:cstheme="minorHAnsi"/>
                <w:b/>
                <w:bCs/>
                <w:color w:val="000000"/>
                <w:sz w:val="20"/>
                <w:szCs w:val="20"/>
              </w:rPr>
              <w:t>Year 2</w:t>
            </w:r>
          </w:p>
        </w:tc>
        <w:tc>
          <w:tcPr>
            <w:tcW w:w="668" w:type="pct"/>
            <w:vAlign w:val="bottom"/>
          </w:tcPr>
          <w:p w:rsidR="00995D80" w:rsidRPr="008F1678" w:rsidRDefault="00995D80" w:rsidP="00B629B0">
            <w:pPr>
              <w:rPr>
                <w:rFonts w:ascii="Arial Narrow" w:hAnsi="Arial Narrow" w:cstheme="minorHAnsi"/>
                <w:b/>
                <w:bCs/>
                <w:color w:val="000000"/>
                <w:sz w:val="20"/>
                <w:szCs w:val="20"/>
              </w:rPr>
            </w:pPr>
            <w:r w:rsidRPr="008F1678">
              <w:rPr>
                <w:rFonts w:ascii="Arial Narrow" w:hAnsi="Arial Narrow" w:cstheme="minorHAnsi"/>
                <w:b/>
                <w:bCs/>
                <w:color w:val="000000"/>
                <w:sz w:val="20"/>
                <w:szCs w:val="20"/>
              </w:rPr>
              <w:t>Year 3</w:t>
            </w:r>
          </w:p>
        </w:tc>
        <w:tc>
          <w:tcPr>
            <w:tcW w:w="668" w:type="pct"/>
            <w:vAlign w:val="bottom"/>
          </w:tcPr>
          <w:p w:rsidR="00995D80" w:rsidRPr="008F1678" w:rsidRDefault="00995D80" w:rsidP="00B629B0">
            <w:pPr>
              <w:rPr>
                <w:rFonts w:ascii="Arial Narrow" w:hAnsi="Arial Narrow" w:cstheme="minorHAnsi"/>
                <w:b/>
                <w:bCs/>
                <w:color w:val="000000"/>
                <w:sz w:val="20"/>
                <w:szCs w:val="20"/>
              </w:rPr>
            </w:pPr>
            <w:r w:rsidRPr="008F1678">
              <w:rPr>
                <w:rFonts w:ascii="Arial Narrow" w:hAnsi="Arial Narrow" w:cstheme="minorHAnsi"/>
                <w:b/>
                <w:bCs/>
                <w:color w:val="000000"/>
                <w:sz w:val="20"/>
                <w:szCs w:val="20"/>
              </w:rPr>
              <w:t>Year 4</w:t>
            </w:r>
          </w:p>
        </w:tc>
        <w:tc>
          <w:tcPr>
            <w:tcW w:w="668" w:type="pct"/>
            <w:vAlign w:val="bottom"/>
          </w:tcPr>
          <w:p w:rsidR="00995D80" w:rsidRPr="008F1678" w:rsidRDefault="00995D80" w:rsidP="00B629B0">
            <w:pPr>
              <w:rPr>
                <w:rFonts w:ascii="Arial Narrow" w:hAnsi="Arial Narrow" w:cstheme="minorHAnsi"/>
                <w:b/>
                <w:bCs/>
                <w:color w:val="000000"/>
                <w:sz w:val="20"/>
                <w:szCs w:val="20"/>
              </w:rPr>
            </w:pPr>
            <w:r w:rsidRPr="008F1678">
              <w:rPr>
                <w:rFonts w:ascii="Arial Narrow" w:hAnsi="Arial Narrow" w:cstheme="minorHAnsi"/>
                <w:b/>
                <w:bCs/>
                <w:color w:val="000000"/>
                <w:sz w:val="20"/>
                <w:szCs w:val="20"/>
              </w:rPr>
              <w:t>Year 5</w:t>
            </w:r>
          </w:p>
        </w:tc>
        <w:tc>
          <w:tcPr>
            <w:tcW w:w="668" w:type="pct"/>
          </w:tcPr>
          <w:p w:rsidR="00995D80" w:rsidRPr="008F1678" w:rsidRDefault="00995D80" w:rsidP="00B629B0">
            <w:pPr>
              <w:rPr>
                <w:rFonts w:ascii="Arial Narrow" w:hAnsi="Arial Narrow" w:cstheme="minorHAnsi"/>
                <w:b/>
                <w:bCs/>
                <w:color w:val="000000"/>
                <w:sz w:val="20"/>
                <w:szCs w:val="20"/>
              </w:rPr>
            </w:pPr>
            <w:r w:rsidRPr="008F1678">
              <w:rPr>
                <w:rFonts w:ascii="Arial Narrow" w:hAnsi="Arial Narrow" w:cstheme="minorHAnsi"/>
                <w:b/>
                <w:bCs/>
                <w:color w:val="000000"/>
                <w:sz w:val="20"/>
                <w:szCs w:val="20"/>
              </w:rPr>
              <w:t>Year 6</w:t>
            </w:r>
          </w:p>
        </w:tc>
      </w:tr>
      <w:tr w:rsidR="00995D80" w:rsidRPr="008F1678" w:rsidTr="00B629B0">
        <w:tc>
          <w:tcPr>
            <w:tcW w:w="990" w:type="pct"/>
            <w:vAlign w:val="center"/>
          </w:tcPr>
          <w:p w:rsidR="00995D80" w:rsidRPr="008F1678" w:rsidRDefault="00995D80" w:rsidP="00B629B0">
            <w:pPr>
              <w:rPr>
                <w:rFonts w:ascii="Arial Narrow" w:hAnsi="Arial Narrow" w:cstheme="minorHAnsi"/>
                <w:b/>
                <w:bCs/>
                <w:color w:val="000000"/>
                <w:sz w:val="20"/>
                <w:szCs w:val="20"/>
              </w:rPr>
            </w:pPr>
            <w:r w:rsidRPr="008F1678">
              <w:rPr>
                <w:rFonts w:ascii="Arial Narrow" w:hAnsi="Arial Narrow" w:cstheme="minorHAnsi"/>
                <w:b/>
                <w:bCs/>
                <w:color w:val="000000"/>
                <w:sz w:val="20"/>
                <w:szCs w:val="20"/>
              </w:rPr>
              <w:t xml:space="preserve">March 2020 PBAC </w:t>
            </w:r>
            <w:r>
              <w:rPr>
                <w:rFonts w:ascii="Arial Narrow" w:hAnsi="Arial Narrow" w:cstheme="minorHAnsi"/>
                <w:b/>
                <w:bCs/>
                <w:color w:val="000000"/>
                <w:sz w:val="20"/>
                <w:szCs w:val="20"/>
              </w:rPr>
              <w:t>PSD</w:t>
            </w:r>
            <w:r w:rsidRPr="008F1678">
              <w:rPr>
                <w:rFonts w:ascii="Arial Narrow" w:hAnsi="Arial Narrow" w:cstheme="minorHAnsi"/>
                <w:b/>
                <w:bCs/>
                <w:color w:val="000000"/>
                <w:sz w:val="20"/>
                <w:szCs w:val="20"/>
                <w:vertAlign w:val="superscript"/>
              </w:rPr>
              <w:t>a</w:t>
            </w:r>
          </w:p>
        </w:tc>
        <w:tc>
          <w:tcPr>
            <w:tcW w:w="668" w:type="pct"/>
          </w:tcPr>
          <w:p w:rsidR="00995D80" w:rsidRPr="003B75C6" w:rsidRDefault="00CB3104" w:rsidP="00B629B0">
            <w:pPr>
              <w:jc w:val="right"/>
              <w:rPr>
                <w:rFonts w:ascii="Arial Narrow" w:hAnsi="Arial Narrow" w:cs="Arial"/>
                <w:b/>
                <w:bCs/>
                <w:color w:val="000000"/>
                <w:sz w:val="20"/>
                <w:szCs w:val="20"/>
              </w:rPr>
            </w:pPr>
            <w:r>
              <w:rPr>
                <w:rFonts w:ascii="Arial Narrow" w:hAnsi="Arial Narrow"/>
                <w:noProof/>
                <w:color w:val="000000"/>
                <w:sz w:val="20"/>
                <w:szCs w:val="20"/>
                <w:highlight w:val="black"/>
              </w:rPr>
              <w:t>''''''''''''</w:t>
            </w:r>
            <w:r w:rsidR="00995D80" w:rsidRPr="00CB1655">
              <w:rPr>
                <w:rFonts w:ascii="Arial Narrow" w:hAnsi="Arial Narrow"/>
                <w:sz w:val="20"/>
                <w:szCs w:val="20"/>
                <w:vertAlign w:val="superscript"/>
              </w:rPr>
              <w:t>1</w:t>
            </w:r>
            <w:r>
              <w:rPr>
                <w:rFonts w:ascii="Arial Narrow" w:hAnsi="Arial Narrow"/>
                <w:noProof/>
                <w:color w:val="000000"/>
                <w:sz w:val="20"/>
                <w:szCs w:val="20"/>
                <w:highlight w:val="black"/>
              </w:rPr>
              <w:t xml:space="preserve"> </w:t>
            </w:r>
          </w:p>
        </w:tc>
        <w:tc>
          <w:tcPr>
            <w:tcW w:w="668" w:type="pct"/>
          </w:tcPr>
          <w:p w:rsidR="00995D80" w:rsidRPr="003B75C6" w:rsidRDefault="00CB3104" w:rsidP="00B629B0">
            <w:pPr>
              <w:jc w:val="right"/>
              <w:rPr>
                <w:rFonts w:ascii="Arial Narrow" w:hAnsi="Arial Narrow" w:cs="Arial"/>
                <w:b/>
                <w:bCs/>
                <w:color w:val="000000"/>
                <w:sz w:val="20"/>
                <w:szCs w:val="20"/>
              </w:rPr>
            </w:pPr>
            <w:r>
              <w:rPr>
                <w:rFonts w:ascii="Arial Narrow" w:hAnsi="Arial Narrow"/>
                <w:noProof/>
                <w:color w:val="000000"/>
                <w:sz w:val="20"/>
                <w:szCs w:val="20"/>
                <w:highlight w:val="black"/>
              </w:rPr>
              <w:t>'''''''''''''</w:t>
            </w:r>
            <w:r w:rsidR="00995D80" w:rsidRPr="00CB1655">
              <w:rPr>
                <w:rFonts w:ascii="Arial Narrow" w:hAnsi="Arial Narrow"/>
                <w:sz w:val="20"/>
                <w:szCs w:val="20"/>
                <w:vertAlign w:val="superscript"/>
              </w:rPr>
              <w:t>1</w:t>
            </w:r>
            <w:r>
              <w:rPr>
                <w:rFonts w:ascii="Arial Narrow" w:hAnsi="Arial Narrow"/>
                <w:noProof/>
                <w:color w:val="000000"/>
                <w:sz w:val="20"/>
                <w:szCs w:val="20"/>
                <w:highlight w:val="black"/>
              </w:rPr>
              <w:t xml:space="preserve"> </w:t>
            </w:r>
          </w:p>
        </w:tc>
        <w:tc>
          <w:tcPr>
            <w:tcW w:w="668" w:type="pct"/>
          </w:tcPr>
          <w:p w:rsidR="00995D80" w:rsidRPr="003B75C6" w:rsidRDefault="00CB3104" w:rsidP="00B629B0">
            <w:pPr>
              <w:jc w:val="right"/>
              <w:rPr>
                <w:rFonts w:ascii="Arial Narrow" w:hAnsi="Arial Narrow" w:cs="Arial"/>
                <w:b/>
                <w:bCs/>
                <w:color w:val="000000"/>
                <w:sz w:val="20"/>
                <w:szCs w:val="20"/>
              </w:rPr>
            </w:pPr>
            <w:r>
              <w:rPr>
                <w:rFonts w:ascii="Arial Narrow" w:hAnsi="Arial Narrow"/>
                <w:noProof/>
                <w:color w:val="000000"/>
                <w:sz w:val="20"/>
                <w:szCs w:val="20"/>
                <w:highlight w:val="black"/>
              </w:rPr>
              <w:t>'''''''''''''</w:t>
            </w:r>
            <w:r w:rsidR="00995D80" w:rsidRPr="00CB1655">
              <w:rPr>
                <w:rFonts w:ascii="Arial Narrow" w:hAnsi="Arial Narrow"/>
                <w:sz w:val="20"/>
                <w:szCs w:val="20"/>
                <w:vertAlign w:val="superscript"/>
              </w:rPr>
              <w:t>1</w:t>
            </w:r>
            <w:r>
              <w:rPr>
                <w:rFonts w:ascii="Arial Narrow" w:hAnsi="Arial Narrow"/>
                <w:noProof/>
                <w:color w:val="000000"/>
                <w:sz w:val="20"/>
                <w:szCs w:val="20"/>
                <w:highlight w:val="black"/>
              </w:rPr>
              <w:t xml:space="preserve"> </w:t>
            </w:r>
          </w:p>
        </w:tc>
        <w:tc>
          <w:tcPr>
            <w:tcW w:w="668" w:type="pct"/>
          </w:tcPr>
          <w:p w:rsidR="00995D80" w:rsidRPr="003B75C6" w:rsidRDefault="00CB3104" w:rsidP="00B629B0">
            <w:pPr>
              <w:jc w:val="right"/>
              <w:rPr>
                <w:rFonts w:ascii="Arial Narrow" w:hAnsi="Arial Narrow" w:cs="Arial"/>
                <w:b/>
                <w:bCs/>
                <w:color w:val="000000"/>
                <w:sz w:val="20"/>
                <w:szCs w:val="20"/>
              </w:rPr>
            </w:pPr>
            <w:r>
              <w:rPr>
                <w:rFonts w:ascii="Arial Narrow" w:hAnsi="Arial Narrow"/>
                <w:noProof/>
                <w:color w:val="000000"/>
                <w:sz w:val="20"/>
                <w:szCs w:val="20"/>
                <w:highlight w:val="black"/>
              </w:rPr>
              <w:t>'''''''''''''</w:t>
            </w:r>
            <w:r w:rsidR="00995D80" w:rsidRPr="00CB1655">
              <w:rPr>
                <w:rFonts w:ascii="Arial Narrow" w:hAnsi="Arial Narrow"/>
                <w:sz w:val="20"/>
                <w:szCs w:val="20"/>
                <w:vertAlign w:val="superscript"/>
              </w:rPr>
              <w:t>1</w:t>
            </w:r>
            <w:r>
              <w:rPr>
                <w:rFonts w:ascii="Arial Narrow" w:hAnsi="Arial Narrow"/>
                <w:noProof/>
                <w:color w:val="000000"/>
                <w:sz w:val="20"/>
                <w:szCs w:val="20"/>
                <w:highlight w:val="black"/>
              </w:rPr>
              <w:t xml:space="preserve"> </w:t>
            </w:r>
          </w:p>
        </w:tc>
        <w:tc>
          <w:tcPr>
            <w:tcW w:w="668" w:type="pct"/>
          </w:tcPr>
          <w:p w:rsidR="00995D80" w:rsidRPr="003B75C6" w:rsidRDefault="00CB3104" w:rsidP="00B629B0">
            <w:pPr>
              <w:jc w:val="right"/>
              <w:rPr>
                <w:rFonts w:ascii="Arial Narrow" w:hAnsi="Arial Narrow" w:cs="Arial"/>
                <w:b/>
                <w:bCs/>
                <w:color w:val="000000"/>
                <w:sz w:val="20"/>
                <w:szCs w:val="20"/>
              </w:rPr>
            </w:pPr>
            <w:r>
              <w:rPr>
                <w:rFonts w:ascii="Arial Narrow" w:hAnsi="Arial Narrow"/>
                <w:noProof/>
                <w:color w:val="000000"/>
                <w:sz w:val="20"/>
                <w:szCs w:val="20"/>
                <w:highlight w:val="black"/>
              </w:rPr>
              <w:t>''''''''''''</w:t>
            </w:r>
            <w:r w:rsidR="00995D80" w:rsidRPr="00CB1655">
              <w:rPr>
                <w:rFonts w:ascii="Arial Narrow" w:hAnsi="Arial Narrow"/>
                <w:sz w:val="20"/>
                <w:szCs w:val="20"/>
                <w:vertAlign w:val="superscript"/>
              </w:rPr>
              <w:t>1</w:t>
            </w:r>
            <w:r>
              <w:rPr>
                <w:rFonts w:ascii="Arial Narrow" w:hAnsi="Arial Narrow"/>
                <w:noProof/>
                <w:color w:val="000000"/>
                <w:sz w:val="20"/>
                <w:szCs w:val="20"/>
                <w:highlight w:val="black"/>
              </w:rPr>
              <w:t xml:space="preserve"> </w:t>
            </w:r>
          </w:p>
        </w:tc>
        <w:tc>
          <w:tcPr>
            <w:tcW w:w="668" w:type="pct"/>
          </w:tcPr>
          <w:p w:rsidR="00995D80" w:rsidRPr="003B75C6" w:rsidRDefault="00CB3104" w:rsidP="00B629B0">
            <w:pPr>
              <w:jc w:val="right"/>
              <w:rPr>
                <w:rFonts w:ascii="Arial Narrow" w:hAnsi="Arial Narrow" w:cs="Arial"/>
                <w:b/>
                <w:bCs/>
                <w:color w:val="000000"/>
                <w:sz w:val="20"/>
                <w:szCs w:val="20"/>
              </w:rPr>
            </w:pPr>
            <w:r>
              <w:rPr>
                <w:rFonts w:ascii="Arial Narrow" w:hAnsi="Arial Narrow"/>
                <w:noProof/>
                <w:color w:val="000000"/>
                <w:sz w:val="20"/>
                <w:szCs w:val="20"/>
                <w:highlight w:val="black"/>
              </w:rPr>
              <w:t xml:space="preserve">''''''''''''' </w:t>
            </w:r>
            <w:r w:rsidR="00995D80" w:rsidRPr="00CB1655">
              <w:rPr>
                <w:rFonts w:ascii="Arial Narrow" w:hAnsi="Arial Narrow"/>
                <w:sz w:val="20"/>
                <w:szCs w:val="20"/>
                <w:vertAlign w:val="superscript"/>
              </w:rPr>
              <w:t>1</w:t>
            </w:r>
          </w:p>
        </w:tc>
      </w:tr>
      <w:tr w:rsidR="00995D80" w:rsidRPr="008F1678" w:rsidTr="00B629B0">
        <w:tc>
          <w:tcPr>
            <w:tcW w:w="990" w:type="pct"/>
            <w:vAlign w:val="center"/>
          </w:tcPr>
          <w:p w:rsidR="00995D80" w:rsidRPr="008F1678" w:rsidRDefault="00995D80" w:rsidP="00B629B0">
            <w:pPr>
              <w:rPr>
                <w:rFonts w:ascii="Arial Narrow" w:hAnsi="Arial Narrow" w:cstheme="minorHAnsi"/>
                <w:b/>
                <w:bCs/>
                <w:color w:val="000000"/>
                <w:sz w:val="20"/>
                <w:szCs w:val="20"/>
              </w:rPr>
            </w:pPr>
            <w:r w:rsidRPr="008F1678">
              <w:rPr>
                <w:rFonts w:ascii="Arial Narrow" w:hAnsi="Arial Narrow" w:cstheme="minorHAnsi"/>
                <w:b/>
                <w:bCs/>
                <w:color w:val="000000"/>
                <w:sz w:val="20"/>
                <w:szCs w:val="20"/>
              </w:rPr>
              <w:t>Pricing proposal</w:t>
            </w:r>
          </w:p>
        </w:tc>
        <w:tc>
          <w:tcPr>
            <w:tcW w:w="668" w:type="pct"/>
          </w:tcPr>
          <w:p w:rsidR="00995D80" w:rsidRPr="003B75C6" w:rsidRDefault="00CB3104" w:rsidP="00B629B0">
            <w:pPr>
              <w:jc w:val="right"/>
              <w:rPr>
                <w:rFonts w:ascii="Arial Narrow" w:hAnsi="Arial Narrow" w:cs="Arial"/>
                <w:b/>
                <w:bCs/>
                <w:color w:val="000000"/>
                <w:sz w:val="20"/>
                <w:szCs w:val="20"/>
              </w:rPr>
            </w:pPr>
            <w:r>
              <w:rPr>
                <w:rFonts w:ascii="Arial Narrow" w:hAnsi="Arial Narrow"/>
                <w:noProof/>
                <w:color w:val="000000"/>
                <w:sz w:val="20"/>
                <w:szCs w:val="20"/>
                <w:highlight w:val="black"/>
              </w:rPr>
              <w:t>''''''''''''''</w:t>
            </w:r>
            <w:r w:rsidR="00995D80" w:rsidRPr="00CB1655">
              <w:rPr>
                <w:rFonts w:ascii="Arial Narrow" w:hAnsi="Arial Narrow"/>
                <w:sz w:val="20"/>
                <w:szCs w:val="20"/>
                <w:vertAlign w:val="superscript"/>
              </w:rPr>
              <w:t>1</w:t>
            </w:r>
          </w:p>
        </w:tc>
        <w:tc>
          <w:tcPr>
            <w:tcW w:w="668" w:type="pct"/>
          </w:tcPr>
          <w:p w:rsidR="00995D80" w:rsidRPr="003B75C6" w:rsidRDefault="00CB3104" w:rsidP="00B629B0">
            <w:pPr>
              <w:jc w:val="right"/>
              <w:rPr>
                <w:rFonts w:ascii="Arial Narrow" w:hAnsi="Arial Narrow" w:cs="Arial"/>
                <w:b/>
                <w:bCs/>
                <w:color w:val="000000"/>
                <w:sz w:val="20"/>
                <w:szCs w:val="20"/>
              </w:rPr>
            </w:pPr>
            <w:r>
              <w:rPr>
                <w:rFonts w:ascii="Arial Narrow" w:hAnsi="Arial Narrow"/>
                <w:noProof/>
                <w:color w:val="000000"/>
                <w:sz w:val="20"/>
                <w:szCs w:val="20"/>
                <w:highlight w:val="black"/>
              </w:rPr>
              <w:t>''''''''''''''</w:t>
            </w:r>
            <w:r w:rsidR="00995D80" w:rsidRPr="00CB1655">
              <w:rPr>
                <w:rFonts w:ascii="Arial Narrow" w:hAnsi="Arial Narrow"/>
                <w:sz w:val="20"/>
                <w:szCs w:val="20"/>
                <w:vertAlign w:val="superscript"/>
              </w:rPr>
              <w:t>1</w:t>
            </w:r>
            <w:r>
              <w:rPr>
                <w:rFonts w:ascii="Arial Narrow" w:hAnsi="Arial Narrow"/>
                <w:noProof/>
                <w:color w:val="000000"/>
                <w:sz w:val="20"/>
                <w:szCs w:val="20"/>
                <w:highlight w:val="black"/>
              </w:rPr>
              <w:t xml:space="preserve"> </w:t>
            </w:r>
          </w:p>
        </w:tc>
        <w:tc>
          <w:tcPr>
            <w:tcW w:w="668" w:type="pct"/>
          </w:tcPr>
          <w:p w:rsidR="00995D80" w:rsidRPr="003B75C6" w:rsidRDefault="00CB3104" w:rsidP="00B629B0">
            <w:pPr>
              <w:jc w:val="right"/>
              <w:rPr>
                <w:rFonts w:ascii="Arial Narrow" w:hAnsi="Arial Narrow" w:cs="Arial"/>
                <w:b/>
                <w:bCs/>
                <w:color w:val="000000"/>
                <w:sz w:val="20"/>
                <w:szCs w:val="20"/>
              </w:rPr>
            </w:pPr>
            <w:r>
              <w:rPr>
                <w:rFonts w:ascii="Arial Narrow" w:hAnsi="Arial Narrow"/>
                <w:noProof/>
                <w:color w:val="000000"/>
                <w:sz w:val="20"/>
                <w:szCs w:val="20"/>
                <w:highlight w:val="black"/>
              </w:rPr>
              <w:t>'''''''''''''</w:t>
            </w:r>
            <w:r w:rsidR="00995D80" w:rsidRPr="00CB1655">
              <w:rPr>
                <w:rFonts w:ascii="Arial Narrow" w:hAnsi="Arial Narrow"/>
                <w:sz w:val="20"/>
                <w:szCs w:val="20"/>
                <w:vertAlign w:val="superscript"/>
              </w:rPr>
              <w:t>1</w:t>
            </w:r>
            <w:r>
              <w:rPr>
                <w:rFonts w:ascii="Arial Narrow" w:hAnsi="Arial Narrow"/>
                <w:noProof/>
                <w:color w:val="000000"/>
                <w:sz w:val="20"/>
                <w:szCs w:val="20"/>
                <w:highlight w:val="black"/>
              </w:rPr>
              <w:t xml:space="preserve"> </w:t>
            </w:r>
          </w:p>
        </w:tc>
        <w:tc>
          <w:tcPr>
            <w:tcW w:w="668" w:type="pct"/>
          </w:tcPr>
          <w:p w:rsidR="00995D80" w:rsidRPr="003B75C6" w:rsidRDefault="00CB3104" w:rsidP="00B629B0">
            <w:pPr>
              <w:jc w:val="right"/>
              <w:rPr>
                <w:rFonts w:ascii="Arial Narrow" w:hAnsi="Arial Narrow" w:cs="Arial"/>
                <w:b/>
                <w:bCs/>
                <w:color w:val="000000"/>
                <w:sz w:val="20"/>
                <w:szCs w:val="20"/>
              </w:rPr>
            </w:pPr>
            <w:r>
              <w:rPr>
                <w:rFonts w:ascii="Arial Narrow" w:hAnsi="Arial Narrow"/>
                <w:noProof/>
                <w:color w:val="000000"/>
                <w:sz w:val="20"/>
                <w:szCs w:val="20"/>
                <w:highlight w:val="black"/>
              </w:rPr>
              <w:t>''''''''''''''</w:t>
            </w:r>
            <w:r w:rsidR="00995D80" w:rsidRPr="00CB1655">
              <w:rPr>
                <w:rFonts w:ascii="Arial Narrow" w:hAnsi="Arial Narrow"/>
                <w:sz w:val="20"/>
                <w:szCs w:val="20"/>
                <w:vertAlign w:val="superscript"/>
              </w:rPr>
              <w:t>1</w:t>
            </w:r>
            <w:r>
              <w:rPr>
                <w:rFonts w:ascii="Arial Narrow" w:hAnsi="Arial Narrow"/>
                <w:noProof/>
                <w:color w:val="000000"/>
                <w:sz w:val="20"/>
                <w:szCs w:val="20"/>
                <w:highlight w:val="black"/>
              </w:rPr>
              <w:t xml:space="preserve"> </w:t>
            </w:r>
          </w:p>
        </w:tc>
        <w:tc>
          <w:tcPr>
            <w:tcW w:w="668" w:type="pct"/>
          </w:tcPr>
          <w:p w:rsidR="00995D80" w:rsidRPr="003B75C6" w:rsidRDefault="00CB3104" w:rsidP="00B629B0">
            <w:pPr>
              <w:jc w:val="right"/>
              <w:rPr>
                <w:rFonts w:ascii="Arial Narrow" w:hAnsi="Arial Narrow"/>
                <w:sz w:val="20"/>
                <w:szCs w:val="20"/>
              </w:rPr>
            </w:pPr>
            <w:r>
              <w:rPr>
                <w:rFonts w:ascii="Arial Narrow" w:hAnsi="Arial Narrow"/>
                <w:noProof/>
                <w:color w:val="000000"/>
                <w:sz w:val="20"/>
                <w:szCs w:val="20"/>
                <w:highlight w:val="black"/>
              </w:rPr>
              <w:t>''''''''''''''</w:t>
            </w:r>
            <w:r w:rsidR="00995D80" w:rsidRPr="00CB1655">
              <w:rPr>
                <w:rFonts w:ascii="Arial Narrow" w:hAnsi="Arial Narrow"/>
                <w:sz w:val="20"/>
                <w:szCs w:val="20"/>
                <w:vertAlign w:val="superscript"/>
              </w:rPr>
              <w:t>1</w:t>
            </w:r>
            <w:r>
              <w:rPr>
                <w:rFonts w:ascii="Arial Narrow" w:hAnsi="Arial Narrow"/>
                <w:noProof/>
                <w:color w:val="000000"/>
                <w:sz w:val="20"/>
                <w:szCs w:val="20"/>
                <w:highlight w:val="black"/>
              </w:rPr>
              <w:t xml:space="preserve"> </w:t>
            </w:r>
          </w:p>
        </w:tc>
        <w:tc>
          <w:tcPr>
            <w:tcW w:w="668" w:type="pct"/>
          </w:tcPr>
          <w:p w:rsidR="00995D80" w:rsidRPr="003B75C6" w:rsidRDefault="00CB3104" w:rsidP="00B629B0">
            <w:pPr>
              <w:jc w:val="right"/>
              <w:rPr>
                <w:rFonts w:ascii="Arial Narrow" w:hAnsi="Arial Narrow"/>
                <w:sz w:val="20"/>
                <w:szCs w:val="20"/>
              </w:rPr>
            </w:pPr>
            <w:r>
              <w:rPr>
                <w:rFonts w:ascii="Arial Narrow" w:hAnsi="Arial Narrow"/>
                <w:noProof/>
                <w:color w:val="000000"/>
                <w:sz w:val="20"/>
                <w:szCs w:val="20"/>
                <w:highlight w:val="black"/>
              </w:rPr>
              <w:t>'''''''''''''</w:t>
            </w:r>
            <w:r w:rsidR="00995D80" w:rsidRPr="00CB1655">
              <w:rPr>
                <w:rFonts w:ascii="Arial Narrow" w:hAnsi="Arial Narrow"/>
                <w:sz w:val="20"/>
                <w:szCs w:val="20"/>
                <w:vertAlign w:val="superscript"/>
              </w:rPr>
              <w:t>1</w:t>
            </w:r>
            <w:r>
              <w:rPr>
                <w:rFonts w:ascii="Arial Narrow" w:hAnsi="Arial Narrow"/>
                <w:noProof/>
                <w:color w:val="000000"/>
                <w:sz w:val="20"/>
                <w:szCs w:val="20"/>
                <w:highlight w:val="black"/>
              </w:rPr>
              <w:t xml:space="preserve"> </w:t>
            </w:r>
          </w:p>
        </w:tc>
      </w:tr>
    </w:tbl>
    <w:p w:rsidR="00995D80" w:rsidRDefault="00995D80" w:rsidP="00995D80">
      <w:pPr>
        <w:pStyle w:val="TableFooter"/>
      </w:pPr>
      <w:r w:rsidRPr="008F1678">
        <w:rPr>
          <w:vertAlign w:val="superscript"/>
        </w:rPr>
        <w:t>a</w:t>
      </w:r>
      <w:r w:rsidRPr="008F1678">
        <w:t xml:space="preserve"> adjusted for inclusion of adolescent patients, 100% of patients with uncontrolled AD and uptake applied to continuing patients.</w:t>
      </w:r>
    </w:p>
    <w:p w:rsidR="00995D80" w:rsidRPr="00CB1655" w:rsidRDefault="00995D80" w:rsidP="00995D80">
      <w:pPr>
        <w:pStyle w:val="TableFooter"/>
        <w:rPr>
          <w:i/>
        </w:rPr>
      </w:pPr>
      <w:r w:rsidRPr="00CB1655">
        <w:rPr>
          <w:i/>
        </w:rPr>
        <w:t>The redacted values correspond to the following ranges:</w:t>
      </w:r>
    </w:p>
    <w:p w:rsidR="00995D80" w:rsidRPr="00CB1655" w:rsidRDefault="00995D80" w:rsidP="00995D80">
      <w:pPr>
        <w:pStyle w:val="TableFooter"/>
        <w:spacing w:after="120"/>
        <w:rPr>
          <w:i/>
        </w:rPr>
      </w:pPr>
      <w:r w:rsidRPr="00CB1655">
        <w:rPr>
          <w:i/>
          <w:vertAlign w:val="superscript"/>
        </w:rPr>
        <w:t>1</w:t>
      </w:r>
      <w:r w:rsidRPr="00CB1655">
        <w:rPr>
          <w:i/>
        </w:rPr>
        <w:t>500 to &lt;5,000</w:t>
      </w:r>
    </w:p>
    <w:p w:rsidR="00BA6DAD" w:rsidRPr="008F1678" w:rsidRDefault="00047AF7" w:rsidP="00D60D91">
      <w:pPr>
        <w:pStyle w:val="3Bodytext"/>
      </w:pPr>
      <w:r w:rsidRPr="008F1678">
        <w:t xml:space="preserve">A comparison of the financial estimates based on the recommendations in the PBAC </w:t>
      </w:r>
      <w:r w:rsidR="003605F3">
        <w:t>PSD</w:t>
      </w:r>
      <w:r w:rsidRPr="008F1678">
        <w:t xml:space="preserve"> and the pricing proposal is presented in Table 4. These estimates have been calculated using the financial estimates workbook provided with the March 2020 resubmission and do not include the 200</w:t>
      </w:r>
      <w:r w:rsidR="002C220D" w:rsidRPr="008F1678">
        <w:t> </w:t>
      </w:r>
      <w:r w:rsidRPr="008F1678">
        <w:t>mg dose strength for dupilumab (</w:t>
      </w:r>
      <w:r w:rsidR="00982D34" w:rsidRPr="008F1678">
        <w:t>i.e.</w:t>
      </w:r>
      <w:r w:rsidRPr="008F1678">
        <w:t xml:space="preserve"> </w:t>
      </w:r>
      <w:r w:rsidR="00CC31D1" w:rsidRPr="008F1678">
        <w:t xml:space="preserve">all </w:t>
      </w:r>
      <w:r w:rsidRPr="008F1678">
        <w:t>adolescent patients are assumed to be treated with the adult dose). The March 2020 workbook has been used as the workbook provided with the pricing proposal has the patient initiations hardcoded (see paragraph 4.</w:t>
      </w:r>
      <w:r w:rsidR="00655940" w:rsidRPr="008F1678">
        <w:t>17</w:t>
      </w:r>
      <w:r w:rsidRPr="008F1678">
        <w:t xml:space="preserve">) and hence it is not possible to easily assess the impact of each change in a stepwise manner using this spreadsheet. </w:t>
      </w:r>
      <w:r w:rsidR="00655940" w:rsidRPr="008F1678">
        <w:t xml:space="preserve">The financial estimates have not been independently evaluated. </w:t>
      </w:r>
      <w:r w:rsidRPr="008F1678">
        <w:t>The Secretariat noted that the estimates using the March 20</w:t>
      </w:r>
      <w:r w:rsidR="00571281" w:rsidRPr="008F1678">
        <w:t>20</w:t>
      </w:r>
      <w:r w:rsidRPr="008F1678">
        <w:t xml:space="preserve"> workbook are lower than those using the pricing proposal workbook.</w:t>
      </w:r>
      <w:r w:rsidR="00677074" w:rsidRPr="008F1678">
        <w:t xml:space="preserve"> In its pre-PBAC response, the sponsor clarified that </w:t>
      </w:r>
      <w:r w:rsidR="00745864" w:rsidRPr="008F1678">
        <w:t xml:space="preserve">its proposed </w:t>
      </w:r>
      <w:r w:rsidR="0045388A" w:rsidRPr="008F1678">
        <w:t xml:space="preserve">patient initiation </w:t>
      </w:r>
      <w:r w:rsidR="00211331" w:rsidRPr="008F1678">
        <w:t>rates</w:t>
      </w:r>
      <w:r w:rsidR="0045388A" w:rsidRPr="008F1678">
        <w:t xml:space="preserve"> </w:t>
      </w:r>
      <w:r w:rsidR="00745864" w:rsidRPr="008F1678">
        <w:t>should be updated in the March 2020 submission workbook as per the table below</w:t>
      </w:r>
      <w:r w:rsidR="0045388A" w:rsidRPr="008F1678">
        <w:t>:</w:t>
      </w:r>
    </w:p>
    <w:p w:rsidR="00BA6DAD" w:rsidRPr="008F1678" w:rsidRDefault="00BA6DAD" w:rsidP="00D60D91">
      <w:pPr>
        <w:pStyle w:val="Tabletitles"/>
        <w:rPr>
          <w:lang w:eastAsia="en-US"/>
        </w:rPr>
      </w:pPr>
      <w:r w:rsidRPr="008F1678">
        <w:rPr>
          <w:lang w:eastAsia="en-US"/>
        </w:rPr>
        <w:t xml:space="preserve">Table </w:t>
      </w:r>
      <w:r w:rsidR="00415397" w:rsidRPr="008F1678">
        <w:rPr>
          <w:szCs w:val="18"/>
          <w:lang w:eastAsia="en-US"/>
        </w:rPr>
        <w:t>4</w:t>
      </w:r>
      <w:r w:rsidRPr="008F1678">
        <w:rPr>
          <w:lang w:eastAsia="en-US"/>
        </w:rPr>
        <w:t xml:space="preserve">: </w:t>
      </w:r>
      <w:r w:rsidR="00EF4CF9" w:rsidRPr="008F1678">
        <w:rPr>
          <w:lang w:eastAsia="en-US"/>
        </w:rPr>
        <w:t>P</w:t>
      </w:r>
      <w:r w:rsidRPr="008F1678">
        <w:rPr>
          <w:lang w:eastAsia="en-US"/>
        </w:rPr>
        <w:t>atient initiation percentages</w:t>
      </w:r>
      <w:r w:rsidR="00EF4CF9" w:rsidRPr="008F1678">
        <w:rPr>
          <w:lang w:eastAsia="en-US"/>
        </w:rPr>
        <w:t xml:space="preserve"> (using March 2020 submission financial estimates model)</w:t>
      </w:r>
    </w:p>
    <w:tbl>
      <w:tblPr>
        <w:tblStyle w:val="TableGrid"/>
        <w:tblW w:w="5000" w:type="pct"/>
        <w:tblLook w:val="04A0" w:firstRow="1" w:lastRow="0" w:firstColumn="1" w:lastColumn="0" w:noHBand="0" w:noVBand="1"/>
        <w:tblCaption w:val="Table 4: Patient initiation percentages (using March 2020 submission financial estimates model)"/>
      </w:tblPr>
      <w:tblGrid>
        <w:gridCol w:w="3301"/>
        <w:gridCol w:w="951"/>
        <w:gridCol w:w="976"/>
        <w:gridCol w:w="862"/>
        <w:gridCol w:w="976"/>
        <w:gridCol w:w="976"/>
        <w:gridCol w:w="974"/>
      </w:tblGrid>
      <w:tr w:rsidR="0045388A" w:rsidRPr="008F1678" w:rsidTr="00852A83">
        <w:trPr>
          <w:trHeight w:val="255"/>
          <w:tblHeader/>
        </w:trPr>
        <w:tc>
          <w:tcPr>
            <w:tcW w:w="1831" w:type="pct"/>
            <w:tcBorders>
              <w:top w:val="single" w:sz="4" w:space="0" w:color="auto"/>
              <w:left w:val="single" w:sz="4" w:space="0" w:color="auto"/>
              <w:bottom w:val="single" w:sz="4" w:space="0" w:color="auto"/>
              <w:right w:val="single" w:sz="4" w:space="0" w:color="auto"/>
            </w:tcBorders>
            <w:noWrap/>
            <w:hideMark/>
          </w:tcPr>
          <w:p w:rsidR="0045388A" w:rsidRPr="008F1678" w:rsidRDefault="0045388A" w:rsidP="00745864">
            <w:pPr>
              <w:rPr>
                <w:rFonts w:ascii="Arial Narrow" w:hAnsi="Arial Narrow"/>
                <w:b/>
                <w:bCs/>
                <w:sz w:val="20"/>
                <w:szCs w:val="20"/>
              </w:rPr>
            </w:pPr>
            <w:bookmarkStart w:id="0" w:name="_GoBack" w:colFirst="0" w:colLast="7"/>
            <w:r w:rsidRPr="008F1678">
              <w:rPr>
                <w:rFonts w:ascii="Arial Narrow" w:hAnsi="Arial Narrow"/>
                <w:b/>
                <w:bCs/>
                <w:sz w:val="20"/>
                <w:szCs w:val="20"/>
              </w:rPr>
              <w:t>Year</w:t>
            </w:r>
          </w:p>
        </w:tc>
        <w:tc>
          <w:tcPr>
            <w:tcW w:w="528" w:type="pct"/>
            <w:tcBorders>
              <w:top w:val="single" w:sz="4" w:space="0" w:color="auto"/>
              <w:left w:val="single" w:sz="4" w:space="0" w:color="auto"/>
              <w:bottom w:val="single" w:sz="4" w:space="0" w:color="auto"/>
              <w:right w:val="single" w:sz="4" w:space="0" w:color="auto"/>
            </w:tcBorders>
            <w:hideMark/>
          </w:tcPr>
          <w:p w:rsidR="0045388A" w:rsidRPr="008F1678" w:rsidRDefault="0045388A" w:rsidP="00E96F6C">
            <w:pPr>
              <w:jc w:val="right"/>
              <w:rPr>
                <w:rFonts w:ascii="Arial Narrow" w:hAnsi="Arial Narrow"/>
                <w:b/>
                <w:bCs/>
                <w:sz w:val="20"/>
                <w:szCs w:val="20"/>
              </w:rPr>
            </w:pPr>
            <w:r w:rsidRPr="008F1678">
              <w:rPr>
                <w:rFonts w:ascii="Arial Narrow" w:hAnsi="Arial Narrow"/>
                <w:b/>
                <w:bCs/>
                <w:sz w:val="20"/>
                <w:szCs w:val="20"/>
              </w:rPr>
              <w:t>2020</w:t>
            </w:r>
          </w:p>
        </w:tc>
        <w:tc>
          <w:tcPr>
            <w:tcW w:w="541" w:type="pct"/>
            <w:tcBorders>
              <w:top w:val="single" w:sz="4" w:space="0" w:color="auto"/>
              <w:left w:val="single" w:sz="4" w:space="0" w:color="auto"/>
              <w:bottom w:val="single" w:sz="4" w:space="0" w:color="auto"/>
              <w:right w:val="single" w:sz="4" w:space="0" w:color="auto"/>
            </w:tcBorders>
            <w:hideMark/>
          </w:tcPr>
          <w:p w:rsidR="0045388A" w:rsidRPr="008F1678" w:rsidRDefault="0045388A" w:rsidP="00E96F6C">
            <w:pPr>
              <w:jc w:val="right"/>
              <w:rPr>
                <w:rFonts w:ascii="Arial Narrow" w:hAnsi="Arial Narrow"/>
                <w:b/>
                <w:bCs/>
                <w:sz w:val="20"/>
                <w:szCs w:val="20"/>
              </w:rPr>
            </w:pPr>
            <w:r w:rsidRPr="008F1678">
              <w:rPr>
                <w:rFonts w:ascii="Arial Narrow" w:hAnsi="Arial Narrow"/>
                <w:b/>
                <w:bCs/>
                <w:sz w:val="20"/>
                <w:szCs w:val="20"/>
              </w:rPr>
              <w:t>2021</w:t>
            </w:r>
          </w:p>
        </w:tc>
        <w:tc>
          <w:tcPr>
            <w:tcW w:w="478" w:type="pct"/>
            <w:tcBorders>
              <w:top w:val="single" w:sz="4" w:space="0" w:color="auto"/>
              <w:left w:val="single" w:sz="4" w:space="0" w:color="auto"/>
              <w:bottom w:val="single" w:sz="4" w:space="0" w:color="auto"/>
              <w:right w:val="single" w:sz="4" w:space="0" w:color="auto"/>
            </w:tcBorders>
            <w:hideMark/>
          </w:tcPr>
          <w:p w:rsidR="0045388A" w:rsidRPr="008F1678" w:rsidRDefault="0045388A" w:rsidP="00E96F6C">
            <w:pPr>
              <w:jc w:val="right"/>
              <w:rPr>
                <w:rFonts w:ascii="Arial Narrow" w:hAnsi="Arial Narrow"/>
                <w:b/>
                <w:bCs/>
                <w:sz w:val="20"/>
                <w:szCs w:val="20"/>
              </w:rPr>
            </w:pPr>
            <w:r w:rsidRPr="008F1678">
              <w:rPr>
                <w:rFonts w:ascii="Arial Narrow" w:hAnsi="Arial Narrow"/>
                <w:b/>
                <w:bCs/>
                <w:sz w:val="20"/>
                <w:szCs w:val="20"/>
              </w:rPr>
              <w:t>2022</w:t>
            </w:r>
          </w:p>
        </w:tc>
        <w:tc>
          <w:tcPr>
            <w:tcW w:w="541" w:type="pct"/>
            <w:tcBorders>
              <w:top w:val="single" w:sz="4" w:space="0" w:color="auto"/>
              <w:left w:val="single" w:sz="4" w:space="0" w:color="auto"/>
              <w:bottom w:val="single" w:sz="4" w:space="0" w:color="auto"/>
              <w:right w:val="single" w:sz="4" w:space="0" w:color="auto"/>
            </w:tcBorders>
            <w:hideMark/>
          </w:tcPr>
          <w:p w:rsidR="0045388A" w:rsidRPr="008F1678" w:rsidRDefault="0045388A" w:rsidP="00E96F6C">
            <w:pPr>
              <w:jc w:val="right"/>
              <w:rPr>
                <w:rFonts w:ascii="Arial Narrow" w:hAnsi="Arial Narrow"/>
                <w:b/>
                <w:bCs/>
                <w:sz w:val="20"/>
                <w:szCs w:val="20"/>
              </w:rPr>
            </w:pPr>
            <w:r w:rsidRPr="008F1678">
              <w:rPr>
                <w:rFonts w:ascii="Arial Narrow" w:hAnsi="Arial Narrow"/>
                <w:b/>
                <w:bCs/>
                <w:sz w:val="20"/>
                <w:szCs w:val="20"/>
              </w:rPr>
              <w:t>2023</w:t>
            </w:r>
          </w:p>
        </w:tc>
        <w:tc>
          <w:tcPr>
            <w:tcW w:w="541" w:type="pct"/>
            <w:tcBorders>
              <w:top w:val="single" w:sz="4" w:space="0" w:color="auto"/>
              <w:left w:val="single" w:sz="4" w:space="0" w:color="auto"/>
              <w:bottom w:val="single" w:sz="4" w:space="0" w:color="auto"/>
              <w:right w:val="single" w:sz="4" w:space="0" w:color="auto"/>
            </w:tcBorders>
            <w:hideMark/>
          </w:tcPr>
          <w:p w:rsidR="0045388A" w:rsidRPr="008F1678" w:rsidRDefault="0045388A" w:rsidP="00E96F6C">
            <w:pPr>
              <w:jc w:val="right"/>
              <w:rPr>
                <w:rFonts w:ascii="Arial Narrow" w:hAnsi="Arial Narrow"/>
                <w:b/>
                <w:bCs/>
                <w:sz w:val="20"/>
                <w:szCs w:val="20"/>
              </w:rPr>
            </w:pPr>
            <w:r w:rsidRPr="008F1678">
              <w:rPr>
                <w:rFonts w:ascii="Arial Narrow" w:hAnsi="Arial Narrow"/>
                <w:b/>
                <w:bCs/>
                <w:sz w:val="20"/>
                <w:szCs w:val="20"/>
              </w:rPr>
              <w:t>2024</w:t>
            </w:r>
          </w:p>
        </w:tc>
        <w:tc>
          <w:tcPr>
            <w:tcW w:w="541" w:type="pct"/>
            <w:tcBorders>
              <w:top w:val="single" w:sz="4" w:space="0" w:color="auto"/>
              <w:left w:val="single" w:sz="4" w:space="0" w:color="auto"/>
              <w:bottom w:val="single" w:sz="4" w:space="0" w:color="auto"/>
              <w:right w:val="single" w:sz="4" w:space="0" w:color="auto"/>
            </w:tcBorders>
            <w:hideMark/>
          </w:tcPr>
          <w:p w:rsidR="0045388A" w:rsidRPr="008F1678" w:rsidRDefault="0045388A" w:rsidP="00E96F6C">
            <w:pPr>
              <w:jc w:val="right"/>
              <w:rPr>
                <w:rFonts w:ascii="Arial Narrow" w:hAnsi="Arial Narrow"/>
                <w:b/>
                <w:bCs/>
                <w:sz w:val="20"/>
                <w:szCs w:val="20"/>
              </w:rPr>
            </w:pPr>
            <w:r w:rsidRPr="008F1678">
              <w:rPr>
                <w:rFonts w:ascii="Arial Narrow" w:hAnsi="Arial Narrow"/>
                <w:b/>
                <w:bCs/>
                <w:sz w:val="20"/>
                <w:szCs w:val="20"/>
              </w:rPr>
              <w:t>2025</w:t>
            </w:r>
          </w:p>
        </w:tc>
      </w:tr>
      <w:bookmarkEnd w:id="0"/>
      <w:tr w:rsidR="0045388A" w:rsidRPr="008F1678" w:rsidTr="00D60D91">
        <w:trPr>
          <w:trHeight w:val="255"/>
        </w:trPr>
        <w:tc>
          <w:tcPr>
            <w:tcW w:w="1831" w:type="pct"/>
            <w:tcBorders>
              <w:top w:val="single" w:sz="4" w:space="0" w:color="auto"/>
              <w:left w:val="single" w:sz="4" w:space="0" w:color="auto"/>
              <w:bottom w:val="single" w:sz="4" w:space="0" w:color="auto"/>
              <w:right w:val="single" w:sz="4" w:space="0" w:color="auto"/>
            </w:tcBorders>
            <w:hideMark/>
          </w:tcPr>
          <w:p w:rsidR="0045388A" w:rsidRPr="008F1678" w:rsidRDefault="0045388A" w:rsidP="000E469D">
            <w:pPr>
              <w:rPr>
                <w:rFonts w:ascii="Arial Narrow" w:hAnsi="Arial Narrow"/>
                <w:sz w:val="20"/>
                <w:szCs w:val="20"/>
                <w:vertAlign w:val="superscript"/>
              </w:rPr>
            </w:pPr>
            <w:r w:rsidRPr="008F1678">
              <w:rPr>
                <w:rFonts w:ascii="Arial Narrow" w:hAnsi="Arial Narrow"/>
                <w:sz w:val="20"/>
                <w:szCs w:val="20"/>
              </w:rPr>
              <w:t>Patient initiation (%)</w:t>
            </w:r>
            <w:r w:rsidR="000E469D" w:rsidRPr="008F1678">
              <w:rPr>
                <w:rFonts w:ascii="Arial Narrow" w:hAnsi="Arial Narrow"/>
                <w:sz w:val="20"/>
                <w:szCs w:val="20"/>
                <w:vertAlign w:val="superscript"/>
              </w:rPr>
              <w:t>a</w:t>
            </w:r>
          </w:p>
        </w:tc>
        <w:tc>
          <w:tcPr>
            <w:tcW w:w="528" w:type="pct"/>
            <w:tcBorders>
              <w:top w:val="single" w:sz="4" w:space="0" w:color="auto"/>
              <w:left w:val="single" w:sz="4" w:space="0" w:color="auto"/>
              <w:bottom w:val="single" w:sz="4" w:space="0" w:color="auto"/>
              <w:right w:val="single" w:sz="4" w:space="0" w:color="auto"/>
            </w:tcBorders>
            <w:noWrap/>
            <w:hideMark/>
          </w:tcPr>
          <w:p w:rsidR="0045388A" w:rsidRPr="008F1678" w:rsidRDefault="0045388A" w:rsidP="00E96F6C">
            <w:pPr>
              <w:jc w:val="right"/>
              <w:rPr>
                <w:rFonts w:ascii="Arial Narrow" w:hAnsi="Arial Narrow"/>
                <w:sz w:val="20"/>
                <w:szCs w:val="20"/>
              </w:rPr>
            </w:pPr>
            <w:r w:rsidRPr="008F1678">
              <w:rPr>
                <w:rFonts w:ascii="Arial Narrow" w:hAnsi="Arial Narrow"/>
                <w:sz w:val="20"/>
                <w:szCs w:val="20"/>
              </w:rPr>
              <w:t>5.0%</w:t>
            </w:r>
          </w:p>
        </w:tc>
        <w:tc>
          <w:tcPr>
            <w:tcW w:w="541" w:type="pct"/>
            <w:tcBorders>
              <w:top w:val="single" w:sz="4" w:space="0" w:color="auto"/>
              <w:left w:val="single" w:sz="4" w:space="0" w:color="auto"/>
              <w:bottom w:val="single" w:sz="4" w:space="0" w:color="auto"/>
              <w:right w:val="single" w:sz="4" w:space="0" w:color="auto"/>
            </w:tcBorders>
            <w:noWrap/>
            <w:hideMark/>
          </w:tcPr>
          <w:p w:rsidR="0045388A" w:rsidRPr="008F1678" w:rsidRDefault="0045388A" w:rsidP="00E96F6C">
            <w:pPr>
              <w:jc w:val="right"/>
              <w:rPr>
                <w:rFonts w:ascii="Arial Narrow" w:hAnsi="Arial Narrow"/>
                <w:sz w:val="20"/>
                <w:szCs w:val="20"/>
              </w:rPr>
            </w:pPr>
            <w:r w:rsidRPr="008F1678">
              <w:rPr>
                <w:rFonts w:ascii="Arial Narrow" w:hAnsi="Arial Narrow"/>
                <w:sz w:val="20"/>
                <w:szCs w:val="20"/>
              </w:rPr>
              <w:t>4.50%</w:t>
            </w:r>
          </w:p>
        </w:tc>
        <w:tc>
          <w:tcPr>
            <w:tcW w:w="478" w:type="pct"/>
            <w:tcBorders>
              <w:top w:val="single" w:sz="4" w:space="0" w:color="auto"/>
              <w:left w:val="single" w:sz="4" w:space="0" w:color="auto"/>
              <w:bottom w:val="single" w:sz="4" w:space="0" w:color="auto"/>
              <w:right w:val="single" w:sz="4" w:space="0" w:color="auto"/>
            </w:tcBorders>
            <w:noWrap/>
            <w:hideMark/>
          </w:tcPr>
          <w:p w:rsidR="0045388A" w:rsidRPr="008F1678" w:rsidRDefault="0045388A" w:rsidP="00E96F6C">
            <w:pPr>
              <w:jc w:val="right"/>
              <w:rPr>
                <w:rFonts w:ascii="Arial Narrow" w:hAnsi="Arial Narrow"/>
                <w:sz w:val="20"/>
                <w:szCs w:val="20"/>
              </w:rPr>
            </w:pPr>
            <w:r w:rsidRPr="008F1678">
              <w:rPr>
                <w:rFonts w:ascii="Arial Narrow" w:hAnsi="Arial Narrow"/>
                <w:sz w:val="20"/>
                <w:szCs w:val="20"/>
              </w:rPr>
              <w:t>4.00%</w:t>
            </w:r>
          </w:p>
        </w:tc>
        <w:tc>
          <w:tcPr>
            <w:tcW w:w="541" w:type="pct"/>
            <w:tcBorders>
              <w:top w:val="single" w:sz="4" w:space="0" w:color="auto"/>
              <w:left w:val="single" w:sz="4" w:space="0" w:color="auto"/>
              <w:bottom w:val="single" w:sz="4" w:space="0" w:color="auto"/>
              <w:right w:val="single" w:sz="4" w:space="0" w:color="auto"/>
            </w:tcBorders>
            <w:noWrap/>
            <w:hideMark/>
          </w:tcPr>
          <w:p w:rsidR="0045388A" w:rsidRPr="008F1678" w:rsidRDefault="0045388A" w:rsidP="00E96F6C">
            <w:pPr>
              <w:jc w:val="right"/>
              <w:rPr>
                <w:rFonts w:ascii="Arial Narrow" w:hAnsi="Arial Narrow"/>
                <w:sz w:val="20"/>
                <w:szCs w:val="20"/>
              </w:rPr>
            </w:pPr>
            <w:r w:rsidRPr="008F1678">
              <w:rPr>
                <w:rFonts w:ascii="Arial Narrow" w:hAnsi="Arial Narrow"/>
                <w:sz w:val="20"/>
                <w:szCs w:val="20"/>
              </w:rPr>
              <w:t>3.50%</w:t>
            </w:r>
          </w:p>
        </w:tc>
        <w:tc>
          <w:tcPr>
            <w:tcW w:w="541" w:type="pct"/>
            <w:tcBorders>
              <w:top w:val="single" w:sz="4" w:space="0" w:color="auto"/>
              <w:left w:val="single" w:sz="4" w:space="0" w:color="auto"/>
              <w:bottom w:val="single" w:sz="4" w:space="0" w:color="auto"/>
              <w:right w:val="single" w:sz="4" w:space="0" w:color="auto"/>
            </w:tcBorders>
            <w:noWrap/>
            <w:hideMark/>
          </w:tcPr>
          <w:p w:rsidR="0045388A" w:rsidRPr="008F1678" w:rsidRDefault="0045388A" w:rsidP="00E96F6C">
            <w:pPr>
              <w:jc w:val="right"/>
              <w:rPr>
                <w:rFonts w:ascii="Arial Narrow" w:hAnsi="Arial Narrow"/>
                <w:sz w:val="20"/>
                <w:szCs w:val="20"/>
              </w:rPr>
            </w:pPr>
            <w:r w:rsidRPr="008F1678">
              <w:rPr>
                <w:rFonts w:ascii="Arial Narrow" w:hAnsi="Arial Narrow"/>
                <w:sz w:val="20"/>
                <w:szCs w:val="20"/>
              </w:rPr>
              <w:t>3.50%</w:t>
            </w:r>
          </w:p>
        </w:tc>
        <w:tc>
          <w:tcPr>
            <w:tcW w:w="541" w:type="pct"/>
            <w:tcBorders>
              <w:top w:val="single" w:sz="4" w:space="0" w:color="auto"/>
              <w:left w:val="single" w:sz="4" w:space="0" w:color="auto"/>
              <w:bottom w:val="single" w:sz="4" w:space="0" w:color="auto"/>
              <w:right w:val="single" w:sz="4" w:space="0" w:color="auto"/>
            </w:tcBorders>
            <w:noWrap/>
            <w:hideMark/>
          </w:tcPr>
          <w:p w:rsidR="0045388A" w:rsidRPr="008F1678" w:rsidRDefault="0045388A" w:rsidP="00E96F6C">
            <w:pPr>
              <w:jc w:val="right"/>
              <w:rPr>
                <w:rFonts w:ascii="Arial Narrow" w:hAnsi="Arial Narrow"/>
                <w:sz w:val="20"/>
                <w:szCs w:val="20"/>
              </w:rPr>
            </w:pPr>
            <w:r w:rsidRPr="008F1678">
              <w:rPr>
                <w:rFonts w:ascii="Arial Narrow" w:hAnsi="Arial Narrow"/>
                <w:sz w:val="20"/>
                <w:szCs w:val="20"/>
              </w:rPr>
              <w:t>3.50%</w:t>
            </w:r>
          </w:p>
        </w:tc>
      </w:tr>
    </w:tbl>
    <w:p w:rsidR="0045388A" w:rsidRPr="008F1678" w:rsidRDefault="00BA6DAD" w:rsidP="00D60D91">
      <w:pPr>
        <w:pStyle w:val="TableFooter"/>
      </w:pPr>
      <w:r w:rsidRPr="008F1678">
        <w:t>Source: Pre-PBAC Response, Table 1</w:t>
      </w:r>
    </w:p>
    <w:p w:rsidR="000E469D" w:rsidRDefault="000E469D" w:rsidP="00D60D91">
      <w:pPr>
        <w:pStyle w:val="TableFooter"/>
      </w:pPr>
      <w:r w:rsidRPr="008F1678">
        <w:rPr>
          <w:vertAlign w:val="superscript"/>
        </w:rPr>
        <w:t xml:space="preserve">a </w:t>
      </w:r>
      <w:r w:rsidR="00D60D91" w:rsidRPr="008F1678">
        <w:t>I</w:t>
      </w:r>
      <w:r w:rsidRPr="008F1678">
        <w:t xml:space="preserve">nput for Row 41 of tab “2a. Patients –epi” in dupilumab March 2020 submission </w:t>
      </w:r>
      <w:r w:rsidR="004F219F" w:rsidRPr="008F1678">
        <w:t>Section 4</w:t>
      </w:r>
      <w:r w:rsidRPr="008F1678">
        <w:t xml:space="preserve"> model</w:t>
      </w:r>
    </w:p>
    <w:p w:rsidR="00F82F56" w:rsidRDefault="00F82F56" w:rsidP="00D60D91">
      <w:pPr>
        <w:pStyle w:val="TableFooter"/>
      </w:pPr>
    </w:p>
    <w:p w:rsidR="00F82F56" w:rsidRPr="008F1678" w:rsidRDefault="00F82F56" w:rsidP="00F82F56">
      <w:pPr>
        <w:pStyle w:val="Tabletitles"/>
        <w:rPr>
          <w:lang w:eastAsia="en-US"/>
        </w:rPr>
      </w:pPr>
      <w:r w:rsidRPr="008F1678">
        <w:rPr>
          <w:lang w:eastAsia="en-US"/>
        </w:rPr>
        <w:t>Table 5: Patient initiations and financial impact</w:t>
      </w:r>
    </w:p>
    <w:tbl>
      <w:tblPr>
        <w:tblW w:w="5000" w:type="pct"/>
        <w:tblLook w:val="04A0" w:firstRow="1" w:lastRow="0" w:firstColumn="1" w:lastColumn="0" w:noHBand="0" w:noVBand="1"/>
      </w:tblPr>
      <w:tblGrid>
        <w:gridCol w:w="3512"/>
        <w:gridCol w:w="790"/>
        <w:gridCol w:w="791"/>
        <w:gridCol w:w="791"/>
        <w:gridCol w:w="778"/>
        <w:gridCol w:w="778"/>
        <w:gridCol w:w="791"/>
        <w:gridCol w:w="785"/>
      </w:tblGrid>
      <w:tr w:rsidR="00F82F56" w:rsidRPr="008F1678" w:rsidTr="00F82F56">
        <w:trPr>
          <w:trHeight w:val="290"/>
        </w:trPr>
        <w:tc>
          <w:tcPr>
            <w:tcW w:w="8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2F56" w:rsidRPr="008F1678" w:rsidRDefault="00F82F56" w:rsidP="00D40522">
            <w:pPr>
              <w:jc w:val="left"/>
              <w:rPr>
                <w:rFonts w:ascii="Arial Narrow" w:hAnsi="Arial Narrow" w:cs="Calibri"/>
                <w:color w:val="000000"/>
                <w:sz w:val="20"/>
                <w:szCs w:val="20"/>
              </w:rPr>
            </w:pPr>
            <w:r w:rsidRPr="008F1678">
              <w:rPr>
                <w:rFonts w:ascii="Arial Narrow" w:hAnsi="Arial Narrow" w:cs="Calibri"/>
                <w:color w:val="000000"/>
                <w:sz w:val="20"/>
                <w:szCs w:val="20"/>
              </w:rPr>
              <w:t> </w:t>
            </w:r>
          </w:p>
        </w:tc>
        <w:tc>
          <w:tcPr>
            <w:tcW w:w="589" w:type="pct"/>
            <w:tcBorders>
              <w:top w:val="single" w:sz="4" w:space="0" w:color="auto"/>
              <w:left w:val="nil"/>
              <w:bottom w:val="single" w:sz="4" w:space="0" w:color="auto"/>
              <w:right w:val="single" w:sz="4" w:space="0" w:color="auto"/>
            </w:tcBorders>
            <w:shd w:val="clear" w:color="auto" w:fill="auto"/>
            <w:noWrap/>
            <w:vAlign w:val="bottom"/>
            <w:hideMark/>
          </w:tcPr>
          <w:p w:rsidR="00F82F56" w:rsidRPr="008F1678" w:rsidRDefault="00F82F56" w:rsidP="00D40522">
            <w:pPr>
              <w:jc w:val="right"/>
              <w:rPr>
                <w:rFonts w:ascii="Arial Narrow" w:hAnsi="Arial Narrow" w:cs="Calibri"/>
                <w:b/>
                <w:bCs/>
                <w:color w:val="000000"/>
                <w:sz w:val="20"/>
                <w:szCs w:val="20"/>
              </w:rPr>
            </w:pPr>
            <w:r w:rsidRPr="008F1678">
              <w:rPr>
                <w:rFonts w:ascii="Arial Narrow" w:hAnsi="Arial Narrow" w:cs="Calibri"/>
                <w:b/>
                <w:bCs/>
                <w:color w:val="000000"/>
                <w:sz w:val="20"/>
                <w:szCs w:val="20"/>
              </w:rPr>
              <w:t>Year 1</w:t>
            </w:r>
          </w:p>
        </w:tc>
        <w:tc>
          <w:tcPr>
            <w:tcW w:w="589" w:type="pct"/>
            <w:tcBorders>
              <w:top w:val="single" w:sz="4" w:space="0" w:color="auto"/>
              <w:left w:val="nil"/>
              <w:bottom w:val="single" w:sz="4" w:space="0" w:color="auto"/>
              <w:right w:val="single" w:sz="4" w:space="0" w:color="auto"/>
            </w:tcBorders>
            <w:shd w:val="clear" w:color="auto" w:fill="auto"/>
            <w:noWrap/>
            <w:vAlign w:val="bottom"/>
            <w:hideMark/>
          </w:tcPr>
          <w:p w:rsidR="00F82F56" w:rsidRPr="008F1678" w:rsidRDefault="00F82F56" w:rsidP="00D40522">
            <w:pPr>
              <w:jc w:val="right"/>
              <w:rPr>
                <w:rFonts w:ascii="Arial Narrow" w:hAnsi="Arial Narrow" w:cs="Calibri"/>
                <w:b/>
                <w:bCs/>
                <w:color w:val="000000"/>
                <w:sz w:val="20"/>
                <w:szCs w:val="20"/>
              </w:rPr>
            </w:pPr>
            <w:r w:rsidRPr="008F1678">
              <w:rPr>
                <w:rFonts w:ascii="Arial Narrow" w:hAnsi="Arial Narrow" w:cs="Calibri"/>
                <w:b/>
                <w:bCs/>
                <w:color w:val="000000"/>
                <w:sz w:val="20"/>
                <w:szCs w:val="20"/>
              </w:rPr>
              <w:t>Year 2</w:t>
            </w:r>
          </w:p>
        </w:tc>
        <w:tc>
          <w:tcPr>
            <w:tcW w:w="589" w:type="pct"/>
            <w:tcBorders>
              <w:top w:val="single" w:sz="4" w:space="0" w:color="auto"/>
              <w:left w:val="nil"/>
              <w:bottom w:val="single" w:sz="4" w:space="0" w:color="auto"/>
              <w:right w:val="single" w:sz="4" w:space="0" w:color="auto"/>
            </w:tcBorders>
            <w:shd w:val="clear" w:color="auto" w:fill="auto"/>
            <w:noWrap/>
            <w:vAlign w:val="bottom"/>
            <w:hideMark/>
          </w:tcPr>
          <w:p w:rsidR="00F82F56" w:rsidRPr="008F1678" w:rsidRDefault="00F82F56" w:rsidP="00D40522">
            <w:pPr>
              <w:jc w:val="right"/>
              <w:rPr>
                <w:rFonts w:ascii="Arial Narrow" w:hAnsi="Arial Narrow" w:cs="Calibri"/>
                <w:b/>
                <w:bCs/>
                <w:color w:val="000000"/>
                <w:sz w:val="20"/>
                <w:szCs w:val="20"/>
              </w:rPr>
            </w:pPr>
            <w:r w:rsidRPr="008F1678">
              <w:rPr>
                <w:rFonts w:ascii="Arial Narrow" w:hAnsi="Arial Narrow" w:cs="Calibri"/>
                <w:b/>
                <w:bCs/>
                <w:color w:val="000000"/>
                <w:sz w:val="20"/>
                <w:szCs w:val="20"/>
              </w:rPr>
              <w:t>Year 3</w:t>
            </w:r>
          </w:p>
        </w:tc>
        <w:tc>
          <w:tcPr>
            <w:tcW w:w="589" w:type="pct"/>
            <w:tcBorders>
              <w:top w:val="single" w:sz="4" w:space="0" w:color="auto"/>
              <w:left w:val="nil"/>
              <w:bottom w:val="single" w:sz="4" w:space="0" w:color="auto"/>
              <w:right w:val="single" w:sz="4" w:space="0" w:color="auto"/>
            </w:tcBorders>
            <w:shd w:val="clear" w:color="auto" w:fill="auto"/>
            <w:noWrap/>
            <w:vAlign w:val="bottom"/>
            <w:hideMark/>
          </w:tcPr>
          <w:p w:rsidR="00F82F56" w:rsidRPr="008F1678" w:rsidRDefault="00F82F56" w:rsidP="00D40522">
            <w:pPr>
              <w:jc w:val="right"/>
              <w:rPr>
                <w:rFonts w:ascii="Arial Narrow" w:hAnsi="Arial Narrow" w:cs="Calibri"/>
                <w:b/>
                <w:bCs/>
                <w:color w:val="000000"/>
                <w:sz w:val="20"/>
                <w:szCs w:val="20"/>
              </w:rPr>
            </w:pPr>
            <w:r w:rsidRPr="008F1678">
              <w:rPr>
                <w:rFonts w:ascii="Arial Narrow" w:hAnsi="Arial Narrow" w:cs="Calibri"/>
                <w:b/>
                <w:bCs/>
                <w:color w:val="000000"/>
                <w:sz w:val="20"/>
                <w:szCs w:val="20"/>
              </w:rPr>
              <w:t>Year 4</w:t>
            </w:r>
          </w:p>
        </w:tc>
        <w:tc>
          <w:tcPr>
            <w:tcW w:w="589" w:type="pct"/>
            <w:tcBorders>
              <w:top w:val="single" w:sz="4" w:space="0" w:color="auto"/>
              <w:left w:val="nil"/>
              <w:bottom w:val="single" w:sz="4" w:space="0" w:color="auto"/>
              <w:right w:val="single" w:sz="4" w:space="0" w:color="auto"/>
            </w:tcBorders>
            <w:shd w:val="clear" w:color="auto" w:fill="auto"/>
            <w:noWrap/>
            <w:vAlign w:val="bottom"/>
            <w:hideMark/>
          </w:tcPr>
          <w:p w:rsidR="00F82F56" w:rsidRPr="008F1678" w:rsidRDefault="00F82F56" w:rsidP="00D40522">
            <w:pPr>
              <w:jc w:val="right"/>
              <w:rPr>
                <w:rFonts w:ascii="Arial Narrow" w:hAnsi="Arial Narrow" w:cs="Calibri"/>
                <w:b/>
                <w:bCs/>
                <w:color w:val="000000"/>
                <w:sz w:val="20"/>
                <w:szCs w:val="20"/>
              </w:rPr>
            </w:pPr>
            <w:r w:rsidRPr="008F1678">
              <w:rPr>
                <w:rFonts w:ascii="Arial Narrow" w:hAnsi="Arial Narrow" w:cs="Calibri"/>
                <w:b/>
                <w:bCs/>
                <w:color w:val="000000"/>
                <w:sz w:val="20"/>
                <w:szCs w:val="20"/>
              </w:rPr>
              <w:t>Year 5</w:t>
            </w:r>
          </w:p>
        </w:tc>
        <w:tc>
          <w:tcPr>
            <w:tcW w:w="589" w:type="pct"/>
            <w:tcBorders>
              <w:top w:val="single" w:sz="4" w:space="0" w:color="auto"/>
              <w:left w:val="nil"/>
              <w:bottom w:val="single" w:sz="4" w:space="0" w:color="auto"/>
              <w:right w:val="single" w:sz="4" w:space="0" w:color="auto"/>
            </w:tcBorders>
            <w:shd w:val="clear" w:color="auto" w:fill="auto"/>
            <w:noWrap/>
            <w:vAlign w:val="bottom"/>
            <w:hideMark/>
          </w:tcPr>
          <w:p w:rsidR="00F82F56" w:rsidRPr="008F1678" w:rsidRDefault="00F82F56" w:rsidP="00D40522">
            <w:pPr>
              <w:jc w:val="right"/>
              <w:rPr>
                <w:rFonts w:ascii="Arial Narrow" w:hAnsi="Arial Narrow" w:cs="Calibri"/>
                <w:b/>
                <w:bCs/>
                <w:color w:val="000000"/>
                <w:sz w:val="20"/>
                <w:szCs w:val="20"/>
              </w:rPr>
            </w:pPr>
            <w:r w:rsidRPr="008F1678">
              <w:rPr>
                <w:rFonts w:ascii="Arial Narrow" w:hAnsi="Arial Narrow" w:cs="Calibri"/>
                <w:b/>
                <w:bCs/>
                <w:color w:val="000000"/>
                <w:sz w:val="20"/>
                <w:szCs w:val="20"/>
              </w:rPr>
              <w:t>Year 6</w:t>
            </w:r>
          </w:p>
        </w:tc>
        <w:tc>
          <w:tcPr>
            <w:tcW w:w="632" w:type="pct"/>
            <w:tcBorders>
              <w:top w:val="single" w:sz="4" w:space="0" w:color="auto"/>
              <w:left w:val="nil"/>
              <w:bottom w:val="single" w:sz="4" w:space="0" w:color="auto"/>
              <w:right w:val="single" w:sz="4" w:space="0" w:color="auto"/>
            </w:tcBorders>
            <w:shd w:val="clear" w:color="auto" w:fill="auto"/>
            <w:noWrap/>
            <w:vAlign w:val="bottom"/>
            <w:hideMark/>
          </w:tcPr>
          <w:p w:rsidR="00F82F56" w:rsidRPr="008F1678" w:rsidRDefault="00F82F56" w:rsidP="00D40522">
            <w:pPr>
              <w:jc w:val="right"/>
              <w:rPr>
                <w:rFonts w:ascii="Arial Narrow" w:hAnsi="Arial Narrow" w:cs="Calibri"/>
                <w:b/>
                <w:bCs/>
                <w:color w:val="000000"/>
                <w:sz w:val="20"/>
                <w:szCs w:val="20"/>
              </w:rPr>
            </w:pPr>
            <w:r w:rsidRPr="008F1678">
              <w:rPr>
                <w:rFonts w:ascii="Arial Narrow" w:hAnsi="Arial Narrow" w:cs="Calibri"/>
                <w:b/>
                <w:bCs/>
                <w:color w:val="000000"/>
                <w:sz w:val="20"/>
                <w:szCs w:val="20"/>
              </w:rPr>
              <w:t xml:space="preserve">Total </w:t>
            </w:r>
          </w:p>
        </w:tc>
      </w:tr>
      <w:tr w:rsidR="00F82F56" w:rsidRPr="008F1678" w:rsidTr="00F82F56">
        <w:trPr>
          <w:trHeight w:val="290"/>
        </w:trPr>
        <w:tc>
          <w:tcPr>
            <w:tcW w:w="5000" w:type="pct"/>
            <w:gridSpan w:val="8"/>
            <w:tcBorders>
              <w:top w:val="nil"/>
              <w:left w:val="single" w:sz="4" w:space="0" w:color="auto"/>
              <w:bottom w:val="single" w:sz="4" w:space="0" w:color="auto"/>
              <w:right w:val="single" w:sz="4" w:space="0" w:color="auto"/>
            </w:tcBorders>
            <w:shd w:val="clear" w:color="auto" w:fill="auto"/>
            <w:noWrap/>
            <w:vAlign w:val="center"/>
            <w:hideMark/>
          </w:tcPr>
          <w:p w:rsidR="00F82F56" w:rsidRPr="008F1678" w:rsidRDefault="00F82F56" w:rsidP="00D40522">
            <w:pPr>
              <w:jc w:val="left"/>
              <w:rPr>
                <w:rFonts w:ascii="Arial Narrow" w:hAnsi="Arial Narrow" w:cs="Calibri"/>
                <w:b/>
                <w:bCs/>
                <w:color w:val="000000"/>
                <w:sz w:val="20"/>
                <w:szCs w:val="20"/>
              </w:rPr>
            </w:pPr>
            <w:r w:rsidRPr="008F1678">
              <w:rPr>
                <w:rFonts w:ascii="Arial Narrow" w:hAnsi="Arial Narrow" w:cs="Calibri"/>
                <w:b/>
                <w:bCs/>
                <w:color w:val="000000"/>
                <w:sz w:val="20"/>
                <w:szCs w:val="20"/>
              </w:rPr>
              <w:t>Recommended approach as per March 20 PBAC minutes </w:t>
            </w:r>
          </w:p>
        </w:tc>
      </w:tr>
      <w:tr w:rsidR="00F82F56" w:rsidRPr="008F1678" w:rsidTr="00F82F56">
        <w:trPr>
          <w:trHeight w:val="530"/>
        </w:trPr>
        <w:tc>
          <w:tcPr>
            <w:tcW w:w="832" w:type="pct"/>
            <w:tcBorders>
              <w:top w:val="nil"/>
              <w:left w:val="single" w:sz="4" w:space="0" w:color="auto"/>
              <w:bottom w:val="single" w:sz="4" w:space="0" w:color="auto"/>
              <w:right w:val="single" w:sz="4" w:space="0" w:color="auto"/>
            </w:tcBorders>
            <w:shd w:val="clear" w:color="auto" w:fill="auto"/>
            <w:vAlign w:val="bottom"/>
            <w:hideMark/>
          </w:tcPr>
          <w:p w:rsidR="00F82F56" w:rsidRPr="008F1678" w:rsidRDefault="00F82F56" w:rsidP="00F82F56">
            <w:pPr>
              <w:jc w:val="left"/>
              <w:rPr>
                <w:rFonts w:ascii="Arial Narrow" w:hAnsi="Arial Narrow" w:cs="Calibri"/>
                <w:color w:val="000000"/>
                <w:sz w:val="20"/>
                <w:szCs w:val="20"/>
              </w:rPr>
            </w:pPr>
            <w:r w:rsidRPr="008F1678">
              <w:rPr>
                <w:rFonts w:ascii="Arial Narrow" w:hAnsi="Arial Narrow" w:cs="Calibri"/>
                <w:color w:val="000000"/>
                <w:sz w:val="20"/>
                <w:szCs w:val="20"/>
              </w:rPr>
              <w:t>PBAC minutes March 2020, initiating patients</w:t>
            </w:r>
          </w:p>
        </w:tc>
        <w:tc>
          <w:tcPr>
            <w:tcW w:w="589" w:type="pct"/>
            <w:tcBorders>
              <w:top w:val="nil"/>
              <w:left w:val="nil"/>
              <w:bottom w:val="single" w:sz="4" w:space="0" w:color="auto"/>
              <w:right w:val="single" w:sz="4" w:space="0" w:color="auto"/>
            </w:tcBorders>
            <w:shd w:val="clear" w:color="auto" w:fill="auto"/>
            <w:noWrap/>
            <w:vAlign w:val="bottom"/>
            <w:hideMark/>
          </w:tcPr>
          <w:p w:rsidR="00F82F56" w:rsidRPr="008F1678" w:rsidRDefault="00F82F56" w:rsidP="00F82F56">
            <w:pPr>
              <w:jc w:val="right"/>
              <w:rPr>
                <w:rFonts w:ascii="Arial Narrow" w:hAnsi="Arial Narrow" w:cs="Calibri"/>
                <w:color w:val="000000"/>
                <w:sz w:val="20"/>
                <w:szCs w:val="20"/>
              </w:rPr>
            </w:pPr>
            <w:r w:rsidRPr="008F1678">
              <w:rPr>
                <w:rFonts w:ascii="Arial Narrow" w:hAnsi="Arial Narrow" w:cs="Calibri"/>
                <w:color w:val="000000"/>
                <w:sz w:val="20"/>
                <w:szCs w:val="20"/>
              </w:rPr>
              <w:t xml:space="preserve">                  </w:t>
            </w:r>
            <w:r w:rsidR="00975575">
              <w:rPr>
                <w:rFonts w:ascii="Arial Narrow" w:hAnsi="Arial Narrow" w:cs="Calibri"/>
                <w:noProof/>
                <w:color w:val="000000"/>
                <w:sz w:val="20"/>
                <w:szCs w:val="20"/>
                <w:highlight w:val="black"/>
              </w:rPr>
              <w:t>''''''''''''''</w:t>
            </w:r>
            <w:r>
              <w:rPr>
                <w:rFonts w:ascii="Arial Narrow" w:hAnsi="Arial Narrow" w:cs="Calibri"/>
                <w:color w:val="000000"/>
                <w:sz w:val="20"/>
                <w:szCs w:val="20"/>
                <w:vertAlign w:val="superscript"/>
              </w:rPr>
              <w:t>1</w:t>
            </w:r>
            <w:r w:rsidRPr="008F1678">
              <w:rPr>
                <w:rFonts w:ascii="Arial Narrow" w:hAnsi="Arial Narrow" w:cs="Calibri"/>
                <w:color w:val="000000"/>
                <w:sz w:val="20"/>
                <w:szCs w:val="20"/>
              </w:rPr>
              <w:t xml:space="preserve"> </w:t>
            </w:r>
          </w:p>
        </w:tc>
        <w:tc>
          <w:tcPr>
            <w:tcW w:w="589" w:type="pct"/>
            <w:tcBorders>
              <w:top w:val="nil"/>
              <w:left w:val="nil"/>
              <w:bottom w:val="single" w:sz="4" w:space="0" w:color="auto"/>
              <w:right w:val="single" w:sz="4" w:space="0" w:color="auto"/>
            </w:tcBorders>
            <w:shd w:val="clear" w:color="auto" w:fill="auto"/>
            <w:noWrap/>
            <w:vAlign w:val="bottom"/>
            <w:hideMark/>
          </w:tcPr>
          <w:p w:rsidR="00F82F56" w:rsidRPr="008F1678" w:rsidRDefault="00F82F56" w:rsidP="00F82F56">
            <w:pPr>
              <w:jc w:val="right"/>
              <w:rPr>
                <w:rFonts w:ascii="Arial Narrow" w:hAnsi="Arial Narrow" w:cs="Calibri"/>
                <w:color w:val="000000"/>
                <w:sz w:val="20"/>
                <w:szCs w:val="20"/>
              </w:rPr>
            </w:pPr>
            <w:r w:rsidRPr="008F1678">
              <w:rPr>
                <w:rFonts w:ascii="Arial Narrow" w:hAnsi="Arial Narrow" w:cs="Calibri"/>
                <w:color w:val="000000"/>
                <w:sz w:val="20"/>
                <w:szCs w:val="20"/>
              </w:rPr>
              <w:t xml:space="preserve">                  </w:t>
            </w:r>
            <w:r w:rsidR="00975575">
              <w:rPr>
                <w:rFonts w:ascii="Arial Narrow" w:hAnsi="Arial Narrow" w:cs="Calibri"/>
                <w:noProof/>
                <w:color w:val="000000"/>
                <w:sz w:val="20"/>
                <w:szCs w:val="20"/>
                <w:highlight w:val="black"/>
              </w:rPr>
              <w:t>'''''''''''''</w:t>
            </w:r>
            <w:r>
              <w:rPr>
                <w:rFonts w:ascii="Arial Narrow" w:hAnsi="Arial Narrow" w:cs="Calibri"/>
                <w:color w:val="000000"/>
                <w:sz w:val="20"/>
                <w:szCs w:val="20"/>
                <w:vertAlign w:val="superscript"/>
              </w:rPr>
              <w:t>1</w:t>
            </w:r>
            <w:r w:rsidRPr="008F1678">
              <w:rPr>
                <w:rFonts w:ascii="Arial Narrow" w:hAnsi="Arial Narrow" w:cs="Calibri"/>
                <w:color w:val="000000"/>
                <w:sz w:val="20"/>
                <w:szCs w:val="20"/>
              </w:rPr>
              <w:t xml:space="preserve"> </w:t>
            </w:r>
          </w:p>
        </w:tc>
        <w:tc>
          <w:tcPr>
            <w:tcW w:w="589" w:type="pct"/>
            <w:tcBorders>
              <w:top w:val="nil"/>
              <w:left w:val="nil"/>
              <w:bottom w:val="single" w:sz="4" w:space="0" w:color="auto"/>
              <w:right w:val="single" w:sz="4" w:space="0" w:color="auto"/>
            </w:tcBorders>
            <w:shd w:val="clear" w:color="auto" w:fill="auto"/>
            <w:noWrap/>
            <w:vAlign w:val="bottom"/>
            <w:hideMark/>
          </w:tcPr>
          <w:p w:rsidR="00F82F56" w:rsidRPr="008F1678" w:rsidRDefault="00F82F56" w:rsidP="00F82F56">
            <w:pPr>
              <w:jc w:val="right"/>
              <w:rPr>
                <w:rFonts w:ascii="Arial Narrow" w:hAnsi="Arial Narrow" w:cs="Calibri"/>
                <w:color w:val="000000"/>
                <w:sz w:val="20"/>
                <w:szCs w:val="20"/>
              </w:rPr>
            </w:pPr>
            <w:r w:rsidRPr="008F1678">
              <w:rPr>
                <w:rFonts w:ascii="Arial Narrow" w:hAnsi="Arial Narrow" w:cs="Calibri"/>
                <w:color w:val="000000"/>
                <w:sz w:val="20"/>
                <w:szCs w:val="20"/>
              </w:rPr>
              <w:t xml:space="preserve">                  </w:t>
            </w:r>
            <w:r w:rsidR="00975575">
              <w:rPr>
                <w:rFonts w:ascii="Arial Narrow" w:hAnsi="Arial Narrow" w:cs="Calibri"/>
                <w:noProof/>
                <w:color w:val="000000"/>
                <w:sz w:val="20"/>
                <w:szCs w:val="20"/>
                <w:highlight w:val="black"/>
              </w:rPr>
              <w:t>''''''''''''</w:t>
            </w:r>
            <w:r>
              <w:rPr>
                <w:rFonts w:ascii="Arial Narrow" w:hAnsi="Arial Narrow" w:cs="Calibri"/>
                <w:color w:val="000000"/>
                <w:sz w:val="20"/>
                <w:szCs w:val="20"/>
                <w:vertAlign w:val="superscript"/>
              </w:rPr>
              <w:t>1</w:t>
            </w:r>
            <w:r w:rsidRPr="008F1678">
              <w:rPr>
                <w:rFonts w:ascii="Arial Narrow" w:hAnsi="Arial Narrow" w:cs="Calibri"/>
                <w:color w:val="000000"/>
                <w:sz w:val="20"/>
                <w:szCs w:val="20"/>
              </w:rPr>
              <w:t xml:space="preserve"> </w:t>
            </w:r>
          </w:p>
        </w:tc>
        <w:tc>
          <w:tcPr>
            <w:tcW w:w="589" w:type="pct"/>
            <w:tcBorders>
              <w:top w:val="nil"/>
              <w:left w:val="nil"/>
              <w:bottom w:val="single" w:sz="4" w:space="0" w:color="auto"/>
              <w:right w:val="single" w:sz="4" w:space="0" w:color="auto"/>
            </w:tcBorders>
            <w:shd w:val="clear" w:color="auto" w:fill="auto"/>
            <w:noWrap/>
            <w:vAlign w:val="bottom"/>
            <w:hideMark/>
          </w:tcPr>
          <w:p w:rsidR="00F82F56" w:rsidRPr="008F1678" w:rsidRDefault="00F82F56" w:rsidP="00F82F56">
            <w:pPr>
              <w:jc w:val="right"/>
              <w:rPr>
                <w:rFonts w:ascii="Arial Narrow" w:hAnsi="Arial Narrow" w:cs="Calibri"/>
                <w:color w:val="000000"/>
                <w:sz w:val="20"/>
                <w:szCs w:val="20"/>
              </w:rPr>
            </w:pPr>
            <w:r w:rsidRPr="008F1678">
              <w:rPr>
                <w:rFonts w:ascii="Arial Narrow" w:hAnsi="Arial Narrow" w:cs="Calibri"/>
                <w:color w:val="000000"/>
                <w:sz w:val="20"/>
                <w:szCs w:val="20"/>
              </w:rPr>
              <w:t xml:space="preserve">                  </w:t>
            </w:r>
            <w:r w:rsidR="00975575">
              <w:rPr>
                <w:rFonts w:ascii="Arial Narrow" w:hAnsi="Arial Narrow" w:cs="Calibri"/>
                <w:noProof/>
                <w:color w:val="000000"/>
                <w:sz w:val="20"/>
                <w:szCs w:val="20"/>
                <w:highlight w:val="black"/>
              </w:rPr>
              <w:t>''''''''''''''</w:t>
            </w:r>
            <w:r>
              <w:rPr>
                <w:rFonts w:ascii="Arial Narrow" w:hAnsi="Arial Narrow" w:cs="Calibri"/>
                <w:color w:val="000000"/>
                <w:sz w:val="20"/>
                <w:szCs w:val="20"/>
                <w:vertAlign w:val="superscript"/>
              </w:rPr>
              <w:t>1</w:t>
            </w:r>
            <w:r w:rsidRPr="008F1678">
              <w:rPr>
                <w:rFonts w:ascii="Arial Narrow" w:hAnsi="Arial Narrow" w:cs="Calibri"/>
                <w:color w:val="000000"/>
                <w:sz w:val="20"/>
                <w:szCs w:val="20"/>
              </w:rPr>
              <w:t xml:space="preserve"> </w:t>
            </w:r>
          </w:p>
        </w:tc>
        <w:tc>
          <w:tcPr>
            <w:tcW w:w="589" w:type="pct"/>
            <w:tcBorders>
              <w:top w:val="nil"/>
              <w:left w:val="nil"/>
              <w:bottom w:val="single" w:sz="4" w:space="0" w:color="auto"/>
              <w:right w:val="single" w:sz="4" w:space="0" w:color="auto"/>
            </w:tcBorders>
            <w:shd w:val="clear" w:color="auto" w:fill="auto"/>
            <w:noWrap/>
            <w:vAlign w:val="bottom"/>
            <w:hideMark/>
          </w:tcPr>
          <w:p w:rsidR="00F82F56" w:rsidRPr="008F1678" w:rsidRDefault="00F82F56" w:rsidP="00F82F56">
            <w:pPr>
              <w:jc w:val="right"/>
              <w:rPr>
                <w:rFonts w:ascii="Arial Narrow" w:hAnsi="Arial Narrow" w:cs="Calibri"/>
                <w:color w:val="000000"/>
                <w:sz w:val="20"/>
                <w:szCs w:val="20"/>
              </w:rPr>
            </w:pPr>
            <w:r w:rsidRPr="008F1678">
              <w:rPr>
                <w:rFonts w:ascii="Arial Narrow" w:hAnsi="Arial Narrow" w:cs="Calibri"/>
                <w:color w:val="000000"/>
                <w:sz w:val="20"/>
                <w:szCs w:val="20"/>
              </w:rPr>
              <w:t xml:space="preserve">                  </w:t>
            </w:r>
            <w:r w:rsidR="00975575">
              <w:rPr>
                <w:rFonts w:ascii="Arial Narrow" w:hAnsi="Arial Narrow" w:cs="Calibri"/>
                <w:noProof/>
                <w:color w:val="000000"/>
                <w:sz w:val="20"/>
                <w:szCs w:val="20"/>
                <w:highlight w:val="black"/>
              </w:rPr>
              <w:t>''''''''''''''</w:t>
            </w:r>
            <w:r>
              <w:rPr>
                <w:rFonts w:ascii="Arial Narrow" w:hAnsi="Arial Narrow" w:cs="Calibri"/>
                <w:color w:val="000000"/>
                <w:sz w:val="20"/>
                <w:szCs w:val="20"/>
                <w:vertAlign w:val="superscript"/>
              </w:rPr>
              <w:t>1</w:t>
            </w:r>
            <w:r w:rsidRPr="008F1678">
              <w:rPr>
                <w:rFonts w:ascii="Arial Narrow" w:hAnsi="Arial Narrow" w:cs="Calibri"/>
                <w:color w:val="000000"/>
                <w:sz w:val="20"/>
                <w:szCs w:val="20"/>
              </w:rPr>
              <w:t xml:space="preserve"> </w:t>
            </w:r>
          </w:p>
        </w:tc>
        <w:tc>
          <w:tcPr>
            <w:tcW w:w="589" w:type="pct"/>
            <w:tcBorders>
              <w:top w:val="nil"/>
              <w:left w:val="nil"/>
              <w:bottom w:val="single" w:sz="4" w:space="0" w:color="auto"/>
              <w:right w:val="single" w:sz="4" w:space="0" w:color="auto"/>
            </w:tcBorders>
            <w:shd w:val="clear" w:color="auto" w:fill="auto"/>
            <w:noWrap/>
            <w:vAlign w:val="bottom"/>
            <w:hideMark/>
          </w:tcPr>
          <w:p w:rsidR="00F82F56" w:rsidRPr="008F1678" w:rsidRDefault="00F82F56" w:rsidP="00F82F56">
            <w:pPr>
              <w:jc w:val="right"/>
              <w:rPr>
                <w:rFonts w:ascii="Arial Narrow" w:hAnsi="Arial Narrow" w:cs="Calibri"/>
                <w:color w:val="000000"/>
                <w:sz w:val="20"/>
                <w:szCs w:val="20"/>
              </w:rPr>
            </w:pPr>
            <w:r w:rsidRPr="008F1678">
              <w:rPr>
                <w:rFonts w:ascii="Arial Narrow" w:hAnsi="Arial Narrow" w:cs="Calibri"/>
                <w:color w:val="000000"/>
                <w:sz w:val="20"/>
                <w:szCs w:val="20"/>
              </w:rPr>
              <w:t xml:space="preserve">                  </w:t>
            </w:r>
            <w:r w:rsidR="00975575">
              <w:rPr>
                <w:rFonts w:ascii="Arial Narrow" w:hAnsi="Arial Narrow" w:cs="Calibri"/>
                <w:noProof/>
                <w:color w:val="000000"/>
                <w:sz w:val="20"/>
                <w:szCs w:val="20"/>
                <w:highlight w:val="black"/>
              </w:rPr>
              <w:t>'''''''''''''''</w:t>
            </w:r>
            <w:r>
              <w:rPr>
                <w:rFonts w:ascii="Arial Narrow" w:hAnsi="Arial Narrow" w:cs="Calibri"/>
                <w:color w:val="000000"/>
                <w:sz w:val="20"/>
                <w:szCs w:val="20"/>
                <w:vertAlign w:val="superscript"/>
              </w:rPr>
              <w:t>1</w:t>
            </w:r>
            <w:r w:rsidRPr="008F1678">
              <w:rPr>
                <w:rFonts w:ascii="Arial Narrow" w:hAnsi="Arial Narrow" w:cs="Calibri"/>
                <w:color w:val="000000"/>
                <w:sz w:val="20"/>
                <w:szCs w:val="20"/>
              </w:rPr>
              <w:t xml:space="preserve"> </w:t>
            </w:r>
          </w:p>
        </w:tc>
        <w:tc>
          <w:tcPr>
            <w:tcW w:w="632" w:type="pct"/>
            <w:tcBorders>
              <w:top w:val="nil"/>
              <w:left w:val="nil"/>
              <w:bottom w:val="single" w:sz="4" w:space="0" w:color="auto"/>
              <w:right w:val="single" w:sz="4" w:space="0" w:color="auto"/>
            </w:tcBorders>
            <w:shd w:val="clear" w:color="auto" w:fill="auto"/>
            <w:noWrap/>
            <w:vAlign w:val="bottom"/>
            <w:hideMark/>
          </w:tcPr>
          <w:p w:rsidR="00F82F56" w:rsidRPr="008F1678" w:rsidRDefault="00F82F56" w:rsidP="00F82F56">
            <w:pPr>
              <w:jc w:val="right"/>
              <w:rPr>
                <w:rFonts w:ascii="Arial Narrow" w:hAnsi="Arial Narrow" w:cs="Calibri"/>
                <w:color w:val="000000"/>
                <w:sz w:val="20"/>
                <w:szCs w:val="20"/>
              </w:rPr>
            </w:pPr>
            <w:r w:rsidRPr="008F1678">
              <w:rPr>
                <w:rFonts w:ascii="Arial Narrow" w:hAnsi="Arial Narrow" w:cs="Calibri"/>
                <w:color w:val="000000"/>
                <w:sz w:val="20"/>
                <w:szCs w:val="20"/>
              </w:rPr>
              <w:t> </w:t>
            </w:r>
          </w:p>
        </w:tc>
      </w:tr>
      <w:tr w:rsidR="00F82F56" w:rsidRPr="008F1678" w:rsidTr="00F82F56">
        <w:trPr>
          <w:trHeight w:val="530"/>
        </w:trPr>
        <w:tc>
          <w:tcPr>
            <w:tcW w:w="832" w:type="pct"/>
            <w:tcBorders>
              <w:top w:val="nil"/>
              <w:left w:val="single" w:sz="4" w:space="0" w:color="auto"/>
              <w:bottom w:val="single" w:sz="4" w:space="0" w:color="auto"/>
              <w:right w:val="single" w:sz="4" w:space="0" w:color="auto"/>
            </w:tcBorders>
            <w:shd w:val="clear" w:color="auto" w:fill="auto"/>
            <w:vAlign w:val="bottom"/>
            <w:hideMark/>
          </w:tcPr>
          <w:p w:rsidR="00F82F56" w:rsidRPr="008F1678" w:rsidRDefault="00F82F56" w:rsidP="00F82F56">
            <w:pPr>
              <w:jc w:val="left"/>
              <w:rPr>
                <w:rFonts w:ascii="Arial Narrow" w:hAnsi="Arial Narrow" w:cs="Calibri"/>
                <w:color w:val="000000"/>
                <w:sz w:val="20"/>
                <w:szCs w:val="20"/>
              </w:rPr>
            </w:pPr>
            <w:r w:rsidRPr="008F1678">
              <w:rPr>
                <w:rFonts w:ascii="Arial Narrow" w:hAnsi="Arial Narrow" w:cs="Calibri"/>
                <w:color w:val="000000"/>
                <w:sz w:val="20"/>
                <w:szCs w:val="20"/>
              </w:rPr>
              <w:t>Add adolescents (9% increase), initiating patients</w:t>
            </w:r>
          </w:p>
        </w:tc>
        <w:tc>
          <w:tcPr>
            <w:tcW w:w="589" w:type="pct"/>
            <w:tcBorders>
              <w:top w:val="nil"/>
              <w:left w:val="nil"/>
              <w:bottom w:val="single" w:sz="4" w:space="0" w:color="auto"/>
              <w:right w:val="single" w:sz="4" w:space="0" w:color="auto"/>
            </w:tcBorders>
            <w:shd w:val="clear" w:color="auto" w:fill="auto"/>
            <w:noWrap/>
            <w:vAlign w:val="bottom"/>
            <w:hideMark/>
          </w:tcPr>
          <w:p w:rsidR="00F82F56" w:rsidRPr="008F1678" w:rsidRDefault="00F82F56" w:rsidP="00F82F56">
            <w:pPr>
              <w:jc w:val="right"/>
              <w:rPr>
                <w:rFonts w:ascii="Arial Narrow" w:hAnsi="Arial Narrow" w:cs="Calibri"/>
                <w:color w:val="000000"/>
                <w:sz w:val="20"/>
                <w:szCs w:val="20"/>
              </w:rPr>
            </w:pPr>
            <w:r w:rsidRPr="008F1678">
              <w:rPr>
                <w:rFonts w:ascii="Arial Narrow" w:hAnsi="Arial Narrow" w:cs="Calibri"/>
                <w:color w:val="000000"/>
                <w:sz w:val="20"/>
                <w:szCs w:val="20"/>
              </w:rPr>
              <w:t xml:space="preserve">                  </w:t>
            </w:r>
            <w:r w:rsidR="00975575">
              <w:rPr>
                <w:rFonts w:ascii="Arial Narrow" w:hAnsi="Arial Narrow" w:cs="Calibri"/>
                <w:noProof/>
                <w:color w:val="000000"/>
                <w:sz w:val="20"/>
                <w:szCs w:val="20"/>
                <w:highlight w:val="black"/>
              </w:rPr>
              <w:t>'''''''''''''</w:t>
            </w:r>
            <w:r>
              <w:rPr>
                <w:rFonts w:ascii="Arial Narrow" w:hAnsi="Arial Narrow" w:cs="Calibri"/>
                <w:color w:val="000000"/>
                <w:sz w:val="20"/>
                <w:szCs w:val="20"/>
                <w:vertAlign w:val="superscript"/>
              </w:rPr>
              <w:t>1</w:t>
            </w:r>
            <w:r w:rsidRPr="008F1678">
              <w:rPr>
                <w:rFonts w:ascii="Arial Narrow" w:hAnsi="Arial Narrow" w:cs="Calibri"/>
                <w:color w:val="000000"/>
                <w:sz w:val="20"/>
                <w:szCs w:val="20"/>
              </w:rPr>
              <w:t xml:space="preserve"> </w:t>
            </w:r>
          </w:p>
        </w:tc>
        <w:tc>
          <w:tcPr>
            <w:tcW w:w="589" w:type="pct"/>
            <w:tcBorders>
              <w:top w:val="nil"/>
              <w:left w:val="nil"/>
              <w:bottom w:val="single" w:sz="4" w:space="0" w:color="auto"/>
              <w:right w:val="single" w:sz="4" w:space="0" w:color="auto"/>
            </w:tcBorders>
            <w:shd w:val="clear" w:color="auto" w:fill="auto"/>
            <w:noWrap/>
            <w:vAlign w:val="bottom"/>
            <w:hideMark/>
          </w:tcPr>
          <w:p w:rsidR="00F82F56" w:rsidRPr="008F1678" w:rsidRDefault="00F82F56" w:rsidP="00F82F56">
            <w:pPr>
              <w:jc w:val="right"/>
              <w:rPr>
                <w:rFonts w:ascii="Arial Narrow" w:hAnsi="Arial Narrow" w:cs="Calibri"/>
                <w:color w:val="000000"/>
                <w:sz w:val="20"/>
                <w:szCs w:val="20"/>
              </w:rPr>
            </w:pPr>
            <w:r w:rsidRPr="008F1678">
              <w:rPr>
                <w:rFonts w:ascii="Arial Narrow" w:hAnsi="Arial Narrow" w:cs="Calibri"/>
                <w:color w:val="000000"/>
                <w:sz w:val="20"/>
                <w:szCs w:val="20"/>
              </w:rPr>
              <w:t xml:space="preserve">                  </w:t>
            </w:r>
            <w:r w:rsidR="00975575">
              <w:rPr>
                <w:rFonts w:ascii="Arial Narrow" w:hAnsi="Arial Narrow" w:cs="Calibri"/>
                <w:noProof/>
                <w:color w:val="000000"/>
                <w:sz w:val="20"/>
                <w:szCs w:val="20"/>
                <w:highlight w:val="black"/>
              </w:rPr>
              <w:t>'''''''''''''</w:t>
            </w:r>
            <w:r>
              <w:rPr>
                <w:rFonts w:ascii="Arial Narrow" w:hAnsi="Arial Narrow" w:cs="Calibri"/>
                <w:color w:val="000000"/>
                <w:sz w:val="20"/>
                <w:szCs w:val="20"/>
                <w:vertAlign w:val="superscript"/>
              </w:rPr>
              <w:t>1</w:t>
            </w:r>
            <w:r w:rsidRPr="008F1678">
              <w:rPr>
                <w:rFonts w:ascii="Arial Narrow" w:hAnsi="Arial Narrow" w:cs="Calibri"/>
                <w:color w:val="000000"/>
                <w:sz w:val="20"/>
                <w:szCs w:val="20"/>
              </w:rPr>
              <w:t xml:space="preserve"> </w:t>
            </w:r>
          </w:p>
        </w:tc>
        <w:tc>
          <w:tcPr>
            <w:tcW w:w="589" w:type="pct"/>
            <w:tcBorders>
              <w:top w:val="nil"/>
              <w:left w:val="nil"/>
              <w:bottom w:val="single" w:sz="4" w:space="0" w:color="auto"/>
              <w:right w:val="single" w:sz="4" w:space="0" w:color="auto"/>
            </w:tcBorders>
            <w:shd w:val="clear" w:color="auto" w:fill="auto"/>
            <w:noWrap/>
            <w:vAlign w:val="bottom"/>
            <w:hideMark/>
          </w:tcPr>
          <w:p w:rsidR="00F82F56" w:rsidRPr="008F1678" w:rsidRDefault="00F82F56" w:rsidP="00F82F56">
            <w:pPr>
              <w:jc w:val="right"/>
              <w:rPr>
                <w:rFonts w:ascii="Arial Narrow" w:hAnsi="Arial Narrow" w:cs="Calibri"/>
                <w:color w:val="000000"/>
                <w:sz w:val="20"/>
                <w:szCs w:val="20"/>
              </w:rPr>
            </w:pPr>
            <w:r w:rsidRPr="008F1678">
              <w:rPr>
                <w:rFonts w:ascii="Arial Narrow" w:hAnsi="Arial Narrow" w:cs="Calibri"/>
                <w:color w:val="000000"/>
                <w:sz w:val="20"/>
                <w:szCs w:val="20"/>
              </w:rPr>
              <w:t xml:space="preserve">                  </w:t>
            </w:r>
            <w:r w:rsidR="00975575">
              <w:rPr>
                <w:rFonts w:ascii="Arial Narrow" w:hAnsi="Arial Narrow" w:cs="Calibri"/>
                <w:noProof/>
                <w:color w:val="000000"/>
                <w:sz w:val="20"/>
                <w:szCs w:val="20"/>
                <w:highlight w:val="black"/>
              </w:rPr>
              <w:t>'''''''''''''</w:t>
            </w:r>
            <w:r>
              <w:rPr>
                <w:rFonts w:ascii="Arial Narrow" w:hAnsi="Arial Narrow" w:cs="Calibri"/>
                <w:color w:val="000000"/>
                <w:sz w:val="20"/>
                <w:szCs w:val="20"/>
                <w:vertAlign w:val="superscript"/>
              </w:rPr>
              <w:t>1</w:t>
            </w:r>
            <w:r w:rsidRPr="008F1678">
              <w:rPr>
                <w:rFonts w:ascii="Arial Narrow" w:hAnsi="Arial Narrow" w:cs="Calibri"/>
                <w:color w:val="000000"/>
                <w:sz w:val="20"/>
                <w:szCs w:val="20"/>
              </w:rPr>
              <w:t xml:space="preserve"> </w:t>
            </w:r>
          </w:p>
        </w:tc>
        <w:tc>
          <w:tcPr>
            <w:tcW w:w="589" w:type="pct"/>
            <w:tcBorders>
              <w:top w:val="nil"/>
              <w:left w:val="nil"/>
              <w:bottom w:val="single" w:sz="4" w:space="0" w:color="auto"/>
              <w:right w:val="single" w:sz="4" w:space="0" w:color="auto"/>
            </w:tcBorders>
            <w:shd w:val="clear" w:color="auto" w:fill="auto"/>
            <w:noWrap/>
            <w:vAlign w:val="bottom"/>
            <w:hideMark/>
          </w:tcPr>
          <w:p w:rsidR="00F82F56" w:rsidRPr="008F1678" w:rsidRDefault="00F82F56" w:rsidP="00F82F56">
            <w:pPr>
              <w:jc w:val="right"/>
              <w:rPr>
                <w:rFonts w:ascii="Arial Narrow" w:hAnsi="Arial Narrow" w:cs="Calibri"/>
                <w:color w:val="000000"/>
                <w:sz w:val="20"/>
                <w:szCs w:val="20"/>
              </w:rPr>
            </w:pPr>
            <w:r w:rsidRPr="008F1678">
              <w:rPr>
                <w:rFonts w:ascii="Arial Narrow" w:hAnsi="Arial Narrow" w:cs="Calibri"/>
                <w:color w:val="000000"/>
                <w:sz w:val="20"/>
                <w:szCs w:val="20"/>
              </w:rPr>
              <w:t xml:space="preserve">                  </w:t>
            </w:r>
            <w:r w:rsidR="00975575">
              <w:rPr>
                <w:rFonts w:ascii="Arial Narrow" w:hAnsi="Arial Narrow" w:cs="Calibri"/>
                <w:noProof/>
                <w:color w:val="000000"/>
                <w:sz w:val="20"/>
                <w:szCs w:val="20"/>
                <w:highlight w:val="black"/>
              </w:rPr>
              <w:t>''''''''''''''</w:t>
            </w:r>
            <w:r>
              <w:rPr>
                <w:rFonts w:ascii="Arial Narrow" w:hAnsi="Arial Narrow" w:cs="Calibri"/>
                <w:color w:val="000000"/>
                <w:sz w:val="20"/>
                <w:szCs w:val="20"/>
                <w:vertAlign w:val="superscript"/>
              </w:rPr>
              <w:t>1</w:t>
            </w:r>
            <w:r w:rsidRPr="008F1678">
              <w:rPr>
                <w:rFonts w:ascii="Arial Narrow" w:hAnsi="Arial Narrow" w:cs="Calibri"/>
                <w:color w:val="000000"/>
                <w:sz w:val="20"/>
                <w:szCs w:val="20"/>
              </w:rPr>
              <w:t xml:space="preserve"> </w:t>
            </w:r>
          </w:p>
        </w:tc>
        <w:tc>
          <w:tcPr>
            <w:tcW w:w="589" w:type="pct"/>
            <w:tcBorders>
              <w:top w:val="nil"/>
              <w:left w:val="nil"/>
              <w:bottom w:val="single" w:sz="4" w:space="0" w:color="auto"/>
              <w:right w:val="single" w:sz="4" w:space="0" w:color="auto"/>
            </w:tcBorders>
            <w:shd w:val="clear" w:color="auto" w:fill="auto"/>
            <w:noWrap/>
            <w:vAlign w:val="bottom"/>
            <w:hideMark/>
          </w:tcPr>
          <w:p w:rsidR="00F82F56" w:rsidRPr="008F1678" w:rsidRDefault="00F82F56" w:rsidP="00F82F56">
            <w:pPr>
              <w:jc w:val="right"/>
              <w:rPr>
                <w:rFonts w:ascii="Arial Narrow" w:hAnsi="Arial Narrow" w:cs="Calibri"/>
                <w:color w:val="000000"/>
                <w:sz w:val="20"/>
                <w:szCs w:val="20"/>
              </w:rPr>
            </w:pPr>
            <w:r w:rsidRPr="008F1678">
              <w:rPr>
                <w:rFonts w:ascii="Arial Narrow" w:hAnsi="Arial Narrow" w:cs="Calibri"/>
                <w:color w:val="000000"/>
                <w:sz w:val="20"/>
                <w:szCs w:val="20"/>
              </w:rPr>
              <w:t xml:space="preserve">                  </w:t>
            </w:r>
            <w:r w:rsidR="00975575">
              <w:rPr>
                <w:rFonts w:ascii="Arial Narrow" w:hAnsi="Arial Narrow" w:cs="Calibri"/>
                <w:noProof/>
                <w:color w:val="000000"/>
                <w:sz w:val="20"/>
                <w:szCs w:val="20"/>
                <w:highlight w:val="black"/>
              </w:rPr>
              <w:t>''''''''''''</w:t>
            </w:r>
            <w:r>
              <w:rPr>
                <w:rFonts w:ascii="Arial Narrow" w:hAnsi="Arial Narrow" w:cs="Calibri"/>
                <w:color w:val="000000"/>
                <w:sz w:val="20"/>
                <w:szCs w:val="20"/>
                <w:vertAlign w:val="superscript"/>
              </w:rPr>
              <w:t>1</w:t>
            </w:r>
            <w:r w:rsidRPr="008F1678">
              <w:rPr>
                <w:rFonts w:ascii="Arial Narrow" w:hAnsi="Arial Narrow" w:cs="Calibri"/>
                <w:color w:val="000000"/>
                <w:sz w:val="20"/>
                <w:szCs w:val="20"/>
              </w:rPr>
              <w:t xml:space="preserve"> </w:t>
            </w:r>
          </w:p>
        </w:tc>
        <w:tc>
          <w:tcPr>
            <w:tcW w:w="589" w:type="pct"/>
            <w:tcBorders>
              <w:top w:val="nil"/>
              <w:left w:val="nil"/>
              <w:bottom w:val="single" w:sz="4" w:space="0" w:color="auto"/>
              <w:right w:val="single" w:sz="4" w:space="0" w:color="auto"/>
            </w:tcBorders>
            <w:shd w:val="clear" w:color="auto" w:fill="auto"/>
            <w:noWrap/>
            <w:vAlign w:val="bottom"/>
            <w:hideMark/>
          </w:tcPr>
          <w:p w:rsidR="00F82F56" w:rsidRPr="008F1678" w:rsidRDefault="00F82F56" w:rsidP="00F82F56">
            <w:pPr>
              <w:jc w:val="right"/>
              <w:rPr>
                <w:rFonts w:ascii="Arial Narrow" w:hAnsi="Arial Narrow" w:cs="Calibri"/>
                <w:color w:val="000000"/>
                <w:sz w:val="20"/>
                <w:szCs w:val="20"/>
              </w:rPr>
            </w:pPr>
            <w:r w:rsidRPr="008F1678">
              <w:rPr>
                <w:rFonts w:ascii="Arial Narrow" w:hAnsi="Arial Narrow" w:cs="Calibri"/>
                <w:color w:val="000000"/>
                <w:sz w:val="20"/>
                <w:szCs w:val="20"/>
              </w:rPr>
              <w:t xml:space="preserve">                  </w:t>
            </w:r>
            <w:r w:rsidR="00975575">
              <w:rPr>
                <w:rFonts w:ascii="Arial Narrow" w:hAnsi="Arial Narrow" w:cs="Calibri"/>
                <w:noProof/>
                <w:color w:val="000000"/>
                <w:sz w:val="20"/>
                <w:szCs w:val="20"/>
                <w:highlight w:val="black"/>
              </w:rPr>
              <w:t>'''''''''''''</w:t>
            </w:r>
            <w:r>
              <w:rPr>
                <w:rFonts w:ascii="Arial Narrow" w:hAnsi="Arial Narrow" w:cs="Calibri"/>
                <w:color w:val="000000"/>
                <w:sz w:val="20"/>
                <w:szCs w:val="20"/>
                <w:vertAlign w:val="superscript"/>
              </w:rPr>
              <w:t>1</w:t>
            </w:r>
            <w:r w:rsidRPr="008F1678">
              <w:rPr>
                <w:rFonts w:ascii="Arial Narrow" w:hAnsi="Arial Narrow" w:cs="Calibri"/>
                <w:color w:val="000000"/>
                <w:sz w:val="20"/>
                <w:szCs w:val="20"/>
              </w:rPr>
              <w:t xml:space="preserve"> </w:t>
            </w:r>
          </w:p>
        </w:tc>
        <w:tc>
          <w:tcPr>
            <w:tcW w:w="632" w:type="pct"/>
            <w:tcBorders>
              <w:top w:val="nil"/>
              <w:left w:val="nil"/>
              <w:bottom w:val="single" w:sz="4" w:space="0" w:color="auto"/>
              <w:right w:val="single" w:sz="4" w:space="0" w:color="auto"/>
            </w:tcBorders>
            <w:shd w:val="clear" w:color="auto" w:fill="auto"/>
            <w:noWrap/>
            <w:vAlign w:val="bottom"/>
            <w:hideMark/>
          </w:tcPr>
          <w:p w:rsidR="00F82F56" w:rsidRPr="008F1678" w:rsidRDefault="00F82F56" w:rsidP="00F82F56">
            <w:pPr>
              <w:jc w:val="right"/>
              <w:rPr>
                <w:rFonts w:ascii="Arial Narrow" w:hAnsi="Arial Narrow" w:cs="Calibri"/>
                <w:color w:val="000000"/>
                <w:sz w:val="20"/>
                <w:szCs w:val="20"/>
              </w:rPr>
            </w:pPr>
            <w:r w:rsidRPr="008F1678">
              <w:rPr>
                <w:rFonts w:ascii="Arial Narrow" w:hAnsi="Arial Narrow" w:cs="Calibri"/>
                <w:color w:val="000000"/>
                <w:sz w:val="20"/>
                <w:szCs w:val="20"/>
              </w:rPr>
              <w:t> </w:t>
            </w:r>
          </w:p>
        </w:tc>
      </w:tr>
      <w:tr w:rsidR="00F82F56" w:rsidRPr="008F1678" w:rsidTr="00F82F56">
        <w:trPr>
          <w:trHeight w:val="290"/>
        </w:trPr>
        <w:tc>
          <w:tcPr>
            <w:tcW w:w="832" w:type="pct"/>
            <w:tcBorders>
              <w:top w:val="nil"/>
              <w:left w:val="single" w:sz="4" w:space="0" w:color="auto"/>
              <w:bottom w:val="single" w:sz="4" w:space="0" w:color="auto"/>
              <w:right w:val="single" w:sz="4" w:space="0" w:color="auto"/>
            </w:tcBorders>
            <w:shd w:val="clear" w:color="auto" w:fill="auto"/>
            <w:vAlign w:val="bottom"/>
            <w:hideMark/>
          </w:tcPr>
          <w:p w:rsidR="00F82F56" w:rsidRPr="008F1678" w:rsidRDefault="00F82F56" w:rsidP="00F82F56">
            <w:pPr>
              <w:jc w:val="left"/>
              <w:rPr>
                <w:rFonts w:ascii="Arial Narrow" w:hAnsi="Arial Narrow" w:cs="Calibri"/>
                <w:color w:val="000000"/>
                <w:sz w:val="20"/>
                <w:szCs w:val="20"/>
              </w:rPr>
            </w:pPr>
            <w:r w:rsidRPr="008F1678">
              <w:rPr>
                <w:rFonts w:ascii="Arial Narrow" w:hAnsi="Arial Narrow" w:cs="Calibri"/>
                <w:color w:val="000000"/>
                <w:sz w:val="20"/>
                <w:szCs w:val="20"/>
              </w:rPr>
              <w:t>Revised uptake, % of eligible patients</w:t>
            </w:r>
          </w:p>
        </w:tc>
        <w:tc>
          <w:tcPr>
            <w:tcW w:w="589" w:type="pct"/>
            <w:tcBorders>
              <w:top w:val="nil"/>
              <w:left w:val="nil"/>
              <w:bottom w:val="single" w:sz="4" w:space="0" w:color="auto"/>
              <w:right w:val="single" w:sz="4" w:space="0" w:color="auto"/>
            </w:tcBorders>
            <w:shd w:val="clear" w:color="auto" w:fill="auto"/>
            <w:noWrap/>
            <w:vAlign w:val="bottom"/>
            <w:hideMark/>
          </w:tcPr>
          <w:p w:rsidR="00F82F56" w:rsidRPr="008F1678" w:rsidRDefault="00F82F56" w:rsidP="00F82F56">
            <w:pPr>
              <w:jc w:val="right"/>
              <w:rPr>
                <w:rFonts w:ascii="Arial Narrow" w:hAnsi="Arial Narrow" w:cs="Calibri"/>
                <w:color w:val="000000"/>
                <w:sz w:val="20"/>
                <w:szCs w:val="20"/>
              </w:rPr>
            </w:pPr>
            <w:r w:rsidRPr="008F1678">
              <w:rPr>
                <w:rFonts w:ascii="Arial Narrow" w:hAnsi="Arial Narrow" w:cs="Calibri"/>
                <w:color w:val="000000"/>
                <w:sz w:val="20"/>
                <w:szCs w:val="20"/>
              </w:rPr>
              <w:t>5.0%</w:t>
            </w:r>
          </w:p>
        </w:tc>
        <w:tc>
          <w:tcPr>
            <w:tcW w:w="589" w:type="pct"/>
            <w:tcBorders>
              <w:top w:val="nil"/>
              <w:left w:val="nil"/>
              <w:bottom w:val="single" w:sz="4" w:space="0" w:color="auto"/>
              <w:right w:val="single" w:sz="4" w:space="0" w:color="auto"/>
            </w:tcBorders>
            <w:shd w:val="clear" w:color="auto" w:fill="auto"/>
            <w:noWrap/>
            <w:vAlign w:val="bottom"/>
            <w:hideMark/>
          </w:tcPr>
          <w:p w:rsidR="00F82F56" w:rsidRPr="008F1678" w:rsidRDefault="00F82F56" w:rsidP="00F82F56">
            <w:pPr>
              <w:jc w:val="right"/>
              <w:rPr>
                <w:rFonts w:ascii="Arial Narrow" w:hAnsi="Arial Narrow" w:cs="Calibri"/>
                <w:color w:val="000000"/>
                <w:sz w:val="20"/>
                <w:szCs w:val="20"/>
              </w:rPr>
            </w:pPr>
            <w:r w:rsidRPr="008F1678">
              <w:rPr>
                <w:rFonts w:ascii="Arial Narrow" w:hAnsi="Arial Narrow" w:cs="Calibri"/>
                <w:color w:val="000000"/>
                <w:sz w:val="20"/>
                <w:szCs w:val="20"/>
              </w:rPr>
              <w:t>4.2%</w:t>
            </w:r>
          </w:p>
        </w:tc>
        <w:tc>
          <w:tcPr>
            <w:tcW w:w="589" w:type="pct"/>
            <w:tcBorders>
              <w:top w:val="nil"/>
              <w:left w:val="nil"/>
              <w:bottom w:val="single" w:sz="4" w:space="0" w:color="auto"/>
              <w:right w:val="single" w:sz="4" w:space="0" w:color="auto"/>
            </w:tcBorders>
            <w:shd w:val="clear" w:color="auto" w:fill="auto"/>
            <w:noWrap/>
            <w:vAlign w:val="bottom"/>
            <w:hideMark/>
          </w:tcPr>
          <w:p w:rsidR="00F82F56" w:rsidRPr="008F1678" w:rsidRDefault="00F82F56" w:rsidP="00F82F56">
            <w:pPr>
              <w:jc w:val="right"/>
              <w:rPr>
                <w:rFonts w:ascii="Arial Narrow" w:hAnsi="Arial Narrow" w:cs="Calibri"/>
                <w:color w:val="000000"/>
                <w:sz w:val="20"/>
                <w:szCs w:val="20"/>
              </w:rPr>
            </w:pPr>
            <w:r w:rsidRPr="008F1678">
              <w:rPr>
                <w:rFonts w:ascii="Arial Narrow" w:hAnsi="Arial Narrow" w:cs="Calibri"/>
                <w:color w:val="000000"/>
                <w:sz w:val="20"/>
                <w:szCs w:val="20"/>
              </w:rPr>
              <w:t>2.7%</w:t>
            </w:r>
          </w:p>
        </w:tc>
        <w:tc>
          <w:tcPr>
            <w:tcW w:w="589" w:type="pct"/>
            <w:tcBorders>
              <w:top w:val="nil"/>
              <w:left w:val="nil"/>
              <w:bottom w:val="single" w:sz="4" w:space="0" w:color="auto"/>
              <w:right w:val="single" w:sz="4" w:space="0" w:color="auto"/>
            </w:tcBorders>
            <w:shd w:val="clear" w:color="auto" w:fill="auto"/>
            <w:noWrap/>
            <w:vAlign w:val="bottom"/>
            <w:hideMark/>
          </w:tcPr>
          <w:p w:rsidR="00F82F56" w:rsidRPr="008F1678" w:rsidRDefault="00F82F56" w:rsidP="00F82F56">
            <w:pPr>
              <w:jc w:val="right"/>
              <w:rPr>
                <w:rFonts w:ascii="Arial Narrow" w:hAnsi="Arial Narrow" w:cs="Calibri"/>
                <w:color w:val="000000"/>
                <w:sz w:val="20"/>
                <w:szCs w:val="20"/>
              </w:rPr>
            </w:pPr>
            <w:r w:rsidRPr="008F1678">
              <w:rPr>
                <w:rFonts w:ascii="Arial Narrow" w:hAnsi="Arial Narrow" w:cs="Calibri"/>
                <w:color w:val="000000"/>
                <w:sz w:val="20"/>
                <w:szCs w:val="20"/>
              </w:rPr>
              <w:t>2.5%</w:t>
            </w:r>
          </w:p>
        </w:tc>
        <w:tc>
          <w:tcPr>
            <w:tcW w:w="589" w:type="pct"/>
            <w:tcBorders>
              <w:top w:val="nil"/>
              <w:left w:val="nil"/>
              <w:bottom w:val="single" w:sz="4" w:space="0" w:color="auto"/>
              <w:right w:val="single" w:sz="4" w:space="0" w:color="auto"/>
            </w:tcBorders>
            <w:shd w:val="clear" w:color="auto" w:fill="auto"/>
            <w:noWrap/>
            <w:vAlign w:val="bottom"/>
            <w:hideMark/>
          </w:tcPr>
          <w:p w:rsidR="00F82F56" w:rsidRPr="008F1678" w:rsidRDefault="00F82F56" w:rsidP="00F82F56">
            <w:pPr>
              <w:jc w:val="right"/>
              <w:rPr>
                <w:rFonts w:ascii="Arial Narrow" w:hAnsi="Arial Narrow" w:cs="Calibri"/>
                <w:color w:val="000000"/>
                <w:sz w:val="20"/>
                <w:szCs w:val="20"/>
              </w:rPr>
            </w:pPr>
            <w:r w:rsidRPr="008F1678">
              <w:rPr>
                <w:rFonts w:ascii="Arial Narrow" w:hAnsi="Arial Narrow" w:cs="Calibri"/>
                <w:color w:val="000000"/>
                <w:sz w:val="20"/>
                <w:szCs w:val="20"/>
              </w:rPr>
              <w:t>2.6%</w:t>
            </w:r>
          </w:p>
        </w:tc>
        <w:tc>
          <w:tcPr>
            <w:tcW w:w="589" w:type="pct"/>
            <w:tcBorders>
              <w:top w:val="nil"/>
              <w:left w:val="nil"/>
              <w:bottom w:val="single" w:sz="4" w:space="0" w:color="auto"/>
              <w:right w:val="single" w:sz="4" w:space="0" w:color="auto"/>
            </w:tcBorders>
            <w:shd w:val="clear" w:color="auto" w:fill="auto"/>
            <w:noWrap/>
            <w:vAlign w:val="bottom"/>
            <w:hideMark/>
          </w:tcPr>
          <w:p w:rsidR="00F82F56" w:rsidRPr="008F1678" w:rsidRDefault="00F82F56" w:rsidP="00F82F56">
            <w:pPr>
              <w:jc w:val="right"/>
              <w:rPr>
                <w:rFonts w:ascii="Arial Narrow" w:hAnsi="Arial Narrow" w:cs="Calibri"/>
                <w:color w:val="000000"/>
                <w:sz w:val="20"/>
                <w:szCs w:val="20"/>
              </w:rPr>
            </w:pPr>
            <w:r w:rsidRPr="008F1678">
              <w:rPr>
                <w:rFonts w:ascii="Arial Narrow" w:hAnsi="Arial Narrow" w:cs="Calibri"/>
                <w:color w:val="000000"/>
                <w:sz w:val="20"/>
                <w:szCs w:val="20"/>
              </w:rPr>
              <w:t>2.7%</w:t>
            </w:r>
          </w:p>
        </w:tc>
        <w:tc>
          <w:tcPr>
            <w:tcW w:w="632" w:type="pct"/>
            <w:tcBorders>
              <w:top w:val="nil"/>
              <w:left w:val="nil"/>
              <w:bottom w:val="single" w:sz="4" w:space="0" w:color="auto"/>
              <w:right w:val="single" w:sz="4" w:space="0" w:color="auto"/>
            </w:tcBorders>
            <w:shd w:val="clear" w:color="auto" w:fill="auto"/>
            <w:noWrap/>
            <w:vAlign w:val="bottom"/>
            <w:hideMark/>
          </w:tcPr>
          <w:p w:rsidR="00F82F56" w:rsidRPr="008F1678" w:rsidRDefault="00F82F56" w:rsidP="00F82F56">
            <w:pPr>
              <w:jc w:val="right"/>
              <w:rPr>
                <w:rFonts w:ascii="Arial Narrow" w:hAnsi="Arial Narrow" w:cs="Calibri"/>
                <w:color w:val="000000"/>
                <w:sz w:val="20"/>
                <w:szCs w:val="20"/>
              </w:rPr>
            </w:pPr>
            <w:r w:rsidRPr="008F1678">
              <w:rPr>
                <w:rFonts w:ascii="Arial Narrow" w:hAnsi="Arial Narrow" w:cs="Calibri"/>
                <w:color w:val="000000"/>
                <w:sz w:val="20"/>
                <w:szCs w:val="20"/>
              </w:rPr>
              <w:t> </w:t>
            </w:r>
          </w:p>
        </w:tc>
      </w:tr>
      <w:tr w:rsidR="00F82F56" w:rsidRPr="008F1678" w:rsidTr="00F82F56">
        <w:trPr>
          <w:trHeight w:val="290"/>
        </w:trPr>
        <w:tc>
          <w:tcPr>
            <w:tcW w:w="832" w:type="pct"/>
            <w:tcBorders>
              <w:top w:val="nil"/>
              <w:left w:val="single" w:sz="4" w:space="0" w:color="auto"/>
              <w:bottom w:val="single" w:sz="4" w:space="0" w:color="auto"/>
              <w:right w:val="single" w:sz="4" w:space="0" w:color="auto"/>
            </w:tcBorders>
            <w:shd w:val="clear" w:color="auto" w:fill="auto"/>
            <w:noWrap/>
            <w:vAlign w:val="bottom"/>
            <w:hideMark/>
          </w:tcPr>
          <w:p w:rsidR="00F82F56" w:rsidRPr="008F1678" w:rsidRDefault="00F82F56" w:rsidP="00F82F56">
            <w:pPr>
              <w:jc w:val="left"/>
              <w:rPr>
                <w:rFonts w:ascii="Arial Narrow" w:hAnsi="Arial Narrow" w:cs="Calibri"/>
                <w:color w:val="000000"/>
                <w:sz w:val="20"/>
                <w:szCs w:val="20"/>
              </w:rPr>
            </w:pPr>
            <w:r w:rsidRPr="008F1678">
              <w:rPr>
                <w:rFonts w:ascii="Arial Narrow" w:hAnsi="Arial Narrow" w:cs="Calibri"/>
                <w:color w:val="000000"/>
                <w:sz w:val="20"/>
                <w:szCs w:val="20"/>
              </w:rPr>
              <w:t>Uptake, initiating patients</w:t>
            </w:r>
          </w:p>
        </w:tc>
        <w:tc>
          <w:tcPr>
            <w:tcW w:w="589" w:type="pct"/>
            <w:tcBorders>
              <w:top w:val="nil"/>
              <w:left w:val="nil"/>
              <w:bottom w:val="single" w:sz="4" w:space="0" w:color="auto"/>
              <w:right w:val="single" w:sz="4" w:space="0" w:color="auto"/>
            </w:tcBorders>
            <w:shd w:val="clear" w:color="auto" w:fill="auto"/>
            <w:noWrap/>
            <w:vAlign w:val="bottom"/>
            <w:hideMark/>
          </w:tcPr>
          <w:p w:rsidR="00F82F56" w:rsidRPr="008F1678" w:rsidRDefault="00F82F56" w:rsidP="00F82F56">
            <w:pPr>
              <w:jc w:val="right"/>
              <w:rPr>
                <w:rFonts w:ascii="Arial Narrow" w:hAnsi="Arial Narrow" w:cs="Calibri"/>
                <w:color w:val="000000"/>
                <w:sz w:val="20"/>
                <w:szCs w:val="20"/>
              </w:rPr>
            </w:pPr>
            <w:r w:rsidRPr="008F1678">
              <w:rPr>
                <w:rFonts w:ascii="Arial Narrow" w:hAnsi="Arial Narrow" w:cs="Calibri"/>
                <w:color w:val="000000"/>
                <w:sz w:val="20"/>
                <w:szCs w:val="20"/>
              </w:rPr>
              <w:t xml:space="preserve">                  </w:t>
            </w:r>
            <w:r w:rsidR="00975575">
              <w:rPr>
                <w:rFonts w:ascii="Arial Narrow" w:hAnsi="Arial Narrow" w:cs="Calibri"/>
                <w:noProof/>
                <w:color w:val="000000"/>
                <w:sz w:val="20"/>
                <w:szCs w:val="20"/>
                <w:highlight w:val="black"/>
              </w:rPr>
              <w:t>''''''''''''''</w:t>
            </w:r>
            <w:r>
              <w:rPr>
                <w:rFonts w:ascii="Arial Narrow" w:hAnsi="Arial Narrow" w:cs="Calibri"/>
                <w:color w:val="000000"/>
                <w:sz w:val="20"/>
                <w:szCs w:val="20"/>
                <w:vertAlign w:val="superscript"/>
              </w:rPr>
              <w:t>1</w:t>
            </w:r>
            <w:r w:rsidRPr="008F1678">
              <w:rPr>
                <w:rFonts w:ascii="Arial Narrow" w:hAnsi="Arial Narrow" w:cs="Calibri"/>
                <w:color w:val="000000"/>
                <w:sz w:val="20"/>
                <w:szCs w:val="20"/>
              </w:rPr>
              <w:t xml:space="preserve"> </w:t>
            </w:r>
          </w:p>
        </w:tc>
        <w:tc>
          <w:tcPr>
            <w:tcW w:w="589" w:type="pct"/>
            <w:tcBorders>
              <w:top w:val="nil"/>
              <w:left w:val="nil"/>
              <w:bottom w:val="single" w:sz="4" w:space="0" w:color="auto"/>
              <w:right w:val="single" w:sz="4" w:space="0" w:color="auto"/>
            </w:tcBorders>
            <w:shd w:val="clear" w:color="auto" w:fill="auto"/>
            <w:noWrap/>
            <w:vAlign w:val="bottom"/>
            <w:hideMark/>
          </w:tcPr>
          <w:p w:rsidR="00F82F56" w:rsidRPr="008F1678" w:rsidRDefault="00F82F56" w:rsidP="00F82F56">
            <w:pPr>
              <w:jc w:val="right"/>
              <w:rPr>
                <w:rFonts w:ascii="Arial Narrow" w:hAnsi="Arial Narrow" w:cs="Calibri"/>
                <w:color w:val="000000"/>
                <w:sz w:val="20"/>
                <w:szCs w:val="20"/>
              </w:rPr>
            </w:pPr>
            <w:r w:rsidRPr="008F1678">
              <w:rPr>
                <w:rFonts w:ascii="Arial Narrow" w:hAnsi="Arial Narrow" w:cs="Calibri"/>
                <w:color w:val="000000"/>
                <w:sz w:val="20"/>
                <w:szCs w:val="20"/>
              </w:rPr>
              <w:t xml:space="preserve">                  </w:t>
            </w:r>
            <w:r w:rsidR="00975575">
              <w:rPr>
                <w:rFonts w:ascii="Arial Narrow" w:hAnsi="Arial Narrow" w:cs="Calibri"/>
                <w:noProof/>
                <w:color w:val="000000"/>
                <w:sz w:val="20"/>
                <w:szCs w:val="20"/>
                <w:highlight w:val="black"/>
              </w:rPr>
              <w:t>'''''''''''''</w:t>
            </w:r>
            <w:r>
              <w:rPr>
                <w:rFonts w:ascii="Arial Narrow" w:hAnsi="Arial Narrow" w:cs="Calibri"/>
                <w:color w:val="000000"/>
                <w:sz w:val="20"/>
                <w:szCs w:val="20"/>
                <w:vertAlign w:val="superscript"/>
              </w:rPr>
              <w:t>1</w:t>
            </w:r>
            <w:r w:rsidRPr="008F1678">
              <w:rPr>
                <w:rFonts w:ascii="Arial Narrow" w:hAnsi="Arial Narrow" w:cs="Calibri"/>
                <w:color w:val="000000"/>
                <w:sz w:val="20"/>
                <w:szCs w:val="20"/>
              </w:rPr>
              <w:t xml:space="preserve"> </w:t>
            </w:r>
          </w:p>
        </w:tc>
        <w:tc>
          <w:tcPr>
            <w:tcW w:w="589" w:type="pct"/>
            <w:tcBorders>
              <w:top w:val="nil"/>
              <w:left w:val="nil"/>
              <w:bottom w:val="single" w:sz="4" w:space="0" w:color="auto"/>
              <w:right w:val="single" w:sz="4" w:space="0" w:color="auto"/>
            </w:tcBorders>
            <w:shd w:val="clear" w:color="auto" w:fill="auto"/>
            <w:noWrap/>
            <w:vAlign w:val="bottom"/>
            <w:hideMark/>
          </w:tcPr>
          <w:p w:rsidR="00F82F56" w:rsidRPr="008F1678" w:rsidRDefault="00F82F56" w:rsidP="00F82F56">
            <w:pPr>
              <w:jc w:val="right"/>
              <w:rPr>
                <w:rFonts w:ascii="Arial Narrow" w:hAnsi="Arial Narrow" w:cs="Calibri"/>
                <w:color w:val="000000"/>
                <w:sz w:val="20"/>
                <w:szCs w:val="20"/>
              </w:rPr>
            </w:pPr>
            <w:r w:rsidRPr="008F1678">
              <w:rPr>
                <w:rFonts w:ascii="Arial Narrow" w:hAnsi="Arial Narrow" w:cs="Calibri"/>
                <w:color w:val="000000"/>
                <w:sz w:val="20"/>
                <w:szCs w:val="20"/>
              </w:rPr>
              <w:t xml:space="preserve">                     </w:t>
            </w:r>
            <w:r w:rsidR="00975575">
              <w:rPr>
                <w:rFonts w:ascii="Arial Narrow" w:hAnsi="Arial Narrow" w:cs="Calibri"/>
                <w:noProof/>
                <w:color w:val="000000"/>
                <w:sz w:val="20"/>
                <w:szCs w:val="20"/>
                <w:highlight w:val="black"/>
              </w:rPr>
              <w:t>''''''''''</w:t>
            </w:r>
            <w:r>
              <w:rPr>
                <w:rFonts w:ascii="Arial Narrow" w:hAnsi="Arial Narrow" w:cs="Calibri"/>
                <w:color w:val="000000"/>
                <w:sz w:val="20"/>
                <w:szCs w:val="20"/>
                <w:vertAlign w:val="superscript"/>
              </w:rPr>
              <w:t>1</w:t>
            </w:r>
            <w:r w:rsidRPr="008F1678">
              <w:rPr>
                <w:rFonts w:ascii="Arial Narrow" w:hAnsi="Arial Narrow" w:cs="Calibri"/>
                <w:color w:val="000000"/>
                <w:sz w:val="20"/>
                <w:szCs w:val="20"/>
              </w:rPr>
              <w:t xml:space="preserve"> </w:t>
            </w:r>
          </w:p>
        </w:tc>
        <w:tc>
          <w:tcPr>
            <w:tcW w:w="589" w:type="pct"/>
            <w:tcBorders>
              <w:top w:val="nil"/>
              <w:left w:val="nil"/>
              <w:bottom w:val="single" w:sz="4" w:space="0" w:color="auto"/>
              <w:right w:val="single" w:sz="4" w:space="0" w:color="auto"/>
            </w:tcBorders>
            <w:shd w:val="clear" w:color="auto" w:fill="auto"/>
            <w:noWrap/>
            <w:vAlign w:val="bottom"/>
            <w:hideMark/>
          </w:tcPr>
          <w:p w:rsidR="00F82F56" w:rsidRPr="008F1678" w:rsidRDefault="00F82F56" w:rsidP="00F82F56">
            <w:pPr>
              <w:jc w:val="right"/>
              <w:rPr>
                <w:rFonts w:ascii="Arial Narrow" w:hAnsi="Arial Narrow" w:cs="Calibri"/>
                <w:color w:val="000000"/>
                <w:sz w:val="20"/>
                <w:szCs w:val="20"/>
              </w:rPr>
            </w:pPr>
            <w:r w:rsidRPr="008F1678">
              <w:rPr>
                <w:rFonts w:ascii="Arial Narrow" w:hAnsi="Arial Narrow" w:cs="Calibri"/>
                <w:color w:val="000000"/>
                <w:sz w:val="20"/>
                <w:szCs w:val="20"/>
              </w:rPr>
              <w:t xml:space="preserve">                     </w:t>
            </w:r>
            <w:r w:rsidR="00975575">
              <w:rPr>
                <w:rFonts w:ascii="Arial Narrow" w:hAnsi="Arial Narrow" w:cs="Calibri"/>
                <w:noProof/>
                <w:color w:val="000000"/>
                <w:sz w:val="20"/>
                <w:szCs w:val="20"/>
                <w:highlight w:val="black"/>
              </w:rPr>
              <w:t>''''''''</w:t>
            </w:r>
            <w:r>
              <w:rPr>
                <w:rFonts w:ascii="Arial Narrow" w:hAnsi="Arial Narrow" w:cs="Calibri"/>
                <w:color w:val="000000"/>
                <w:sz w:val="20"/>
                <w:szCs w:val="20"/>
                <w:vertAlign w:val="superscript"/>
              </w:rPr>
              <w:t>1</w:t>
            </w:r>
            <w:r w:rsidRPr="008F1678">
              <w:rPr>
                <w:rFonts w:ascii="Arial Narrow" w:hAnsi="Arial Narrow" w:cs="Calibri"/>
                <w:color w:val="000000"/>
                <w:sz w:val="20"/>
                <w:szCs w:val="20"/>
              </w:rPr>
              <w:t xml:space="preserve"> </w:t>
            </w:r>
          </w:p>
        </w:tc>
        <w:tc>
          <w:tcPr>
            <w:tcW w:w="589" w:type="pct"/>
            <w:tcBorders>
              <w:top w:val="nil"/>
              <w:left w:val="nil"/>
              <w:bottom w:val="single" w:sz="4" w:space="0" w:color="auto"/>
              <w:right w:val="single" w:sz="4" w:space="0" w:color="auto"/>
            </w:tcBorders>
            <w:shd w:val="clear" w:color="auto" w:fill="auto"/>
            <w:noWrap/>
            <w:vAlign w:val="bottom"/>
            <w:hideMark/>
          </w:tcPr>
          <w:p w:rsidR="00F82F56" w:rsidRPr="008F1678" w:rsidRDefault="00F82F56" w:rsidP="00F82F56">
            <w:pPr>
              <w:jc w:val="right"/>
              <w:rPr>
                <w:rFonts w:ascii="Arial Narrow" w:hAnsi="Arial Narrow" w:cs="Calibri"/>
                <w:color w:val="000000"/>
                <w:sz w:val="20"/>
                <w:szCs w:val="20"/>
              </w:rPr>
            </w:pPr>
            <w:r w:rsidRPr="008F1678">
              <w:rPr>
                <w:rFonts w:ascii="Arial Narrow" w:hAnsi="Arial Narrow" w:cs="Calibri"/>
                <w:color w:val="000000"/>
                <w:sz w:val="20"/>
                <w:szCs w:val="20"/>
              </w:rPr>
              <w:t xml:space="preserve">                  </w:t>
            </w:r>
            <w:r w:rsidR="00975575">
              <w:rPr>
                <w:rFonts w:ascii="Arial Narrow" w:hAnsi="Arial Narrow" w:cs="Calibri"/>
                <w:noProof/>
                <w:color w:val="000000"/>
                <w:sz w:val="20"/>
                <w:szCs w:val="20"/>
                <w:highlight w:val="black"/>
              </w:rPr>
              <w:t>''''''''''''''</w:t>
            </w:r>
            <w:r>
              <w:rPr>
                <w:rFonts w:ascii="Arial Narrow" w:hAnsi="Arial Narrow" w:cs="Calibri"/>
                <w:color w:val="000000"/>
                <w:sz w:val="20"/>
                <w:szCs w:val="20"/>
                <w:vertAlign w:val="superscript"/>
              </w:rPr>
              <w:t>1</w:t>
            </w:r>
            <w:r w:rsidRPr="008F1678">
              <w:rPr>
                <w:rFonts w:ascii="Arial Narrow" w:hAnsi="Arial Narrow" w:cs="Calibri"/>
                <w:color w:val="000000"/>
                <w:sz w:val="20"/>
                <w:szCs w:val="20"/>
              </w:rPr>
              <w:t xml:space="preserve"> </w:t>
            </w:r>
          </w:p>
        </w:tc>
        <w:tc>
          <w:tcPr>
            <w:tcW w:w="589" w:type="pct"/>
            <w:tcBorders>
              <w:top w:val="nil"/>
              <w:left w:val="nil"/>
              <w:bottom w:val="single" w:sz="4" w:space="0" w:color="auto"/>
              <w:right w:val="single" w:sz="4" w:space="0" w:color="auto"/>
            </w:tcBorders>
            <w:shd w:val="clear" w:color="auto" w:fill="auto"/>
            <w:noWrap/>
            <w:vAlign w:val="bottom"/>
            <w:hideMark/>
          </w:tcPr>
          <w:p w:rsidR="00F82F56" w:rsidRPr="008F1678" w:rsidRDefault="00F82F56" w:rsidP="00F82F56">
            <w:pPr>
              <w:jc w:val="right"/>
              <w:rPr>
                <w:rFonts w:ascii="Arial Narrow" w:hAnsi="Arial Narrow" w:cs="Calibri"/>
                <w:color w:val="000000"/>
                <w:sz w:val="20"/>
                <w:szCs w:val="20"/>
              </w:rPr>
            </w:pPr>
            <w:r w:rsidRPr="008F1678">
              <w:rPr>
                <w:rFonts w:ascii="Arial Narrow" w:hAnsi="Arial Narrow" w:cs="Calibri"/>
                <w:color w:val="000000"/>
                <w:sz w:val="20"/>
                <w:szCs w:val="20"/>
              </w:rPr>
              <w:t xml:space="preserve">                  </w:t>
            </w:r>
            <w:r w:rsidR="00975575">
              <w:rPr>
                <w:rFonts w:ascii="Arial Narrow" w:hAnsi="Arial Narrow" w:cs="Calibri"/>
                <w:noProof/>
                <w:color w:val="000000"/>
                <w:sz w:val="20"/>
                <w:szCs w:val="20"/>
                <w:highlight w:val="black"/>
              </w:rPr>
              <w:t>'''''''''''''</w:t>
            </w:r>
            <w:r>
              <w:rPr>
                <w:rFonts w:ascii="Arial Narrow" w:hAnsi="Arial Narrow" w:cs="Calibri"/>
                <w:color w:val="000000"/>
                <w:sz w:val="20"/>
                <w:szCs w:val="20"/>
                <w:vertAlign w:val="superscript"/>
              </w:rPr>
              <w:t>1</w:t>
            </w:r>
            <w:r w:rsidRPr="008F1678">
              <w:rPr>
                <w:rFonts w:ascii="Arial Narrow" w:hAnsi="Arial Narrow" w:cs="Calibri"/>
                <w:color w:val="000000"/>
                <w:sz w:val="20"/>
                <w:szCs w:val="20"/>
              </w:rPr>
              <w:t xml:space="preserve"> </w:t>
            </w:r>
          </w:p>
        </w:tc>
        <w:tc>
          <w:tcPr>
            <w:tcW w:w="632" w:type="pct"/>
            <w:tcBorders>
              <w:top w:val="nil"/>
              <w:left w:val="nil"/>
              <w:bottom w:val="single" w:sz="4" w:space="0" w:color="auto"/>
              <w:right w:val="single" w:sz="4" w:space="0" w:color="auto"/>
            </w:tcBorders>
            <w:shd w:val="clear" w:color="auto" w:fill="auto"/>
            <w:noWrap/>
            <w:vAlign w:val="bottom"/>
            <w:hideMark/>
          </w:tcPr>
          <w:p w:rsidR="00F82F56" w:rsidRPr="008F1678" w:rsidRDefault="00F82F56" w:rsidP="00F82F56">
            <w:pPr>
              <w:jc w:val="right"/>
              <w:rPr>
                <w:rFonts w:ascii="Arial Narrow" w:hAnsi="Arial Narrow" w:cs="Calibri"/>
                <w:color w:val="000000"/>
                <w:sz w:val="20"/>
                <w:szCs w:val="20"/>
              </w:rPr>
            </w:pPr>
            <w:r w:rsidRPr="008F1678">
              <w:rPr>
                <w:rFonts w:ascii="Arial Narrow" w:hAnsi="Arial Narrow" w:cs="Calibri"/>
                <w:color w:val="000000"/>
                <w:sz w:val="20"/>
                <w:szCs w:val="20"/>
              </w:rPr>
              <w:t> </w:t>
            </w:r>
          </w:p>
        </w:tc>
      </w:tr>
      <w:tr w:rsidR="00F82F56" w:rsidRPr="008F1678" w:rsidTr="00F82F56">
        <w:trPr>
          <w:trHeight w:val="290"/>
        </w:trPr>
        <w:tc>
          <w:tcPr>
            <w:tcW w:w="832" w:type="pct"/>
            <w:tcBorders>
              <w:top w:val="nil"/>
              <w:left w:val="single" w:sz="4" w:space="0" w:color="auto"/>
              <w:bottom w:val="single" w:sz="4" w:space="0" w:color="auto"/>
              <w:right w:val="single" w:sz="4" w:space="0" w:color="auto"/>
            </w:tcBorders>
            <w:shd w:val="clear" w:color="auto" w:fill="auto"/>
            <w:noWrap/>
            <w:vAlign w:val="bottom"/>
            <w:hideMark/>
          </w:tcPr>
          <w:p w:rsidR="00F82F56" w:rsidRPr="008F1678" w:rsidRDefault="00F82F56" w:rsidP="00F82F56">
            <w:pPr>
              <w:jc w:val="left"/>
              <w:rPr>
                <w:rFonts w:ascii="Arial Narrow" w:hAnsi="Arial Narrow" w:cs="Calibri"/>
                <w:color w:val="000000"/>
                <w:sz w:val="20"/>
                <w:szCs w:val="20"/>
              </w:rPr>
            </w:pPr>
            <w:r w:rsidRPr="008F1678">
              <w:rPr>
                <w:rFonts w:ascii="Arial Narrow" w:hAnsi="Arial Narrow" w:cs="Calibri"/>
                <w:color w:val="000000"/>
                <w:sz w:val="20"/>
                <w:szCs w:val="20"/>
              </w:rPr>
              <w:t>Scripts</w:t>
            </w:r>
          </w:p>
        </w:tc>
        <w:tc>
          <w:tcPr>
            <w:tcW w:w="589" w:type="pct"/>
            <w:tcBorders>
              <w:top w:val="nil"/>
              <w:left w:val="nil"/>
              <w:bottom w:val="single" w:sz="4" w:space="0" w:color="auto"/>
              <w:right w:val="single" w:sz="4" w:space="0" w:color="auto"/>
            </w:tcBorders>
            <w:shd w:val="clear" w:color="auto" w:fill="auto"/>
            <w:noWrap/>
            <w:vAlign w:val="bottom"/>
            <w:hideMark/>
          </w:tcPr>
          <w:p w:rsidR="00F82F56" w:rsidRPr="008F1678" w:rsidRDefault="00F82F56" w:rsidP="00F82F56">
            <w:pPr>
              <w:jc w:val="right"/>
              <w:rPr>
                <w:rFonts w:ascii="Arial Narrow" w:hAnsi="Arial Narrow" w:cs="Calibri"/>
                <w:color w:val="000000"/>
                <w:sz w:val="20"/>
                <w:szCs w:val="20"/>
              </w:rPr>
            </w:pPr>
            <w:r w:rsidRPr="008F1678">
              <w:rPr>
                <w:rFonts w:ascii="Arial Narrow" w:hAnsi="Arial Narrow" w:cs="Calibri"/>
                <w:color w:val="000000"/>
                <w:sz w:val="20"/>
                <w:szCs w:val="20"/>
              </w:rPr>
              <w:t xml:space="preserve">                 </w:t>
            </w:r>
            <w:r w:rsidR="00F42717">
              <w:rPr>
                <w:rFonts w:ascii="Arial Narrow" w:hAnsi="Arial Narrow" w:cs="Calibri"/>
                <w:noProof/>
                <w:color w:val="000000"/>
                <w:sz w:val="20"/>
                <w:szCs w:val="20"/>
                <w:highlight w:val="black"/>
              </w:rPr>
              <w:t>''''''''''''</w:t>
            </w:r>
            <w:r w:rsidR="00975575">
              <w:rPr>
                <w:rFonts w:ascii="Arial Narrow" w:hAnsi="Arial Narrow" w:cs="Calibri"/>
                <w:noProof/>
                <w:color w:val="000000"/>
                <w:sz w:val="20"/>
                <w:szCs w:val="20"/>
                <w:highlight w:val="black"/>
              </w:rPr>
              <w:t>''''</w:t>
            </w:r>
            <w:r>
              <w:rPr>
                <w:rFonts w:ascii="Arial Narrow" w:hAnsi="Arial Narrow" w:cs="Calibri"/>
                <w:color w:val="000000"/>
                <w:sz w:val="20"/>
                <w:szCs w:val="20"/>
                <w:vertAlign w:val="superscript"/>
              </w:rPr>
              <w:t>2</w:t>
            </w:r>
            <w:r w:rsidRPr="008F1678">
              <w:rPr>
                <w:rFonts w:ascii="Arial Narrow" w:hAnsi="Arial Narrow" w:cs="Calibri"/>
                <w:color w:val="000000"/>
                <w:sz w:val="20"/>
                <w:szCs w:val="20"/>
              </w:rPr>
              <w:t xml:space="preserve"> </w:t>
            </w:r>
          </w:p>
        </w:tc>
        <w:tc>
          <w:tcPr>
            <w:tcW w:w="589" w:type="pct"/>
            <w:tcBorders>
              <w:top w:val="nil"/>
              <w:left w:val="nil"/>
              <w:bottom w:val="single" w:sz="4" w:space="0" w:color="auto"/>
              <w:right w:val="single" w:sz="4" w:space="0" w:color="auto"/>
            </w:tcBorders>
            <w:shd w:val="clear" w:color="auto" w:fill="auto"/>
            <w:noWrap/>
            <w:vAlign w:val="bottom"/>
            <w:hideMark/>
          </w:tcPr>
          <w:p w:rsidR="00F82F56" w:rsidRPr="008F1678" w:rsidRDefault="00F82F56" w:rsidP="00F82F56">
            <w:pPr>
              <w:jc w:val="right"/>
              <w:rPr>
                <w:rFonts w:ascii="Arial Narrow" w:hAnsi="Arial Narrow" w:cs="Calibri"/>
                <w:color w:val="000000"/>
                <w:sz w:val="20"/>
                <w:szCs w:val="20"/>
              </w:rPr>
            </w:pPr>
            <w:r w:rsidRPr="008F1678">
              <w:rPr>
                <w:rFonts w:ascii="Arial Narrow" w:hAnsi="Arial Narrow" w:cs="Calibri"/>
                <w:color w:val="000000"/>
                <w:sz w:val="20"/>
                <w:szCs w:val="20"/>
              </w:rPr>
              <w:t xml:space="preserve">                 </w:t>
            </w:r>
            <w:r w:rsidR="00F42717">
              <w:rPr>
                <w:rFonts w:ascii="Arial Narrow" w:hAnsi="Arial Narrow" w:cs="Calibri"/>
                <w:noProof/>
                <w:color w:val="000000"/>
                <w:sz w:val="20"/>
                <w:szCs w:val="20"/>
                <w:highlight w:val="black"/>
              </w:rPr>
              <w:t>'''''</w:t>
            </w:r>
            <w:r w:rsidR="00975575">
              <w:rPr>
                <w:rFonts w:ascii="Arial Narrow" w:hAnsi="Arial Narrow" w:cs="Calibri"/>
                <w:noProof/>
                <w:color w:val="000000"/>
                <w:sz w:val="20"/>
                <w:szCs w:val="20"/>
                <w:highlight w:val="black"/>
              </w:rPr>
              <w:t>''''''''</w:t>
            </w:r>
            <w:r>
              <w:rPr>
                <w:rFonts w:ascii="Arial Narrow" w:hAnsi="Arial Narrow" w:cs="Calibri"/>
                <w:color w:val="000000"/>
                <w:sz w:val="20"/>
                <w:szCs w:val="20"/>
                <w:vertAlign w:val="superscript"/>
              </w:rPr>
              <w:t>3</w:t>
            </w:r>
            <w:r w:rsidRPr="008F1678">
              <w:rPr>
                <w:rFonts w:ascii="Arial Narrow" w:hAnsi="Arial Narrow" w:cs="Calibri"/>
                <w:color w:val="000000"/>
                <w:sz w:val="20"/>
                <w:szCs w:val="20"/>
              </w:rPr>
              <w:t xml:space="preserve"> </w:t>
            </w:r>
          </w:p>
        </w:tc>
        <w:tc>
          <w:tcPr>
            <w:tcW w:w="589" w:type="pct"/>
            <w:tcBorders>
              <w:top w:val="nil"/>
              <w:left w:val="nil"/>
              <w:bottom w:val="single" w:sz="4" w:space="0" w:color="auto"/>
              <w:right w:val="single" w:sz="4" w:space="0" w:color="auto"/>
            </w:tcBorders>
            <w:shd w:val="clear" w:color="auto" w:fill="auto"/>
            <w:noWrap/>
            <w:vAlign w:val="bottom"/>
            <w:hideMark/>
          </w:tcPr>
          <w:p w:rsidR="00F82F56" w:rsidRPr="008F1678" w:rsidRDefault="00F82F56" w:rsidP="00F82F56">
            <w:pPr>
              <w:jc w:val="right"/>
              <w:rPr>
                <w:rFonts w:ascii="Arial Narrow" w:hAnsi="Arial Narrow" w:cs="Calibri"/>
                <w:color w:val="000000"/>
                <w:sz w:val="20"/>
                <w:szCs w:val="20"/>
              </w:rPr>
            </w:pPr>
            <w:r w:rsidRPr="008F1678">
              <w:rPr>
                <w:rFonts w:ascii="Arial Narrow" w:hAnsi="Arial Narrow" w:cs="Calibri"/>
                <w:color w:val="000000"/>
                <w:sz w:val="20"/>
                <w:szCs w:val="20"/>
              </w:rPr>
              <w:t xml:space="preserve">                 </w:t>
            </w:r>
            <w:r w:rsidR="00F42717">
              <w:rPr>
                <w:rFonts w:ascii="Arial Narrow" w:hAnsi="Arial Narrow" w:cs="Calibri"/>
                <w:noProof/>
                <w:color w:val="000000"/>
                <w:sz w:val="20"/>
                <w:szCs w:val="20"/>
                <w:highlight w:val="black"/>
              </w:rPr>
              <w:t>'''''''''''</w:t>
            </w:r>
            <w:r w:rsidR="00975575">
              <w:rPr>
                <w:rFonts w:ascii="Arial Narrow" w:hAnsi="Arial Narrow" w:cs="Calibri"/>
                <w:noProof/>
                <w:color w:val="000000"/>
                <w:sz w:val="20"/>
                <w:szCs w:val="20"/>
                <w:highlight w:val="black"/>
              </w:rPr>
              <w:t>'''''</w:t>
            </w:r>
            <w:r>
              <w:rPr>
                <w:rFonts w:ascii="Arial Narrow" w:hAnsi="Arial Narrow" w:cs="Calibri"/>
                <w:color w:val="000000"/>
                <w:sz w:val="20"/>
                <w:szCs w:val="20"/>
                <w:vertAlign w:val="superscript"/>
              </w:rPr>
              <w:t>3</w:t>
            </w:r>
            <w:r w:rsidRPr="008F1678">
              <w:rPr>
                <w:rFonts w:ascii="Arial Narrow" w:hAnsi="Arial Narrow" w:cs="Calibri"/>
                <w:color w:val="000000"/>
                <w:sz w:val="20"/>
                <w:szCs w:val="20"/>
              </w:rPr>
              <w:t xml:space="preserve"> </w:t>
            </w:r>
          </w:p>
        </w:tc>
        <w:tc>
          <w:tcPr>
            <w:tcW w:w="589" w:type="pct"/>
            <w:tcBorders>
              <w:top w:val="nil"/>
              <w:left w:val="nil"/>
              <w:bottom w:val="single" w:sz="4" w:space="0" w:color="auto"/>
              <w:right w:val="single" w:sz="4" w:space="0" w:color="auto"/>
            </w:tcBorders>
            <w:shd w:val="clear" w:color="auto" w:fill="auto"/>
            <w:noWrap/>
            <w:vAlign w:val="bottom"/>
            <w:hideMark/>
          </w:tcPr>
          <w:p w:rsidR="00F82F56" w:rsidRPr="008F1678" w:rsidRDefault="00F82F56" w:rsidP="00F82F56">
            <w:pPr>
              <w:jc w:val="right"/>
              <w:rPr>
                <w:rFonts w:ascii="Arial Narrow" w:hAnsi="Arial Narrow" w:cs="Calibri"/>
                <w:color w:val="000000"/>
                <w:sz w:val="20"/>
                <w:szCs w:val="20"/>
              </w:rPr>
            </w:pPr>
            <w:r w:rsidRPr="008F1678">
              <w:rPr>
                <w:rFonts w:ascii="Arial Narrow" w:hAnsi="Arial Narrow" w:cs="Calibri"/>
                <w:color w:val="000000"/>
                <w:sz w:val="20"/>
                <w:szCs w:val="20"/>
              </w:rPr>
              <w:t xml:space="preserve">                 </w:t>
            </w:r>
            <w:r w:rsidR="00F42717">
              <w:rPr>
                <w:rFonts w:ascii="Arial Narrow" w:hAnsi="Arial Narrow" w:cs="Calibri"/>
                <w:noProof/>
                <w:color w:val="000000"/>
                <w:sz w:val="20"/>
                <w:szCs w:val="20"/>
                <w:highlight w:val="black"/>
              </w:rPr>
              <w:t>''''''''''''</w:t>
            </w:r>
            <w:r w:rsidR="00975575">
              <w:rPr>
                <w:rFonts w:ascii="Arial Narrow" w:hAnsi="Arial Narrow" w:cs="Calibri"/>
                <w:noProof/>
                <w:color w:val="000000"/>
                <w:sz w:val="20"/>
                <w:szCs w:val="20"/>
                <w:highlight w:val="black"/>
              </w:rPr>
              <w:t>'''</w:t>
            </w:r>
            <w:r>
              <w:rPr>
                <w:rFonts w:ascii="Arial Narrow" w:hAnsi="Arial Narrow" w:cs="Calibri"/>
                <w:color w:val="000000"/>
                <w:sz w:val="20"/>
                <w:szCs w:val="20"/>
                <w:vertAlign w:val="superscript"/>
              </w:rPr>
              <w:t>3</w:t>
            </w:r>
            <w:r w:rsidRPr="008F1678">
              <w:rPr>
                <w:rFonts w:ascii="Arial Narrow" w:hAnsi="Arial Narrow" w:cs="Calibri"/>
                <w:color w:val="000000"/>
                <w:sz w:val="20"/>
                <w:szCs w:val="20"/>
              </w:rPr>
              <w:t xml:space="preserve"> </w:t>
            </w:r>
          </w:p>
        </w:tc>
        <w:tc>
          <w:tcPr>
            <w:tcW w:w="589" w:type="pct"/>
            <w:tcBorders>
              <w:top w:val="nil"/>
              <w:left w:val="nil"/>
              <w:bottom w:val="single" w:sz="4" w:space="0" w:color="auto"/>
              <w:right w:val="single" w:sz="4" w:space="0" w:color="auto"/>
            </w:tcBorders>
            <w:shd w:val="clear" w:color="auto" w:fill="auto"/>
            <w:noWrap/>
            <w:vAlign w:val="bottom"/>
            <w:hideMark/>
          </w:tcPr>
          <w:p w:rsidR="00F82F56" w:rsidRPr="008F1678" w:rsidRDefault="00F82F56" w:rsidP="00F82F56">
            <w:pPr>
              <w:jc w:val="right"/>
              <w:rPr>
                <w:rFonts w:ascii="Arial Narrow" w:hAnsi="Arial Narrow" w:cs="Calibri"/>
                <w:color w:val="000000"/>
                <w:sz w:val="20"/>
                <w:szCs w:val="20"/>
              </w:rPr>
            </w:pPr>
            <w:r w:rsidRPr="008F1678">
              <w:rPr>
                <w:rFonts w:ascii="Arial Narrow" w:hAnsi="Arial Narrow" w:cs="Calibri"/>
                <w:color w:val="000000"/>
                <w:sz w:val="20"/>
                <w:szCs w:val="20"/>
              </w:rPr>
              <w:t xml:space="preserve">                 </w:t>
            </w:r>
            <w:r w:rsidR="00975575">
              <w:rPr>
                <w:rFonts w:ascii="Arial Narrow" w:hAnsi="Arial Narrow" w:cs="Calibri"/>
                <w:noProof/>
                <w:color w:val="000000"/>
                <w:sz w:val="20"/>
                <w:szCs w:val="20"/>
                <w:highlight w:val="black"/>
              </w:rPr>
              <w:t>'''''''''''''''</w:t>
            </w:r>
            <w:r>
              <w:rPr>
                <w:rFonts w:ascii="Arial Narrow" w:hAnsi="Arial Narrow" w:cs="Calibri"/>
                <w:color w:val="000000"/>
                <w:sz w:val="20"/>
                <w:szCs w:val="20"/>
                <w:vertAlign w:val="superscript"/>
              </w:rPr>
              <w:t>4</w:t>
            </w:r>
            <w:r w:rsidRPr="008F1678">
              <w:rPr>
                <w:rFonts w:ascii="Arial Narrow" w:hAnsi="Arial Narrow" w:cs="Calibri"/>
                <w:color w:val="000000"/>
                <w:sz w:val="20"/>
                <w:szCs w:val="20"/>
              </w:rPr>
              <w:t xml:space="preserve"> </w:t>
            </w:r>
          </w:p>
        </w:tc>
        <w:tc>
          <w:tcPr>
            <w:tcW w:w="589" w:type="pct"/>
            <w:tcBorders>
              <w:top w:val="nil"/>
              <w:left w:val="nil"/>
              <w:bottom w:val="single" w:sz="4" w:space="0" w:color="auto"/>
              <w:right w:val="single" w:sz="4" w:space="0" w:color="auto"/>
            </w:tcBorders>
            <w:shd w:val="clear" w:color="auto" w:fill="auto"/>
            <w:noWrap/>
            <w:vAlign w:val="bottom"/>
            <w:hideMark/>
          </w:tcPr>
          <w:p w:rsidR="00F82F56" w:rsidRPr="008F1678" w:rsidRDefault="00F82F56" w:rsidP="00F82F56">
            <w:pPr>
              <w:jc w:val="right"/>
              <w:rPr>
                <w:rFonts w:ascii="Arial Narrow" w:hAnsi="Arial Narrow" w:cs="Calibri"/>
                <w:color w:val="000000"/>
                <w:sz w:val="20"/>
                <w:szCs w:val="20"/>
              </w:rPr>
            </w:pPr>
            <w:r w:rsidRPr="008F1678">
              <w:rPr>
                <w:rFonts w:ascii="Arial Narrow" w:hAnsi="Arial Narrow" w:cs="Calibri"/>
                <w:color w:val="000000"/>
                <w:sz w:val="20"/>
                <w:szCs w:val="20"/>
              </w:rPr>
              <w:t xml:space="preserve">                 </w:t>
            </w:r>
            <w:r w:rsidR="00F42717">
              <w:rPr>
                <w:rFonts w:ascii="Arial Narrow" w:hAnsi="Arial Narrow" w:cs="Calibri"/>
                <w:noProof/>
                <w:color w:val="000000"/>
                <w:sz w:val="20"/>
                <w:szCs w:val="20"/>
                <w:highlight w:val="black"/>
              </w:rPr>
              <w:t>'''''''''</w:t>
            </w:r>
            <w:r w:rsidR="00975575">
              <w:rPr>
                <w:rFonts w:ascii="Arial Narrow" w:hAnsi="Arial Narrow" w:cs="Calibri"/>
                <w:noProof/>
                <w:color w:val="000000"/>
                <w:sz w:val="20"/>
                <w:szCs w:val="20"/>
                <w:highlight w:val="black"/>
              </w:rPr>
              <w:t>''''''</w:t>
            </w:r>
            <w:r>
              <w:rPr>
                <w:rFonts w:ascii="Arial Narrow" w:hAnsi="Arial Narrow" w:cs="Calibri"/>
                <w:color w:val="000000"/>
                <w:sz w:val="20"/>
                <w:szCs w:val="20"/>
                <w:vertAlign w:val="superscript"/>
              </w:rPr>
              <w:t>4</w:t>
            </w:r>
            <w:r w:rsidRPr="008F1678">
              <w:rPr>
                <w:rFonts w:ascii="Arial Narrow" w:hAnsi="Arial Narrow" w:cs="Calibri"/>
                <w:color w:val="000000"/>
                <w:sz w:val="20"/>
                <w:szCs w:val="20"/>
              </w:rPr>
              <w:t xml:space="preserve"> </w:t>
            </w:r>
          </w:p>
        </w:tc>
        <w:tc>
          <w:tcPr>
            <w:tcW w:w="632" w:type="pct"/>
            <w:tcBorders>
              <w:top w:val="nil"/>
              <w:left w:val="nil"/>
              <w:bottom w:val="single" w:sz="4" w:space="0" w:color="auto"/>
              <w:right w:val="single" w:sz="4" w:space="0" w:color="auto"/>
            </w:tcBorders>
            <w:shd w:val="clear" w:color="auto" w:fill="auto"/>
            <w:noWrap/>
            <w:vAlign w:val="bottom"/>
            <w:hideMark/>
          </w:tcPr>
          <w:p w:rsidR="00F82F56" w:rsidRPr="008F1678" w:rsidRDefault="00F82F56" w:rsidP="00F82F56">
            <w:pPr>
              <w:jc w:val="right"/>
              <w:rPr>
                <w:rFonts w:ascii="Arial Narrow" w:hAnsi="Arial Narrow" w:cs="Calibri"/>
                <w:color w:val="000000"/>
                <w:sz w:val="20"/>
                <w:szCs w:val="20"/>
              </w:rPr>
            </w:pPr>
            <w:r w:rsidRPr="008F1678">
              <w:rPr>
                <w:rFonts w:ascii="Arial Narrow" w:hAnsi="Arial Narrow" w:cs="Calibri"/>
                <w:color w:val="000000"/>
                <w:sz w:val="20"/>
                <w:szCs w:val="20"/>
              </w:rPr>
              <w:t xml:space="preserve">                 </w:t>
            </w:r>
            <w:r w:rsidR="00F42717">
              <w:rPr>
                <w:rFonts w:ascii="Arial Narrow" w:hAnsi="Arial Narrow" w:cs="Calibri"/>
                <w:noProof/>
                <w:color w:val="000000"/>
                <w:sz w:val="20"/>
                <w:szCs w:val="20"/>
                <w:highlight w:val="black"/>
              </w:rPr>
              <w:t>'''''''''''''</w:t>
            </w:r>
            <w:r w:rsidR="00975575">
              <w:rPr>
                <w:rFonts w:ascii="Arial Narrow" w:hAnsi="Arial Narrow" w:cs="Calibri"/>
                <w:noProof/>
                <w:color w:val="000000"/>
                <w:sz w:val="20"/>
                <w:szCs w:val="20"/>
                <w:highlight w:val="black"/>
              </w:rPr>
              <w:t>'''</w:t>
            </w:r>
            <w:r>
              <w:rPr>
                <w:rFonts w:ascii="Arial Narrow" w:hAnsi="Arial Narrow" w:cs="Calibri"/>
                <w:color w:val="000000"/>
                <w:sz w:val="20"/>
                <w:szCs w:val="20"/>
                <w:vertAlign w:val="superscript"/>
              </w:rPr>
              <w:t>5</w:t>
            </w:r>
            <w:r w:rsidRPr="008F1678">
              <w:rPr>
                <w:rFonts w:ascii="Arial Narrow" w:hAnsi="Arial Narrow" w:cs="Calibri"/>
                <w:color w:val="000000"/>
                <w:sz w:val="20"/>
                <w:szCs w:val="20"/>
              </w:rPr>
              <w:t xml:space="preserve"> </w:t>
            </w:r>
          </w:p>
        </w:tc>
      </w:tr>
      <w:tr w:rsidR="00F82F56" w:rsidRPr="008F1678" w:rsidTr="00F82F56">
        <w:trPr>
          <w:trHeight w:val="530"/>
        </w:trPr>
        <w:tc>
          <w:tcPr>
            <w:tcW w:w="832" w:type="pct"/>
            <w:tcBorders>
              <w:top w:val="nil"/>
              <w:left w:val="single" w:sz="4" w:space="0" w:color="auto"/>
              <w:bottom w:val="single" w:sz="4" w:space="0" w:color="auto"/>
              <w:right w:val="single" w:sz="4" w:space="0" w:color="auto"/>
            </w:tcBorders>
            <w:shd w:val="clear" w:color="auto" w:fill="auto"/>
            <w:vAlign w:val="bottom"/>
            <w:hideMark/>
          </w:tcPr>
          <w:p w:rsidR="00F82F56" w:rsidRPr="008F1678" w:rsidRDefault="00F82F56" w:rsidP="00F82F56">
            <w:pPr>
              <w:jc w:val="left"/>
              <w:rPr>
                <w:rFonts w:ascii="Arial Narrow" w:hAnsi="Arial Narrow" w:cs="Calibri"/>
                <w:color w:val="000000"/>
                <w:sz w:val="20"/>
                <w:szCs w:val="20"/>
              </w:rPr>
            </w:pPr>
            <w:r w:rsidRPr="008F1678">
              <w:rPr>
                <w:rFonts w:ascii="Arial Narrow" w:hAnsi="Arial Narrow" w:cs="Calibri"/>
                <w:color w:val="000000"/>
                <w:sz w:val="20"/>
                <w:szCs w:val="20"/>
              </w:rPr>
              <w:t>Net PBS/RPBS cost with price in March 20 resubmission (Row A)</w:t>
            </w:r>
          </w:p>
        </w:tc>
        <w:tc>
          <w:tcPr>
            <w:tcW w:w="589" w:type="pct"/>
            <w:tcBorders>
              <w:top w:val="nil"/>
              <w:left w:val="nil"/>
              <w:bottom w:val="single" w:sz="4" w:space="0" w:color="auto"/>
              <w:right w:val="single" w:sz="4" w:space="0" w:color="auto"/>
            </w:tcBorders>
            <w:shd w:val="clear" w:color="auto" w:fill="auto"/>
            <w:noWrap/>
            <w:vAlign w:val="bottom"/>
            <w:hideMark/>
          </w:tcPr>
          <w:p w:rsidR="00F82F56" w:rsidRPr="008F1678" w:rsidRDefault="00F82F56" w:rsidP="00F82F56">
            <w:pPr>
              <w:jc w:val="right"/>
              <w:rPr>
                <w:rFonts w:ascii="Arial Narrow" w:hAnsi="Arial Narrow" w:cs="Calibri"/>
                <w:color w:val="000000"/>
                <w:sz w:val="20"/>
                <w:szCs w:val="20"/>
              </w:rPr>
            </w:pPr>
            <w:r w:rsidRPr="008F1678">
              <w:rPr>
                <w:rFonts w:ascii="Arial Narrow" w:hAnsi="Arial Narrow" w:cs="Calibri"/>
                <w:color w:val="000000"/>
                <w:sz w:val="20"/>
                <w:szCs w:val="20"/>
              </w:rPr>
              <w:t>$</w:t>
            </w:r>
            <w:r w:rsidR="00F42717">
              <w:rPr>
                <w:rFonts w:ascii="Arial Narrow" w:hAnsi="Arial Narrow" w:cs="Calibri"/>
                <w:noProof/>
                <w:color w:val="000000"/>
                <w:sz w:val="20"/>
                <w:szCs w:val="20"/>
                <w:highlight w:val="black"/>
              </w:rPr>
              <w:t>''''''''</w:t>
            </w:r>
            <w:r w:rsidR="00975575">
              <w:rPr>
                <w:rFonts w:ascii="Arial Narrow" w:hAnsi="Arial Narrow" w:cs="Calibri"/>
                <w:noProof/>
                <w:color w:val="000000"/>
                <w:sz w:val="20"/>
                <w:szCs w:val="20"/>
                <w:highlight w:val="black"/>
              </w:rPr>
              <w:t>'''</w:t>
            </w:r>
            <w:r>
              <w:rPr>
                <w:rFonts w:ascii="Arial Narrow" w:hAnsi="Arial Narrow" w:cs="Calibri"/>
                <w:color w:val="000000"/>
                <w:sz w:val="20"/>
                <w:szCs w:val="20"/>
                <w:vertAlign w:val="superscript"/>
              </w:rPr>
              <w:t>11</w:t>
            </w:r>
          </w:p>
        </w:tc>
        <w:tc>
          <w:tcPr>
            <w:tcW w:w="589" w:type="pct"/>
            <w:tcBorders>
              <w:top w:val="nil"/>
              <w:left w:val="nil"/>
              <w:bottom w:val="single" w:sz="4" w:space="0" w:color="auto"/>
              <w:right w:val="single" w:sz="4" w:space="0" w:color="auto"/>
            </w:tcBorders>
            <w:shd w:val="clear" w:color="auto" w:fill="auto"/>
            <w:noWrap/>
            <w:vAlign w:val="bottom"/>
            <w:hideMark/>
          </w:tcPr>
          <w:p w:rsidR="00F82F56" w:rsidRPr="008F1678" w:rsidRDefault="00F82F56" w:rsidP="00F82F56">
            <w:pPr>
              <w:jc w:val="right"/>
              <w:rPr>
                <w:rFonts w:ascii="Arial Narrow" w:hAnsi="Arial Narrow" w:cs="Calibri"/>
                <w:color w:val="000000"/>
                <w:sz w:val="20"/>
                <w:szCs w:val="20"/>
              </w:rPr>
            </w:pPr>
            <w:r w:rsidRPr="008F1678">
              <w:rPr>
                <w:rFonts w:ascii="Arial Narrow" w:hAnsi="Arial Narrow" w:cs="Calibri"/>
                <w:color w:val="000000"/>
                <w:sz w:val="20"/>
                <w:szCs w:val="20"/>
              </w:rPr>
              <w:t>$</w:t>
            </w:r>
            <w:r w:rsidR="00F42717">
              <w:rPr>
                <w:rFonts w:ascii="Arial Narrow" w:hAnsi="Arial Narrow" w:cs="Calibri"/>
                <w:noProof/>
                <w:color w:val="000000"/>
                <w:sz w:val="20"/>
                <w:szCs w:val="20"/>
                <w:highlight w:val="black"/>
              </w:rPr>
              <w:t>''''''''''</w:t>
            </w:r>
            <w:r w:rsidR="00975575">
              <w:rPr>
                <w:rFonts w:ascii="Arial Narrow" w:hAnsi="Arial Narrow" w:cs="Calibri"/>
                <w:noProof/>
                <w:color w:val="000000"/>
                <w:sz w:val="20"/>
                <w:szCs w:val="20"/>
                <w:highlight w:val="black"/>
              </w:rPr>
              <w:t>'</w:t>
            </w:r>
            <w:r>
              <w:rPr>
                <w:rFonts w:ascii="Arial Narrow" w:hAnsi="Arial Narrow" w:cs="Calibri"/>
                <w:color w:val="000000"/>
                <w:sz w:val="20"/>
                <w:szCs w:val="20"/>
                <w:vertAlign w:val="superscript"/>
              </w:rPr>
              <w:t>12</w:t>
            </w:r>
          </w:p>
        </w:tc>
        <w:tc>
          <w:tcPr>
            <w:tcW w:w="589" w:type="pct"/>
            <w:tcBorders>
              <w:top w:val="nil"/>
              <w:left w:val="nil"/>
              <w:bottom w:val="single" w:sz="4" w:space="0" w:color="auto"/>
              <w:right w:val="single" w:sz="4" w:space="0" w:color="auto"/>
            </w:tcBorders>
            <w:shd w:val="clear" w:color="auto" w:fill="auto"/>
            <w:noWrap/>
            <w:vAlign w:val="bottom"/>
            <w:hideMark/>
          </w:tcPr>
          <w:p w:rsidR="00F82F56" w:rsidRPr="008F1678" w:rsidRDefault="00F82F56" w:rsidP="00F82F56">
            <w:pPr>
              <w:jc w:val="right"/>
              <w:rPr>
                <w:rFonts w:ascii="Arial Narrow" w:hAnsi="Arial Narrow" w:cs="Calibri"/>
                <w:color w:val="000000"/>
                <w:sz w:val="20"/>
                <w:szCs w:val="20"/>
              </w:rPr>
            </w:pPr>
            <w:r w:rsidRPr="008F1678">
              <w:rPr>
                <w:rFonts w:ascii="Arial Narrow" w:hAnsi="Arial Narrow" w:cs="Calibri"/>
                <w:color w:val="000000"/>
                <w:sz w:val="20"/>
                <w:szCs w:val="20"/>
              </w:rPr>
              <w:t>$</w:t>
            </w:r>
            <w:r w:rsidR="00F42717">
              <w:rPr>
                <w:rFonts w:ascii="Arial Narrow" w:hAnsi="Arial Narrow" w:cs="Calibri"/>
                <w:noProof/>
                <w:color w:val="000000"/>
                <w:sz w:val="20"/>
                <w:szCs w:val="20"/>
                <w:highlight w:val="black"/>
              </w:rPr>
              <w:t>''''''''</w:t>
            </w:r>
            <w:r w:rsidR="00975575">
              <w:rPr>
                <w:rFonts w:ascii="Arial Narrow" w:hAnsi="Arial Narrow" w:cs="Calibri"/>
                <w:noProof/>
                <w:color w:val="000000"/>
                <w:sz w:val="20"/>
                <w:szCs w:val="20"/>
                <w:highlight w:val="black"/>
              </w:rPr>
              <w:t>'''</w:t>
            </w:r>
            <w:r>
              <w:rPr>
                <w:rFonts w:ascii="Arial Narrow" w:hAnsi="Arial Narrow" w:cs="Calibri"/>
                <w:color w:val="000000"/>
                <w:sz w:val="20"/>
                <w:szCs w:val="20"/>
                <w:vertAlign w:val="superscript"/>
              </w:rPr>
              <w:t>12</w:t>
            </w:r>
          </w:p>
        </w:tc>
        <w:tc>
          <w:tcPr>
            <w:tcW w:w="589" w:type="pct"/>
            <w:tcBorders>
              <w:top w:val="nil"/>
              <w:left w:val="nil"/>
              <w:bottom w:val="single" w:sz="4" w:space="0" w:color="auto"/>
              <w:right w:val="single" w:sz="4" w:space="0" w:color="auto"/>
            </w:tcBorders>
            <w:shd w:val="clear" w:color="auto" w:fill="auto"/>
            <w:noWrap/>
            <w:vAlign w:val="bottom"/>
            <w:hideMark/>
          </w:tcPr>
          <w:p w:rsidR="00F82F56" w:rsidRPr="008F1678" w:rsidRDefault="00F82F56" w:rsidP="00F82F56">
            <w:pPr>
              <w:jc w:val="right"/>
              <w:rPr>
                <w:rFonts w:ascii="Arial Narrow" w:hAnsi="Arial Narrow" w:cs="Calibri"/>
                <w:color w:val="000000"/>
                <w:sz w:val="20"/>
                <w:szCs w:val="20"/>
              </w:rPr>
            </w:pPr>
            <w:r w:rsidRPr="008F1678">
              <w:rPr>
                <w:rFonts w:ascii="Arial Narrow" w:hAnsi="Arial Narrow" w:cs="Calibri"/>
                <w:color w:val="000000"/>
                <w:sz w:val="20"/>
                <w:szCs w:val="20"/>
              </w:rPr>
              <w:t>$</w:t>
            </w:r>
            <w:r w:rsidR="00F42717">
              <w:rPr>
                <w:rFonts w:ascii="Arial Narrow" w:hAnsi="Arial Narrow" w:cs="Calibri"/>
                <w:noProof/>
                <w:color w:val="000000"/>
                <w:sz w:val="20"/>
                <w:szCs w:val="20"/>
                <w:highlight w:val="black"/>
              </w:rPr>
              <w:t>'''''''</w:t>
            </w:r>
            <w:r w:rsidR="00975575">
              <w:rPr>
                <w:rFonts w:ascii="Arial Narrow" w:hAnsi="Arial Narrow" w:cs="Calibri"/>
                <w:noProof/>
                <w:color w:val="000000"/>
                <w:sz w:val="20"/>
                <w:szCs w:val="20"/>
                <w:highlight w:val="black"/>
              </w:rPr>
              <w:t>''''</w:t>
            </w:r>
            <w:r>
              <w:rPr>
                <w:rFonts w:ascii="Arial Narrow" w:hAnsi="Arial Narrow" w:cs="Calibri"/>
                <w:color w:val="000000"/>
                <w:sz w:val="20"/>
                <w:szCs w:val="20"/>
                <w:vertAlign w:val="superscript"/>
              </w:rPr>
              <w:t>13</w:t>
            </w:r>
          </w:p>
        </w:tc>
        <w:tc>
          <w:tcPr>
            <w:tcW w:w="589" w:type="pct"/>
            <w:tcBorders>
              <w:top w:val="nil"/>
              <w:left w:val="nil"/>
              <w:bottom w:val="single" w:sz="4" w:space="0" w:color="auto"/>
              <w:right w:val="single" w:sz="4" w:space="0" w:color="auto"/>
            </w:tcBorders>
            <w:shd w:val="clear" w:color="auto" w:fill="auto"/>
            <w:noWrap/>
            <w:vAlign w:val="bottom"/>
            <w:hideMark/>
          </w:tcPr>
          <w:p w:rsidR="00F82F56" w:rsidRPr="008F1678" w:rsidRDefault="00F82F56" w:rsidP="00F82F56">
            <w:pPr>
              <w:jc w:val="right"/>
              <w:rPr>
                <w:rFonts w:ascii="Arial Narrow" w:hAnsi="Arial Narrow" w:cs="Calibri"/>
                <w:color w:val="000000"/>
                <w:sz w:val="20"/>
                <w:szCs w:val="20"/>
              </w:rPr>
            </w:pPr>
            <w:r w:rsidRPr="008F1678">
              <w:rPr>
                <w:rFonts w:ascii="Arial Narrow" w:hAnsi="Arial Narrow" w:cs="Calibri"/>
                <w:color w:val="000000"/>
                <w:sz w:val="20"/>
                <w:szCs w:val="20"/>
              </w:rPr>
              <w:t>$</w:t>
            </w:r>
            <w:r w:rsidR="00F42717">
              <w:rPr>
                <w:rFonts w:ascii="Arial Narrow" w:hAnsi="Arial Narrow" w:cs="Calibri"/>
                <w:noProof/>
                <w:color w:val="000000"/>
                <w:sz w:val="20"/>
                <w:szCs w:val="20"/>
                <w:highlight w:val="black"/>
              </w:rPr>
              <w:t>''''''''</w:t>
            </w:r>
            <w:r w:rsidR="00975575">
              <w:rPr>
                <w:rFonts w:ascii="Arial Narrow" w:hAnsi="Arial Narrow" w:cs="Calibri"/>
                <w:noProof/>
                <w:color w:val="000000"/>
                <w:sz w:val="20"/>
                <w:szCs w:val="20"/>
                <w:highlight w:val="black"/>
              </w:rPr>
              <w:t>''</w:t>
            </w:r>
            <w:r>
              <w:rPr>
                <w:rFonts w:ascii="Arial Narrow" w:hAnsi="Arial Narrow" w:cs="Calibri"/>
                <w:color w:val="000000"/>
                <w:sz w:val="20"/>
                <w:szCs w:val="20"/>
                <w:vertAlign w:val="superscript"/>
              </w:rPr>
              <w:t>13</w:t>
            </w:r>
          </w:p>
        </w:tc>
        <w:tc>
          <w:tcPr>
            <w:tcW w:w="589" w:type="pct"/>
            <w:tcBorders>
              <w:top w:val="nil"/>
              <w:left w:val="nil"/>
              <w:bottom w:val="single" w:sz="4" w:space="0" w:color="auto"/>
              <w:right w:val="single" w:sz="4" w:space="0" w:color="auto"/>
            </w:tcBorders>
            <w:shd w:val="clear" w:color="auto" w:fill="auto"/>
            <w:noWrap/>
            <w:vAlign w:val="bottom"/>
            <w:hideMark/>
          </w:tcPr>
          <w:p w:rsidR="00F82F56" w:rsidRPr="008F1678" w:rsidRDefault="00F82F56" w:rsidP="00F82F56">
            <w:pPr>
              <w:jc w:val="right"/>
              <w:rPr>
                <w:rFonts w:ascii="Arial Narrow" w:hAnsi="Arial Narrow" w:cs="Calibri"/>
                <w:color w:val="000000"/>
                <w:sz w:val="20"/>
                <w:szCs w:val="20"/>
              </w:rPr>
            </w:pPr>
            <w:r w:rsidRPr="008F1678">
              <w:rPr>
                <w:rFonts w:ascii="Arial Narrow" w:hAnsi="Arial Narrow" w:cs="Calibri"/>
                <w:color w:val="000000"/>
                <w:sz w:val="20"/>
                <w:szCs w:val="20"/>
              </w:rPr>
              <w:t>$</w:t>
            </w:r>
            <w:r w:rsidR="00F42717">
              <w:rPr>
                <w:rFonts w:ascii="Arial Narrow" w:hAnsi="Arial Narrow" w:cs="Calibri"/>
                <w:noProof/>
                <w:color w:val="000000"/>
                <w:sz w:val="20"/>
                <w:szCs w:val="20"/>
                <w:highlight w:val="black"/>
              </w:rPr>
              <w:t>'''''''''</w:t>
            </w:r>
            <w:r w:rsidR="00975575">
              <w:rPr>
                <w:rFonts w:ascii="Arial Narrow" w:hAnsi="Arial Narrow" w:cs="Calibri"/>
                <w:noProof/>
                <w:color w:val="000000"/>
                <w:sz w:val="20"/>
                <w:szCs w:val="20"/>
                <w:highlight w:val="black"/>
              </w:rPr>
              <w:t>''</w:t>
            </w:r>
            <w:r>
              <w:rPr>
                <w:rFonts w:ascii="Arial Narrow" w:hAnsi="Arial Narrow" w:cs="Calibri"/>
                <w:color w:val="000000"/>
                <w:sz w:val="20"/>
                <w:szCs w:val="20"/>
                <w:vertAlign w:val="superscript"/>
              </w:rPr>
              <w:t>14</w:t>
            </w:r>
          </w:p>
        </w:tc>
        <w:tc>
          <w:tcPr>
            <w:tcW w:w="632" w:type="pct"/>
            <w:tcBorders>
              <w:top w:val="nil"/>
              <w:left w:val="nil"/>
              <w:bottom w:val="single" w:sz="4" w:space="0" w:color="auto"/>
              <w:right w:val="single" w:sz="4" w:space="0" w:color="auto"/>
            </w:tcBorders>
            <w:shd w:val="clear" w:color="auto" w:fill="auto"/>
            <w:noWrap/>
            <w:vAlign w:val="bottom"/>
            <w:hideMark/>
          </w:tcPr>
          <w:p w:rsidR="00F82F56" w:rsidRPr="008F1678" w:rsidRDefault="00F82F56" w:rsidP="00F82F56">
            <w:pPr>
              <w:jc w:val="right"/>
              <w:rPr>
                <w:rFonts w:ascii="Arial Narrow" w:hAnsi="Arial Narrow" w:cs="Calibri"/>
                <w:color w:val="000000"/>
                <w:sz w:val="20"/>
                <w:szCs w:val="20"/>
              </w:rPr>
            </w:pPr>
            <w:r w:rsidRPr="008F1678">
              <w:rPr>
                <w:rFonts w:ascii="Arial Narrow" w:hAnsi="Arial Narrow" w:cs="Calibri"/>
                <w:color w:val="000000"/>
                <w:sz w:val="20"/>
                <w:szCs w:val="20"/>
              </w:rPr>
              <w:t>$</w:t>
            </w:r>
            <w:r w:rsidR="00F42717">
              <w:rPr>
                <w:rFonts w:ascii="Arial Narrow" w:hAnsi="Arial Narrow" w:cs="Calibri"/>
                <w:noProof/>
                <w:color w:val="000000"/>
                <w:sz w:val="20"/>
                <w:szCs w:val="20"/>
                <w:highlight w:val="black"/>
              </w:rPr>
              <w:t>''''</w:t>
            </w:r>
            <w:r w:rsidR="00975575">
              <w:rPr>
                <w:rFonts w:ascii="Arial Narrow" w:hAnsi="Arial Narrow" w:cs="Calibri"/>
                <w:noProof/>
                <w:color w:val="000000"/>
                <w:sz w:val="20"/>
                <w:szCs w:val="20"/>
                <w:highlight w:val="black"/>
              </w:rPr>
              <w:t>'''''''</w:t>
            </w:r>
            <w:r>
              <w:rPr>
                <w:rFonts w:ascii="Arial Narrow" w:hAnsi="Arial Narrow" w:cs="Calibri"/>
                <w:color w:val="000000"/>
                <w:sz w:val="20"/>
                <w:szCs w:val="20"/>
                <w:vertAlign w:val="superscript"/>
              </w:rPr>
              <w:t>15</w:t>
            </w:r>
          </w:p>
        </w:tc>
      </w:tr>
      <w:tr w:rsidR="00F82F56" w:rsidRPr="008F1678" w:rsidTr="00F82F56">
        <w:trPr>
          <w:trHeight w:val="530"/>
        </w:trPr>
        <w:tc>
          <w:tcPr>
            <w:tcW w:w="832" w:type="pct"/>
            <w:tcBorders>
              <w:top w:val="nil"/>
              <w:left w:val="single" w:sz="4" w:space="0" w:color="auto"/>
              <w:bottom w:val="single" w:sz="4" w:space="0" w:color="auto"/>
              <w:right w:val="single" w:sz="4" w:space="0" w:color="auto"/>
            </w:tcBorders>
            <w:shd w:val="clear" w:color="auto" w:fill="auto"/>
            <w:vAlign w:val="bottom"/>
            <w:hideMark/>
          </w:tcPr>
          <w:p w:rsidR="00F82F56" w:rsidRPr="008F1678" w:rsidRDefault="00F82F56" w:rsidP="00F82F56">
            <w:pPr>
              <w:jc w:val="left"/>
              <w:rPr>
                <w:rFonts w:ascii="Arial Narrow" w:hAnsi="Arial Narrow" w:cs="Calibri"/>
                <w:b/>
                <w:color w:val="000000"/>
                <w:sz w:val="20"/>
                <w:szCs w:val="20"/>
              </w:rPr>
            </w:pPr>
            <w:r w:rsidRPr="008F1678">
              <w:rPr>
                <w:rFonts w:ascii="Arial Narrow" w:hAnsi="Arial Narrow" w:cs="Calibri"/>
                <w:b/>
                <w:color w:val="000000"/>
                <w:sz w:val="20"/>
                <w:szCs w:val="20"/>
              </w:rPr>
              <w:t>Net PBS/RPBS cost including price reduction in proposal (Row B)</w:t>
            </w:r>
          </w:p>
        </w:tc>
        <w:tc>
          <w:tcPr>
            <w:tcW w:w="589" w:type="pct"/>
            <w:tcBorders>
              <w:top w:val="nil"/>
              <w:left w:val="nil"/>
              <w:bottom w:val="single" w:sz="4" w:space="0" w:color="auto"/>
              <w:right w:val="single" w:sz="4" w:space="0" w:color="auto"/>
            </w:tcBorders>
            <w:shd w:val="clear" w:color="auto" w:fill="auto"/>
            <w:noWrap/>
            <w:vAlign w:val="bottom"/>
            <w:hideMark/>
          </w:tcPr>
          <w:p w:rsidR="00F82F56" w:rsidRPr="008F1678" w:rsidRDefault="00F82F56" w:rsidP="00F82F56">
            <w:pPr>
              <w:jc w:val="right"/>
              <w:rPr>
                <w:rFonts w:ascii="Arial Narrow" w:hAnsi="Arial Narrow" w:cs="Calibri"/>
                <w:b/>
                <w:color w:val="000000"/>
                <w:sz w:val="20"/>
                <w:szCs w:val="20"/>
              </w:rPr>
            </w:pPr>
            <w:r w:rsidRPr="008F1678">
              <w:rPr>
                <w:rFonts w:ascii="Arial Narrow" w:hAnsi="Arial Narrow" w:cs="Calibri"/>
                <w:b/>
                <w:color w:val="000000"/>
                <w:sz w:val="20"/>
                <w:szCs w:val="20"/>
              </w:rPr>
              <w:t>$</w:t>
            </w:r>
            <w:r w:rsidR="00F42717">
              <w:rPr>
                <w:rFonts w:ascii="Arial Narrow" w:hAnsi="Arial Narrow" w:cs="Calibri"/>
                <w:b/>
                <w:noProof/>
                <w:color w:val="000000"/>
                <w:sz w:val="20"/>
                <w:szCs w:val="20"/>
                <w:highlight w:val="black"/>
              </w:rPr>
              <w:t>''''''</w:t>
            </w:r>
            <w:r w:rsidR="00975575">
              <w:rPr>
                <w:rFonts w:ascii="Arial Narrow" w:hAnsi="Arial Narrow" w:cs="Calibri"/>
                <w:b/>
                <w:noProof/>
                <w:color w:val="000000"/>
                <w:sz w:val="20"/>
                <w:szCs w:val="20"/>
                <w:highlight w:val="black"/>
              </w:rPr>
              <w:t>'''</w:t>
            </w:r>
            <w:r w:rsidRPr="005513B1">
              <w:rPr>
                <w:rFonts w:ascii="Arial Narrow" w:hAnsi="Arial Narrow" w:cs="Calibri"/>
                <w:color w:val="000000"/>
                <w:sz w:val="20"/>
                <w:szCs w:val="20"/>
                <w:vertAlign w:val="superscript"/>
              </w:rPr>
              <w:t>11</w:t>
            </w:r>
          </w:p>
        </w:tc>
        <w:tc>
          <w:tcPr>
            <w:tcW w:w="589" w:type="pct"/>
            <w:tcBorders>
              <w:top w:val="nil"/>
              <w:left w:val="nil"/>
              <w:bottom w:val="single" w:sz="4" w:space="0" w:color="auto"/>
              <w:right w:val="single" w:sz="4" w:space="0" w:color="auto"/>
            </w:tcBorders>
            <w:shd w:val="clear" w:color="auto" w:fill="auto"/>
            <w:noWrap/>
            <w:vAlign w:val="bottom"/>
            <w:hideMark/>
          </w:tcPr>
          <w:p w:rsidR="00F82F56" w:rsidRPr="008F1678" w:rsidRDefault="00F82F56" w:rsidP="00F82F56">
            <w:pPr>
              <w:jc w:val="right"/>
              <w:rPr>
                <w:rFonts w:ascii="Arial Narrow" w:hAnsi="Arial Narrow" w:cs="Calibri"/>
                <w:b/>
                <w:color w:val="000000"/>
                <w:sz w:val="20"/>
                <w:szCs w:val="20"/>
              </w:rPr>
            </w:pPr>
            <w:r w:rsidRPr="008F1678">
              <w:rPr>
                <w:rFonts w:ascii="Arial Narrow" w:hAnsi="Arial Narrow" w:cs="Calibri"/>
                <w:b/>
                <w:color w:val="000000"/>
                <w:sz w:val="20"/>
                <w:szCs w:val="20"/>
              </w:rPr>
              <w:t>$</w:t>
            </w:r>
            <w:r w:rsidR="00F42717">
              <w:rPr>
                <w:rFonts w:ascii="Arial Narrow" w:hAnsi="Arial Narrow" w:cs="Calibri"/>
                <w:b/>
                <w:noProof/>
                <w:color w:val="000000"/>
                <w:sz w:val="20"/>
                <w:szCs w:val="20"/>
                <w:highlight w:val="black"/>
              </w:rPr>
              <w:t>''''''</w:t>
            </w:r>
            <w:r w:rsidR="00975575">
              <w:rPr>
                <w:rFonts w:ascii="Arial Narrow" w:hAnsi="Arial Narrow" w:cs="Calibri"/>
                <w:b/>
                <w:noProof/>
                <w:color w:val="000000"/>
                <w:sz w:val="20"/>
                <w:szCs w:val="20"/>
                <w:highlight w:val="black"/>
              </w:rPr>
              <w:t>''</w:t>
            </w:r>
            <w:r w:rsidRPr="005513B1">
              <w:rPr>
                <w:rFonts w:ascii="Arial Narrow" w:hAnsi="Arial Narrow" w:cs="Calibri"/>
                <w:color w:val="000000"/>
                <w:sz w:val="20"/>
                <w:szCs w:val="20"/>
                <w:vertAlign w:val="superscript"/>
              </w:rPr>
              <w:t>11</w:t>
            </w:r>
          </w:p>
        </w:tc>
        <w:tc>
          <w:tcPr>
            <w:tcW w:w="589" w:type="pct"/>
            <w:tcBorders>
              <w:top w:val="nil"/>
              <w:left w:val="nil"/>
              <w:bottom w:val="single" w:sz="4" w:space="0" w:color="auto"/>
              <w:right w:val="single" w:sz="4" w:space="0" w:color="auto"/>
            </w:tcBorders>
            <w:shd w:val="clear" w:color="auto" w:fill="auto"/>
            <w:noWrap/>
            <w:vAlign w:val="bottom"/>
            <w:hideMark/>
          </w:tcPr>
          <w:p w:rsidR="00F82F56" w:rsidRPr="008F1678" w:rsidRDefault="00F82F56" w:rsidP="00F82F56">
            <w:pPr>
              <w:jc w:val="right"/>
              <w:rPr>
                <w:rFonts w:ascii="Arial Narrow" w:hAnsi="Arial Narrow" w:cs="Calibri"/>
                <w:b/>
                <w:color w:val="000000"/>
                <w:sz w:val="20"/>
                <w:szCs w:val="20"/>
              </w:rPr>
            </w:pPr>
            <w:r w:rsidRPr="008F1678">
              <w:rPr>
                <w:rFonts w:ascii="Arial Narrow" w:hAnsi="Arial Narrow" w:cs="Calibri"/>
                <w:b/>
                <w:color w:val="000000"/>
                <w:sz w:val="20"/>
                <w:szCs w:val="20"/>
              </w:rPr>
              <w:t>$</w:t>
            </w:r>
            <w:r w:rsidR="00F42717">
              <w:rPr>
                <w:rFonts w:ascii="Arial Narrow" w:hAnsi="Arial Narrow" w:cs="Calibri"/>
                <w:b/>
                <w:noProof/>
                <w:color w:val="000000"/>
                <w:sz w:val="20"/>
                <w:szCs w:val="20"/>
                <w:highlight w:val="black"/>
              </w:rPr>
              <w:t>''''</w:t>
            </w:r>
            <w:r w:rsidR="00975575">
              <w:rPr>
                <w:rFonts w:ascii="Arial Narrow" w:hAnsi="Arial Narrow" w:cs="Calibri"/>
                <w:b/>
                <w:noProof/>
                <w:color w:val="000000"/>
                <w:sz w:val="20"/>
                <w:szCs w:val="20"/>
                <w:highlight w:val="black"/>
              </w:rPr>
              <w:t>'''''</w:t>
            </w:r>
            <w:r w:rsidRPr="005513B1">
              <w:rPr>
                <w:rFonts w:ascii="Arial Narrow" w:hAnsi="Arial Narrow" w:cs="Calibri"/>
                <w:color w:val="000000"/>
                <w:sz w:val="20"/>
                <w:szCs w:val="20"/>
                <w:vertAlign w:val="superscript"/>
              </w:rPr>
              <w:t>12</w:t>
            </w:r>
          </w:p>
        </w:tc>
        <w:tc>
          <w:tcPr>
            <w:tcW w:w="589" w:type="pct"/>
            <w:tcBorders>
              <w:top w:val="nil"/>
              <w:left w:val="nil"/>
              <w:bottom w:val="single" w:sz="4" w:space="0" w:color="auto"/>
              <w:right w:val="single" w:sz="4" w:space="0" w:color="auto"/>
            </w:tcBorders>
            <w:shd w:val="clear" w:color="auto" w:fill="auto"/>
            <w:noWrap/>
            <w:vAlign w:val="bottom"/>
            <w:hideMark/>
          </w:tcPr>
          <w:p w:rsidR="00F82F56" w:rsidRPr="008F1678" w:rsidRDefault="00F82F56" w:rsidP="00F82F56">
            <w:pPr>
              <w:jc w:val="right"/>
              <w:rPr>
                <w:rFonts w:ascii="Arial Narrow" w:hAnsi="Arial Narrow" w:cs="Calibri"/>
                <w:b/>
                <w:color w:val="000000"/>
                <w:sz w:val="20"/>
                <w:szCs w:val="20"/>
              </w:rPr>
            </w:pPr>
            <w:r w:rsidRPr="008F1678">
              <w:rPr>
                <w:rFonts w:ascii="Arial Narrow" w:hAnsi="Arial Narrow" w:cs="Calibri"/>
                <w:b/>
                <w:color w:val="000000"/>
                <w:sz w:val="20"/>
                <w:szCs w:val="20"/>
              </w:rPr>
              <w:t>$</w:t>
            </w:r>
            <w:r w:rsidR="00F42717">
              <w:rPr>
                <w:rFonts w:ascii="Arial Narrow" w:hAnsi="Arial Narrow" w:cs="Calibri"/>
                <w:b/>
                <w:noProof/>
                <w:color w:val="000000"/>
                <w:sz w:val="20"/>
                <w:szCs w:val="20"/>
                <w:highlight w:val="black"/>
              </w:rPr>
              <w:t>'''''''</w:t>
            </w:r>
            <w:r w:rsidR="00975575">
              <w:rPr>
                <w:rFonts w:ascii="Arial Narrow" w:hAnsi="Arial Narrow" w:cs="Calibri"/>
                <w:b/>
                <w:noProof/>
                <w:color w:val="000000"/>
                <w:sz w:val="20"/>
                <w:szCs w:val="20"/>
                <w:highlight w:val="black"/>
              </w:rPr>
              <w:t>''</w:t>
            </w:r>
            <w:r w:rsidRPr="005513B1">
              <w:rPr>
                <w:rFonts w:ascii="Arial Narrow" w:hAnsi="Arial Narrow" w:cs="Calibri"/>
                <w:color w:val="000000"/>
                <w:sz w:val="20"/>
                <w:szCs w:val="20"/>
                <w:vertAlign w:val="superscript"/>
              </w:rPr>
              <w:t>12</w:t>
            </w:r>
          </w:p>
        </w:tc>
        <w:tc>
          <w:tcPr>
            <w:tcW w:w="589" w:type="pct"/>
            <w:tcBorders>
              <w:top w:val="nil"/>
              <w:left w:val="nil"/>
              <w:bottom w:val="single" w:sz="4" w:space="0" w:color="auto"/>
              <w:right w:val="single" w:sz="4" w:space="0" w:color="auto"/>
            </w:tcBorders>
            <w:shd w:val="clear" w:color="auto" w:fill="auto"/>
            <w:noWrap/>
            <w:vAlign w:val="bottom"/>
            <w:hideMark/>
          </w:tcPr>
          <w:p w:rsidR="00F82F56" w:rsidRPr="008F1678" w:rsidRDefault="00F82F56" w:rsidP="00F82F56">
            <w:pPr>
              <w:jc w:val="right"/>
              <w:rPr>
                <w:rFonts w:ascii="Arial Narrow" w:hAnsi="Arial Narrow" w:cs="Calibri"/>
                <w:b/>
                <w:color w:val="000000"/>
                <w:sz w:val="20"/>
                <w:szCs w:val="20"/>
              </w:rPr>
            </w:pPr>
            <w:r w:rsidRPr="008F1678">
              <w:rPr>
                <w:rFonts w:ascii="Arial Narrow" w:hAnsi="Arial Narrow" w:cs="Calibri"/>
                <w:b/>
                <w:color w:val="000000"/>
                <w:sz w:val="20"/>
                <w:szCs w:val="20"/>
              </w:rPr>
              <w:t>$</w:t>
            </w:r>
            <w:r w:rsidR="00F42717">
              <w:rPr>
                <w:rFonts w:ascii="Arial Narrow" w:hAnsi="Arial Narrow" w:cs="Calibri"/>
                <w:b/>
                <w:noProof/>
                <w:color w:val="000000"/>
                <w:sz w:val="20"/>
                <w:szCs w:val="20"/>
                <w:highlight w:val="black"/>
              </w:rPr>
              <w:t>''''''''</w:t>
            </w:r>
            <w:r w:rsidR="00975575">
              <w:rPr>
                <w:rFonts w:ascii="Arial Narrow" w:hAnsi="Arial Narrow" w:cs="Calibri"/>
                <w:b/>
                <w:noProof/>
                <w:color w:val="000000"/>
                <w:sz w:val="20"/>
                <w:szCs w:val="20"/>
                <w:highlight w:val="black"/>
              </w:rPr>
              <w:t>'</w:t>
            </w:r>
            <w:r w:rsidRPr="005513B1">
              <w:rPr>
                <w:rFonts w:ascii="Arial Narrow" w:hAnsi="Arial Narrow" w:cs="Calibri"/>
                <w:color w:val="000000"/>
                <w:sz w:val="20"/>
                <w:szCs w:val="20"/>
                <w:vertAlign w:val="superscript"/>
              </w:rPr>
              <w:t>13</w:t>
            </w:r>
          </w:p>
        </w:tc>
        <w:tc>
          <w:tcPr>
            <w:tcW w:w="589" w:type="pct"/>
            <w:tcBorders>
              <w:top w:val="nil"/>
              <w:left w:val="nil"/>
              <w:bottom w:val="single" w:sz="4" w:space="0" w:color="auto"/>
              <w:right w:val="single" w:sz="4" w:space="0" w:color="auto"/>
            </w:tcBorders>
            <w:shd w:val="clear" w:color="auto" w:fill="auto"/>
            <w:noWrap/>
            <w:vAlign w:val="bottom"/>
            <w:hideMark/>
          </w:tcPr>
          <w:p w:rsidR="00F82F56" w:rsidRPr="008F1678" w:rsidRDefault="00F82F56" w:rsidP="00F82F56">
            <w:pPr>
              <w:jc w:val="right"/>
              <w:rPr>
                <w:rFonts w:ascii="Arial Narrow" w:hAnsi="Arial Narrow" w:cs="Calibri"/>
                <w:b/>
                <w:color w:val="000000"/>
                <w:sz w:val="20"/>
                <w:szCs w:val="20"/>
              </w:rPr>
            </w:pPr>
            <w:r w:rsidRPr="008F1678">
              <w:rPr>
                <w:rFonts w:ascii="Arial Narrow" w:hAnsi="Arial Narrow" w:cs="Calibri"/>
                <w:b/>
                <w:color w:val="000000"/>
                <w:sz w:val="20"/>
                <w:szCs w:val="20"/>
              </w:rPr>
              <w:t>$</w:t>
            </w:r>
            <w:r w:rsidR="00F42717">
              <w:rPr>
                <w:rFonts w:ascii="Arial Narrow" w:hAnsi="Arial Narrow" w:cs="Calibri"/>
                <w:b/>
                <w:noProof/>
                <w:color w:val="000000"/>
                <w:sz w:val="20"/>
                <w:szCs w:val="20"/>
                <w:highlight w:val="black"/>
              </w:rPr>
              <w:t>''''''</w:t>
            </w:r>
            <w:r w:rsidR="00975575">
              <w:rPr>
                <w:rFonts w:ascii="Arial Narrow" w:hAnsi="Arial Narrow" w:cs="Calibri"/>
                <w:b/>
                <w:noProof/>
                <w:color w:val="000000"/>
                <w:sz w:val="20"/>
                <w:szCs w:val="20"/>
                <w:highlight w:val="black"/>
              </w:rPr>
              <w:t>'''</w:t>
            </w:r>
            <w:r w:rsidRPr="005513B1">
              <w:rPr>
                <w:rFonts w:ascii="Arial Narrow" w:hAnsi="Arial Narrow" w:cs="Calibri"/>
                <w:color w:val="000000"/>
                <w:sz w:val="20"/>
                <w:szCs w:val="20"/>
                <w:vertAlign w:val="superscript"/>
              </w:rPr>
              <w:t>13</w:t>
            </w:r>
          </w:p>
        </w:tc>
        <w:tc>
          <w:tcPr>
            <w:tcW w:w="632" w:type="pct"/>
            <w:tcBorders>
              <w:top w:val="nil"/>
              <w:left w:val="nil"/>
              <w:bottom w:val="single" w:sz="4" w:space="0" w:color="auto"/>
              <w:right w:val="single" w:sz="4" w:space="0" w:color="auto"/>
            </w:tcBorders>
            <w:shd w:val="clear" w:color="auto" w:fill="auto"/>
            <w:noWrap/>
            <w:vAlign w:val="bottom"/>
            <w:hideMark/>
          </w:tcPr>
          <w:p w:rsidR="00F82F56" w:rsidRPr="008F1678" w:rsidRDefault="00F82F56" w:rsidP="00F82F56">
            <w:pPr>
              <w:jc w:val="right"/>
              <w:rPr>
                <w:rFonts w:ascii="Arial Narrow" w:hAnsi="Arial Narrow" w:cs="Calibri"/>
                <w:b/>
                <w:color w:val="000000"/>
                <w:sz w:val="20"/>
                <w:szCs w:val="20"/>
              </w:rPr>
            </w:pPr>
            <w:r w:rsidRPr="008F1678">
              <w:rPr>
                <w:rFonts w:ascii="Arial Narrow" w:hAnsi="Arial Narrow" w:cs="Calibri"/>
                <w:b/>
                <w:color w:val="000000"/>
                <w:sz w:val="20"/>
                <w:szCs w:val="20"/>
              </w:rPr>
              <w:t>$</w:t>
            </w:r>
            <w:r w:rsidR="00F42717">
              <w:rPr>
                <w:rFonts w:ascii="Arial Narrow" w:hAnsi="Arial Narrow" w:cs="Calibri"/>
                <w:b/>
                <w:noProof/>
                <w:color w:val="000000"/>
                <w:sz w:val="20"/>
                <w:szCs w:val="20"/>
                <w:highlight w:val="black"/>
              </w:rPr>
              <w:t>'''''</w:t>
            </w:r>
            <w:r w:rsidR="00975575">
              <w:rPr>
                <w:rFonts w:ascii="Arial Narrow" w:hAnsi="Arial Narrow" w:cs="Calibri"/>
                <w:b/>
                <w:noProof/>
                <w:color w:val="000000"/>
                <w:sz w:val="20"/>
                <w:szCs w:val="20"/>
                <w:highlight w:val="black"/>
              </w:rPr>
              <w:t>''''</w:t>
            </w:r>
            <w:r w:rsidRPr="005513B1">
              <w:rPr>
                <w:rFonts w:ascii="Arial Narrow" w:hAnsi="Arial Narrow" w:cs="Calibri"/>
                <w:color w:val="000000"/>
                <w:sz w:val="20"/>
                <w:szCs w:val="20"/>
                <w:vertAlign w:val="superscript"/>
              </w:rPr>
              <w:t>15</w:t>
            </w:r>
          </w:p>
        </w:tc>
      </w:tr>
      <w:tr w:rsidR="00F82F56" w:rsidRPr="008F1678" w:rsidTr="00F82F56">
        <w:trPr>
          <w:trHeight w:val="290"/>
        </w:trPr>
        <w:tc>
          <w:tcPr>
            <w:tcW w:w="5000" w:type="pct"/>
            <w:gridSpan w:val="8"/>
            <w:tcBorders>
              <w:top w:val="nil"/>
              <w:left w:val="single" w:sz="4" w:space="0" w:color="auto"/>
              <w:bottom w:val="single" w:sz="4" w:space="0" w:color="auto"/>
              <w:right w:val="single" w:sz="4" w:space="0" w:color="auto"/>
            </w:tcBorders>
            <w:shd w:val="clear" w:color="auto" w:fill="auto"/>
            <w:noWrap/>
            <w:vAlign w:val="bottom"/>
            <w:hideMark/>
          </w:tcPr>
          <w:p w:rsidR="00F82F56" w:rsidRPr="008F1678" w:rsidRDefault="00F82F56" w:rsidP="00D40522">
            <w:pPr>
              <w:jc w:val="left"/>
              <w:rPr>
                <w:rFonts w:ascii="Arial Narrow" w:hAnsi="Arial Narrow" w:cs="Calibri"/>
                <w:color w:val="000000"/>
                <w:sz w:val="20"/>
                <w:szCs w:val="20"/>
              </w:rPr>
            </w:pPr>
            <w:r w:rsidRPr="008F1678">
              <w:rPr>
                <w:rFonts w:ascii="Arial Narrow" w:hAnsi="Arial Narrow" w:cs="Calibri"/>
                <w:b/>
                <w:bCs/>
                <w:color w:val="000000"/>
                <w:sz w:val="20"/>
                <w:szCs w:val="20"/>
              </w:rPr>
              <w:t>Pricing proposal</w:t>
            </w:r>
            <w:r w:rsidRPr="008F1678">
              <w:rPr>
                <w:rFonts w:ascii="Arial Narrow" w:hAnsi="Arial Narrow" w:cs="Calibri"/>
                <w:color w:val="000000"/>
                <w:sz w:val="20"/>
                <w:szCs w:val="20"/>
              </w:rPr>
              <w:t> </w:t>
            </w:r>
          </w:p>
        </w:tc>
      </w:tr>
      <w:tr w:rsidR="00F82F56" w:rsidRPr="008F1678" w:rsidTr="00F82F56">
        <w:trPr>
          <w:trHeight w:val="530"/>
        </w:trPr>
        <w:tc>
          <w:tcPr>
            <w:tcW w:w="832" w:type="pct"/>
            <w:tcBorders>
              <w:top w:val="nil"/>
              <w:left w:val="single" w:sz="4" w:space="0" w:color="auto"/>
              <w:bottom w:val="single" w:sz="4" w:space="0" w:color="auto"/>
              <w:right w:val="single" w:sz="4" w:space="0" w:color="auto"/>
            </w:tcBorders>
            <w:shd w:val="clear" w:color="auto" w:fill="auto"/>
            <w:vAlign w:val="bottom"/>
            <w:hideMark/>
          </w:tcPr>
          <w:p w:rsidR="00F82F56" w:rsidRPr="008F1678" w:rsidRDefault="00F82F56" w:rsidP="00F82F56">
            <w:pPr>
              <w:jc w:val="left"/>
              <w:rPr>
                <w:rFonts w:ascii="Arial Narrow" w:hAnsi="Arial Narrow" w:cs="Calibri"/>
                <w:color w:val="000000"/>
                <w:sz w:val="20"/>
                <w:szCs w:val="20"/>
              </w:rPr>
            </w:pPr>
            <w:r w:rsidRPr="008F1678">
              <w:rPr>
                <w:rFonts w:ascii="Arial Narrow" w:hAnsi="Arial Narrow" w:cs="Calibri"/>
                <w:color w:val="000000"/>
                <w:sz w:val="20"/>
                <w:szCs w:val="20"/>
              </w:rPr>
              <w:t>PBAC minutes March 2020, initiating patients</w:t>
            </w:r>
          </w:p>
        </w:tc>
        <w:tc>
          <w:tcPr>
            <w:tcW w:w="589" w:type="pct"/>
            <w:tcBorders>
              <w:top w:val="nil"/>
              <w:left w:val="nil"/>
              <w:bottom w:val="single" w:sz="4" w:space="0" w:color="auto"/>
              <w:right w:val="single" w:sz="4" w:space="0" w:color="auto"/>
            </w:tcBorders>
            <w:shd w:val="clear" w:color="auto" w:fill="auto"/>
            <w:noWrap/>
            <w:vAlign w:val="bottom"/>
            <w:hideMark/>
          </w:tcPr>
          <w:p w:rsidR="00F82F56" w:rsidRPr="008F1678" w:rsidRDefault="00F82F56" w:rsidP="00F82F56">
            <w:pPr>
              <w:jc w:val="right"/>
              <w:rPr>
                <w:rFonts w:ascii="Arial Narrow" w:hAnsi="Arial Narrow" w:cs="Calibri"/>
                <w:color w:val="000000"/>
                <w:sz w:val="20"/>
                <w:szCs w:val="20"/>
              </w:rPr>
            </w:pPr>
            <w:r w:rsidRPr="008F1678">
              <w:rPr>
                <w:rFonts w:ascii="Arial Narrow" w:hAnsi="Arial Narrow" w:cs="Calibri"/>
                <w:color w:val="000000"/>
                <w:sz w:val="20"/>
                <w:szCs w:val="20"/>
              </w:rPr>
              <w:t xml:space="preserve">                  </w:t>
            </w:r>
            <w:r w:rsidR="00975575">
              <w:rPr>
                <w:rFonts w:ascii="Arial Narrow" w:hAnsi="Arial Narrow" w:cs="Calibri"/>
                <w:noProof/>
                <w:color w:val="000000"/>
                <w:sz w:val="20"/>
                <w:szCs w:val="20"/>
                <w:highlight w:val="black"/>
              </w:rPr>
              <w:t>'''''''''''''</w:t>
            </w:r>
            <w:r>
              <w:rPr>
                <w:rFonts w:ascii="Arial Narrow" w:hAnsi="Arial Narrow" w:cs="Calibri"/>
                <w:color w:val="000000"/>
                <w:sz w:val="20"/>
                <w:szCs w:val="20"/>
                <w:vertAlign w:val="superscript"/>
              </w:rPr>
              <w:t>1</w:t>
            </w:r>
            <w:r w:rsidRPr="008F1678">
              <w:rPr>
                <w:rFonts w:ascii="Arial Narrow" w:hAnsi="Arial Narrow" w:cs="Calibri"/>
                <w:color w:val="000000"/>
                <w:sz w:val="20"/>
                <w:szCs w:val="20"/>
              </w:rPr>
              <w:t xml:space="preserve"> </w:t>
            </w:r>
          </w:p>
        </w:tc>
        <w:tc>
          <w:tcPr>
            <w:tcW w:w="589" w:type="pct"/>
            <w:tcBorders>
              <w:top w:val="nil"/>
              <w:left w:val="nil"/>
              <w:bottom w:val="single" w:sz="4" w:space="0" w:color="auto"/>
              <w:right w:val="single" w:sz="4" w:space="0" w:color="auto"/>
            </w:tcBorders>
            <w:shd w:val="clear" w:color="auto" w:fill="auto"/>
            <w:noWrap/>
            <w:vAlign w:val="bottom"/>
            <w:hideMark/>
          </w:tcPr>
          <w:p w:rsidR="00F82F56" w:rsidRPr="008F1678" w:rsidRDefault="00F82F56" w:rsidP="00F82F56">
            <w:pPr>
              <w:jc w:val="right"/>
              <w:rPr>
                <w:rFonts w:ascii="Arial Narrow" w:hAnsi="Arial Narrow" w:cs="Calibri"/>
                <w:color w:val="000000"/>
                <w:sz w:val="20"/>
                <w:szCs w:val="20"/>
              </w:rPr>
            </w:pPr>
            <w:r w:rsidRPr="008F1678">
              <w:rPr>
                <w:rFonts w:ascii="Arial Narrow" w:hAnsi="Arial Narrow" w:cs="Calibri"/>
                <w:color w:val="000000"/>
                <w:sz w:val="20"/>
                <w:szCs w:val="20"/>
              </w:rPr>
              <w:t xml:space="preserve">                  </w:t>
            </w:r>
            <w:r w:rsidR="00975575">
              <w:rPr>
                <w:rFonts w:ascii="Arial Narrow" w:hAnsi="Arial Narrow" w:cs="Calibri"/>
                <w:noProof/>
                <w:color w:val="000000"/>
                <w:sz w:val="20"/>
                <w:szCs w:val="20"/>
                <w:highlight w:val="black"/>
              </w:rPr>
              <w:t>'''''''''''''</w:t>
            </w:r>
            <w:r>
              <w:rPr>
                <w:rFonts w:ascii="Arial Narrow" w:hAnsi="Arial Narrow" w:cs="Calibri"/>
                <w:color w:val="000000"/>
                <w:sz w:val="20"/>
                <w:szCs w:val="20"/>
                <w:vertAlign w:val="superscript"/>
              </w:rPr>
              <w:t>1</w:t>
            </w:r>
            <w:r w:rsidRPr="008F1678">
              <w:rPr>
                <w:rFonts w:ascii="Arial Narrow" w:hAnsi="Arial Narrow" w:cs="Calibri"/>
                <w:color w:val="000000"/>
                <w:sz w:val="20"/>
                <w:szCs w:val="20"/>
              </w:rPr>
              <w:t xml:space="preserve"> </w:t>
            </w:r>
          </w:p>
        </w:tc>
        <w:tc>
          <w:tcPr>
            <w:tcW w:w="589" w:type="pct"/>
            <w:tcBorders>
              <w:top w:val="nil"/>
              <w:left w:val="nil"/>
              <w:bottom w:val="single" w:sz="4" w:space="0" w:color="auto"/>
              <w:right w:val="single" w:sz="4" w:space="0" w:color="auto"/>
            </w:tcBorders>
            <w:shd w:val="clear" w:color="auto" w:fill="auto"/>
            <w:noWrap/>
            <w:vAlign w:val="bottom"/>
            <w:hideMark/>
          </w:tcPr>
          <w:p w:rsidR="00F82F56" w:rsidRPr="008F1678" w:rsidRDefault="00F82F56" w:rsidP="00F82F56">
            <w:pPr>
              <w:jc w:val="right"/>
              <w:rPr>
                <w:rFonts w:ascii="Arial Narrow" w:hAnsi="Arial Narrow" w:cs="Calibri"/>
                <w:color w:val="000000"/>
                <w:sz w:val="20"/>
                <w:szCs w:val="20"/>
              </w:rPr>
            </w:pPr>
            <w:r w:rsidRPr="008F1678">
              <w:rPr>
                <w:rFonts w:ascii="Arial Narrow" w:hAnsi="Arial Narrow" w:cs="Calibri"/>
                <w:color w:val="000000"/>
                <w:sz w:val="20"/>
                <w:szCs w:val="20"/>
              </w:rPr>
              <w:t xml:space="preserve">                  </w:t>
            </w:r>
            <w:r w:rsidR="00975575">
              <w:rPr>
                <w:rFonts w:ascii="Arial Narrow" w:hAnsi="Arial Narrow" w:cs="Calibri"/>
                <w:noProof/>
                <w:color w:val="000000"/>
                <w:sz w:val="20"/>
                <w:szCs w:val="20"/>
                <w:highlight w:val="black"/>
              </w:rPr>
              <w:t>'''''''''''''</w:t>
            </w:r>
            <w:r>
              <w:rPr>
                <w:rFonts w:ascii="Arial Narrow" w:hAnsi="Arial Narrow" w:cs="Calibri"/>
                <w:color w:val="000000"/>
                <w:sz w:val="20"/>
                <w:szCs w:val="20"/>
                <w:vertAlign w:val="superscript"/>
              </w:rPr>
              <w:t>1</w:t>
            </w:r>
            <w:r w:rsidRPr="008F1678">
              <w:rPr>
                <w:rFonts w:ascii="Arial Narrow" w:hAnsi="Arial Narrow" w:cs="Calibri"/>
                <w:color w:val="000000"/>
                <w:sz w:val="20"/>
                <w:szCs w:val="20"/>
              </w:rPr>
              <w:t xml:space="preserve"> </w:t>
            </w:r>
          </w:p>
        </w:tc>
        <w:tc>
          <w:tcPr>
            <w:tcW w:w="589" w:type="pct"/>
            <w:tcBorders>
              <w:top w:val="nil"/>
              <w:left w:val="nil"/>
              <w:bottom w:val="single" w:sz="4" w:space="0" w:color="auto"/>
              <w:right w:val="single" w:sz="4" w:space="0" w:color="auto"/>
            </w:tcBorders>
            <w:shd w:val="clear" w:color="auto" w:fill="auto"/>
            <w:noWrap/>
            <w:vAlign w:val="bottom"/>
            <w:hideMark/>
          </w:tcPr>
          <w:p w:rsidR="00F82F56" w:rsidRPr="008F1678" w:rsidRDefault="00F82F56" w:rsidP="00F82F56">
            <w:pPr>
              <w:jc w:val="right"/>
              <w:rPr>
                <w:rFonts w:ascii="Arial Narrow" w:hAnsi="Arial Narrow" w:cs="Calibri"/>
                <w:color w:val="000000"/>
                <w:sz w:val="20"/>
                <w:szCs w:val="20"/>
              </w:rPr>
            </w:pPr>
            <w:r w:rsidRPr="008F1678">
              <w:rPr>
                <w:rFonts w:ascii="Arial Narrow" w:hAnsi="Arial Narrow" w:cs="Calibri"/>
                <w:color w:val="000000"/>
                <w:sz w:val="20"/>
                <w:szCs w:val="20"/>
              </w:rPr>
              <w:t xml:space="preserve">                  </w:t>
            </w:r>
            <w:r w:rsidR="00975575">
              <w:rPr>
                <w:rFonts w:ascii="Arial Narrow" w:hAnsi="Arial Narrow" w:cs="Calibri"/>
                <w:noProof/>
                <w:color w:val="000000"/>
                <w:sz w:val="20"/>
                <w:szCs w:val="20"/>
                <w:highlight w:val="black"/>
              </w:rPr>
              <w:t>''''''''''''</w:t>
            </w:r>
            <w:r>
              <w:rPr>
                <w:rFonts w:ascii="Arial Narrow" w:hAnsi="Arial Narrow" w:cs="Calibri"/>
                <w:color w:val="000000"/>
                <w:sz w:val="20"/>
                <w:szCs w:val="20"/>
                <w:vertAlign w:val="superscript"/>
              </w:rPr>
              <w:t>1</w:t>
            </w:r>
            <w:r w:rsidRPr="008F1678">
              <w:rPr>
                <w:rFonts w:ascii="Arial Narrow" w:hAnsi="Arial Narrow" w:cs="Calibri"/>
                <w:color w:val="000000"/>
                <w:sz w:val="20"/>
                <w:szCs w:val="20"/>
              </w:rPr>
              <w:t xml:space="preserve"> </w:t>
            </w:r>
          </w:p>
        </w:tc>
        <w:tc>
          <w:tcPr>
            <w:tcW w:w="589" w:type="pct"/>
            <w:tcBorders>
              <w:top w:val="nil"/>
              <w:left w:val="nil"/>
              <w:bottom w:val="single" w:sz="4" w:space="0" w:color="auto"/>
              <w:right w:val="single" w:sz="4" w:space="0" w:color="auto"/>
            </w:tcBorders>
            <w:shd w:val="clear" w:color="auto" w:fill="auto"/>
            <w:noWrap/>
            <w:vAlign w:val="bottom"/>
            <w:hideMark/>
          </w:tcPr>
          <w:p w:rsidR="00F82F56" w:rsidRPr="008F1678" w:rsidRDefault="00F82F56" w:rsidP="00F82F56">
            <w:pPr>
              <w:jc w:val="right"/>
              <w:rPr>
                <w:rFonts w:ascii="Arial Narrow" w:hAnsi="Arial Narrow" w:cs="Calibri"/>
                <w:color w:val="000000"/>
                <w:sz w:val="20"/>
                <w:szCs w:val="20"/>
              </w:rPr>
            </w:pPr>
            <w:r w:rsidRPr="008F1678">
              <w:rPr>
                <w:rFonts w:ascii="Arial Narrow" w:hAnsi="Arial Narrow" w:cs="Calibri"/>
                <w:color w:val="000000"/>
                <w:sz w:val="20"/>
                <w:szCs w:val="20"/>
              </w:rPr>
              <w:t xml:space="preserve">                  </w:t>
            </w:r>
            <w:r w:rsidR="00975575">
              <w:rPr>
                <w:rFonts w:ascii="Arial Narrow" w:hAnsi="Arial Narrow" w:cs="Calibri"/>
                <w:noProof/>
                <w:color w:val="000000"/>
                <w:sz w:val="20"/>
                <w:szCs w:val="20"/>
                <w:highlight w:val="black"/>
              </w:rPr>
              <w:t>''''''''''''</w:t>
            </w:r>
            <w:r>
              <w:rPr>
                <w:rFonts w:ascii="Arial Narrow" w:hAnsi="Arial Narrow" w:cs="Calibri"/>
                <w:color w:val="000000"/>
                <w:sz w:val="20"/>
                <w:szCs w:val="20"/>
                <w:vertAlign w:val="superscript"/>
              </w:rPr>
              <w:t>1</w:t>
            </w:r>
            <w:r w:rsidRPr="008F1678">
              <w:rPr>
                <w:rFonts w:ascii="Arial Narrow" w:hAnsi="Arial Narrow" w:cs="Calibri"/>
                <w:color w:val="000000"/>
                <w:sz w:val="20"/>
                <w:szCs w:val="20"/>
              </w:rPr>
              <w:t xml:space="preserve"> </w:t>
            </w:r>
          </w:p>
        </w:tc>
        <w:tc>
          <w:tcPr>
            <w:tcW w:w="589" w:type="pct"/>
            <w:tcBorders>
              <w:top w:val="nil"/>
              <w:left w:val="nil"/>
              <w:bottom w:val="single" w:sz="4" w:space="0" w:color="auto"/>
              <w:right w:val="single" w:sz="4" w:space="0" w:color="auto"/>
            </w:tcBorders>
            <w:shd w:val="clear" w:color="auto" w:fill="auto"/>
            <w:noWrap/>
            <w:vAlign w:val="bottom"/>
            <w:hideMark/>
          </w:tcPr>
          <w:p w:rsidR="00F82F56" w:rsidRPr="008F1678" w:rsidRDefault="00F82F56" w:rsidP="00F82F56">
            <w:pPr>
              <w:jc w:val="right"/>
              <w:rPr>
                <w:rFonts w:ascii="Arial Narrow" w:hAnsi="Arial Narrow" w:cs="Calibri"/>
                <w:color w:val="000000"/>
                <w:sz w:val="20"/>
                <w:szCs w:val="20"/>
              </w:rPr>
            </w:pPr>
            <w:r w:rsidRPr="008F1678">
              <w:rPr>
                <w:rFonts w:ascii="Arial Narrow" w:hAnsi="Arial Narrow" w:cs="Calibri"/>
                <w:color w:val="000000"/>
                <w:sz w:val="20"/>
                <w:szCs w:val="20"/>
              </w:rPr>
              <w:t xml:space="preserve">                  </w:t>
            </w:r>
            <w:r w:rsidR="00975575">
              <w:rPr>
                <w:rFonts w:ascii="Arial Narrow" w:hAnsi="Arial Narrow" w:cs="Calibri"/>
                <w:noProof/>
                <w:color w:val="000000"/>
                <w:sz w:val="20"/>
                <w:szCs w:val="20"/>
                <w:highlight w:val="black"/>
              </w:rPr>
              <w:t>''''''''''''''</w:t>
            </w:r>
            <w:r>
              <w:rPr>
                <w:rFonts w:ascii="Arial Narrow" w:hAnsi="Arial Narrow" w:cs="Calibri"/>
                <w:color w:val="000000"/>
                <w:sz w:val="20"/>
                <w:szCs w:val="20"/>
                <w:vertAlign w:val="superscript"/>
              </w:rPr>
              <w:t>1</w:t>
            </w:r>
            <w:r w:rsidRPr="008F1678">
              <w:rPr>
                <w:rFonts w:ascii="Arial Narrow" w:hAnsi="Arial Narrow" w:cs="Calibri"/>
                <w:color w:val="000000"/>
                <w:sz w:val="20"/>
                <w:szCs w:val="20"/>
              </w:rPr>
              <w:t xml:space="preserve"> </w:t>
            </w:r>
          </w:p>
        </w:tc>
        <w:tc>
          <w:tcPr>
            <w:tcW w:w="632" w:type="pct"/>
            <w:tcBorders>
              <w:top w:val="nil"/>
              <w:left w:val="nil"/>
              <w:bottom w:val="single" w:sz="4" w:space="0" w:color="auto"/>
              <w:right w:val="single" w:sz="4" w:space="0" w:color="auto"/>
            </w:tcBorders>
            <w:shd w:val="clear" w:color="auto" w:fill="auto"/>
            <w:noWrap/>
            <w:vAlign w:val="bottom"/>
            <w:hideMark/>
          </w:tcPr>
          <w:p w:rsidR="00F82F56" w:rsidRPr="008F1678" w:rsidRDefault="00F82F56" w:rsidP="00F82F56">
            <w:pPr>
              <w:jc w:val="right"/>
              <w:rPr>
                <w:rFonts w:ascii="Arial Narrow" w:hAnsi="Arial Narrow" w:cs="Calibri"/>
                <w:color w:val="000000"/>
                <w:sz w:val="20"/>
                <w:szCs w:val="20"/>
              </w:rPr>
            </w:pPr>
            <w:r w:rsidRPr="008F1678">
              <w:rPr>
                <w:rFonts w:ascii="Arial Narrow" w:hAnsi="Arial Narrow" w:cs="Calibri"/>
                <w:color w:val="000000"/>
                <w:sz w:val="20"/>
                <w:szCs w:val="20"/>
              </w:rPr>
              <w:t> </w:t>
            </w:r>
          </w:p>
        </w:tc>
      </w:tr>
      <w:tr w:rsidR="00F82F56" w:rsidRPr="008F1678" w:rsidTr="00F82F56">
        <w:trPr>
          <w:trHeight w:val="530"/>
        </w:trPr>
        <w:tc>
          <w:tcPr>
            <w:tcW w:w="832" w:type="pct"/>
            <w:tcBorders>
              <w:top w:val="nil"/>
              <w:left w:val="single" w:sz="4" w:space="0" w:color="auto"/>
              <w:bottom w:val="single" w:sz="4" w:space="0" w:color="auto"/>
              <w:right w:val="single" w:sz="4" w:space="0" w:color="auto"/>
            </w:tcBorders>
            <w:shd w:val="clear" w:color="auto" w:fill="auto"/>
            <w:vAlign w:val="bottom"/>
            <w:hideMark/>
          </w:tcPr>
          <w:p w:rsidR="00F82F56" w:rsidRPr="008F1678" w:rsidRDefault="00F82F56" w:rsidP="00F82F56">
            <w:pPr>
              <w:jc w:val="left"/>
              <w:rPr>
                <w:rFonts w:ascii="Arial Narrow" w:hAnsi="Arial Narrow" w:cs="Calibri"/>
                <w:color w:val="000000"/>
                <w:sz w:val="20"/>
                <w:szCs w:val="20"/>
              </w:rPr>
            </w:pPr>
            <w:r w:rsidRPr="008F1678">
              <w:rPr>
                <w:rFonts w:ascii="Arial Narrow" w:hAnsi="Arial Narrow" w:cs="Calibri"/>
                <w:color w:val="000000"/>
                <w:sz w:val="20"/>
                <w:szCs w:val="20"/>
              </w:rPr>
              <w:lastRenderedPageBreak/>
              <w:t>Add adolescents (9% increase), initiating patients</w:t>
            </w:r>
          </w:p>
        </w:tc>
        <w:tc>
          <w:tcPr>
            <w:tcW w:w="589" w:type="pct"/>
            <w:tcBorders>
              <w:top w:val="nil"/>
              <w:left w:val="nil"/>
              <w:bottom w:val="single" w:sz="4" w:space="0" w:color="auto"/>
              <w:right w:val="single" w:sz="4" w:space="0" w:color="auto"/>
            </w:tcBorders>
            <w:shd w:val="clear" w:color="auto" w:fill="auto"/>
            <w:noWrap/>
            <w:vAlign w:val="bottom"/>
            <w:hideMark/>
          </w:tcPr>
          <w:p w:rsidR="00F82F56" w:rsidRPr="008F1678" w:rsidRDefault="00F82F56" w:rsidP="00F82F56">
            <w:pPr>
              <w:jc w:val="right"/>
              <w:rPr>
                <w:rFonts w:ascii="Arial Narrow" w:hAnsi="Arial Narrow" w:cs="Calibri"/>
                <w:color w:val="000000"/>
                <w:sz w:val="20"/>
                <w:szCs w:val="20"/>
              </w:rPr>
            </w:pPr>
            <w:r w:rsidRPr="008F1678">
              <w:rPr>
                <w:rFonts w:ascii="Arial Narrow" w:hAnsi="Arial Narrow" w:cs="Calibri"/>
                <w:color w:val="000000"/>
                <w:sz w:val="20"/>
                <w:szCs w:val="20"/>
              </w:rPr>
              <w:t xml:space="preserve">                  </w:t>
            </w:r>
            <w:r w:rsidR="00975575">
              <w:rPr>
                <w:rFonts w:ascii="Arial Narrow" w:hAnsi="Arial Narrow" w:cs="Calibri"/>
                <w:noProof/>
                <w:color w:val="000000"/>
                <w:sz w:val="20"/>
                <w:szCs w:val="20"/>
                <w:highlight w:val="black"/>
              </w:rPr>
              <w:t>'''''''''''''''</w:t>
            </w:r>
            <w:r>
              <w:rPr>
                <w:rFonts w:ascii="Arial Narrow" w:hAnsi="Arial Narrow" w:cs="Calibri"/>
                <w:color w:val="000000"/>
                <w:sz w:val="20"/>
                <w:szCs w:val="20"/>
                <w:vertAlign w:val="superscript"/>
              </w:rPr>
              <w:t>1</w:t>
            </w:r>
            <w:r w:rsidRPr="008F1678">
              <w:rPr>
                <w:rFonts w:ascii="Arial Narrow" w:hAnsi="Arial Narrow" w:cs="Calibri"/>
                <w:color w:val="000000"/>
                <w:sz w:val="20"/>
                <w:szCs w:val="20"/>
              </w:rPr>
              <w:t xml:space="preserve"> </w:t>
            </w:r>
          </w:p>
        </w:tc>
        <w:tc>
          <w:tcPr>
            <w:tcW w:w="589" w:type="pct"/>
            <w:tcBorders>
              <w:top w:val="nil"/>
              <w:left w:val="nil"/>
              <w:bottom w:val="single" w:sz="4" w:space="0" w:color="auto"/>
              <w:right w:val="single" w:sz="4" w:space="0" w:color="auto"/>
            </w:tcBorders>
            <w:shd w:val="clear" w:color="auto" w:fill="auto"/>
            <w:noWrap/>
            <w:vAlign w:val="bottom"/>
            <w:hideMark/>
          </w:tcPr>
          <w:p w:rsidR="00F82F56" w:rsidRPr="008F1678" w:rsidRDefault="00F82F56" w:rsidP="00F82F56">
            <w:pPr>
              <w:jc w:val="right"/>
              <w:rPr>
                <w:rFonts w:ascii="Arial Narrow" w:hAnsi="Arial Narrow" w:cs="Calibri"/>
                <w:color w:val="000000"/>
                <w:sz w:val="20"/>
                <w:szCs w:val="20"/>
              </w:rPr>
            </w:pPr>
            <w:r w:rsidRPr="008F1678">
              <w:rPr>
                <w:rFonts w:ascii="Arial Narrow" w:hAnsi="Arial Narrow" w:cs="Calibri"/>
                <w:color w:val="000000"/>
                <w:sz w:val="20"/>
                <w:szCs w:val="20"/>
              </w:rPr>
              <w:t xml:space="preserve">                  </w:t>
            </w:r>
            <w:r w:rsidR="00975575">
              <w:rPr>
                <w:rFonts w:ascii="Arial Narrow" w:hAnsi="Arial Narrow" w:cs="Calibri"/>
                <w:noProof/>
                <w:color w:val="000000"/>
                <w:sz w:val="20"/>
                <w:szCs w:val="20"/>
                <w:highlight w:val="black"/>
              </w:rPr>
              <w:t>'''''''''''''''</w:t>
            </w:r>
            <w:r>
              <w:rPr>
                <w:rFonts w:ascii="Arial Narrow" w:hAnsi="Arial Narrow" w:cs="Calibri"/>
                <w:color w:val="000000"/>
                <w:sz w:val="20"/>
                <w:szCs w:val="20"/>
                <w:vertAlign w:val="superscript"/>
              </w:rPr>
              <w:t>1</w:t>
            </w:r>
            <w:r w:rsidRPr="008F1678">
              <w:rPr>
                <w:rFonts w:ascii="Arial Narrow" w:hAnsi="Arial Narrow" w:cs="Calibri"/>
                <w:color w:val="000000"/>
                <w:sz w:val="20"/>
                <w:szCs w:val="20"/>
              </w:rPr>
              <w:t xml:space="preserve"> </w:t>
            </w:r>
          </w:p>
        </w:tc>
        <w:tc>
          <w:tcPr>
            <w:tcW w:w="589" w:type="pct"/>
            <w:tcBorders>
              <w:top w:val="nil"/>
              <w:left w:val="nil"/>
              <w:bottom w:val="single" w:sz="4" w:space="0" w:color="auto"/>
              <w:right w:val="single" w:sz="4" w:space="0" w:color="auto"/>
            </w:tcBorders>
            <w:shd w:val="clear" w:color="auto" w:fill="auto"/>
            <w:noWrap/>
            <w:vAlign w:val="bottom"/>
            <w:hideMark/>
          </w:tcPr>
          <w:p w:rsidR="00F82F56" w:rsidRPr="008F1678" w:rsidRDefault="00F82F56" w:rsidP="00F82F56">
            <w:pPr>
              <w:jc w:val="right"/>
              <w:rPr>
                <w:rFonts w:ascii="Arial Narrow" w:hAnsi="Arial Narrow" w:cs="Calibri"/>
                <w:color w:val="000000"/>
                <w:sz w:val="20"/>
                <w:szCs w:val="20"/>
              </w:rPr>
            </w:pPr>
            <w:r w:rsidRPr="008F1678">
              <w:rPr>
                <w:rFonts w:ascii="Arial Narrow" w:hAnsi="Arial Narrow" w:cs="Calibri"/>
                <w:color w:val="000000"/>
                <w:sz w:val="20"/>
                <w:szCs w:val="20"/>
              </w:rPr>
              <w:t xml:space="preserve">                  </w:t>
            </w:r>
            <w:r w:rsidR="00975575">
              <w:rPr>
                <w:rFonts w:ascii="Arial Narrow" w:hAnsi="Arial Narrow" w:cs="Calibri"/>
                <w:noProof/>
                <w:color w:val="000000"/>
                <w:sz w:val="20"/>
                <w:szCs w:val="20"/>
                <w:highlight w:val="black"/>
              </w:rPr>
              <w:t>'''''''''''''''</w:t>
            </w:r>
            <w:r>
              <w:rPr>
                <w:rFonts w:ascii="Arial Narrow" w:hAnsi="Arial Narrow" w:cs="Calibri"/>
                <w:color w:val="000000"/>
                <w:sz w:val="20"/>
                <w:szCs w:val="20"/>
                <w:vertAlign w:val="superscript"/>
              </w:rPr>
              <w:t>1</w:t>
            </w:r>
            <w:r w:rsidRPr="008F1678">
              <w:rPr>
                <w:rFonts w:ascii="Arial Narrow" w:hAnsi="Arial Narrow" w:cs="Calibri"/>
                <w:color w:val="000000"/>
                <w:sz w:val="20"/>
                <w:szCs w:val="20"/>
              </w:rPr>
              <w:t xml:space="preserve"> </w:t>
            </w:r>
          </w:p>
        </w:tc>
        <w:tc>
          <w:tcPr>
            <w:tcW w:w="589" w:type="pct"/>
            <w:tcBorders>
              <w:top w:val="nil"/>
              <w:left w:val="nil"/>
              <w:bottom w:val="single" w:sz="4" w:space="0" w:color="auto"/>
              <w:right w:val="single" w:sz="4" w:space="0" w:color="auto"/>
            </w:tcBorders>
            <w:shd w:val="clear" w:color="auto" w:fill="auto"/>
            <w:noWrap/>
            <w:vAlign w:val="bottom"/>
            <w:hideMark/>
          </w:tcPr>
          <w:p w:rsidR="00F82F56" w:rsidRPr="008F1678" w:rsidRDefault="00F82F56" w:rsidP="00F82F56">
            <w:pPr>
              <w:jc w:val="right"/>
              <w:rPr>
                <w:rFonts w:ascii="Arial Narrow" w:hAnsi="Arial Narrow" w:cs="Calibri"/>
                <w:color w:val="000000"/>
                <w:sz w:val="20"/>
                <w:szCs w:val="20"/>
              </w:rPr>
            </w:pPr>
            <w:r w:rsidRPr="008F1678">
              <w:rPr>
                <w:rFonts w:ascii="Arial Narrow" w:hAnsi="Arial Narrow" w:cs="Calibri"/>
                <w:color w:val="000000"/>
                <w:sz w:val="20"/>
                <w:szCs w:val="20"/>
              </w:rPr>
              <w:t xml:space="preserve">                  </w:t>
            </w:r>
            <w:r w:rsidR="00975575">
              <w:rPr>
                <w:rFonts w:ascii="Arial Narrow" w:hAnsi="Arial Narrow" w:cs="Calibri"/>
                <w:noProof/>
                <w:color w:val="000000"/>
                <w:sz w:val="20"/>
                <w:szCs w:val="20"/>
                <w:highlight w:val="black"/>
              </w:rPr>
              <w:t>''''''''''''''</w:t>
            </w:r>
            <w:r>
              <w:rPr>
                <w:rFonts w:ascii="Arial Narrow" w:hAnsi="Arial Narrow" w:cs="Calibri"/>
                <w:color w:val="000000"/>
                <w:sz w:val="20"/>
                <w:szCs w:val="20"/>
                <w:vertAlign w:val="superscript"/>
              </w:rPr>
              <w:t>1</w:t>
            </w:r>
            <w:r w:rsidRPr="008F1678">
              <w:rPr>
                <w:rFonts w:ascii="Arial Narrow" w:hAnsi="Arial Narrow" w:cs="Calibri"/>
                <w:color w:val="000000"/>
                <w:sz w:val="20"/>
                <w:szCs w:val="20"/>
              </w:rPr>
              <w:t xml:space="preserve"> </w:t>
            </w:r>
          </w:p>
        </w:tc>
        <w:tc>
          <w:tcPr>
            <w:tcW w:w="589" w:type="pct"/>
            <w:tcBorders>
              <w:top w:val="nil"/>
              <w:left w:val="nil"/>
              <w:bottom w:val="single" w:sz="4" w:space="0" w:color="auto"/>
              <w:right w:val="single" w:sz="4" w:space="0" w:color="auto"/>
            </w:tcBorders>
            <w:shd w:val="clear" w:color="auto" w:fill="auto"/>
            <w:noWrap/>
            <w:vAlign w:val="bottom"/>
            <w:hideMark/>
          </w:tcPr>
          <w:p w:rsidR="00F82F56" w:rsidRPr="008F1678" w:rsidRDefault="00F82F56" w:rsidP="00F82F56">
            <w:pPr>
              <w:jc w:val="right"/>
              <w:rPr>
                <w:rFonts w:ascii="Arial Narrow" w:hAnsi="Arial Narrow" w:cs="Calibri"/>
                <w:color w:val="000000"/>
                <w:sz w:val="20"/>
                <w:szCs w:val="20"/>
              </w:rPr>
            </w:pPr>
            <w:r w:rsidRPr="008F1678">
              <w:rPr>
                <w:rFonts w:ascii="Arial Narrow" w:hAnsi="Arial Narrow" w:cs="Calibri"/>
                <w:color w:val="000000"/>
                <w:sz w:val="20"/>
                <w:szCs w:val="20"/>
              </w:rPr>
              <w:t xml:space="preserve">                  </w:t>
            </w:r>
            <w:r w:rsidR="00975575">
              <w:rPr>
                <w:rFonts w:ascii="Arial Narrow" w:hAnsi="Arial Narrow" w:cs="Calibri"/>
                <w:noProof/>
                <w:color w:val="000000"/>
                <w:sz w:val="20"/>
                <w:szCs w:val="20"/>
                <w:highlight w:val="black"/>
              </w:rPr>
              <w:t>'''''''''''''</w:t>
            </w:r>
            <w:r>
              <w:rPr>
                <w:rFonts w:ascii="Arial Narrow" w:hAnsi="Arial Narrow" w:cs="Calibri"/>
                <w:color w:val="000000"/>
                <w:sz w:val="20"/>
                <w:szCs w:val="20"/>
                <w:vertAlign w:val="superscript"/>
              </w:rPr>
              <w:t>1</w:t>
            </w:r>
            <w:r w:rsidRPr="008F1678">
              <w:rPr>
                <w:rFonts w:ascii="Arial Narrow" w:hAnsi="Arial Narrow" w:cs="Calibri"/>
                <w:color w:val="000000"/>
                <w:sz w:val="20"/>
                <w:szCs w:val="20"/>
              </w:rPr>
              <w:t xml:space="preserve"> </w:t>
            </w:r>
          </w:p>
        </w:tc>
        <w:tc>
          <w:tcPr>
            <w:tcW w:w="589" w:type="pct"/>
            <w:tcBorders>
              <w:top w:val="nil"/>
              <w:left w:val="nil"/>
              <w:bottom w:val="single" w:sz="4" w:space="0" w:color="auto"/>
              <w:right w:val="single" w:sz="4" w:space="0" w:color="auto"/>
            </w:tcBorders>
            <w:shd w:val="clear" w:color="auto" w:fill="auto"/>
            <w:noWrap/>
            <w:vAlign w:val="bottom"/>
            <w:hideMark/>
          </w:tcPr>
          <w:p w:rsidR="00F82F56" w:rsidRPr="008F1678" w:rsidRDefault="00F82F56" w:rsidP="00F82F56">
            <w:pPr>
              <w:jc w:val="right"/>
              <w:rPr>
                <w:rFonts w:ascii="Arial Narrow" w:hAnsi="Arial Narrow" w:cs="Calibri"/>
                <w:color w:val="000000"/>
                <w:sz w:val="20"/>
                <w:szCs w:val="20"/>
              </w:rPr>
            </w:pPr>
            <w:r w:rsidRPr="008F1678">
              <w:rPr>
                <w:rFonts w:ascii="Arial Narrow" w:hAnsi="Arial Narrow" w:cs="Calibri"/>
                <w:color w:val="000000"/>
                <w:sz w:val="20"/>
                <w:szCs w:val="20"/>
              </w:rPr>
              <w:t xml:space="preserve">                  </w:t>
            </w:r>
            <w:r w:rsidR="00975575">
              <w:rPr>
                <w:rFonts w:ascii="Arial Narrow" w:hAnsi="Arial Narrow" w:cs="Calibri"/>
                <w:noProof/>
                <w:color w:val="000000"/>
                <w:sz w:val="20"/>
                <w:szCs w:val="20"/>
                <w:highlight w:val="black"/>
              </w:rPr>
              <w:t>'''''''''''''</w:t>
            </w:r>
            <w:r>
              <w:rPr>
                <w:rFonts w:ascii="Arial Narrow" w:hAnsi="Arial Narrow" w:cs="Calibri"/>
                <w:color w:val="000000"/>
                <w:sz w:val="20"/>
                <w:szCs w:val="20"/>
                <w:vertAlign w:val="superscript"/>
              </w:rPr>
              <w:t>1</w:t>
            </w:r>
            <w:r w:rsidRPr="008F1678">
              <w:rPr>
                <w:rFonts w:ascii="Arial Narrow" w:hAnsi="Arial Narrow" w:cs="Calibri"/>
                <w:color w:val="000000"/>
                <w:sz w:val="20"/>
                <w:szCs w:val="20"/>
              </w:rPr>
              <w:t xml:space="preserve"> </w:t>
            </w:r>
          </w:p>
        </w:tc>
        <w:tc>
          <w:tcPr>
            <w:tcW w:w="632" w:type="pct"/>
            <w:tcBorders>
              <w:top w:val="nil"/>
              <w:left w:val="nil"/>
              <w:bottom w:val="single" w:sz="4" w:space="0" w:color="auto"/>
              <w:right w:val="single" w:sz="4" w:space="0" w:color="auto"/>
            </w:tcBorders>
            <w:shd w:val="clear" w:color="auto" w:fill="auto"/>
            <w:noWrap/>
            <w:vAlign w:val="bottom"/>
            <w:hideMark/>
          </w:tcPr>
          <w:p w:rsidR="00F82F56" w:rsidRPr="008F1678" w:rsidRDefault="00F82F56" w:rsidP="00F82F56">
            <w:pPr>
              <w:jc w:val="right"/>
              <w:rPr>
                <w:rFonts w:ascii="Arial Narrow" w:hAnsi="Arial Narrow" w:cs="Calibri"/>
                <w:color w:val="000000"/>
                <w:sz w:val="20"/>
                <w:szCs w:val="20"/>
              </w:rPr>
            </w:pPr>
            <w:r w:rsidRPr="008F1678">
              <w:rPr>
                <w:rFonts w:ascii="Arial Narrow" w:hAnsi="Arial Narrow" w:cs="Calibri"/>
                <w:color w:val="000000"/>
                <w:sz w:val="20"/>
                <w:szCs w:val="20"/>
              </w:rPr>
              <w:t> </w:t>
            </w:r>
          </w:p>
        </w:tc>
      </w:tr>
      <w:tr w:rsidR="00F82F56" w:rsidRPr="008F1678" w:rsidTr="00F82F56">
        <w:trPr>
          <w:trHeight w:val="290"/>
        </w:trPr>
        <w:tc>
          <w:tcPr>
            <w:tcW w:w="832" w:type="pct"/>
            <w:tcBorders>
              <w:top w:val="nil"/>
              <w:left w:val="single" w:sz="4" w:space="0" w:color="auto"/>
              <w:bottom w:val="single" w:sz="4" w:space="0" w:color="auto"/>
              <w:right w:val="single" w:sz="4" w:space="0" w:color="auto"/>
            </w:tcBorders>
            <w:shd w:val="clear" w:color="auto" w:fill="auto"/>
            <w:noWrap/>
            <w:vAlign w:val="bottom"/>
            <w:hideMark/>
          </w:tcPr>
          <w:p w:rsidR="00F82F56" w:rsidRPr="008F1678" w:rsidRDefault="00F82F56" w:rsidP="00F82F56">
            <w:pPr>
              <w:jc w:val="left"/>
              <w:rPr>
                <w:rFonts w:ascii="Arial Narrow" w:hAnsi="Arial Narrow" w:cs="Calibri"/>
                <w:color w:val="000000"/>
                <w:sz w:val="20"/>
                <w:szCs w:val="20"/>
              </w:rPr>
            </w:pPr>
            <w:r w:rsidRPr="008F1678">
              <w:rPr>
                <w:rFonts w:ascii="Arial Narrow" w:hAnsi="Arial Narrow" w:cs="Calibri"/>
                <w:color w:val="000000"/>
                <w:sz w:val="20"/>
                <w:szCs w:val="20"/>
              </w:rPr>
              <w:t>100% of patients with uncontrolled AD</w:t>
            </w:r>
          </w:p>
        </w:tc>
        <w:tc>
          <w:tcPr>
            <w:tcW w:w="589" w:type="pct"/>
            <w:tcBorders>
              <w:top w:val="nil"/>
              <w:left w:val="nil"/>
              <w:bottom w:val="single" w:sz="4" w:space="0" w:color="auto"/>
              <w:right w:val="single" w:sz="4" w:space="0" w:color="auto"/>
            </w:tcBorders>
            <w:shd w:val="clear" w:color="auto" w:fill="auto"/>
            <w:noWrap/>
            <w:vAlign w:val="bottom"/>
            <w:hideMark/>
          </w:tcPr>
          <w:p w:rsidR="00F82F56" w:rsidRPr="008F1678" w:rsidRDefault="00F82F56" w:rsidP="00F82F56">
            <w:pPr>
              <w:jc w:val="right"/>
              <w:rPr>
                <w:rFonts w:ascii="Arial Narrow" w:hAnsi="Arial Narrow" w:cs="Calibri"/>
                <w:color w:val="000000"/>
                <w:sz w:val="20"/>
                <w:szCs w:val="20"/>
              </w:rPr>
            </w:pPr>
            <w:r w:rsidRPr="008F1678">
              <w:rPr>
                <w:rFonts w:ascii="Arial Narrow" w:hAnsi="Arial Narrow" w:cs="Calibri"/>
                <w:color w:val="000000"/>
                <w:sz w:val="20"/>
                <w:szCs w:val="20"/>
              </w:rPr>
              <w:t xml:space="preserve">                  </w:t>
            </w:r>
            <w:r w:rsidR="00975575">
              <w:rPr>
                <w:rFonts w:ascii="Arial Narrow" w:hAnsi="Arial Narrow" w:cs="Calibri"/>
                <w:noProof/>
                <w:color w:val="000000"/>
                <w:sz w:val="20"/>
                <w:szCs w:val="20"/>
                <w:highlight w:val="black"/>
              </w:rPr>
              <w:t>''''''''''''''</w:t>
            </w:r>
            <w:r>
              <w:rPr>
                <w:rFonts w:ascii="Arial Narrow" w:hAnsi="Arial Narrow" w:cs="Calibri"/>
                <w:color w:val="000000"/>
                <w:sz w:val="20"/>
                <w:szCs w:val="20"/>
                <w:vertAlign w:val="superscript"/>
              </w:rPr>
              <w:t>1</w:t>
            </w:r>
            <w:r w:rsidRPr="008F1678">
              <w:rPr>
                <w:rFonts w:ascii="Arial Narrow" w:hAnsi="Arial Narrow" w:cs="Calibri"/>
                <w:color w:val="000000"/>
                <w:sz w:val="20"/>
                <w:szCs w:val="20"/>
              </w:rPr>
              <w:t xml:space="preserve"> </w:t>
            </w:r>
          </w:p>
        </w:tc>
        <w:tc>
          <w:tcPr>
            <w:tcW w:w="589" w:type="pct"/>
            <w:tcBorders>
              <w:top w:val="nil"/>
              <w:left w:val="nil"/>
              <w:bottom w:val="single" w:sz="4" w:space="0" w:color="auto"/>
              <w:right w:val="single" w:sz="4" w:space="0" w:color="auto"/>
            </w:tcBorders>
            <w:shd w:val="clear" w:color="auto" w:fill="auto"/>
            <w:noWrap/>
            <w:vAlign w:val="bottom"/>
            <w:hideMark/>
          </w:tcPr>
          <w:p w:rsidR="00F82F56" w:rsidRPr="008F1678" w:rsidRDefault="00F82F56" w:rsidP="00F82F56">
            <w:pPr>
              <w:jc w:val="right"/>
              <w:rPr>
                <w:rFonts w:ascii="Arial Narrow" w:hAnsi="Arial Narrow" w:cs="Calibri"/>
                <w:color w:val="000000"/>
                <w:sz w:val="20"/>
                <w:szCs w:val="20"/>
              </w:rPr>
            </w:pPr>
            <w:r w:rsidRPr="008F1678">
              <w:rPr>
                <w:rFonts w:ascii="Arial Narrow" w:hAnsi="Arial Narrow" w:cs="Calibri"/>
                <w:color w:val="000000"/>
                <w:sz w:val="20"/>
                <w:szCs w:val="20"/>
              </w:rPr>
              <w:t xml:space="preserve">                  </w:t>
            </w:r>
            <w:r w:rsidR="00975575">
              <w:rPr>
                <w:rFonts w:ascii="Arial Narrow" w:hAnsi="Arial Narrow" w:cs="Calibri"/>
                <w:noProof/>
                <w:color w:val="000000"/>
                <w:sz w:val="20"/>
                <w:szCs w:val="20"/>
                <w:highlight w:val="black"/>
              </w:rPr>
              <w:t>'''''''''''''</w:t>
            </w:r>
            <w:r>
              <w:rPr>
                <w:rFonts w:ascii="Arial Narrow" w:hAnsi="Arial Narrow" w:cs="Calibri"/>
                <w:color w:val="000000"/>
                <w:sz w:val="20"/>
                <w:szCs w:val="20"/>
                <w:vertAlign w:val="superscript"/>
              </w:rPr>
              <w:t>1</w:t>
            </w:r>
            <w:r w:rsidRPr="008F1678">
              <w:rPr>
                <w:rFonts w:ascii="Arial Narrow" w:hAnsi="Arial Narrow" w:cs="Calibri"/>
                <w:color w:val="000000"/>
                <w:sz w:val="20"/>
                <w:szCs w:val="20"/>
              </w:rPr>
              <w:t xml:space="preserve"> </w:t>
            </w:r>
          </w:p>
        </w:tc>
        <w:tc>
          <w:tcPr>
            <w:tcW w:w="589" w:type="pct"/>
            <w:tcBorders>
              <w:top w:val="nil"/>
              <w:left w:val="nil"/>
              <w:bottom w:val="single" w:sz="4" w:space="0" w:color="auto"/>
              <w:right w:val="single" w:sz="4" w:space="0" w:color="auto"/>
            </w:tcBorders>
            <w:shd w:val="clear" w:color="auto" w:fill="auto"/>
            <w:noWrap/>
            <w:vAlign w:val="bottom"/>
            <w:hideMark/>
          </w:tcPr>
          <w:p w:rsidR="00F82F56" w:rsidRPr="008F1678" w:rsidRDefault="00F82F56" w:rsidP="00F82F56">
            <w:pPr>
              <w:jc w:val="right"/>
              <w:rPr>
                <w:rFonts w:ascii="Arial Narrow" w:hAnsi="Arial Narrow" w:cs="Calibri"/>
                <w:color w:val="000000"/>
                <w:sz w:val="20"/>
                <w:szCs w:val="20"/>
              </w:rPr>
            </w:pPr>
            <w:r w:rsidRPr="008F1678">
              <w:rPr>
                <w:rFonts w:ascii="Arial Narrow" w:hAnsi="Arial Narrow" w:cs="Calibri"/>
                <w:color w:val="000000"/>
                <w:sz w:val="20"/>
                <w:szCs w:val="20"/>
              </w:rPr>
              <w:t xml:space="preserve">                  </w:t>
            </w:r>
            <w:r w:rsidR="00975575">
              <w:rPr>
                <w:rFonts w:ascii="Arial Narrow" w:hAnsi="Arial Narrow" w:cs="Calibri"/>
                <w:noProof/>
                <w:color w:val="000000"/>
                <w:sz w:val="20"/>
                <w:szCs w:val="20"/>
                <w:highlight w:val="black"/>
              </w:rPr>
              <w:t>''''''''''''</w:t>
            </w:r>
            <w:r>
              <w:rPr>
                <w:rFonts w:ascii="Arial Narrow" w:hAnsi="Arial Narrow" w:cs="Calibri"/>
                <w:color w:val="000000"/>
                <w:sz w:val="20"/>
                <w:szCs w:val="20"/>
                <w:vertAlign w:val="superscript"/>
              </w:rPr>
              <w:t>1</w:t>
            </w:r>
            <w:r w:rsidRPr="008F1678">
              <w:rPr>
                <w:rFonts w:ascii="Arial Narrow" w:hAnsi="Arial Narrow" w:cs="Calibri"/>
                <w:color w:val="000000"/>
                <w:sz w:val="20"/>
                <w:szCs w:val="20"/>
              </w:rPr>
              <w:t xml:space="preserve"> </w:t>
            </w:r>
          </w:p>
        </w:tc>
        <w:tc>
          <w:tcPr>
            <w:tcW w:w="589" w:type="pct"/>
            <w:tcBorders>
              <w:top w:val="nil"/>
              <w:left w:val="nil"/>
              <w:bottom w:val="single" w:sz="4" w:space="0" w:color="auto"/>
              <w:right w:val="single" w:sz="4" w:space="0" w:color="auto"/>
            </w:tcBorders>
            <w:shd w:val="clear" w:color="auto" w:fill="auto"/>
            <w:noWrap/>
            <w:vAlign w:val="bottom"/>
            <w:hideMark/>
          </w:tcPr>
          <w:p w:rsidR="00F82F56" w:rsidRPr="008F1678" w:rsidRDefault="00F82F56" w:rsidP="00F82F56">
            <w:pPr>
              <w:jc w:val="right"/>
              <w:rPr>
                <w:rFonts w:ascii="Arial Narrow" w:hAnsi="Arial Narrow" w:cs="Calibri"/>
                <w:color w:val="000000"/>
                <w:sz w:val="20"/>
                <w:szCs w:val="20"/>
              </w:rPr>
            </w:pPr>
            <w:r w:rsidRPr="008F1678">
              <w:rPr>
                <w:rFonts w:ascii="Arial Narrow" w:hAnsi="Arial Narrow" w:cs="Calibri"/>
                <w:color w:val="000000"/>
                <w:sz w:val="20"/>
                <w:szCs w:val="20"/>
              </w:rPr>
              <w:t xml:space="preserve">                  </w:t>
            </w:r>
            <w:r w:rsidR="00975575">
              <w:rPr>
                <w:rFonts w:ascii="Arial Narrow" w:hAnsi="Arial Narrow" w:cs="Calibri"/>
                <w:noProof/>
                <w:color w:val="000000"/>
                <w:sz w:val="20"/>
                <w:szCs w:val="20"/>
                <w:highlight w:val="black"/>
              </w:rPr>
              <w:t>''''''''''''''</w:t>
            </w:r>
            <w:r>
              <w:rPr>
                <w:rFonts w:ascii="Arial Narrow" w:hAnsi="Arial Narrow" w:cs="Calibri"/>
                <w:color w:val="000000"/>
                <w:sz w:val="20"/>
                <w:szCs w:val="20"/>
                <w:vertAlign w:val="superscript"/>
              </w:rPr>
              <w:t>1</w:t>
            </w:r>
            <w:r w:rsidRPr="008F1678">
              <w:rPr>
                <w:rFonts w:ascii="Arial Narrow" w:hAnsi="Arial Narrow" w:cs="Calibri"/>
                <w:color w:val="000000"/>
                <w:sz w:val="20"/>
                <w:szCs w:val="20"/>
              </w:rPr>
              <w:t xml:space="preserve"> </w:t>
            </w:r>
          </w:p>
        </w:tc>
        <w:tc>
          <w:tcPr>
            <w:tcW w:w="589" w:type="pct"/>
            <w:tcBorders>
              <w:top w:val="nil"/>
              <w:left w:val="nil"/>
              <w:bottom w:val="single" w:sz="4" w:space="0" w:color="auto"/>
              <w:right w:val="single" w:sz="4" w:space="0" w:color="auto"/>
            </w:tcBorders>
            <w:shd w:val="clear" w:color="auto" w:fill="auto"/>
            <w:noWrap/>
            <w:vAlign w:val="bottom"/>
            <w:hideMark/>
          </w:tcPr>
          <w:p w:rsidR="00F82F56" w:rsidRPr="008F1678" w:rsidRDefault="00F82F56" w:rsidP="00F82F56">
            <w:pPr>
              <w:jc w:val="right"/>
              <w:rPr>
                <w:rFonts w:ascii="Arial Narrow" w:hAnsi="Arial Narrow" w:cs="Calibri"/>
                <w:color w:val="000000"/>
                <w:sz w:val="20"/>
                <w:szCs w:val="20"/>
              </w:rPr>
            </w:pPr>
            <w:r w:rsidRPr="008F1678">
              <w:rPr>
                <w:rFonts w:ascii="Arial Narrow" w:hAnsi="Arial Narrow" w:cs="Calibri"/>
                <w:color w:val="000000"/>
                <w:sz w:val="20"/>
                <w:szCs w:val="20"/>
              </w:rPr>
              <w:t xml:space="preserve">                  </w:t>
            </w:r>
            <w:r w:rsidR="00975575">
              <w:rPr>
                <w:rFonts w:ascii="Arial Narrow" w:hAnsi="Arial Narrow" w:cs="Calibri"/>
                <w:noProof/>
                <w:color w:val="000000"/>
                <w:sz w:val="20"/>
                <w:szCs w:val="20"/>
                <w:highlight w:val="black"/>
              </w:rPr>
              <w:t>'''''''''''''</w:t>
            </w:r>
            <w:r>
              <w:rPr>
                <w:rFonts w:ascii="Arial Narrow" w:hAnsi="Arial Narrow" w:cs="Calibri"/>
                <w:color w:val="000000"/>
                <w:sz w:val="20"/>
                <w:szCs w:val="20"/>
                <w:vertAlign w:val="superscript"/>
              </w:rPr>
              <w:t>1</w:t>
            </w:r>
            <w:r w:rsidRPr="008F1678">
              <w:rPr>
                <w:rFonts w:ascii="Arial Narrow" w:hAnsi="Arial Narrow" w:cs="Calibri"/>
                <w:color w:val="000000"/>
                <w:sz w:val="20"/>
                <w:szCs w:val="20"/>
              </w:rPr>
              <w:t xml:space="preserve"> </w:t>
            </w:r>
          </w:p>
        </w:tc>
        <w:tc>
          <w:tcPr>
            <w:tcW w:w="589" w:type="pct"/>
            <w:tcBorders>
              <w:top w:val="nil"/>
              <w:left w:val="nil"/>
              <w:bottom w:val="single" w:sz="4" w:space="0" w:color="auto"/>
              <w:right w:val="single" w:sz="4" w:space="0" w:color="auto"/>
            </w:tcBorders>
            <w:shd w:val="clear" w:color="auto" w:fill="auto"/>
            <w:noWrap/>
            <w:vAlign w:val="bottom"/>
            <w:hideMark/>
          </w:tcPr>
          <w:p w:rsidR="00F82F56" w:rsidRPr="008F1678" w:rsidRDefault="00F82F56" w:rsidP="00F82F56">
            <w:pPr>
              <w:jc w:val="right"/>
              <w:rPr>
                <w:rFonts w:ascii="Arial Narrow" w:hAnsi="Arial Narrow" w:cs="Calibri"/>
                <w:color w:val="000000"/>
                <w:sz w:val="20"/>
                <w:szCs w:val="20"/>
              </w:rPr>
            </w:pPr>
            <w:r w:rsidRPr="008F1678">
              <w:rPr>
                <w:rFonts w:ascii="Arial Narrow" w:hAnsi="Arial Narrow" w:cs="Calibri"/>
                <w:color w:val="000000"/>
                <w:sz w:val="20"/>
                <w:szCs w:val="20"/>
              </w:rPr>
              <w:t xml:space="preserve">                  </w:t>
            </w:r>
            <w:r w:rsidR="00975575">
              <w:rPr>
                <w:rFonts w:ascii="Arial Narrow" w:hAnsi="Arial Narrow" w:cs="Calibri"/>
                <w:noProof/>
                <w:color w:val="000000"/>
                <w:sz w:val="20"/>
                <w:szCs w:val="20"/>
                <w:highlight w:val="black"/>
              </w:rPr>
              <w:t>'''''''''''''''</w:t>
            </w:r>
            <w:r>
              <w:rPr>
                <w:rFonts w:ascii="Arial Narrow" w:hAnsi="Arial Narrow" w:cs="Calibri"/>
                <w:color w:val="000000"/>
                <w:sz w:val="20"/>
                <w:szCs w:val="20"/>
                <w:vertAlign w:val="superscript"/>
              </w:rPr>
              <w:t>1</w:t>
            </w:r>
            <w:r w:rsidRPr="008F1678">
              <w:rPr>
                <w:rFonts w:ascii="Arial Narrow" w:hAnsi="Arial Narrow" w:cs="Calibri"/>
                <w:color w:val="000000"/>
                <w:sz w:val="20"/>
                <w:szCs w:val="20"/>
              </w:rPr>
              <w:t xml:space="preserve"> </w:t>
            </w:r>
          </w:p>
        </w:tc>
        <w:tc>
          <w:tcPr>
            <w:tcW w:w="632" w:type="pct"/>
            <w:tcBorders>
              <w:top w:val="nil"/>
              <w:left w:val="nil"/>
              <w:bottom w:val="single" w:sz="4" w:space="0" w:color="auto"/>
              <w:right w:val="single" w:sz="4" w:space="0" w:color="auto"/>
            </w:tcBorders>
            <w:shd w:val="clear" w:color="auto" w:fill="auto"/>
            <w:noWrap/>
            <w:vAlign w:val="bottom"/>
            <w:hideMark/>
          </w:tcPr>
          <w:p w:rsidR="00F82F56" w:rsidRPr="008F1678" w:rsidRDefault="00F82F56" w:rsidP="00F82F56">
            <w:pPr>
              <w:jc w:val="right"/>
              <w:rPr>
                <w:rFonts w:ascii="Arial Narrow" w:hAnsi="Arial Narrow" w:cs="Calibri"/>
                <w:color w:val="000000"/>
                <w:sz w:val="20"/>
                <w:szCs w:val="20"/>
              </w:rPr>
            </w:pPr>
            <w:r w:rsidRPr="008F1678">
              <w:rPr>
                <w:rFonts w:ascii="Arial Narrow" w:hAnsi="Arial Narrow" w:cs="Calibri"/>
                <w:color w:val="000000"/>
                <w:sz w:val="20"/>
                <w:szCs w:val="20"/>
              </w:rPr>
              <w:t> </w:t>
            </w:r>
          </w:p>
        </w:tc>
      </w:tr>
      <w:tr w:rsidR="00F82F56" w:rsidRPr="008F1678" w:rsidTr="00F82F56">
        <w:trPr>
          <w:trHeight w:val="290"/>
        </w:trPr>
        <w:tc>
          <w:tcPr>
            <w:tcW w:w="832" w:type="pct"/>
            <w:tcBorders>
              <w:top w:val="nil"/>
              <w:left w:val="single" w:sz="4" w:space="0" w:color="auto"/>
              <w:bottom w:val="single" w:sz="4" w:space="0" w:color="auto"/>
              <w:right w:val="single" w:sz="4" w:space="0" w:color="auto"/>
            </w:tcBorders>
            <w:shd w:val="clear" w:color="auto" w:fill="auto"/>
            <w:noWrap/>
            <w:vAlign w:val="bottom"/>
            <w:hideMark/>
          </w:tcPr>
          <w:p w:rsidR="00F82F56" w:rsidRPr="008F1678" w:rsidRDefault="00F82F56" w:rsidP="00F82F56">
            <w:pPr>
              <w:jc w:val="left"/>
              <w:rPr>
                <w:rFonts w:ascii="Arial Narrow" w:hAnsi="Arial Narrow" w:cs="Calibri"/>
                <w:color w:val="000000"/>
                <w:sz w:val="20"/>
                <w:szCs w:val="20"/>
              </w:rPr>
            </w:pPr>
            <w:r w:rsidRPr="008F1678">
              <w:rPr>
                <w:rFonts w:ascii="Arial Narrow" w:hAnsi="Arial Narrow" w:cs="Calibri"/>
                <w:color w:val="000000"/>
                <w:sz w:val="20"/>
                <w:szCs w:val="20"/>
              </w:rPr>
              <w:t>Revised uptake*</w:t>
            </w:r>
          </w:p>
        </w:tc>
        <w:tc>
          <w:tcPr>
            <w:tcW w:w="589" w:type="pct"/>
            <w:tcBorders>
              <w:top w:val="nil"/>
              <w:left w:val="nil"/>
              <w:bottom w:val="single" w:sz="4" w:space="0" w:color="auto"/>
              <w:right w:val="single" w:sz="4" w:space="0" w:color="auto"/>
            </w:tcBorders>
            <w:shd w:val="clear" w:color="auto" w:fill="auto"/>
            <w:noWrap/>
            <w:vAlign w:val="bottom"/>
            <w:hideMark/>
          </w:tcPr>
          <w:p w:rsidR="00F82F56" w:rsidRPr="008F1678" w:rsidRDefault="00F82F56" w:rsidP="00F82F56">
            <w:pPr>
              <w:jc w:val="right"/>
              <w:rPr>
                <w:rFonts w:ascii="Arial Narrow" w:hAnsi="Arial Narrow" w:cs="Calibri"/>
                <w:color w:val="000000"/>
                <w:sz w:val="20"/>
                <w:szCs w:val="20"/>
              </w:rPr>
            </w:pPr>
            <w:r w:rsidRPr="008F1678">
              <w:rPr>
                <w:rFonts w:ascii="Arial Narrow" w:hAnsi="Arial Narrow" w:cs="Calibri"/>
                <w:color w:val="000000"/>
                <w:sz w:val="20"/>
                <w:szCs w:val="20"/>
              </w:rPr>
              <w:t>5.0%</w:t>
            </w:r>
          </w:p>
        </w:tc>
        <w:tc>
          <w:tcPr>
            <w:tcW w:w="589" w:type="pct"/>
            <w:tcBorders>
              <w:top w:val="nil"/>
              <w:left w:val="nil"/>
              <w:bottom w:val="single" w:sz="4" w:space="0" w:color="auto"/>
              <w:right w:val="single" w:sz="4" w:space="0" w:color="auto"/>
            </w:tcBorders>
            <w:shd w:val="clear" w:color="auto" w:fill="auto"/>
            <w:noWrap/>
            <w:vAlign w:val="bottom"/>
            <w:hideMark/>
          </w:tcPr>
          <w:p w:rsidR="00F82F56" w:rsidRPr="008F1678" w:rsidRDefault="00F82F56" w:rsidP="00F82F56">
            <w:pPr>
              <w:jc w:val="right"/>
              <w:rPr>
                <w:rFonts w:ascii="Arial Narrow" w:hAnsi="Arial Narrow" w:cs="Calibri"/>
                <w:color w:val="000000"/>
                <w:sz w:val="20"/>
                <w:szCs w:val="20"/>
              </w:rPr>
            </w:pPr>
            <w:r w:rsidRPr="008F1678">
              <w:rPr>
                <w:rFonts w:ascii="Arial Narrow" w:hAnsi="Arial Narrow" w:cs="Calibri"/>
                <w:color w:val="000000"/>
                <w:sz w:val="20"/>
                <w:szCs w:val="20"/>
              </w:rPr>
              <w:t>4.5%</w:t>
            </w:r>
          </w:p>
        </w:tc>
        <w:tc>
          <w:tcPr>
            <w:tcW w:w="589" w:type="pct"/>
            <w:tcBorders>
              <w:top w:val="nil"/>
              <w:left w:val="nil"/>
              <w:bottom w:val="single" w:sz="4" w:space="0" w:color="auto"/>
              <w:right w:val="single" w:sz="4" w:space="0" w:color="auto"/>
            </w:tcBorders>
            <w:shd w:val="clear" w:color="auto" w:fill="auto"/>
            <w:noWrap/>
            <w:vAlign w:val="bottom"/>
            <w:hideMark/>
          </w:tcPr>
          <w:p w:rsidR="00F82F56" w:rsidRPr="008F1678" w:rsidRDefault="00F82F56" w:rsidP="00F82F56">
            <w:pPr>
              <w:jc w:val="right"/>
              <w:rPr>
                <w:rFonts w:ascii="Arial Narrow" w:hAnsi="Arial Narrow" w:cs="Calibri"/>
                <w:color w:val="000000"/>
                <w:sz w:val="20"/>
                <w:szCs w:val="20"/>
              </w:rPr>
            </w:pPr>
            <w:r w:rsidRPr="008F1678">
              <w:rPr>
                <w:rFonts w:ascii="Arial Narrow" w:hAnsi="Arial Narrow" w:cs="Calibri"/>
                <w:color w:val="000000"/>
                <w:sz w:val="20"/>
                <w:szCs w:val="20"/>
              </w:rPr>
              <w:t>4.0%</w:t>
            </w:r>
          </w:p>
        </w:tc>
        <w:tc>
          <w:tcPr>
            <w:tcW w:w="589" w:type="pct"/>
            <w:tcBorders>
              <w:top w:val="nil"/>
              <w:left w:val="nil"/>
              <w:bottom w:val="single" w:sz="4" w:space="0" w:color="auto"/>
              <w:right w:val="single" w:sz="4" w:space="0" w:color="auto"/>
            </w:tcBorders>
            <w:shd w:val="clear" w:color="auto" w:fill="auto"/>
            <w:noWrap/>
            <w:vAlign w:val="bottom"/>
            <w:hideMark/>
          </w:tcPr>
          <w:p w:rsidR="00F82F56" w:rsidRPr="008F1678" w:rsidRDefault="00F82F56" w:rsidP="00F82F56">
            <w:pPr>
              <w:jc w:val="right"/>
              <w:rPr>
                <w:rFonts w:ascii="Arial Narrow" w:hAnsi="Arial Narrow" w:cs="Calibri"/>
                <w:color w:val="000000"/>
                <w:sz w:val="20"/>
                <w:szCs w:val="20"/>
              </w:rPr>
            </w:pPr>
            <w:r w:rsidRPr="008F1678">
              <w:rPr>
                <w:rFonts w:ascii="Arial Narrow" w:hAnsi="Arial Narrow" w:cs="Calibri"/>
                <w:color w:val="000000"/>
                <w:sz w:val="20"/>
                <w:szCs w:val="20"/>
              </w:rPr>
              <w:t>3.5%</w:t>
            </w:r>
          </w:p>
        </w:tc>
        <w:tc>
          <w:tcPr>
            <w:tcW w:w="589" w:type="pct"/>
            <w:tcBorders>
              <w:top w:val="nil"/>
              <w:left w:val="nil"/>
              <w:bottom w:val="single" w:sz="4" w:space="0" w:color="auto"/>
              <w:right w:val="single" w:sz="4" w:space="0" w:color="auto"/>
            </w:tcBorders>
            <w:shd w:val="clear" w:color="auto" w:fill="auto"/>
            <w:noWrap/>
            <w:vAlign w:val="bottom"/>
            <w:hideMark/>
          </w:tcPr>
          <w:p w:rsidR="00F82F56" w:rsidRPr="008F1678" w:rsidRDefault="00F82F56" w:rsidP="00F82F56">
            <w:pPr>
              <w:jc w:val="right"/>
              <w:rPr>
                <w:rFonts w:ascii="Arial Narrow" w:hAnsi="Arial Narrow" w:cs="Calibri"/>
                <w:color w:val="000000"/>
                <w:sz w:val="20"/>
                <w:szCs w:val="20"/>
              </w:rPr>
            </w:pPr>
            <w:r w:rsidRPr="008F1678">
              <w:rPr>
                <w:rFonts w:ascii="Arial Narrow" w:hAnsi="Arial Narrow" w:cs="Calibri"/>
                <w:color w:val="000000"/>
                <w:sz w:val="20"/>
                <w:szCs w:val="20"/>
              </w:rPr>
              <w:t>3.5%</w:t>
            </w:r>
          </w:p>
        </w:tc>
        <w:tc>
          <w:tcPr>
            <w:tcW w:w="589" w:type="pct"/>
            <w:tcBorders>
              <w:top w:val="nil"/>
              <w:left w:val="nil"/>
              <w:bottom w:val="single" w:sz="4" w:space="0" w:color="auto"/>
              <w:right w:val="single" w:sz="4" w:space="0" w:color="auto"/>
            </w:tcBorders>
            <w:shd w:val="clear" w:color="auto" w:fill="auto"/>
            <w:noWrap/>
            <w:vAlign w:val="bottom"/>
            <w:hideMark/>
          </w:tcPr>
          <w:p w:rsidR="00F82F56" w:rsidRPr="008F1678" w:rsidRDefault="00F82F56" w:rsidP="00F82F56">
            <w:pPr>
              <w:jc w:val="right"/>
              <w:rPr>
                <w:rFonts w:ascii="Arial Narrow" w:hAnsi="Arial Narrow" w:cs="Calibri"/>
                <w:color w:val="000000"/>
                <w:sz w:val="20"/>
                <w:szCs w:val="20"/>
              </w:rPr>
            </w:pPr>
            <w:r w:rsidRPr="008F1678">
              <w:rPr>
                <w:rFonts w:ascii="Arial Narrow" w:hAnsi="Arial Narrow" w:cs="Calibri"/>
                <w:color w:val="000000"/>
                <w:sz w:val="20"/>
                <w:szCs w:val="20"/>
              </w:rPr>
              <w:t>3.5%</w:t>
            </w:r>
          </w:p>
        </w:tc>
        <w:tc>
          <w:tcPr>
            <w:tcW w:w="632" w:type="pct"/>
            <w:tcBorders>
              <w:top w:val="nil"/>
              <w:left w:val="nil"/>
              <w:bottom w:val="single" w:sz="4" w:space="0" w:color="auto"/>
              <w:right w:val="single" w:sz="4" w:space="0" w:color="auto"/>
            </w:tcBorders>
            <w:shd w:val="clear" w:color="auto" w:fill="auto"/>
            <w:noWrap/>
            <w:vAlign w:val="bottom"/>
            <w:hideMark/>
          </w:tcPr>
          <w:p w:rsidR="00F82F56" w:rsidRPr="008F1678" w:rsidRDefault="00F82F56" w:rsidP="00F82F56">
            <w:pPr>
              <w:jc w:val="right"/>
              <w:rPr>
                <w:rFonts w:ascii="Arial Narrow" w:hAnsi="Arial Narrow" w:cs="Calibri"/>
                <w:color w:val="000000"/>
                <w:sz w:val="20"/>
                <w:szCs w:val="20"/>
              </w:rPr>
            </w:pPr>
            <w:r w:rsidRPr="008F1678">
              <w:rPr>
                <w:rFonts w:ascii="Arial Narrow" w:hAnsi="Arial Narrow" w:cs="Calibri"/>
                <w:color w:val="000000"/>
                <w:sz w:val="20"/>
                <w:szCs w:val="20"/>
              </w:rPr>
              <w:t> </w:t>
            </w:r>
          </w:p>
        </w:tc>
      </w:tr>
      <w:tr w:rsidR="00F82F56" w:rsidRPr="008F1678" w:rsidTr="00F82F56">
        <w:trPr>
          <w:trHeight w:val="290"/>
        </w:trPr>
        <w:tc>
          <w:tcPr>
            <w:tcW w:w="832" w:type="pct"/>
            <w:tcBorders>
              <w:top w:val="nil"/>
              <w:left w:val="single" w:sz="4" w:space="0" w:color="auto"/>
              <w:bottom w:val="single" w:sz="4" w:space="0" w:color="auto"/>
              <w:right w:val="single" w:sz="4" w:space="0" w:color="auto"/>
            </w:tcBorders>
            <w:shd w:val="clear" w:color="auto" w:fill="auto"/>
            <w:noWrap/>
            <w:vAlign w:val="bottom"/>
            <w:hideMark/>
          </w:tcPr>
          <w:p w:rsidR="00F82F56" w:rsidRPr="008F1678" w:rsidRDefault="00F82F56" w:rsidP="00F82F56">
            <w:pPr>
              <w:jc w:val="left"/>
              <w:rPr>
                <w:rFonts w:ascii="Arial Narrow" w:hAnsi="Arial Narrow" w:cs="Calibri"/>
                <w:color w:val="000000"/>
                <w:sz w:val="20"/>
                <w:szCs w:val="20"/>
              </w:rPr>
            </w:pPr>
            <w:r w:rsidRPr="008F1678">
              <w:rPr>
                <w:rFonts w:ascii="Arial Narrow" w:hAnsi="Arial Narrow" w:cs="Calibri"/>
                <w:color w:val="000000"/>
                <w:sz w:val="20"/>
                <w:szCs w:val="20"/>
              </w:rPr>
              <w:t>Uptake, initiating patients</w:t>
            </w:r>
          </w:p>
        </w:tc>
        <w:tc>
          <w:tcPr>
            <w:tcW w:w="589" w:type="pct"/>
            <w:tcBorders>
              <w:top w:val="nil"/>
              <w:left w:val="nil"/>
              <w:bottom w:val="single" w:sz="4" w:space="0" w:color="auto"/>
              <w:right w:val="single" w:sz="4" w:space="0" w:color="auto"/>
            </w:tcBorders>
            <w:shd w:val="clear" w:color="auto" w:fill="auto"/>
            <w:noWrap/>
            <w:vAlign w:val="center"/>
            <w:hideMark/>
          </w:tcPr>
          <w:p w:rsidR="00F82F56" w:rsidRPr="008F1678" w:rsidRDefault="00975575" w:rsidP="00F82F56">
            <w:pPr>
              <w:jc w:val="right"/>
              <w:rPr>
                <w:rFonts w:ascii="Arial Narrow" w:hAnsi="Arial Narrow" w:cs="Calibri"/>
                <w:color w:val="000000"/>
                <w:sz w:val="20"/>
                <w:szCs w:val="20"/>
              </w:rPr>
            </w:pPr>
            <w:r>
              <w:rPr>
                <w:rFonts w:ascii="Arial Narrow" w:hAnsi="Arial Narrow" w:cs="Calibri"/>
                <w:noProof/>
                <w:color w:val="000000"/>
                <w:sz w:val="20"/>
                <w:szCs w:val="20"/>
                <w:highlight w:val="black"/>
              </w:rPr>
              <w:t>''''''''''''''</w:t>
            </w:r>
            <w:r w:rsidR="00F82F56">
              <w:rPr>
                <w:rFonts w:ascii="Arial Narrow" w:hAnsi="Arial Narrow" w:cs="Calibri"/>
                <w:color w:val="000000"/>
                <w:sz w:val="20"/>
                <w:szCs w:val="20"/>
                <w:vertAlign w:val="superscript"/>
              </w:rPr>
              <w:t>1</w:t>
            </w:r>
            <w:r w:rsidR="00F82F56" w:rsidRPr="008F1678">
              <w:rPr>
                <w:rFonts w:ascii="Arial Narrow" w:hAnsi="Arial Narrow" w:cs="Calibri"/>
                <w:color w:val="000000"/>
                <w:sz w:val="20"/>
                <w:szCs w:val="20"/>
              </w:rPr>
              <w:t xml:space="preserve"> </w:t>
            </w:r>
          </w:p>
        </w:tc>
        <w:tc>
          <w:tcPr>
            <w:tcW w:w="589" w:type="pct"/>
            <w:tcBorders>
              <w:top w:val="nil"/>
              <w:left w:val="nil"/>
              <w:bottom w:val="single" w:sz="4" w:space="0" w:color="auto"/>
              <w:right w:val="single" w:sz="4" w:space="0" w:color="auto"/>
            </w:tcBorders>
            <w:shd w:val="clear" w:color="auto" w:fill="auto"/>
            <w:noWrap/>
            <w:vAlign w:val="center"/>
            <w:hideMark/>
          </w:tcPr>
          <w:p w:rsidR="00F82F56" w:rsidRPr="008F1678" w:rsidRDefault="00975575" w:rsidP="00F82F56">
            <w:pPr>
              <w:jc w:val="right"/>
              <w:rPr>
                <w:rFonts w:ascii="Arial Narrow" w:hAnsi="Arial Narrow" w:cs="Calibri"/>
                <w:color w:val="000000"/>
                <w:sz w:val="20"/>
                <w:szCs w:val="20"/>
              </w:rPr>
            </w:pPr>
            <w:r>
              <w:rPr>
                <w:rFonts w:ascii="Arial Narrow" w:hAnsi="Arial Narrow" w:cs="Calibri"/>
                <w:noProof/>
                <w:color w:val="000000"/>
                <w:sz w:val="20"/>
                <w:szCs w:val="20"/>
                <w:highlight w:val="black"/>
              </w:rPr>
              <w:t>'''''''''''''</w:t>
            </w:r>
            <w:r w:rsidR="00F82F56">
              <w:rPr>
                <w:rFonts w:ascii="Arial Narrow" w:hAnsi="Arial Narrow" w:cs="Calibri"/>
                <w:color w:val="000000"/>
                <w:sz w:val="20"/>
                <w:szCs w:val="20"/>
                <w:vertAlign w:val="superscript"/>
              </w:rPr>
              <w:t>1</w:t>
            </w:r>
            <w:r w:rsidR="00F82F56" w:rsidRPr="008F1678">
              <w:rPr>
                <w:rFonts w:ascii="Arial Narrow" w:hAnsi="Arial Narrow" w:cs="Calibri"/>
                <w:color w:val="000000"/>
                <w:sz w:val="20"/>
                <w:szCs w:val="20"/>
              </w:rPr>
              <w:t xml:space="preserve"> </w:t>
            </w:r>
          </w:p>
        </w:tc>
        <w:tc>
          <w:tcPr>
            <w:tcW w:w="589" w:type="pct"/>
            <w:tcBorders>
              <w:top w:val="nil"/>
              <w:left w:val="nil"/>
              <w:bottom w:val="single" w:sz="4" w:space="0" w:color="auto"/>
              <w:right w:val="single" w:sz="4" w:space="0" w:color="auto"/>
            </w:tcBorders>
            <w:shd w:val="clear" w:color="auto" w:fill="auto"/>
            <w:noWrap/>
            <w:vAlign w:val="center"/>
            <w:hideMark/>
          </w:tcPr>
          <w:p w:rsidR="00F82F56" w:rsidRPr="008F1678" w:rsidRDefault="00975575" w:rsidP="00F82F56">
            <w:pPr>
              <w:jc w:val="right"/>
              <w:rPr>
                <w:rFonts w:ascii="Arial Narrow" w:hAnsi="Arial Narrow" w:cs="Calibri"/>
                <w:color w:val="000000"/>
                <w:sz w:val="20"/>
                <w:szCs w:val="20"/>
              </w:rPr>
            </w:pPr>
            <w:r>
              <w:rPr>
                <w:rFonts w:ascii="Arial Narrow" w:hAnsi="Arial Narrow" w:cs="Calibri"/>
                <w:noProof/>
                <w:color w:val="000000"/>
                <w:sz w:val="20"/>
                <w:szCs w:val="20"/>
                <w:highlight w:val="black"/>
              </w:rPr>
              <w:t>''''''''''''</w:t>
            </w:r>
            <w:r w:rsidR="00F82F56">
              <w:rPr>
                <w:rFonts w:ascii="Arial Narrow" w:hAnsi="Arial Narrow" w:cs="Calibri"/>
                <w:color w:val="000000"/>
                <w:sz w:val="20"/>
                <w:szCs w:val="20"/>
                <w:vertAlign w:val="superscript"/>
              </w:rPr>
              <w:t>1</w:t>
            </w:r>
            <w:r w:rsidR="00F82F56" w:rsidRPr="008F1678">
              <w:rPr>
                <w:rFonts w:ascii="Arial Narrow" w:hAnsi="Arial Narrow" w:cs="Calibri"/>
                <w:color w:val="000000"/>
                <w:sz w:val="20"/>
                <w:szCs w:val="20"/>
              </w:rPr>
              <w:t xml:space="preserve"> </w:t>
            </w:r>
          </w:p>
        </w:tc>
        <w:tc>
          <w:tcPr>
            <w:tcW w:w="589" w:type="pct"/>
            <w:tcBorders>
              <w:top w:val="nil"/>
              <w:left w:val="nil"/>
              <w:bottom w:val="single" w:sz="4" w:space="0" w:color="auto"/>
              <w:right w:val="single" w:sz="4" w:space="0" w:color="auto"/>
            </w:tcBorders>
            <w:shd w:val="clear" w:color="auto" w:fill="auto"/>
            <w:noWrap/>
            <w:vAlign w:val="center"/>
            <w:hideMark/>
          </w:tcPr>
          <w:p w:rsidR="00F82F56" w:rsidRPr="008F1678" w:rsidRDefault="00975575" w:rsidP="00F82F56">
            <w:pPr>
              <w:jc w:val="right"/>
              <w:rPr>
                <w:rFonts w:ascii="Arial Narrow" w:hAnsi="Arial Narrow" w:cs="Calibri"/>
                <w:color w:val="000000"/>
                <w:sz w:val="20"/>
                <w:szCs w:val="20"/>
              </w:rPr>
            </w:pPr>
            <w:r>
              <w:rPr>
                <w:rFonts w:ascii="Arial Narrow" w:hAnsi="Arial Narrow" w:cs="Calibri"/>
                <w:noProof/>
                <w:color w:val="000000"/>
                <w:sz w:val="20"/>
                <w:szCs w:val="20"/>
                <w:highlight w:val="black"/>
              </w:rPr>
              <w:t>'''''''''''''''</w:t>
            </w:r>
            <w:r w:rsidR="00F82F56">
              <w:rPr>
                <w:rFonts w:ascii="Arial Narrow" w:hAnsi="Arial Narrow" w:cs="Calibri"/>
                <w:color w:val="000000"/>
                <w:sz w:val="20"/>
                <w:szCs w:val="20"/>
                <w:vertAlign w:val="superscript"/>
              </w:rPr>
              <w:t>1</w:t>
            </w:r>
            <w:r w:rsidR="00F82F56" w:rsidRPr="008F1678">
              <w:rPr>
                <w:rFonts w:ascii="Arial Narrow" w:hAnsi="Arial Narrow" w:cs="Calibri"/>
                <w:color w:val="000000"/>
                <w:sz w:val="20"/>
                <w:szCs w:val="20"/>
              </w:rPr>
              <w:t xml:space="preserve"> </w:t>
            </w:r>
          </w:p>
        </w:tc>
        <w:tc>
          <w:tcPr>
            <w:tcW w:w="589" w:type="pct"/>
            <w:tcBorders>
              <w:top w:val="nil"/>
              <w:left w:val="nil"/>
              <w:bottom w:val="single" w:sz="4" w:space="0" w:color="auto"/>
              <w:right w:val="single" w:sz="4" w:space="0" w:color="auto"/>
            </w:tcBorders>
            <w:shd w:val="clear" w:color="auto" w:fill="auto"/>
            <w:noWrap/>
            <w:vAlign w:val="center"/>
            <w:hideMark/>
          </w:tcPr>
          <w:p w:rsidR="00F82F56" w:rsidRPr="008F1678" w:rsidRDefault="00975575" w:rsidP="00F82F56">
            <w:pPr>
              <w:jc w:val="right"/>
              <w:rPr>
                <w:rFonts w:ascii="Arial Narrow" w:hAnsi="Arial Narrow" w:cs="Calibri"/>
                <w:color w:val="000000"/>
                <w:sz w:val="20"/>
                <w:szCs w:val="20"/>
              </w:rPr>
            </w:pPr>
            <w:r>
              <w:rPr>
                <w:rFonts w:ascii="Arial Narrow" w:hAnsi="Arial Narrow" w:cs="Calibri"/>
                <w:noProof/>
                <w:color w:val="000000"/>
                <w:sz w:val="20"/>
                <w:szCs w:val="20"/>
                <w:highlight w:val="black"/>
              </w:rPr>
              <w:t>''''''''''''''</w:t>
            </w:r>
            <w:r w:rsidR="00F82F56">
              <w:rPr>
                <w:rFonts w:ascii="Arial Narrow" w:hAnsi="Arial Narrow" w:cs="Calibri"/>
                <w:color w:val="000000"/>
                <w:sz w:val="20"/>
                <w:szCs w:val="20"/>
                <w:vertAlign w:val="superscript"/>
              </w:rPr>
              <w:t>1</w:t>
            </w:r>
            <w:r w:rsidR="00F82F56" w:rsidRPr="008F1678">
              <w:rPr>
                <w:rFonts w:ascii="Arial Narrow" w:hAnsi="Arial Narrow" w:cs="Calibri"/>
                <w:color w:val="000000"/>
                <w:sz w:val="20"/>
                <w:szCs w:val="20"/>
              </w:rPr>
              <w:t xml:space="preserve"> </w:t>
            </w:r>
          </w:p>
        </w:tc>
        <w:tc>
          <w:tcPr>
            <w:tcW w:w="589" w:type="pct"/>
            <w:tcBorders>
              <w:top w:val="nil"/>
              <w:left w:val="nil"/>
              <w:bottom w:val="single" w:sz="4" w:space="0" w:color="auto"/>
              <w:right w:val="single" w:sz="4" w:space="0" w:color="auto"/>
            </w:tcBorders>
            <w:shd w:val="clear" w:color="auto" w:fill="auto"/>
            <w:noWrap/>
            <w:vAlign w:val="center"/>
            <w:hideMark/>
          </w:tcPr>
          <w:p w:rsidR="00F82F56" w:rsidRPr="008F1678" w:rsidRDefault="00975575" w:rsidP="00F82F56">
            <w:pPr>
              <w:jc w:val="right"/>
              <w:rPr>
                <w:rFonts w:ascii="Arial Narrow" w:hAnsi="Arial Narrow" w:cs="Calibri"/>
                <w:color w:val="000000"/>
                <w:sz w:val="20"/>
                <w:szCs w:val="20"/>
              </w:rPr>
            </w:pPr>
            <w:r>
              <w:rPr>
                <w:rFonts w:ascii="Arial Narrow" w:hAnsi="Arial Narrow" w:cs="Calibri"/>
                <w:noProof/>
                <w:color w:val="000000"/>
                <w:sz w:val="20"/>
                <w:szCs w:val="20"/>
                <w:highlight w:val="black"/>
              </w:rPr>
              <w:t>''''''''''''</w:t>
            </w:r>
            <w:r w:rsidR="00F82F56">
              <w:rPr>
                <w:rFonts w:ascii="Arial Narrow" w:hAnsi="Arial Narrow" w:cs="Calibri"/>
                <w:color w:val="000000"/>
                <w:sz w:val="20"/>
                <w:szCs w:val="20"/>
                <w:vertAlign w:val="superscript"/>
              </w:rPr>
              <w:t>1</w:t>
            </w:r>
            <w:r w:rsidR="00F82F56" w:rsidRPr="008F1678">
              <w:rPr>
                <w:rFonts w:ascii="Arial Narrow" w:hAnsi="Arial Narrow" w:cs="Calibri"/>
                <w:color w:val="000000"/>
                <w:sz w:val="20"/>
                <w:szCs w:val="20"/>
              </w:rPr>
              <w:t xml:space="preserve"> </w:t>
            </w:r>
          </w:p>
        </w:tc>
        <w:tc>
          <w:tcPr>
            <w:tcW w:w="632" w:type="pct"/>
            <w:tcBorders>
              <w:top w:val="nil"/>
              <w:left w:val="nil"/>
              <w:bottom w:val="single" w:sz="4" w:space="0" w:color="auto"/>
              <w:right w:val="single" w:sz="4" w:space="0" w:color="auto"/>
            </w:tcBorders>
            <w:shd w:val="clear" w:color="auto" w:fill="auto"/>
            <w:noWrap/>
            <w:vAlign w:val="bottom"/>
            <w:hideMark/>
          </w:tcPr>
          <w:p w:rsidR="00F82F56" w:rsidRPr="008F1678" w:rsidRDefault="00F82F56" w:rsidP="00F82F56">
            <w:pPr>
              <w:jc w:val="right"/>
              <w:rPr>
                <w:rFonts w:ascii="Arial Narrow" w:hAnsi="Arial Narrow" w:cs="Calibri"/>
                <w:color w:val="000000"/>
                <w:sz w:val="20"/>
                <w:szCs w:val="20"/>
              </w:rPr>
            </w:pPr>
            <w:r w:rsidRPr="008F1678">
              <w:rPr>
                <w:rFonts w:ascii="Arial Narrow" w:hAnsi="Arial Narrow" w:cs="Calibri"/>
                <w:color w:val="000000"/>
                <w:sz w:val="20"/>
                <w:szCs w:val="20"/>
              </w:rPr>
              <w:t> </w:t>
            </w:r>
          </w:p>
        </w:tc>
      </w:tr>
      <w:tr w:rsidR="00F82F56" w:rsidRPr="008F1678" w:rsidTr="00F82F56">
        <w:trPr>
          <w:trHeight w:val="235"/>
        </w:trPr>
        <w:tc>
          <w:tcPr>
            <w:tcW w:w="832" w:type="pct"/>
            <w:tcBorders>
              <w:top w:val="nil"/>
              <w:left w:val="single" w:sz="4" w:space="0" w:color="auto"/>
              <w:bottom w:val="single" w:sz="4" w:space="0" w:color="auto"/>
              <w:right w:val="single" w:sz="4" w:space="0" w:color="auto"/>
            </w:tcBorders>
            <w:shd w:val="clear" w:color="auto" w:fill="auto"/>
            <w:noWrap/>
            <w:vAlign w:val="bottom"/>
            <w:hideMark/>
          </w:tcPr>
          <w:p w:rsidR="00F82F56" w:rsidRPr="008F1678" w:rsidRDefault="00F82F56" w:rsidP="00F82F56">
            <w:pPr>
              <w:jc w:val="left"/>
              <w:rPr>
                <w:rFonts w:ascii="Arial Narrow" w:hAnsi="Arial Narrow" w:cs="Calibri"/>
                <w:color w:val="000000"/>
                <w:sz w:val="20"/>
                <w:szCs w:val="20"/>
              </w:rPr>
            </w:pPr>
            <w:r w:rsidRPr="008F1678">
              <w:rPr>
                <w:rFonts w:ascii="Arial Narrow" w:hAnsi="Arial Narrow" w:cs="Calibri"/>
                <w:color w:val="000000"/>
                <w:sz w:val="20"/>
                <w:szCs w:val="20"/>
              </w:rPr>
              <w:t>Scripts</w:t>
            </w:r>
          </w:p>
        </w:tc>
        <w:tc>
          <w:tcPr>
            <w:tcW w:w="589" w:type="pct"/>
            <w:tcBorders>
              <w:top w:val="nil"/>
              <w:left w:val="nil"/>
              <w:bottom w:val="single" w:sz="4" w:space="0" w:color="auto"/>
              <w:right w:val="single" w:sz="4" w:space="0" w:color="auto"/>
            </w:tcBorders>
            <w:shd w:val="clear" w:color="auto" w:fill="auto"/>
            <w:noWrap/>
            <w:vAlign w:val="center"/>
            <w:hideMark/>
          </w:tcPr>
          <w:p w:rsidR="00F82F56" w:rsidRPr="008F1678" w:rsidRDefault="00F42717" w:rsidP="00F82F56">
            <w:pPr>
              <w:jc w:val="right"/>
              <w:rPr>
                <w:rFonts w:ascii="Arial Narrow" w:hAnsi="Arial Narrow" w:cs="Calibri"/>
                <w:color w:val="000000"/>
                <w:sz w:val="20"/>
                <w:szCs w:val="20"/>
              </w:rPr>
            </w:pPr>
            <w:r>
              <w:rPr>
                <w:rFonts w:ascii="Arial Narrow" w:hAnsi="Arial Narrow" w:cs="Calibri"/>
                <w:noProof/>
                <w:color w:val="000000"/>
                <w:sz w:val="20"/>
                <w:szCs w:val="20"/>
                <w:highlight w:val="black"/>
              </w:rPr>
              <w:t>''''''''''''</w:t>
            </w:r>
            <w:r w:rsidR="00975575">
              <w:rPr>
                <w:rFonts w:ascii="Arial Narrow" w:hAnsi="Arial Narrow" w:cs="Calibri"/>
                <w:noProof/>
                <w:color w:val="000000"/>
                <w:sz w:val="20"/>
                <w:szCs w:val="20"/>
                <w:highlight w:val="black"/>
              </w:rPr>
              <w:t>''''</w:t>
            </w:r>
            <w:r w:rsidR="00F82F56">
              <w:rPr>
                <w:rFonts w:ascii="Arial Narrow" w:hAnsi="Arial Narrow" w:cs="Calibri"/>
                <w:color w:val="000000"/>
                <w:sz w:val="20"/>
                <w:szCs w:val="20"/>
                <w:vertAlign w:val="superscript"/>
              </w:rPr>
              <w:t>3</w:t>
            </w:r>
            <w:r w:rsidR="00F82F56" w:rsidRPr="008F1678">
              <w:rPr>
                <w:rFonts w:ascii="Arial Narrow" w:hAnsi="Arial Narrow" w:cs="Calibri"/>
                <w:color w:val="000000"/>
                <w:sz w:val="20"/>
                <w:szCs w:val="20"/>
              </w:rPr>
              <w:t xml:space="preserve"> </w:t>
            </w:r>
          </w:p>
        </w:tc>
        <w:tc>
          <w:tcPr>
            <w:tcW w:w="589" w:type="pct"/>
            <w:tcBorders>
              <w:top w:val="nil"/>
              <w:left w:val="nil"/>
              <w:bottom w:val="single" w:sz="4" w:space="0" w:color="auto"/>
              <w:right w:val="single" w:sz="4" w:space="0" w:color="auto"/>
            </w:tcBorders>
            <w:shd w:val="clear" w:color="auto" w:fill="auto"/>
            <w:noWrap/>
            <w:vAlign w:val="center"/>
            <w:hideMark/>
          </w:tcPr>
          <w:p w:rsidR="00F82F56" w:rsidRPr="008F1678" w:rsidRDefault="00F42717" w:rsidP="00F82F56">
            <w:pPr>
              <w:jc w:val="right"/>
              <w:rPr>
                <w:rFonts w:ascii="Arial Narrow" w:hAnsi="Arial Narrow" w:cs="Calibri"/>
                <w:color w:val="000000"/>
                <w:sz w:val="20"/>
                <w:szCs w:val="20"/>
              </w:rPr>
            </w:pPr>
            <w:r>
              <w:rPr>
                <w:rFonts w:ascii="Arial Narrow" w:hAnsi="Arial Narrow" w:cs="Calibri"/>
                <w:noProof/>
                <w:color w:val="000000"/>
                <w:sz w:val="20"/>
                <w:szCs w:val="20"/>
                <w:highlight w:val="black"/>
              </w:rPr>
              <w:t>''''''''''''</w:t>
            </w:r>
            <w:r w:rsidR="00975575">
              <w:rPr>
                <w:rFonts w:ascii="Arial Narrow" w:hAnsi="Arial Narrow" w:cs="Calibri"/>
                <w:noProof/>
                <w:color w:val="000000"/>
                <w:sz w:val="20"/>
                <w:szCs w:val="20"/>
                <w:highlight w:val="black"/>
              </w:rPr>
              <w:t>''''</w:t>
            </w:r>
            <w:r w:rsidR="00F82F56">
              <w:rPr>
                <w:rFonts w:ascii="Arial Narrow" w:hAnsi="Arial Narrow" w:cs="Calibri"/>
                <w:color w:val="000000"/>
                <w:sz w:val="20"/>
                <w:szCs w:val="20"/>
                <w:vertAlign w:val="superscript"/>
              </w:rPr>
              <w:t>4</w:t>
            </w:r>
            <w:r w:rsidR="00F82F56" w:rsidRPr="008F1678">
              <w:rPr>
                <w:rFonts w:ascii="Arial Narrow" w:hAnsi="Arial Narrow" w:cs="Calibri"/>
                <w:color w:val="000000"/>
                <w:sz w:val="20"/>
                <w:szCs w:val="20"/>
              </w:rPr>
              <w:t xml:space="preserve"> </w:t>
            </w:r>
          </w:p>
        </w:tc>
        <w:tc>
          <w:tcPr>
            <w:tcW w:w="589" w:type="pct"/>
            <w:tcBorders>
              <w:top w:val="nil"/>
              <w:left w:val="nil"/>
              <w:bottom w:val="single" w:sz="4" w:space="0" w:color="auto"/>
              <w:right w:val="single" w:sz="4" w:space="0" w:color="auto"/>
            </w:tcBorders>
            <w:shd w:val="clear" w:color="auto" w:fill="auto"/>
            <w:noWrap/>
            <w:vAlign w:val="center"/>
            <w:hideMark/>
          </w:tcPr>
          <w:p w:rsidR="00F82F56" w:rsidRPr="008F1678" w:rsidRDefault="00975575" w:rsidP="00F82F56">
            <w:pPr>
              <w:jc w:val="right"/>
              <w:rPr>
                <w:rFonts w:ascii="Arial Narrow" w:hAnsi="Arial Narrow" w:cs="Calibri"/>
                <w:color w:val="000000"/>
                <w:sz w:val="20"/>
                <w:szCs w:val="20"/>
              </w:rPr>
            </w:pPr>
            <w:r>
              <w:rPr>
                <w:rFonts w:ascii="Arial Narrow" w:hAnsi="Arial Narrow" w:cs="Calibri"/>
                <w:noProof/>
                <w:color w:val="000000"/>
                <w:sz w:val="20"/>
                <w:szCs w:val="20"/>
                <w:highlight w:val="black"/>
              </w:rPr>
              <w:t>'''''''''''''''</w:t>
            </w:r>
            <w:r w:rsidR="00F82F56">
              <w:rPr>
                <w:rFonts w:ascii="Arial Narrow" w:hAnsi="Arial Narrow" w:cs="Calibri"/>
                <w:color w:val="000000"/>
                <w:sz w:val="20"/>
                <w:szCs w:val="20"/>
                <w:vertAlign w:val="superscript"/>
              </w:rPr>
              <w:t>6</w:t>
            </w:r>
            <w:r w:rsidR="00F82F56" w:rsidRPr="008F1678">
              <w:rPr>
                <w:rFonts w:ascii="Arial Narrow" w:hAnsi="Arial Narrow" w:cs="Calibri"/>
                <w:color w:val="000000"/>
                <w:sz w:val="20"/>
                <w:szCs w:val="20"/>
              </w:rPr>
              <w:t xml:space="preserve"> </w:t>
            </w:r>
          </w:p>
        </w:tc>
        <w:tc>
          <w:tcPr>
            <w:tcW w:w="589" w:type="pct"/>
            <w:tcBorders>
              <w:top w:val="nil"/>
              <w:left w:val="nil"/>
              <w:bottom w:val="single" w:sz="4" w:space="0" w:color="auto"/>
              <w:right w:val="single" w:sz="4" w:space="0" w:color="auto"/>
            </w:tcBorders>
            <w:shd w:val="clear" w:color="auto" w:fill="auto"/>
            <w:noWrap/>
            <w:vAlign w:val="center"/>
            <w:hideMark/>
          </w:tcPr>
          <w:p w:rsidR="00F82F56" w:rsidRPr="008F1678" w:rsidRDefault="00975575" w:rsidP="00F82F56">
            <w:pPr>
              <w:jc w:val="right"/>
              <w:rPr>
                <w:rFonts w:ascii="Arial Narrow" w:hAnsi="Arial Narrow" w:cs="Calibri"/>
                <w:color w:val="000000"/>
                <w:sz w:val="20"/>
                <w:szCs w:val="20"/>
              </w:rPr>
            </w:pPr>
            <w:r>
              <w:rPr>
                <w:rFonts w:ascii="Arial Narrow" w:hAnsi="Arial Narrow" w:cs="Calibri"/>
                <w:noProof/>
                <w:color w:val="000000"/>
                <w:sz w:val="20"/>
                <w:szCs w:val="20"/>
                <w:highlight w:val="black"/>
              </w:rPr>
              <w:t>'''''''''''''''</w:t>
            </w:r>
            <w:r w:rsidR="00F82F56">
              <w:rPr>
                <w:rFonts w:ascii="Arial Narrow" w:hAnsi="Arial Narrow" w:cs="Calibri"/>
                <w:color w:val="000000"/>
                <w:sz w:val="20"/>
                <w:szCs w:val="20"/>
                <w:vertAlign w:val="superscript"/>
              </w:rPr>
              <w:t>7</w:t>
            </w:r>
            <w:r w:rsidR="00F82F56" w:rsidRPr="008F1678">
              <w:rPr>
                <w:rFonts w:ascii="Arial Narrow" w:hAnsi="Arial Narrow" w:cs="Calibri"/>
                <w:color w:val="000000"/>
                <w:sz w:val="20"/>
                <w:szCs w:val="20"/>
              </w:rPr>
              <w:t xml:space="preserve"> </w:t>
            </w:r>
          </w:p>
        </w:tc>
        <w:tc>
          <w:tcPr>
            <w:tcW w:w="589" w:type="pct"/>
            <w:tcBorders>
              <w:top w:val="nil"/>
              <w:left w:val="nil"/>
              <w:bottom w:val="single" w:sz="4" w:space="0" w:color="auto"/>
              <w:right w:val="single" w:sz="4" w:space="0" w:color="auto"/>
            </w:tcBorders>
            <w:shd w:val="clear" w:color="auto" w:fill="auto"/>
            <w:noWrap/>
            <w:vAlign w:val="center"/>
            <w:hideMark/>
          </w:tcPr>
          <w:p w:rsidR="00F82F56" w:rsidRPr="008F1678" w:rsidRDefault="00F42717" w:rsidP="00F82F56">
            <w:pPr>
              <w:jc w:val="right"/>
              <w:rPr>
                <w:rFonts w:ascii="Arial Narrow" w:hAnsi="Arial Narrow" w:cs="Calibri"/>
                <w:color w:val="000000"/>
                <w:sz w:val="20"/>
                <w:szCs w:val="20"/>
              </w:rPr>
            </w:pPr>
            <w:r>
              <w:rPr>
                <w:rFonts w:ascii="Arial Narrow" w:hAnsi="Arial Narrow" w:cs="Calibri"/>
                <w:noProof/>
                <w:color w:val="000000"/>
                <w:sz w:val="20"/>
                <w:szCs w:val="20"/>
                <w:highlight w:val="black"/>
              </w:rPr>
              <w:t>''''''''</w:t>
            </w:r>
            <w:r w:rsidR="00975575">
              <w:rPr>
                <w:rFonts w:ascii="Arial Narrow" w:hAnsi="Arial Narrow" w:cs="Calibri"/>
                <w:noProof/>
                <w:color w:val="000000"/>
                <w:sz w:val="20"/>
                <w:szCs w:val="20"/>
                <w:highlight w:val="black"/>
              </w:rPr>
              <w:t>'''''''</w:t>
            </w:r>
            <w:r w:rsidR="00F82F56">
              <w:rPr>
                <w:rFonts w:ascii="Arial Narrow" w:hAnsi="Arial Narrow" w:cs="Calibri"/>
                <w:color w:val="000000"/>
                <w:sz w:val="20"/>
                <w:szCs w:val="20"/>
                <w:vertAlign w:val="superscript"/>
              </w:rPr>
              <w:t>8</w:t>
            </w:r>
            <w:r w:rsidR="00F82F56" w:rsidRPr="008F1678">
              <w:rPr>
                <w:rFonts w:ascii="Arial Narrow" w:hAnsi="Arial Narrow" w:cs="Calibri"/>
                <w:color w:val="000000"/>
                <w:sz w:val="20"/>
                <w:szCs w:val="20"/>
              </w:rPr>
              <w:t xml:space="preserve"> </w:t>
            </w:r>
          </w:p>
        </w:tc>
        <w:tc>
          <w:tcPr>
            <w:tcW w:w="589" w:type="pct"/>
            <w:tcBorders>
              <w:top w:val="nil"/>
              <w:left w:val="nil"/>
              <w:bottom w:val="single" w:sz="4" w:space="0" w:color="auto"/>
              <w:right w:val="single" w:sz="4" w:space="0" w:color="auto"/>
            </w:tcBorders>
            <w:shd w:val="clear" w:color="auto" w:fill="auto"/>
            <w:noWrap/>
            <w:vAlign w:val="center"/>
            <w:hideMark/>
          </w:tcPr>
          <w:p w:rsidR="00F82F56" w:rsidRPr="008F1678" w:rsidRDefault="00975575" w:rsidP="00F82F56">
            <w:pPr>
              <w:jc w:val="right"/>
              <w:rPr>
                <w:rFonts w:ascii="Arial Narrow" w:hAnsi="Arial Narrow" w:cs="Calibri"/>
                <w:color w:val="000000"/>
                <w:sz w:val="20"/>
                <w:szCs w:val="20"/>
              </w:rPr>
            </w:pPr>
            <w:r>
              <w:rPr>
                <w:rFonts w:ascii="Arial Narrow" w:hAnsi="Arial Narrow" w:cs="Calibri"/>
                <w:noProof/>
                <w:color w:val="000000"/>
                <w:sz w:val="20"/>
                <w:szCs w:val="20"/>
                <w:highlight w:val="black"/>
              </w:rPr>
              <w:t>''''''''''''''''</w:t>
            </w:r>
            <w:r w:rsidR="00F82F56">
              <w:rPr>
                <w:rFonts w:ascii="Arial Narrow" w:hAnsi="Arial Narrow" w:cs="Calibri"/>
                <w:color w:val="000000"/>
                <w:sz w:val="20"/>
                <w:szCs w:val="20"/>
                <w:vertAlign w:val="superscript"/>
              </w:rPr>
              <w:t>9</w:t>
            </w:r>
            <w:r w:rsidR="00F82F56" w:rsidRPr="008F1678">
              <w:rPr>
                <w:rFonts w:ascii="Arial Narrow" w:hAnsi="Arial Narrow" w:cs="Calibri"/>
                <w:color w:val="000000"/>
                <w:sz w:val="20"/>
                <w:szCs w:val="20"/>
              </w:rPr>
              <w:t xml:space="preserve"> </w:t>
            </w:r>
          </w:p>
        </w:tc>
        <w:tc>
          <w:tcPr>
            <w:tcW w:w="632" w:type="pct"/>
            <w:tcBorders>
              <w:top w:val="nil"/>
              <w:left w:val="nil"/>
              <w:bottom w:val="single" w:sz="4" w:space="0" w:color="auto"/>
              <w:right w:val="single" w:sz="4" w:space="0" w:color="auto"/>
            </w:tcBorders>
            <w:shd w:val="clear" w:color="auto" w:fill="auto"/>
            <w:noWrap/>
            <w:vAlign w:val="bottom"/>
            <w:hideMark/>
          </w:tcPr>
          <w:p w:rsidR="00F82F56" w:rsidRPr="008F1678" w:rsidRDefault="00F82F56" w:rsidP="00F82F56">
            <w:pPr>
              <w:jc w:val="right"/>
              <w:rPr>
                <w:rFonts w:ascii="Arial Narrow" w:hAnsi="Arial Narrow" w:cs="Calibri"/>
                <w:color w:val="000000"/>
                <w:sz w:val="20"/>
                <w:szCs w:val="20"/>
              </w:rPr>
            </w:pPr>
            <w:r w:rsidRPr="008F1678">
              <w:rPr>
                <w:rFonts w:ascii="Arial Narrow" w:hAnsi="Arial Narrow" w:cs="Calibri"/>
                <w:color w:val="000000"/>
                <w:sz w:val="20"/>
                <w:szCs w:val="20"/>
              </w:rPr>
              <w:t xml:space="preserve">                 </w:t>
            </w:r>
          </w:p>
          <w:p w:rsidR="00F82F56" w:rsidRPr="008F1678" w:rsidRDefault="00F42717" w:rsidP="00F82F56">
            <w:pPr>
              <w:jc w:val="right"/>
              <w:rPr>
                <w:rFonts w:ascii="Arial Narrow" w:hAnsi="Arial Narrow" w:cs="Calibri"/>
                <w:color w:val="000000"/>
                <w:sz w:val="20"/>
                <w:szCs w:val="20"/>
              </w:rPr>
            </w:pPr>
            <w:r>
              <w:rPr>
                <w:rFonts w:ascii="Arial Narrow" w:hAnsi="Arial Narrow" w:cs="Calibri"/>
                <w:noProof/>
                <w:color w:val="000000"/>
                <w:sz w:val="20"/>
                <w:szCs w:val="20"/>
                <w:highlight w:val="black"/>
              </w:rPr>
              <w:t>'''''''''</w:t>
            </w:r>
            <w:r w:rsidR="00975575">
              <w:rPr>
                <w:rFonts w:ascii="Arial Narrow" w:hAnsi="Arial Narrow" w:cs="Calibri"/>
                <w:noProof/>
                <w:color w:val="000000"/>
                <w:sz w:val="20"/>
                <w:szCs w:val="20"/>
                <w:highlight w:val="black"/>
              </w:rPr>
              <w:t>'''''</w:t>
            </w:r>
            <w:r w:rsidR="00F82F56">
              <w:rPr>
                <w:rFonts w:ascii="Arial Narrow" w:hAnsi="Arial Narrow" w:cs="Calibri"/>
                <w:color w:val="000000"/>
                <w:sz w:val="20"/>
                <w:szCs w:val="20"/>
                <w:vertAlign w:val="superscript"/>
              </w:rPr>
              <w:t>10</w:t>
            </w:r>
            <w:r w:rsidR="00F82F56" w:rsidRPr="008F1678">
              <w:rPr>
                <w:rFonts w:ascii="Arial Narrow" w:hAnsi="Arial Narrow" w:cs="Calibri"/>
                <w:color w:val="000000"/>
                <w:sz w:val="20"/>
                <w:szCs w:val="20"/>
              </w:rPr>
              <w:t xml:space="preserve"> </w:t>
            </w:r>
          </w:p>
          <w:p w:rsidR="00F82F56" w:rsidRPr="008F1678" w:rsidRDefault="00F82F56" w:rsidP="00F82F56">
            <w:pPr>
              <w:jc w:val="right"/>
              <w:rPr>
                <w:rFonts w:ascii="Arial Narrow" w:hAnsi="Arial Narrow" w:cs="Calibri"/>
                <w:color w:val="000000"/>
                <w:sz w:val="20"/>
                <w:szCs w:val="20"/>
              </w:rPr>
            </w:pPr>
          </w:p>
        </w:tc>
      </w:tr>
      <w:tr w:rsidR="00F82F56" w:rsidRPr="008F1678" w:rsidTr="00F82F56">
        <w:trPr>
          <w:trHeight w:val="530"/>
        </w:trPr>
        <w:tc>
          <w:tcPr>
            <w:tcW w:w="832" w:type="pct"/>
            <w:tcBorders>
              <w:top w:val="nil"/>
              <w:left w:val="single" w:sz="4" w:space="0" w:color="auto"/>
              <w:bottom w:val="single" w:sz="4" w:space="0" w:color="auto"/>
              <w:right w:val="single" w:sz="4" w:space="0" w:color="auto"/>
            </w:tcBorders>
            <w:shd w:val="clear" w:color="auto" w:fill="auto"/>
            <w:vAlign w:val="bottom"/>
            <w:hideMark/>
          </w:tcPr>
          <w:p w:rsidR="00F82F56" w:rsidRPr="008F1678" w:rsidRDefault="00F82F56" w:rsidP="00F82F56">
            <w:pPr>
              <w:jc w:val="left"/>
              <w:rPr>
                <w:rFonts w:ascii="Arial Narrow" w:hAnsi="Arial Narrow" w:cs="Calibri"/>
                <w:color w:val="000000"/>
                <w:sz w:val="20"/>
                <w:szCs w:val="20"/>
              </w:rPr>
            </w:pPr>
            <w:r w:rsidRPr="008F1678">
              <w:rPr>
                <w:rFonts w:ascii="Arial Narrow" w:hAnsi="Arial Narrow" w:cs="Calibri"/>
                <w:color w:val="000000"/>
                <w:sz w:val="20"/>
                <w:szCs w:val="20"/>
              </w:rPr>
              <w:t>Net PBS/RPBS cost with price in March 20 resubmission (Row C)</w:t>
            </w:r>
          </w:p>
        </w:tc>
        <w:tc>
          <w:tcPr>
            <w:tcW w:w="589" w:type="pct"/>
            <w:tcBorders>
              <w:top w:val="nil"/>
              <w:left w:val="nil"/>
              <w:bottom w:val="single" w:sz="4" w:space="0" w:color="auto"/>
              <w:right w:val="single" w:sz="4" w:space="0" w:color="auto"/>
            </w:tcBorders>
            <w:shd w:val="clear" w:color="auto" w:fill="auto"/>
            <w:noWrap/>
            <w:vAlign w:val="center"/>
            <w:hideMark/>
          </w:tcPr>
          <w:p w:rsidR="00F82F56" w:rsidRPr="008F1678" w:rsidRDefault="00F82F56" w:rsidP="00F82F56">
            <w:pPr>
              <w:jc w:val="right"/>
              <w:rPr>
                <w:rFonts w:ascii="Arial Narrow" w:hAnsi="Arial Narrow" w:cs="Calibri"/>
                <w:color w:val="000000"/>
                <w:sz w:val="20"/>
                <w:szCs w:val="20"/>
              </w:rPr>
            </w:pPr>
            <w:r w:rsidRPr="008F1678">
              <w:rPr>
                <w:rFonts w:ascii="Arial Narrow" w:hAnsi="Arial Narrow" w:cs="Calibri"/>
                <w:color w:val="000000"/>
                <w:sz w:val="20"/>
                <w:szCs w:val="20"/>
              </w:rPr>
              <w:t>$</w:t>
            </w:r>
            <w:r w:rsidR="00F42717">
              <w:rPr>
                <w:rFonts w:ascii="Arial Narrow" w:hAnsi="Arial Narrow" w:cs="Calibri"/>
                <w:noProof/>
                <w:color w:val="000000"/>
                <w:sz w:val="20"/>
                <w:szCs w:val="20"/>
                <w:highlight w:val="black"/>
              </w:rPr>
              <w:t>'''''</w:t>
            </w:r>
            <w:r w:rsidR="00975575">
              <w:rPr>
                <w:rFonts w:ascii="Arial Narrow" w:hAnsi="Arial Narrow" w:cs="Calibri"/>
                <w:noProof/>
                <w:color w:val="000000"/>
                <w:sz w:val="20"/>
                <w:szCs w:val="20"/>
                <w:highlight w:val="black"/>
              </w:rPr>
              <w:t>''''''</w:t>
            </w:r>
            <w:r>
              <w:rPr>
                <w:rFonts w:ascii="Arial Narrow" w:hAnsi="Arial Narrow" w:cs="Calibri"/>
                <w:color w:val="000000"/>
                <w:sz w:val="20"/>
                <w:szCs w:val="20"/>
                <w:vertAlign w:val="superscript"/>
              </w:rPr>
              <w:t>12</w:t>
            </w:r>
          </w:p>
        </w:tc>
        <w:tc>
          <w:tcPr>
            <w:tcW w:w="589" w:type="pct"/>
            <w:tcBorders>
              <w:top w:val="nil"/>
              <w:left w:val="nil"/>
              <w:bottom w:val="single" w:sz="4" w:space="0" w:color="auto"/>
              <w:right w:val="single" w:sz="4" w:space="0" w:color="auto"/>
            </w:tcBorders>
            <w:shd w:val="clear" w:color="auto" w:fill="auto"/>
            <w:noWrap/>
            <w:vAlign w:val="center"/>
            <w:hideMark/>
          </w:tcPr>
          <w:p w:rsidR="00F82F56" w:rsidRPr="008F1678" w:rsidRDefault="00F82F56" w:rsidP="00F82F56">
            <w:pPr>
              <w:jc w:val="right"/>
              <w:rPr>
                <w:rFonts w:ascii="Arial Narrow" w:hAnsi="Arial Narrow" w:cs="Calibri"/>
                <w:color w:val="000000"/>
                <w:sz w:val="20"/>
                <w:szCs w:val="20"/>
              </w:rPr>
            </w:pPr>
            <w:r w:rsidRPr="008F1678">
              <w:rPr>
                <w:rFonts w:ascii="Arial Narrow" w:hAnsi="Arial Narrow" w:cs="Calibri"/>
                <w:color w:val="000000"/>
                <w:sz w:val="20"/>
                <w:szCs w:val="20"/>
              </w:rPr>
              <w:t>$</w:t>
            </w:r>
            <w:r w:rsidR="00F42717">
              <w:rPr>
                <w:rFonts w:ascii="Arial Narrow" w:hAnsi="Arial Narrow" w:cs="Calibri"/>
                <w:noProof/>
                <w:color w:val="000000"/>
                <w:sz w:val="20"/>
                <w:szCs w:val="20"/>
                <w:highlight w:val="black"/>
              </w:rPr>
              <w:t>''''''''</w:t>
            </w:r>
            <w:r w:rsidR="00975575">
              <w:rPr>
                <w:rFonts w:ascii="Arial Narrow" w:hAnsi="Arial Narrow" w:cs="Calibri"/>
                <w:noProof/>
                <w:color w:val="000000"/>
                <w:sz w:val="20"/>
                <w:szCs w:val="20"/>
                <w:highlight w:val="black"/>
              </w:rPr>
              <w:t>'''</w:t>
            </w:r>
            <w:r>
              <w:rPr>
                <w:rFonts w:ascii="Arial Narrow" w:hAnsi="Arial Narrow" w:cs="Calibri"/>
                <w:color w:val="000000"/>
                <w:sz w:val="20"/>
                <w:szCs w:val="20"/>
                <w:vertAlign w:val="superscript"/>
              </w:rPr>
              <w:t>13</w:t>
            </w:r>
          </w:p>
        </w:tc>
        <w:tc>
          <w:tcPr>
            <w:tcW w:w="589" w:type="pct"/>
            <w:tcBorders>
              <w:top w:val="nil"/>
              <w:left w:val="nil"/>
              <w:bottom w:val="single" w:sz="4" w:space="0" w:color="auto"/>
              <w:right w:val="single" w:sz="4" w:space="0" w:color="auto"/>
            </w:tcBorders>
            <w:shd w:val="clear" w:color="auto" w:fill="auto"/>
            <w:noWrap/>
            <w:vAlign w:val="center"/>
            <w:hideMark/>
          </w:tcPr>
          <w:p w:rsidR="00F82F56" w:rsidRPr="008F1678" w:rsidRDefault="00F82F56" w:rsidP="00F82F56">
            <w:pPr>
              <w:jc w:val="right"/>
              <w:rPr>
                <w:rFonts w:ascii="Arial Narrow" w:hAnsi="Arial Narrow" w:cs="Calibri"/>
                <w:color w:val="000000"/>
                <w:sz w:val="20"/>
                <w:szCs w:val="20"/>
              </w:rPr>
            </w:pPr>
            <w:r w:rsidRPr="008F1678">
              <w:rPr>
                <w:rFonts w:ascii="Arial Narrow" w:hAnsi="Arial Narrow" w:cs="Calibri"/>
                <w:color w:val="000000"/>
                <w:sz w:val="20"/>
                <w:szCs w:val="20"/>
              </w:rPr>
              <w:t>$</w:t>
            </w:r>
            <w:r w:rsidR="00F42717">
              <w:rPr>
                <w:rFonts w:ascii="Arial Narrow" w:hAnsi="Arial Narrow" w:cs="Calibri"/>
                <w:noProof/>
                <w:color w:val="000000"/>
                <w:sz w:val="20"/>
                <w:szCs w:val="20"/>
                <w:highlight w:val="black"/>
              </w:rPr>
              <w:t>'''''</w:t>
            </w:r>
            <w:r w:rsidR="00975575">
              <w:rPr>
                <w:rFonts w:ascii="Arial Narrow" w:hAnsi="Arial Narrow" w:cs="Calibri"/>
                <w:noProof/>
                <w:color w:val="000000"/>
                <w:sz w:val="20"/>
                <w:szCs w:val="20"/>
                <w:highlight w:val="black"/>
              </w:rPr>
              <w:t>''</w:t>
            </w:r>
            <w:r>
              <w:rPr>
                <w:rFonts w:ascii="Arial Narrow" w:hAnsi="Arial Narrow" w:cs="Calibri"/>
                <w:color w:val="000000"/>
                <w:sz w:val="20"/>
                <w:szCs w:val="20"/>
                <w:vertAlign w:val="superscript"/>
              </w:rPr>
              <w:t>14</w:t>
            </w:r>
          </w:p>
        </w:tc>
        <w:tc>
          <w:tcPr>
            <w:tcW w:w="589" w:type="pct"/>
            <w:tcBorders>
              <w:top w:val="nil"/>
              <w:left w:val="nil"/>
              <w:bottom w:val="single" w:sz="4" w:space="0" w:color="auto"/>
              <w:right w:val="single" w:sz="4" w:space="0" w:color="auto"/>
            </w:tcBorders>
            <w:shd w:val="clear" w:color="auto" w:fill="auto"/>
            <w:noWrap/>
            <w:vAlign w:val="center"/>
            <w:hideMark/>
          </w:tcPr>
          <w:p w:rsidR="00F82F56" w:rsidRPr="008F1678" w:rsidRDefault="00F82F56" w:rsidP="00F82F56">
            <w:pPr>
              <w:jc w:val="right"/>
              <w:rPr>
                <w:rFonts w:ascii="Arial Narrow" w:hAnsi="Arial Narrow" w:cs="Calibri"/>
                <w:color w:val="000000"/>
                <w:sz w:val="20"/>
                <w:szCs w:val="20"/>
              </w:rPr>
            </w:pPr>
            <w:r w:rsidRPr="008F1678">
              <w:rPr>
                <w:rFonts w:ascii="Arial Narrow" w:hAnsi="Arial Narrow" w:cs="Calibri"/>
                <w:color w:val="000000"/>
                <w:sz w:val="20"/>
                <w:szCs w:val="20"/>
              </w:rPr>
              <w:t>$</w:t>
            </w:r>
            <w:r w:rsidR="00F42717">
              <w:rPr>
                <w:rFonts w:ascii="Arial Narrow" w:hAnsi="Arial Narrow" w:cs="Calibri"/>
                <w:noProof/>
                <w:color w:val="000000"/>
                <w:sz w:val="20"/>
                <w:szCs w:val="20"/>
                <w:highlight w:val="black"/>
              </w:rPr>
              <w:t>'''''''''</w:t>
            </w:r>
            <w:r w:rsidR="00975575">
              <w:rPr>
                <w:rFonts w:ascii="Arial Narrow" w:hAnsi="Arial Narrow" w:cs="Calibri"/>
                <w:noProof/>
                <w:color w:val="000000"/>
                <w:sz w:val="20"/>
                <w:szCs w:val="20"/>
                <w:highlight w:val="black"/>
              </w:rPr>
              <w:t>''</w:t>
            </w:r>
            <w:r>
              <w:rPr>
                <w:rFonts w:ascii="Arial Narrow" w:hAnsi="Arial Narrow" w:cs="Calibri"/>
                <w:color w:val="000000"/>
                <w:sz w:val="20"/>
                <w:szCs w:val="20"/>
                <w:vertAlign w:val="superscript"/>
              </w:rPr>
              <w:t>16</w:t>
            </w:r>
          </w:p>
        </w:tc>
        <w:tc>
          <w:tcPr>
            <w:tcW w:w="589" w:type="pct"/>
            <w:tcBorders>
              <w:top w:val="nil"/>
              <w:left w:val="nil"/>
              <w:bottom w:val="single" w:sz="4" w:space="0" w:color="auto"/>
              <w:right w:val="single" w:sz="4" w:space="0" w:color="auto"/>
            </w:tcBorders>
            <w:shd w:val="clear" w:color="auto" w:fill="auto"/>
            <w:noWrap/>
            <w:vAlign w:val="center"/>
            <w:hideMark/>
          </w:tcPr>
          <w:p w:rsidR="00F82F56" w:rsidRPr="008F1678" w:rsidRDefault="00F82F56" w:rsidP="00F82F56">
            <w:pPr>
              <w:jc w:val="right"/>
              <w:rPr>
                <w:rFonts w:ascii="Arial Narrow" w:hAnsi="Arial Narrow" w:cs="Calibri"/>
                <w:color w:val="000000"/>
                <w:sz w:val="20"/>
                <w:szCs w:val="20"/>
              </w:rPr>
            </w:pPr>
            <w:r w:rsidRPr="008F1678">
              <w:rPr>
                <w:rFonts w:ascii="Arial Narrow" w:hAnsi="Arial Narrow" w:cs="Calibri"/>
                <w:color w:val="000000"/>
                <w:sz w:val="20"/>
                <w:szCs w:val="20"/>
              </w:rPr>
              <w:t>$</w:t>
            </w:r>
            <w:r w:rsidR="00F42717">
              <w:rPr>
                <w:rFonts w:ascii="Arial Narrow" w:hAnsi="Arial Narrow" w:cs="Calibri"/>
                <w:noProof/>
                <w:color w:val="000000"/>
                <w:sz w:val="20"/>
                <w:szCs w:val="20"/>
                <w:highlight w:val="black"/>
              </w:rPr>
              <w:t>'''''''''</w:t>
            </w:r>
            <w:r w:rsidR="00975575">
              <w:rPr>
                <w:rFonts w:ascii="Arial Narrow" w:hAnsi="Arial Narrow" w:cs="Calibri"/>
                <w:noProof/>
                <w:color w:val="000000"/>
                <w:sz w:val="20"/>
                <w:szCs w:val="20"/>
                <w:highlight w:val="black"/>
              </w:rPr>
              <w:t>''</w:t>
            </w:r>
            <w:r>
              <w:rPr>
                <w:rFonts w:ascii="Arial Narrow" w:hAnsi="Arial Narrow" w:cs="Calibri"/>
                <w:color w:val="000000"/>
                <w:sz w:val="20"/>
                <w:szCs w:val="20"/>
                <w:vertAlign w:val="superscript"/>
              </w:rPr>
              <w:t>17</w:t>
            </w:r>
          </w:p>
        </w:tc>
        <w:tc>
          <w:tcPr>
            <w:tcW w:w="589" w:type="pct"/>
            <w:tcBorders>
              <w:top w:val="nil"/>
              <w:left w:val="nil"/>
              <w:bottom w:val="single" w:sz="4" w:space="0" w:color="auto"/>
              <w:right w:val="single" w:sz="4" w:space="0" w:color="auto"/>
            </w:tcBorders>
            <w:shd w:val="clear" w:color="auto" w:fill="auto"/>
            <w:noWrap/>
            <w:vAlign w:val="center"/>
            <w:hideMark/>
          </w:tcPr>
          <w:p w:rsidR="00F82F56" w:rsidRPr="008F1678" w:rsidRDefault="00F82F56" w:rsidP="00F82F56">
            <w:pPr>
              <w:jc w:val="right"/>
              <w:rPr>
                <w:rFonts w:ascii="Arial Narrow" w:hAnsi="Arial Narrow" w:cs="Calibri"/>
                <w:color w:val="000000"/>
                <w:sz w:val="20"/>
                <w:szCs w:val="20"/>
              </w:rPr>
            </w:pPr>
            <w:r w:rsidRPr="008F1678">
              <w:rPr>
                <w:rFonts w:ascii="Arial Narrow" w:hAnsi="Arial Narrow" w:cs="Calibri"/>
                <w:color w:val="000000"/>
                <w:sz w:val="20"/>
                <w:szCs w:val="20"/>
              </w:rPr>
              <w:t>$</w:t>
            </w:r>
            <w:r w:rsidR="00F42717">
              <w:rPr>
                <w:rFonts w:ascii="Arial Narrow" w:hAnsi="Arial Narrow" w:cs="Calibri"/>
                <w:noProof/>
                <w:color w:val="000000"/>
                <w:sz w:val="20"/>
                <w:szCs w:val="20"/>
                <w:highlight w:val="black"/>
              </w:rPr>
              <w:t>'''''''''</w:t>
            </w:r>
            <w:r w:rsidR="00975575">
              <w:rPr>
                <w:rFonts w:ascii="Arial Narrow" w:hAnsi="Arial Narrow" w:cs="Calibri"/>
                <w:noProof/>
                <w:color w:val="000000"/>
                <w:sz w:val="20"/>
                <w:szCs w:val="20"/>
                <w:highlight w:val="black"/>
              </w:rPr>
              <w:t>''</w:t>
            </w:r>
            <w:r>
              <w:rPr>
                <w:rFonts w:ascii="Arial Narrow" w:hAnsi="Arial Narrow" w:cs="Calibri"/>
                <w:color w:val="000000"/>
                <w:sz w:val="20"/>
                <w:szCs w:val="20"/>
                <w:vertAlign w:val="superscript"/>
              </w:rPr>
              <w:t>18</w:t>
            </w:r>
          </w:p>
        </w:tc>
        <w:tc>
          <w:tcPr>
            <w:tcW w:w="632" w:type="pct"/>
            <w:tcBorders>
              <w:top w:val="nil"/>
              <w:left w:val="nil"/>
              <w:bottom w:val="single" w:sz="4" w:space="0" w:color="auto"/>
              <w:right w:val="single" w:sz="4" w:space="0" w:color="auto"/>
            </w:tcBorders>
            <w:shd w:val="clear" w:color="auto" w:fill="auto"/>
            <w:noWrap/>
            <w:vAlign w:val="center"/>
            <w:hideMark/>
          </w:tcPr>
          <w:p w:rsidR="00F82F56" w:rsidRPr="008F1678" w:rsidRDefault="00F82F56" w:rsidP="00F82F56">
            <w:pPr>
              <w:jc w:val="right"/>
              <w:rPr>
                <w:rFonts w:ascii="Arial Narrow" w:hAnsi="Arial Narrow" w:cs="Calibri"/>
                <w:color w:val="000000"/>
                <w:sz w:val="20"/>
                <w:szCs w:val="20"/>
              </w:rPr>
            </w:pPr>
            <w:r w:rsidRPr="008F1678">
              <w:rPr>
                <w:rFonts w:ascii="Arial Narrow" w:hAnsi="Arial Narrow" w:cs="Calibri"/>
                <w:color w:val="000000"/>
                <w:sz w:val="20"/>
                <w:szCs w:val="20"/>
              </w:rPr>
              <w:t>$</w:t>
            </w:r>
            <w:r w:rsidR="00F42717">
              <w:rPr>
                <w:rFonts w:ascii="Arial Narrow" w:hAnsi="Arial Narrow" w:cs="Calibri"/>
                <w:noProof/>
                <w:color w:val="000000"/>
                <w:sz w:val="20"/>
                <w:szCs w:val="20"/>
                <w:highlight w:val="black"/>
              </w:rPr>
              <w:t>''''''''</w:t>
            </w:r>
            <w:r w:rsidR="00975575">
              <w:rPr>
                <w:rFonts w:ascii="Arial Narrow" w:hAnsi="Arial Narrow" w:cs="Calibri"/>
                <w:noProof/>
                <w:color w:val="000000"/>
                <w:sz w:val="20"/>
                <w:szCs w:val="20"/>
                <w:highlight w:val="black"/>
              </w:rPr>
              <w:t>'''</w:t>
            </w:r>
            <w:r>
              <w:rPr>
                <w:rFonts w:ascii="Arial Narrow" w:hAnsi="Arial Narrow" w:cs="Calibri"/>
                <w:color w:val="000000"/>
                <w:sz w:val="20"/>
                <w:szCs w:val="20"/>
                <w:vertAlign w:val="superscript"/>
              </w:rPr>
              <w:t>19</w:t>
            </w:r>
          </w:p>
        </w:tc>
      </w:tr>
      <w:tr w:rsidR="00F82F56" w:rsidRPr="008F1678" w:rsidTr="00F82F56">
        <w:trPr>
          <w:trHeight w:val="290"/>
        </w:trPr>
        <w:tc>
          <w:tcPr>
            <w:tcW w:w="832" w:type="pct"/>
            <w:tcBorders>
              <w:top w:val="nil"/>
              <w:left w:val="single" w:sz="4" w:space="0" w:color="auto"/>
              <w:bottom w:val="single" w:sz="4" w:space="0" w:color="auto"/>
              <w:right w:val="single" w:sz="4" w:space="0" w:color="auto"/>
            </w:tcBorders>
            <w:shd w:val="clear" w:color="auto" w:fill="auto"/>
            <w:noWrap/>
            <w:vAlign w:val="bottom"/>
            <w:hideMark/>
          </w:tcPr>
          <w:p w:rsidR="00F82F56" w:rsidRPr="008F1678" w:rsidRDefault="00F82F56" w:rsidP="00F82F56">
            <w:pPr>
              <w:jc w:val="left"/>
              <w:rPr>
                <w:rFonts w:ascii="Arial Narrow" w:hAnsi="Arial Narrow" w:cs="Calibri"/>
                <w:b/>
                <w:iCs/>
                <w:color w:val="000000"/>
                <w:sz w:val="20"/>
                <w:szCs w:val="20"/>
              </w:rPr>
            </w:pPr>
            <w:r w:rsidRPr="008F1678">
              <w:rPr>
                <w:rFonts w:ascii="Arial Narrow" w:hAnsi="Arial Narrow" w:cs="Calibri"/>
                <w:b/>
                <w:color w:val="000000"/>
                <w:sz w:val="20"/>
                <w:szCs w:val="20"/>
              </w:rPr>
              <w:t>Net PBS/RPBS cost including price reduction in proposal, a</w:t>
            </w:r>
            <w:r w:rsidRPr="008F1678">
              <w:rPr>
                <w:rFonts w:ascii="Arial Narrow" w:hAnsi="Arial Narrow" w:cs="Calibri"/>
                <w:b/>
                <w:iCs/>
                <w:color w:val="000000"/>
                <w:sz w:val="20"/>
                <w:szCs w:val="20"/>
              </w:rPr>
              <w:t>s presented in pricing proposal (Row D)</w:t>
            </w:r>
          </w:p>
        </w:tc>
        <w:tc>
          <w:tcPr>
            <w:tcW w:w="589" w:type="pct"/>
            <w:tcBorders>
              <w:top w:val="nil"/>
              <w:left w:val="nil"/>
              <w:bottom w:val="single" w:sz="4" w:space="0" w:color="auto"/>
              <w:right w:val="single" w:sz="4" w:space="0" w:color="auto"/>
            </w:tcBorders>
            <w:shd w:val="clear" w:color="auto" w:fill="auto"/>
            <w:noWrap/>
            <w:vAlign w:val="bottom"/>
            <w:hideMark/>
          </w:tcPr>
          <w:p w:rsidR="00F82F56" w:rsidRPr="008F1678" w:rsidRDefault="00F82F56" w:rsidP="00F82F56">
            <w:pPr>
              <w:jc w:val="right"/>
              <w:rPr>
                <w:rFonts w:ascii="Arial Narrow" w:hAnsi="Arial Narrow" w:cs="Calibri"/>
                <w:b/>
                <w:iCs/>
                <w:color w:val="000000"/>
                <w:sz w:val="20"/>
                <w:szCs w:val="20"/>
              </w:rPr>
            </w:pPr>
            <w:r w:rsidRPr="008F1678">
              <w:rPr>
                <w:rFonts w:ascii="Arial Narrow" w:hAnsi="Arial Narrow" w:cs="Calibri"/>
                <w:b/>
                <w:iCs/>
                <w:color w:val="000000"/>
                <w:sz w:val="20"/>
                <w:szCs w:val="20"/>
              </w:rPr>
              <w:t>$</w:t>
            </w:r>
            <w:r w:rsidR="00F42717">
              <w:rPr>
                <w:rFonts w:ascii="Arial Narrow" w:hAnsi="Arial Narrow" w:cs="Calibri"/>
                <w:b/>
                <w:iCs/>
                <w:noProof/>
                <w:color w:val="000000"/>
                <w:sz w:val="20"/>
                <w:szCs w:val="20"/>
                <w:highlight w:val="black"/>
              </w:rPr>
              <w:t>''''''''</w:t>
            </w:r>
            <w:r w:rsidR="00975575">
              <w:rPr>
                <w:rFonts w:ascii="Arial Narrow" w:hAnsi="Arial Narrow" w:cs="Calibri"/>
                <w:b/>
                <w:iCs/>
                <w:noProof/>
                <w:color w:val="000000"/>
                <w:sz w:val="20"/>
                <w:szCs w:val="20"/>
                <w:highlight w:val="black"/>
              </w:rPr>
              <w:t>'</w:t>
            </w:r>
            <w:r w:rsidRPr="005513B1">
              <w:rPr>
                <w:rFonts w:ascii="Arial Narrow" w:hAnsi="Arial Narrow" w:cs="Calibri"/>
                <w:iCs/>
                <w:color w:val="000000"/>
                <w:sz w:val="20"/>
                <w:szCs w:val="20"/>
                <w:vertAlign w:val="superscript"/>
              </w:rPr>
              <w:t>12</w:t>
            </w:r>
          </w:p>
        </w:tc>
        <w:tc>
          <w:tcPr>
            <w:tcW w:w="589" w:type="pct"/>
            <w:tcBorders>
              <w:top w:val="nil"/>
              <w:left w:val="nil"/>
              <w:bottom w:val="single" w:sz="4" w:space="0" w:color="auto"/>
              <w:right w:val="single" w:sz="4" w:space="0" w:color="auto"/>
            </w:tcBorders>
            <w:shd w:val="clear" w:color="auto" w:fill="auto"/>
            <w:noWrap/>
            <w:vAlign w:val="bottom"/>
            <w:hideMark/>
          </w:tcPr>
          <w:p w:rsidR="00F82F56" w:rsidRPr="008F1678" w:rsidRDefault="00F82F56" w:rsidP="00F82F56">
            <w:pPr>
              <w:jc w:val="right"/>
              <w:rPr>
                <w:rFonts w:ascii="Arial Narrow" w:hAnsi="Arial Narrow" w:cs="Calibri"/>
                <w:b/>
                <w:iCs/>
                <w:color w:val="000000"/>
                <w:sz w:val="20"/>
                <w:szCs w:val="20"/>
              </w:rPr>
            </w:pPr>
            <w:r w:rsidRPr="008F1678">
              <w:rPr>
                <w:rFonts w:ascii="Arial Narrow" w:hAnsi="Arial Narrow" w:cs="Calibri"/>
                <w:b/>
                <w:iCs/>
                <w:color w:val="000000"/>
                <w:sz w:val="20"/>
                <w:szCs w:val="20"/>
              </w:rPr>
              <w:t>$</w:t>
            </w:r>
            <w:r w:rsidR="00F42717">
              <w:rPr>
                <w:rFonts w:ascii="Arial Narrow" w:hAnsi="Arial Narrow" w:cs="Calibri"/>
                <w:b/>
                <w:iCs/>
                <w:noProof/>
                <w:color w:val="000000"/>
                <w:sz w:val="20"/>
                <w:szCs w:val="20"/>
                <w:highlight w:val="black"/>
              </w:rPr>
              <w:t>'''''''</w:t>
            </w:r>
            <w:r w:rsidR="00975575">
              <w:rPr>
                <w:rFonts w:ascii="Arial Narrow" w:hAnsi="Arial Narrow" w:cs="Calibri"/>
                <w:b/>
                <w:iCs/>
                <w:noProof/>
                <w:color w:val="000000"/>
                <w:sz w:val="20"/>
                <w:szCs w:val="20"/>
                <w:highlight w:val="black"/>
              </w:rPr>
              <w:t>''</w:t>
            </w:r>
            <w:r w:rsidRPr="005513B1">
              <w:rPr>
                <w:rFonts w:ascii="Arial Narrow" w:hAnsi="Arial Narrow" w:cs="Calibri"/>
                <w:iCs/>
                <w:color w:val="000000"/>
                <w:sz w:val="20"/>
                <w:szCs w:val="20"/>
                <w:vertAlign w:val="superscript"/>
              </w:rPr>
              <w:t>13</w:t>
            </w:r>
          </w:p>
        </w:tc>
        <w:tc>
          <w:tcPr>
            <w:tcW w:w="589" w:type="pct"/>
            <w:tcBorders>
              <w:top w:val="nil"/>
              <w:left w:val="nil"/>
              <w:bottom w:val="single" w:sz="4" w:space="0" w:color="auto"/>
              <w:right w:val="single" w:sz="4" w:space="0" w:color="auto"/>
            </w:tcBorders>
            <w:shd w:val="clear" w:color="auto" w:fill="auto"/>
            <w:noWrap/>
            <w:vAlign w:val="bottom"/>
            <w:hideMark/>
          </w:tcPr>
          <w:p w:rsidR="00F82F56" w:rsidRPr="008F1678" w:rsidRDefault="00F82F56" w:rsidP="00F82F56">
            <w:pPr>
              <w:jc w:val="right"/>
              <w:rPr>
                <w:rFonts w:ascii="Arial Narrow" w:hAnsi="Arial Narrow" w:cs="Calibri"/>
                <w:b/>
                <w:iCs/>
                <w:color w:val="000000"/>
                <w:sz w:val="20"/>
                <w:szCs w:val="20"/>
              </w:rPr>
            </w:pPr>
            <w:r w:rsidRPr="008F1678">
              <w:rPr>
                <w:rFonts w:ascii="Arial Narrow" w:hAnsi="Arial Narrow" w:cs="Calibri"/>
                <w:b/>
                <w:iCs/>
                <w:color w:val="000000"/>
                <w:sz w:val="20"/>
                <w:szCs w:val="20"/>
              </w:rPr>
              <w:t>$</w:t>
            </w:r>
            <w:r w:rsidR="00F42717">
              <w:rPr>
                <w:rFonts w:ascii="Arial Narrow" w:hAnsi="Arial Narrow" w:cs="Calibri"/>
                <w:b/>
                <w:iCs/>
                <w:noProof/>
                <w:color w:val="000000"/>
                <w:sz w:val="20"/>
                <w:szCs w:val="20"/>
                <w:highlight w:val="black"/>
              </w:rPr>
              <w:t>''''''''</w:t>
            </w:r>
            <w:r w:rsidR="00975575">
              <w:rPr>
                <w:rFonts w:ascii="Arial Narrow" w:hAnsi="Arial Narrow" w:cs="Calibri"/>
                <w:b/>
                <w:iCs/>
                <w:noProof/>
                <w:color w:val="000000"/>
                <w:sz w:val="20"/>
                <w:szCs w:val="20"/>
                <w:highlight w:val="black"/>
              </w:rPr>
              <w:t>'</w:t>
            </w:r>
            <w:r w:rsidRPr="005513B1">
              <w:rPr>
                <w:rFonts w:ascii="Arial Narrow" w:hAnsi="Arial Narrow" w:cs="Calibri"/>
                <w:iCs/>
                <w:color w:val="000000"/>
                <w:sz w:val="20"/>
                <w:szCs w:val="20"/>
                <w:vertAlign w:val="superscript"/>
              </w:rPr>
              <w:t>14</w:t>
            </w:r>
          </w:p>
        </w:tc>
        <w:tc>
          <w:tcPr>
            <w:tcW w:w="589" w:type="pct"/>
            <w:tcBorders>
              <w:top w:val="nil"/>
              <w:left w:val="nil"/>
              <w:bottom w:val="single" w:sz="4" w:space="0" w:color="auto"/>
              <w:right w:val="single" w:sz="4" w:space="0" w:color="auto"/>
            </w:tcBorders>
            <w:shd w:val="clear" w:color="auto" w:fill="auto"/>
            <w:noWrap/>
            <w:vAlign w:val="bottom"/>
            <w:hideMark/>
          </w:tcPr>
          <w:p w:rsidR="00F82F56" w:rsidRPr="008F1678" w:rsidRDefault="00F82F56" w:rsidP="00F82F56">
            <w:pPr>
              <w:jc w:val="right"/>
              <w:rPr>
                <w:rFonts w:ascii="Arial Narrow" w:hAnsi="Arial Narrow" w:cs="Calibri"/>
                <w:b/>
                <w:iCs/>
                <w:color w:val="000000"/>
                <w:sz w:val="20"/>
                <w:szCs w:val="20"/>
              </w:rPr>
            </w:pPr>
            <w:r w:rsidRPr="008F1678">
              <w:rPr>
                <w:rFonts w:ascii="Arial Narrow" w:hAnsi="Arial Narrow" w:cs="Calibri"/>
                <w:b/>
                <w:iCs/>
                <w:color w:val="000000"/>
                <w:sz w:val="20"/>
                <w:szCs w:val="20"/>
              </w:rPr>
              <w:t>$</w:t>
            </w:r>
            <w:r w:rsidR="00F42717">
              <w:rPr>
                <w:rFonts w:ascii="Arial Narrow" w:hAnsi="Arial Narrow" w:cs="Calibri"/>
                <w:b/>
                <w:iCs/>
                <w:noProof/>
                <w:color w:val="000000"/>
                <w:sz w:val="20"/>
                <w:szCs w:val="20"/>
                <w:highlight w:val="black"/>
              </w:rPr>
              <w:t>''''''''</w:t>
            </w:r>
            <w:r w:rsidR="00975575">
              <w:rPr>
                <w:rFonts w:ascii="Arial Narrow" w:hAnsi="Arial Narrow" w:cs="Calibri"/>
                <w:b/>
                <w:iCs/>
                <w:noProof/>
                <w:color w:val="000000"/>
                <w:sz w:val="20"/>
                <w:szCs w:val="20"/>
                <w:highlight w:val="black"/>
              </w:rPr>
              <w:t>'</w:t>
            </w:r>
            <w:r w:rsidRPr="005513B1">
              <w:rPr>
                <w:rFonts w:ascii="Arial Narrow" w:hAnsi="Arial Narrow" w:cs="Calibri"/>
                <w:iCs/>
                <w:color w:val="000000"/>
                <w:sz w:val="20"/>
                <w:szCs w:val="20"/>
                <w:vertAlign w:val="superscript"/>
              </w:rPr>
              <w:t>16</w:t>
            </w:r>
          </w:p>
        </w:tc>
        <w:tc>
          <w:tcPr>
            <w:tcW w:w="589" w:type="pct"/>
            <w:tcBorders>
              <w:top w:val="nil"/>
              <w:left w:val="nil"/>
              <w:bottom w:val="single" w:sz="4" w:space="0" w:color="auto"/>
              <w:right w:val="single" w:sz="4" w:space="0" w:color="auto"/>
            </w:tcBorders>
            <w:shd w:val="clear" w:color="auto" w:fill="auto"/>
            <w:noWrap/>
            <w:vAlign w:val="bottom"/>
            <w:hideMark/>
          </w:tcPr>
          <w:p w:rsidR="00F82F56" w:rsidRPr="008F1678" w:rsidRDefault="00F82F56" w:rsidP="00F82F56">
            <w:pPr>
              <w:jc w:val="right"/>
              <w:rPr>
                <w:rFonts w:ascii="Arial Narrow" w:hAnsi="Arial Narrow" w:cs="Calibri"/>
                <w:b/>
                <w:iCs/>
                <w:color w:val="000000"/>
                <w:sz w:val="20"/>
                <w:szCs w:val="20"/>
              </w:rPr>
            </w:pPr>
            <w:r w:rsidRPr="008F1678">
              <w:rPr>
                <w:rFonts w:ascii="Arial Narrow" w:hAnsi="Arial Narrow" w:cs="Calibri"/>
                <w:b/>
                <w:iCs/>
                <w:color w:val="000000"/>
                <w:sz w:val="20"/>
                <w:szCs w:val="20"/>
              </w:rPr>
              <w:t>$</w:t>
            </w:r>
            <w:r w:rsidR="00F42717">
              <w:rPr>
                <w:rFonts w:ascii="Arial Narrow" w:hAnsi="Arial Narrow" w:cs="Calibri"/>
                <w:b/>
                <w:iCs/>
                <w:noProof/>
                <w:color w:val="000000"/>
                <w:sz w:val="20"/>
                <w:szCs w:val="20"/>
                <w:highlight w:val="black"/>
              </w:rPr>
              <w:t>''''''</w:t>
            </w:r>
            <w:r w:rsidR="00975575">
              <w:rPr>
                <w:rFonts w:ascii="Arial Narrow" w:hAnsi="Arial Narrow" w:cs="Calibri"/>
                <w:b/>
                <w:iCs/>
                <w:noProof/>
                <w:color w:val="000000"/>
                <w:sz w:val="20"/>
                <w:szCs w:val="20"/>
                <w:highlight w:val="black"/>
              </w:rPr>
              <w:t>'''</w:t>
            </w:r>
            <w:r w:rsidRPr="005513B1">
              <w:rPr>
                <w:rFonts w:ascii="Arial Narrow" w:hAnsi="Arial Narrow" w:cs="Calibri"/>
                <w:iCs/>
                <w:color w:val="000000"/>
                <w:sz w:val="20"/>
                <w:szCs w:val="20"/>
                <w:vertAlign w:val="superscript"/>
              </w:rPr>
              <w:t>17</w:t>
            </w:r>
          </w:p>
        </w:tc>
        <w:tc>
          <w:tcPr>
            <w:tcW w:w="589" w:type="pct"/>
            <w:tcBorders>
              <w:top w:val="nil"/>
              <w:left w:val="nil"/>
              <w:bottom w:val="single" w:sz="4" w:space="0" w:color="auto"/>
              <w:right w:val="single" w:sz="4" w:space="0" w:color="auto"/>
            </w:tcBorders>
            <w:shd w:val="clear" w:color="auto" w:fill="auto"/>
            <w:noWrap/>
            <w:vAlign w:val="bottom"/>
            <w:hideMark/>
          </w:tcPr>
          <w:p w:rsidR="00F82F56" w:rsidRPr="008F1678" w:rsidRDefault="00F82F56" w:rsidP="00F82F56">
            <w:pPr>
              <w:jc w:val="right"/>
              <w:rPr>
                <w:rFonts w:ascii="Arial Narrow" w:hAnsi="Arial Narrow" w:cs="Calibri"/>
                <w:b/>
                <w:iCs/>
                <w:color w:val="000000"/>
                <w:sz w:val="20"/>
                <w:szCs w:val="20"/>
              </w:rPr>
            </w:pPr>
            <w:r w:rsidRPr="008F1678">
              <w:rPr>
                <w:rFonts w:ascii="Arial Narrow" w:hAnsi="Arial Narrow" w:cs="Calibri"/>
                <w:b/>
                <w:iCs/>
                <w:color w:val="000000"/>
                <w:sz w:val="20"/>
                <w:szCs w:val="20"/>
              </w:rPr>
              <w:t>$</w:t>
            </w:r>
            <w:r w:rsidR="00F42717">
              <w:rPr>
                <w:rFonts w:ascii="Arial Narrow" w:hAnsi="Arial Narrow" w:cs="Calibri"/>
                <w:b/>
                <w:iCs/>
                <w:noProof/>
                <w:color w:val="000000"/>
                <w:sz w:val="20"/>
                <w:szCs w:val="20"/>
                <w:highlight w:val="black"/>
              </w:rPr>
              <w:t>''''''</w:t>
            </w:r>
            <w:r w:rsidR="00975575">
              <w:rPr>
                <w:rFonts w:ascii="Arial Narrow" w:hAnsi="Arial Narrow" w:cs="Calibri"/>
                <w:b/>
                <w:iCs/>
                <w:noProof/>
                <w:color w:val="000000"/>
                <w:sz w:val="20"/>
                <w:szCs w:val="20"/>
                <w:highlight w:val="black"/>
              </w:rPr>
              <w:t>'''</w:t>
            </w:r>
            <w:r w:rsidRPr="005513B1">
              <w:rPr>
                <w:rFonts w:ascii="Arial Narrow" w:hAnsi="Arial Narrow" w:cs="Calibri"/>
                <w:iCs/>
                <w:color w:val="000000"/>
                <w:sz w:val="20"/>
                <w:szCs w:val="20"/>
                <w:vertAlign w:val="superscript"/>
              </w:rPr>
              <w:t>20</w:t>
            </w:r>
          </w:p>
        </w:tc>
        <w:tc>
          <w:tcPr>
            <w:tcW w:w="632" w:type="pct"/>
            <w:tcBorders>
              <w:top w:val="nil"/>
              <w:left w:val="nil"/>
              <w:bottom w:val="single" w:sz="4" w:space="0" w:color="auto"/>
              <w:right w:val="single" w:sz="4" w:space="0" w:color="auto"/>
            </w:tcBorders>
            <w:shd w:val="clear" w:color="auto" w:fill="auto"/>
            <w:noWrap/>
            <w:vAlign w:val="bottom"/>
            <w:hideMark/>
          </w:tcPr>
          <w:p w:rsidR="00F82F56" w:rsidRPr="008F1678" w:rsidRDefault="00F82F56" w:rsidP="00F82F56">
            <w:pPr>
              <w:jc w:val="right"/>
              <w:rPr>
                <w:rFonts w:ascii="Arial Narrow" w:hAnsi="Arial Narrow" w:cs="Calibri"/>
                <w:b/>
                <w:iCs/>
                <w:color w:val="000000"/>
                <w:sz w:val="20"/>
                <w:szCs w:val="20"/>
              </w:rPr>
            </w:pPr>
            <w:r w:rsidRPr="008F1678">
              <w:rPr>
                <w:rFonts w:ascii="Arial Narrow" w:hAnsi="Arial Narrow" w:cs="Calibri"/>
                <w:b/>
                <w:iCs/>
                <w:color w:val="000000"/>
                <w:sz w:val="20"/>
                <w:szCs w:val="20"/>
              </w:rPr>
              <w:t>$</w:t>
            </w:r>
            <w:r w:rsidR="00F42717">
              <w:rPr>
                <w:rFonts w:ascii="Arial Narrow" w:hAnsi="Arial Narrow" w:cs="Calibri"/>
                <w:b/>
                <w:iCs/>
                <w:noProof/>
                <w:color w:val="000000"/>
                <w:sz w:val="20"/>
                <w:szCs w:val="20"/>
                <w:highlight w:val="black"/>
              </w:rPr>
              <w:t>''''''''</w:t>
            </w:r>
            <w:r w:rsidR="00975575">
              <w:rPr>
                <w:rFonts w:ascii="Arial Narrow" w:hAnsi="Arial Narrow" w:cs="Calibri"/>
                <w:b/>
                <w:iCs/>
                <w:noProof/>
                <w:color w:val="000000"/>
                <w:sz w:val="20"/>
                <w:szCs w:val="20"/>
                <w:highlight w:val="black"/>
              </w:rPr>
              <w:t>'</w:t>
            </w:r>
            <w:r w:rsidRPr="005513B1">
              <w:rPr>
                <w:rFonts w:ascii="Arial Narrow" w:hAnsi="Arial Narrow" w:cs="Calibri"/>
                <w:iCs/>
                <w:color w:val="000000"/>
                <w:sz w:val="20"/>
                <w:szCs w:val="20"/>
                <w:vertAlign w:val="superscript"/>
              </w:rPr>
              <w:t>19</w:t>
            </w:r>
          </w:p>
        </w:tc>
      </w:tr>
    </w:tbl>
    <w:p w:rsidR="00F82F56" w:rsidRPr="008F1678" w:rsidRDefault="00F82F56" w:rsidP="00F82F56">
      <w:pPr>
        <w:pStyle w:val="TableFooter"/>
      </w:pPr>
      <w:r w:rsidRPr="008F1678">
        <w:t xml:space="preserve">Source: Compiled during preparation of the minor overview </w:t>
      </w:r>
    </w:p>
    <w:p w:rsidR="00F82F56" w:rsidRPr="008F1678" w:rsidRDefault="00F82F56" w:rsidP="00F82F56">
      <w:pPr>
        <w:pStyle w:val="TableFooter"/>
      </w:pPr>
      <w:r w:rsidRPr="008F1678">
        <w:t>*Updated based on information provided in Table 1 of pre-PBAC response</w:t>
      </w:r>
    </w:p>
    <w:p w:rsidR="00092C2A" w:rsidRPr="008F1678" w:rsidRDefault="00092C2A" w:rsidP="00D60D91">
      <w:pPr>
        <w:pStyle w:val="TableFooter"/>
      </w:pPr>
      <w:r w:rsidRPr="008F1678">
        <w:t xml:space="preserve">Source: Compiled </w:t>
      </w:r>
      <w:r w:rsidR="000D475C" w:rsidRPr="008F1678">
        <w:t>during preparation of the minor overview</w:t>
      </w:r>
      <w:r w:rsidRPr="008F1678">
        <w:t xml:space="preserve"> </w:t>
      </w:r>
    </w:p>
    <w:p w:rsidR="007A137E" w:rsidRDefault="007A137E" w:rsidP="00D60D91">
      <w:pPr>
        <w:pStyle w:val="TableFooter"/>
      </w:pPr>
      <w:r w:rsidRPr="008F1678">
        <w:t>*Updated based on</w:t>
      </w:r>
      <w:r w:rsidR="00004573" w:rsidRPr="008F1678">
        <w:t xml:space="preserve"> information provided in Table 1 of</w:t>
      </w:r>
      <w:r w:rsidRPr="008F1678">
        <w:t xml:space="preserve"> pre-PBAC response</w:t>
      </w:r>
    </w:p>
    <w:p w:rsidR="000D015F" w:rsidRPr="005513B1" w:rsidRDefault="000D015F" w:rsidP="000D015F">
      <w:pPr>
        <w:rPr>
          <w:rFonts w:ascii="Arial Narrow" w:hAnsi="Arial Narrow"/>
          <w:i/>
          <w:sz w:val="18"/>
          <w:vertAlign w:val="superscript"/>
        </w:rPr>
      </w:pPr>
      <w:r w:rsidRPr="005513B1">
        <w:rPr>
          <w:rFonts w:ascii="Arial Narrow" w:hAnsi="Arial Narrow"/>
          <w:i/>
          <w:sz w:val="18"/>
        </w:rPr>
        <w:t>The redacted values correspond to the following ranges:</w:t>
      </w:r>
    </w:p>
    <w:p w:rsidR="000D015F" w:rsidRPr="005513B1" w:rsidRDefault="000D015F" w:rsidP="000D015F">
      <w:pPr>
        <w:tabs>
          <w:tab w:val="left" w:pos="2622"/>
        </w:tabs>
        <w:rPr>
          <w:rFonts w:ascii="Arial Narrow" w:hAnsi="Arial Narrow"/>
          <w:i/>
          <w:sz w:val="18"/>
        </w:rPr>
      </w:pPr>
      <w:r w:rsidRPr="005513B1">
        <w:rPr>
          <w:rFonts w:ascii="Arial Narrow" w:hAnsi="Arial Narrow"/>
          <w:i/>
          <w:sz w:val="18"/>
          <w:vertAlign w:val="superscript"/>
        </w:rPr>
        <w:t>1</w:t>
      </w:r>
      <w:r w:rsidRPr="005513B1">
        <w:rPr>
          <w:rFonts w:ascii="Arial Narrow" w:hAnsi="Arial Narrow"/>
          <w:i/>
          <w:sz w:val="18"/>
        </w:rPr>
        <w:t>500 to &lt;5,000</w:t>
      </w:r>
      <w:r w:rsidR="00CE58B7">
        <w:rPr>
          <w:rFonts w:ascii="Arial Narrow" w:hAnsi="Arial Narrow"/>
          <w:i/>
          <w:sz w:val="18"/>
        </w:rPr>
        <w:t xml:space="preserve"> </w:t>
      </w:r>
    </w:p>
    <w:p w:rsidR="000D015F" w:rsidRPr="005513B1" w:rsidRDefault="000D015F" w:rsidP="000D015F">
      <w:pPr>
        <w:tabs>
          <w:tab w:val="left" w:pos="2622"/>
        </w:tabs>
        <w:rPr>
          <w:rFonts w:ascii="Arial Narrow" w:hAnsi="Arial Narrow"/>
          <w:i/>
          <w:sz w:val="18"/>
        </w:rPr>
      </w:pPr>
      <w:r w:rsidRPr="005513B1">
        <w:rPr>
          <w:rFonts w:ascii="Arial Narrow" w:hAnsi="Arial Narrow"/>
          <w:i/>
          <w:sz w:val="18"/>
          <w:vertAlign w:val="superscript"/>
        </w:rPr>
        <w:t>2</w:t>
      </w:r>
      <w:r w:rsidRPr="005513B1">
        <w:rPr>
          <w:rFonts w:ascii="Arial Narrow" w:hAnsi="Arial Narrow"/>
          <w:i/>
          <w:sz w:val="18"/>
        </w:rPr>
        <w:t>20,000 to &lt;30,000</w:t>
      </w:r>
    </w:p>
    <w:p w:rsidR="000D015F" w:rsidRPr="005513B1" w:rsidRDefault="000D015F" w:rsidP="000D015F">
      <w:pPr>
        <w:tabs>
          <w:tab w:val="left" w:pos="2622"/>
        </w:tabs>
        <w:rPr>
          <w:rFonts w:ascii="Arial Narrow" w:hAnsi="Arial Narrow"/>
          <w:i/>
          <w:sz w:val="18"/>
        </w:rPr>
      </w:pPr>
      <w:r w:rsidRPr="005513B1">
        <w:rPr>
          <w:rFonts w:ascii="Arial Narrow" w:hAnsi="Arial Narrow"/>
          <w:i/>
          <w:sz w:val="18"/>
          <w:vertAlign w:val="superscript"/>
        </w:rPr>
        <w:t>3</w:t>
      </w:r>
      <w:r w:rsidRPr="005513B1">
        <w:rPr>
          <w:rFonts w:ascii="Arial Narrow" w:hAnsi="Arial Narrow"/>
          <w:i/>
          <w:sz w:val="18"/>
        </w:rPr>
        <w:t>30,000 to &lt;40,000</w:t>
      </w:r>
    </w:p>
    <w:p w:rsidR="000D015F" w:rsidRPr="005513B1" w:rsidRDefault="000D015F" w:rsidP="000D015F">
      <w:pPr>
        <w:tabs>
          <w:tab w:val="left" w:pos="2622"/>
        </w:tabs>
        <w:rPr>
          <w:rFonts w:ascii="Arial Narrow" w:hAnsi="Arial Narrow"/>
          <w:i/>
          <w:sz w:val="18"/>
        </w:rPr>
      </w:pPr>
      <w:r w:rsidRPr="005513B1">
        <w:rPr>
          <w:rFonts w:ascii="Arial Narrow" w:hAnsi="Arial Narrow"/>
          <w:i/>
          <w:sz w:val="18"/>
          <w:vertAlign w:val="superscript"/>
        </w:rPr>
        <w:t>4</w:t>
      </w:r>
      <w:r w:rsidRPr="005513B1">
        <w:rPr>
          <w:rFonts w:ascii="Arial Narrow" w:hAnsi="Arial Narrow"/>
          <w:i/>
          <w:sz w:val="18"/>
        </w:rPr>
        <w:t>40,000 to &lt;50,000</w:t>
      </w:r>
    </w:p>
    <w:p w:rsidR="000D015F" w:rsidRPr="005513B1" w:rsidRDefault="000D015F" w:rsidP="000D015F">
      <w:pPr>
        <w:tabs>
          <w:tab w:val="left" w:pos="2622"/>
        </w:tabs>
        <w:rPr>
          <w:rFonts w:ascii="Arial Narrow" w:hAnsi="Arial Narrow"/>
          <w:i/>
          <w:sz w:val="18"/>
        </w:rPr>
      </w:pPr>
      <w:r w:rsidRPr="005513B1">
        <w:rPr>
          <w:rFonts w:ascii="Arial Narrow" w:hAnsi="Arial Narrow"/>
          <w:i/>
          <w:sz w:val="18"/>
          <w:vertAlign w:val="superscript"/>
        </w:rPr>
        <w:t>5</w:t>
      </w:r>
      <w:r w:rsidRPr="005513B1">
        <w:rPr>
          <w:rFonts w:ascii="Arial Narrow" w:hAnsi="Arial Narrow"/>
          <w:i/>
          <w:sz w:val="18"/>
        </w:rPr>
        <w:t>200,000 to &lt;300,000</w:t>
      </w:r>
    </w:p>
    <w:p w:rsidR="000D015F" w:rsidRPr="005513B1" w:rsidRDefault="000D015F" w:rsidP="000D015F">
      <w:pPr>
        <w:tabs>
          <w:tab w:val="left" w:pos="2622"/>
        </w:tabs>
        <w:rPr>
          <w:rFonts w:ascii="Arial Narrow" w:hAnsi="Arial Narrow"/>
          <w:i/>
          <w:sz w:val="18"/>
        </w:rPr>
      </w:pPr>
      <w:r w:rsidRPr="005513B1">
        <w:rPr>
          <w:rFonts w:ascii="Arial Narrow" w:hAnsi="Arial Narrow"/>
          <w:i/>
          <w:sz w:val="18"/>
          <w:vertAlign w:val="superscript"/>
        </w:rPr>
        <w:t>6</w:t>
      </w:r>
      <w:r w:rsidRPr="005513B1">
        <w:rPr>
          <w:rFonts w:ascii="Arial Narrow" w:hAnsi="Arial Narrow"/>
          <w:i/>
          <w:sz w:val="18"/>
        </w:rPr>
        <w:t>50,000 to &lt;60,000</w:t>
      </w:r>
    </w:p>
    <w:p w:rsidR="000D015F" w:rsidRPr="005513B1" w:rsidRDefault="000D015F" w:rsidP="000D015F">
      <w:pPr>
        <w:tabs>
          <w:tab w:val="left" w:pos="2622"/>
        </w:tabs>
        <w:rPr>
          <w:rFonts w:ascii="Arial Narrow" w:hAnsi="Arial Narrow"/>
          <w:i/>
          <w:sz w:val="18"/>
        </w:rPr>
      </w:pPr>
      <w:r w:rsidRPr="005513B1">
        <w:rPr>
          <w:rFonts w:ascii="Arial Narrow" w:hAnsi="Arial Narrow"/>
          <w:i/>
          <w:sz w:val="18"/>
          <w:vertAlign w:val="superscript"/>
        </w:rPr>
        <w:t>7</w:t>
      </w:r>
      <w:r w:rsidRPr="005513B1">
        <w:rPr>
          <w:rFonts w:ascii="Arial Narrow" w:hAnsi="Arial Narrow"/>
          <w:i/>
          <w:sz w:val="18"/>
        </w:rPr>
        <w:t>60,000 to &lt;70,000</w:t>
      </w:r>
    </w:p>
    <w:p w:rsidR="000D015F" w:rsidRPr="005513B1" w:rsidRDefault="000D015F" w:rsidP="000D015F">
      <w:pPr>
        <w:tabs>
          <w:tab w:val="left" w:pos="2622"/>
        </w:tabs>
        <w:rPr>
          <w:rFonts w:ascii="Arial Narrow" w:hAnsi="Arial Narrow"/>
          <w:i/>
          <w:sz w:val="18"/>
        </w:rPr>
      </w:pPr>
      <w:r w:rsidRPr="005513B1">
        <w:rPr>
          <w:rFonts w:ascii="Arial Narrow" w:hAnsi="Arial Narrow"/>
          <w:i/>
          <w:sz w:val="18"/>
          <w:vertAlign w:val="superscript"/>
        </w:rPr>
        <w:t>8</w:t>
      </w:r>
      <w:r w:rsidRPr="005513B1">
        <w:rPr>
          <w:rFonts w:ascii="Arial Narrow" w:hAnsi="Arial Narrow"/>
          <w:i/>
          <w:sz w:val="18"/>
        </w:rPr>
        <w:t>70,000 to &lt;80,000</w:t>
      </w:r>
    </w:p>
    <w:p w:rsidR="000D015F" w:rsidRPr="005513B1" w:rsidRDefault="000D015F" w:rsidP="000D015F">
      <w:pPr>
        <w:tabs>
          <w:tab w:val="left" w:pos="2622"/>
        </w:tabs>
        <w:rPr>
          <w:rFonts w:ascii="Arial Narrow" w:hAnsi="Arial Narrow"/>
          <w:i/>
          <w:sz w:val="18"/>
        </w:rPr>
      </w:pPr>
      <w:r w:rsidRPr="005513B1">
        <w:rPr>
          <w:rFonts w:ascii="Arial Narrow" w:hAnsi="Arial Narrow"/>
          <w:i/>
          <w:sz w:val="18"/>
          <w:vertAlign w:val="superscript"/>
        </w:rPr>
        <w:t>9</w:t>
      </w:r>
      <w:r w:rsidRPr="005513B1">
        <w:rPr>
          <w:rFonts w:ascii="Arial Narrow" w:hAnsi="Arial Narrow"/>
          <w:i/>
          <w:sz w:val="18"/>
        </w:rPr>
        <w:t>80,000 to &lt;90,000</w:t>
      </w:r>
    </w:p>
    <w:p w:rsidR="000D015F" w:rsidRPr="005513B1" w:rsidRDefault="000D015F" w:rsidP="000D015F">
      <w:pPr>
        <w:tabs>
          <w:tab w:val="left" w:pos="2622"/>
        </w:tabs>
        <w:rPr>
          <w:rFonts w:ascii="Arial Narrow" w:hAnsi="Arial Narrow"/>
          <w:i/>
          <w:sz w:val="18"/>
        </w:rPr>
      </w:pPr>
      <w:r w:rsidRPr="005513B1">
        <w:rPr>
          <w:rFonts w:ascii="Arial Narrow" w:hAnsi="Arial Narrow"/>
          <w:i/>
          <w:sz w:val="18"/>
          <w:vertAlign w:val="superscript"/>
        </w:rPr>
        <w:t>10</w:t>
      </w:r>
      <w:r w:rsidRPr="005513B1">
        <w:rPr>
          <w:rFonts w:ascii="Arial Narrow" w:hAnsi="Arial Narrow"/>
          <w:i/>
          <w:sz w:val="18"/>
        </w:rPr>
        <w:t>300,000 to &lt;400,000</w:t>
      </w:r>
    </w:p>
    <w:p w:rsidR="000D015F" w:rsidRPr="005513B1" w:rsidRDefault="000D015F" w:rsidP="000D015F">
      <w:pPr>
        <w:tabs>
          <w:tab w:val="left" w:pos="2622"/>
        </w:tabs>
        <w:rPr>
          <w:rFonts w:ascii="Arial Narrow" w:hAnsi="Arial Narrow"/>
          <w:i/>
          <w:sz w:val="18"/>
        </w:rPr>
      </w:pPr>
      <w:r w:rsidRPr="005513B1">
        <w:rPr>
          <w:rFonts w:ascii="Arial Narrow" w:hAnsi="Arial Narrow"/>
          <w:i/>
          <w:sz w:val="18"/>
          <w:vertAlign w:val="superscript"/>
        </w:rPr>
        <w:t>11</w:t>
      </w:r>
      <w:r w:rsidRPr="005513B1">
        <w:rPr>
          <w:rFonts w:ascii="Arial Narrow" w:hAnsi="Arial Narrow"/>
          <w:i/>
          <w:sz w:val="18"/>
        </w:rPr>
        <w:t>$20 million to &lt;$30 million</w:t>
      </w:r>
    </w:p>
    <w:p w:rsidR="000D015F" w:rsidRPr="005513B1" w:rsidRDefault="000D015F" w:rsidP="000D015F">
      <w:pPr>
        <w:tabs>
          <w:tab w:val="left" w:pos="2622"/>
        </w:tabs>
        <w:rPr>
          <w:rFonts w:ascii="Arial Narrow" w:hAnsi="Arial Narrow"/>
          <w:i/>
          <w:sz w:val="18"/>
        </w:rPr>
      </w:pPr>
      <w:r w:rsidRPr="005513B1">
        <w:rPr>
          <w:rFonts w:ascii="Arial Narrow" w:hAnsi="Arial Narrow"/>
          <w:i/>
          <w:sz w:val="18"/>
          <w:vertAlign w:val="superscript"/>
        </w:rPr>
        <w:t>12</w:t>
      </w:r>
      <w:r w:rsidRPr="005513B1">
        <w:rPr>
          <w:rFonts w:ascii="Arial Narrow" w:hAnsi="Arial Narrow"/>
          <w:i/>
          <w:sz w:val="18"/>
        </w:rPr>
        <w:t>$30 million to &lt;$40 million</w:t>
      </w:r>
    </w:p>
    <w:p w:rsidR="000D015F" w:rsidRPr="005513B1" w:rsidRDefault="000D015F" w:rsidP="000D015F">
      <w:pPr>
        <w:tabs>
          <w:tab w:val="left" w:pos="2622"/>
        </w:tabs>
        <w:rPr>
          <w:rFonts w:ascii="Arial Narrow" w:hAnsi="Arial Narrow"/>
          <w:i/>
          <w:sz w:val="18"/>
        </w:rPr>
      </w:pPr>
      <w:r w:rsidRPr="005513B1">
        <w:rPr>
          <w:rFonts w:ascii="Arial Narrow" w:hAnsi="Arial Narrow"/>
          <w:i/>
          <w:sz w:val="18"/>
          <w:vertAlign w:val="superscript"/>
        </w:rPr>
        <w:t>13</w:t>
      </w:r>
      <w:r w:rsidRPr="005513B1">
        <w:rPr>
          <w:rFonts w:ascii="Arial Narrow" w:hAnsi="Arial Narrow"/>
          <w:i/>
          <w:sz w:val="18"/>
        </w:rPr>
        <w:t>$40 million to &lt;$50 million</w:t>
      </w:r>
    </w:p>
    <w:p w:rsidR="000D015F" w:rsidRPr="005513B1" w:rsidRDefault="000D015F" w:rsidP="000D015F">
      <w:pPr>
        <w:tabs>
          <w:tab w:val="left" w:pos="2622"/>
        </w:tabs>
        <w:rPr>
          <w:rFonts w:ascii="Arial Narrow" w:hAnsi="Arial Narrow"/>
          <w:i/>
          <w:sz w:val="18"/>
        </w:rPr>
      </w:pPr>
      <w:r w:rsidRPr="005513B1">
        <w:rPr>
          <w:rFonts w:ascii="Arial Narrow" w:hAnsi="Arial Narrow"/>
          <w:i/>
          <w:sz w:val="18"/>
          <w:vertAlign w:val="superscript"/>
        </w:rPr>
        <w:t>14</w:t>
      </w:r>
      <w:r w:rsidRPr="005513B1">
        <w:rPr>
          <w:rFonts w:ascii="Arial Narrow" w:hAnsi="Arial Narrow"/>
          <w:i/>
          <w:sz w:val="18"/>
        </w:rPr>
        <w:t xml:space="preserve">$50 million to &lt;$60 million </w:t>
      </w:r>
    </w:p>
    <w:p w:rsidR="000D015F" w:rsidRPr="005513B1" w:rsidRDefault="000D015F" w:rsidP="000D015F">
      <w:pPr>
        <w:tabs>
          <w:tab w:val="left" w:pos="2622"/>
        </w:tabs>
        <w:rPr>
          <w:rFonts w:ascii="Arial Narrow" w:hAnsi="Arial Narrow"/>
          <w:i/>
          <w:sz w:val="18"/>
        </w:rPr>
      </w:pPr>
      <w:r w:rsidRPr="005513B1">
        <w:rPr>
          <w:rFonts w:ascii="Arial Narrow" w:hAnsi="Arial Narrow"/>
          <w:i/>
          <w:sz w:val="18"/>
          <w:vertAlign w:val="superscript"/>
        </w:rPr>
        <w:t>15</w:t>
      </w:r>
      <w:r w:rsidRPr="005513B1">
        <w:rPr>
          <w:rFonts w:ascii="Arial Narrow" w:hAnsi="Arial Narrow"/>
          <w:i/>
          <w:sz w:val="18"/>
        </w:rPr>
        <w:t>$200 million to &lt;$300 million</w:t>
      </w:r>
    </w:p>
    <w:p w:rsidR="000D015F" w:rsidRPr="005513B1" w:rsidRDefault="000D015F" w:rsidP="000D015F">
      <w:pPr>
        <w:tabs>
          <w:tab w:val="left" w:pos="2622"/>
        </w:tabs>
        <w:rPr>
          <w:rFonts w:ascii="Arial Narrow" w:hAnsi="Arial Narrow"/>
          <w:i/>
          <w:sz w:val="18"/>
        </w:rPr>
      </w:pPr>
      <w:r w:rsidRPr="005513B1">
        <w:rPr>
          <w:rFonts w:ascii="Arial Narrow" w:hAnsi="Arial Narrow"/>
          <w:i/>
          <w:sz w:val="18"/>
          <w:vertAlign w:val="superscript"/>
        </w:rPr>
        <w:t>16</w:t>
      </w:r>
      <w:r w:rsidRPr="005513B1">
        <w:rPr>
          <w:rFonts w:ascii="Arial Narrow" w:hAnsi="Arial Narrow"/>
          <w:i/>
          <w:sz w:val="18"/>
        </w:rPr>
        <w:t>$60 million to &lt;$70 million</w:t>
      </w:r>
    </w:p>
    <w:p w:rsidR="000D015F" w:rsidRPr="005513B1" w:rsidRDefault="000D015F" w:rsidP="000D015F">
      <w:pPr>
        <w:tabs>
          <w:tab w:val="left" w:pos="2622"/>
          <w:tab w:val="left" w:pos="4020"/>
        </w:tabs>
        <w:rPr>
          <w:rFonts w:ascii="Arial Narrow" w:hAnsi="Arial Narrow"/>
          <w:i/>
          <w:sz w:val="18"/>
        </w:rPr>
      </w:pPr>
      <w:r w:rsidRPr="005513B1">
        <w:rPr>
          <w:rFonts w:ascii="Arial Narrow" w:hAnsi="Arial Narrow"/>
          <w:i/>
          <w:sz w:val="18"/>
          <w:vertAlign w:val="superscript"/>
        </w:rPr>
        <w:t xml:space="preserve">17 </w:t>
      </w:r>
      <w:r w:rsidRPr="005513B1">
        <w:rPr>
          <w:rFonts w:ascii="Arial Narrow" w:hAnsi="Arial Narrow"/>
          <w:i/>
          <w:sz w:val="18"/>
        </w:rPr>
        <w:t>$70 million to &lt;$80 million</w:t>
      </w:r>
      <w:r w:rsidRPr="005513B1">
        <w:rPr>
          <w:rFonts w:ascii="Arial Narrow" w:hAnsi="Arial Narrow"/>
          <w:i/>
          <w:sz w:val="18"/>
        </w:rPr>
        <w:tab/>
      </w:r>
    </w:p>
    <w:p w:rsidR="000D015F" w:rsidRPr="005513B1" w:rsidRDefault="000D015F" w:rsidP="000D015F">
      <w:pPr>
        <w:tabs>
          <w:tab w:val="left" w:pos="2622"/>
          <w:tab w:val="left" w:pos="4020"/>
        </w:tabs>
        <w:rPr>
          <w:rFonts w:ascii="Arial Narrow" w:hAnsi="Arial Narrow"/>
          <w:i/>
          <w:sz w:val="18"/>
        </w:rPr>
      </w:pPr>
      <w:r w:rsidRPr="005513B1">
        <w:rPr>
          <w:rFonts w:ascii="Arial Narrow" w:hAnsi="Arial Narrow"/>
          <w:i/>
          <w:sz w:val="18"/>
          <w:vertAlign w:val="superscript"/>
        </w:rPr>
        <w:t>18</w:t>
      </w:r>
      <w:r w:rsidRPr="005513B1">
        <w:rPr>
          <w:rFonts w:ascii="Arial Narrow" w:hAnsi="Arial Narrow"/>
          <w:i/>
          <w:sz w:val="18"/>
        </w:rPr>
        <w:t xml:space="preserve">$90 million to &lt;$100 million </w:t>
      </w:r>
    </w:p>
    <w:p w:rsidR="000D015F" w:rsidRPr="005513B1" w:rsidRDefault="000D015F" w:rsidP="000D015F">
      <w:pPr>
        <w:tabs>
          <w:tab w:val="left" w:pos="2622"/>
          <w:tab w:val="left" w:pos="4020"/>
        </w:tabs>
        <w:rPr>
          <w:rFonts w:ascii="Arial Narrow" w:hAnsi="Arial Narrow"/>
          <w:i/>
          <w:sz w:val="18"/>
        </w:rPr>
      </w:pPr>
      <w:r w:rsidRPr="005513B1">
        <w:rPr>
          <w:rFonts w:ascii="Arial Narrow" w:hAnsi="Arial Narrow"/>
          <w:i/>
          <w:sz w:val="18"/>
          <w:vertAlign w:val="superscript"/>
        </w:rPr>
        <w:t>19</w:t>
      </w:r>
      <w:r w:rsidRPr="005513B1">
        <w:rPr>
          <w:rFonts w:ascii="Arial Narrow" w:hAnsi="Arial Narrow"/>
          <w:i/>
          <w:sz w:val="18"/>
        </w:rPr>
        <w:t>$300 million to &lt;$400 million</w:t>
      </w:r>
    </w:p>
    <w:p w:rsidR="000D015F" w:rsidRPr="005513B1" w:rsidRDefault="000D015F" w:rsidP="000D015F">
      <w:pPr>
        <w:tabs>
          <w:tab w:val="left" w:pos="2622"/>
          <w:tab w:val="left" w:pos="4020"/>
        </w:tabs>
        <w:rPr>
          <w:rFonts w:ascii="Arial Narrow" w:hAnsi="Arial Narrow"/>
          <w:i/>
          <w:sz w:val="18"/>
        </w:rPr>
      </w:pPr>
      <w:r w:rsidRPr="005513B1">
        <w:rPr>
          <w:rFonts w:ascii="Arial Narrow" w:hAnsi="Arial Narrow"/>
          <w:i/>
          <w:sz w:val="18"/>
          <w:vertAlign w:val="superscript"/>
        </w:rPr>
        <w:t>20</w:t>
      </w:r>
      <w:r w:rsidRPr="005513B1">
        <w:rPr>
          <w:rFonts w:ascii="Arial Narrow" w:hAnsi="Arial Narrow"/>
          <w:i/>
          <w:sz w:val="18"/>
        </w:rPr>
        <w:t>$80 million to &lt;$90 million</w:t>
      </w:r>
    </w:p>
    <w:p w:rsidR="000D015F" w:rsidRPr="008F1678" w:rsidRDefault="000D015F" w:rsidP="00D60D91">
      <w:pPr>
        <w:pStyle w:val="TableFooter"/>
      </w:pPr>
    </w:p>
    <w:p w:rsidR="00C24211" w:rsidRPr="008F1678" w:rsidRDefault="00C24211" w:rsidP="007A53C5">
      <w:pPr>
        <w:pStyle w:val="2-SectionHeading"/>
      </w:pPr>
      <w:r w:rsidRPr="008F1678">
        <w:t>PBAC Outcome</w:t>
      </w:r>
    </w:p>
    <w:p w:rsidR="00FF6E1D" w:rsidRPr="008F1678" w:rsidRDefault="00B73A0B" w:rsidP="00D60D91">
      <w:pPr>
        <w:pStyle w:val="3Bodytext"/>
        <w:rPr>
          <w:snapToGrid w:val="0"/>
        </w:rPr>
      </w:pPr>
      <w:r w:rsidRPr="008F1678">
        <w:rPr>
          <w:snapToGrid w:val="0"/>
        </w:rPr>
        <w:t>The PBAC provided further advice in regard to it</w:t>
      </w:r>
      <w:r w:rsidR="009701CE" w:rsidRPr="008F1678">
        <w:rPr>
          <w:snapToGrid w:val="0"/>
        </w:rPr>
        <w:t xml:space="preserve">s March 2020 recommendation for </w:t>
      </w:r>
      <w:r w:rsidRPr="008F1678">
        <w:rPr>
          <w:snapToGrid w:val="0"/>
        </w:rPr>
        <w:t xml:space="preserve">the listing of dupilumab for the treatment of </w:t>
      </w:r>
      <w:r w:rsidR="00CD2B70" w:rsidRPr="008F1678">
        <w:rPr>
          <w:snapToGrid w:val="0"/>
        </w:rPr>
        <w:t xml:space="preserve">patients aged 12 years and older with severe </w:t>
      </w:r>
      <w:r w:rsidRPr="008F1678">
        <w:rPr>
          <w:snapToGrid w:val="0"/>
        </w:rPr>
        <w:t>atopic dermatitis</w:t>
      </w:r>
      <w:r w:rsidR="00CD2B70" w:rsidRPr="008F1678">
        <w:rPr>
          <w:snapToGrid w:val="0"/>
        </w:rPr>
        <w:t xml:space="preserve"> who are inadequately controlled on topical therapies,</w:t>
      </w:r>
      <w:r w:rsidR="00FF6E1D" w:rsidRPr="008F1678">
        <w:rPr>
          <w:snapToGrid w:val="0"/>
        </w:rPr>
        <w:t xml:space="preserve"> and</w:t>
      </w:r>
      <w:r w:rsidRPr="008F1678">
        <w:rPr>
          <w:snapToGrid w:val="0"/>
        </w:rPr>
        <w:t xml:space="preserve"> the sponsor’s </w:t>
      </w:r>
      <w:r w:rsidR="00FF6E1D" w:rsidRPr="008F1678">
        <w:rPr>
          <w:snapToGrid w:val="0"/>
        </w:rPr>
        <w:t xml:space="preserve">subsequent </w:t>
      </w:r>
      <w:r w:rsidRPr="008F1678">
        <w:rPr>
          <w:snapToGrid w:val="0"/>
        </w:rPr>
        <w:t>listing proposal</w:t>
      </w:r>
      <w:r w:rsidR="00CD2B70" w:rsidRPr="008F1678">
        <w:rPr>
          <w:snapToGrid w:val="0"/>
        </w:rPr>
        <w:t xml:space="preserve"> </w:t>
      </w:r>
      <w:r w:rsidRPr="008F1678">
        <w:rPr>
          <w:snapToGrid w:val="0"/>
        </w:rPr>
        <w:t xml:space="preserve">which included </w:t>
      </w:r>
      <w:r w:rsidR="00C8447C" w:rsidRPr="008F1678">
        <w:rPr>
          <w:snapToGrid w:val="0"/>
        </w:rPr>
        <w:t>modifications</w:t>
      </w:r>
      <w:r w:rsidRPr="008F1678">
        <w:rPr>
          <w:snapToGrid w:val="0"/>
        </w:rPr>
        <w:t xml:space="preserve"> to the economic model and the financial estimates model. </w:t>
      </w:r>
    </w:p>
    <w:p w:rsidR="005E48F3" w:rsidRPr="008F1678" w:rsidRDefault="006A5620" w:rsidP="00D60D91">
      <w:pPr>
        <w:pStyle w:val="3Bodytext"/>
        <w:rPr>
          <w:snapToGrid w:val="0"/>
        </w:rPr>
      </w:pPr>
      <w:r w:rsidRPr="008F1678">
        <w:rPr>
          <w:snapToGrid w:val="0"/>
        </w:rPr>
        <w:t>The PBAC considered that</w:t>
      </w:r>
      <w:r w:rsidR="00B73A0B" w:rsidRPr="008F1678">
        <w:rPr>
          <w:snapToGrid w:val="0"/>
        </w:rPr>
        <w:t xml:space="preserve"> the </w:t>
      </w:r>
      <w:r w:rsidR="00745EBC" w:rsidRPr="008F1678">
        <w:rPr>
          <w:snapToGrid w:val="0"/>
        </w:rPr>
        <w:t xml:space="preserve">sponsor’s </w:t>
      </w:r>
      <w:r w:rsidR="00B73A0B" w:rsidRPr="008F1678">
        <w:rPr>
          <w:snapToGrid w:val="0"/>
        </w:rPr>
        <w:t xml:space="preserve">amended inputs to the economic model </w:t>
      </w:r>
      <w:r w:rsidRPr="008F1678">
        <w:rPr>
          <w:snapToGrid w:val="0"/>
        </w:rPr>
        <w:t>were</w:t>
      </w:r>
      <w:r w:rsidR="00B73A0B" w:rsidRPr="008F1678">
        <w:rPr>
          <w:snapToGrid w:val="0"/>
        </w:rPr>
        <w:t xml:space="preserve"> acceptable</w:t>
      </w:r>
      <w:r w:rsidRPr="008F1678">
        <w:rPr>
          <w:snapToGrid w:val="0"/>
        </w:rPr>
        <w:t xml:space="preserve"> overall</w:t>
      </w:r>
      <w:r w:rsidR="00C8447C" w:rsidRPr="008F1678">
        <w:rPr>
          <w:snapToGrid w:val="0"/>
        </w:rPr>
        <w:t xml:space="preserve"> in addressing the uncertainties previously outlined regarding phototherapy costs and maintenance of response</w:t>
      </w:r>
      <w:r w:rsidR="003E0D1B" w:rsidRPr="008F1678">
        <w:rPr>
          <w:snapToGrid w:val="0"/>
        </w:rPr>
        <w:t>. Ho</w:t>
      </w:r>
      <w:r w:rsidR="00B73A0B" w:rsidRPr="008F1678">
        <w:rPr>
          <w:snapToGrid w:val="0"/>
        </w:rPr>
        <w:t>wever</w:t>
      </w:r>
      <w:r w:rsidR="003E0D1B" w:rsidRPr="008F1678">
        <w:rPr>
          <w:snapToGrid w:val="0"/>
        </w:rPr>
        <w:t xml:space="preserve">, the PBAC </w:t>
      </w:r>
      <w:r w:rsidR="00B73A0B" w:rsidRPr="008F1678">
        <w:rPr>
          <w:snapToGrid w:val="0"/>
        </w:rPr>
        <w:t>maintained</w:t>
      </w:r>
      <w:r w:rsidR="00BC75A2" w:rsidRPr="008F1678">
        <w:rPr>
          <w:snapToGrid w:val="0"/>
        </w:rPr>
        <w:t xml:space="preserve"> </w:t>
      </w:r>
      <w:r w:rsidR="00B73A0B" w:rsidRPr="008F1678">
        <w:rPr>
          <w:snapToGrid w:val="0"/>
        </w:rPr>
        <w:t xml:space="preserve">that a price reduction would be required to achieve the </w:t>
      </w:r>
      <w:r w:rsidR="003E0D1B" w:rsidRPr="008F1678">
        <w:rPr>
          <w:snapToGrid w:val="0"/>
        </w:rPr>
        <w:t>base case</w:t>
      </w:r>
      <w:r w:rsidR="00B73A0B" w:rsidRPr="008F1678">
        <w:rPr>
          <w:snapToGrid w:val="0"/>
        </w:rPr>
        <w:t xml:space="preserve"> ICER</w:t>
      </w:r>
      <w:r w:rsidR="00150A02" w:rsidRPr="008F1678">
        <w:rPr>
          <w:snapToGrid w:val="0"/>
        </w:rPr>
        <w:t>s</w:t>
      </w:r>
      <w:r w:rsidR="00B73A0B" w:rsidRPr="008F1678">
        <w:rPr>
          <w:snapToGrid w:val="0"/>
        </w:rPr>
        <w:t xml:space="preserve"> considered in March 2020</w:t>
      </w:r>
      <w:r w:rsidR="003E0D1B" w:rsidRPr="008F1678">
        <w:rPr>
          <w:snapToGrid w:val="0"/>
        </w:rPr>
        <w:t>:</w:t>
      </w:r>
      <w:r w:rsidRPr="008F1678">
        <w:rPr>
          <w:snapToGrid w:val="0"/>
        </w:rPr>
        <w:t xml:space="preserve"> </w:t>
      </w:r>
      <w:r w:rsidR="003850F7" w:rsidRPr="008F1678">
        <w:rPr>
          <w:rFonts w:eastAsia="Times New Roman" w:cs="Arial"/>
          <w:bCs/>
          <w:snapToGrid w:val="0"/>
          <w:szCs w:val="24"/>
        </w:rPr>
        <w:t>$</w:t>
      </w:r>
      <w:r w:rsidR="00F10EB1">
        <w:rPr>
          <w:rFonts w:eastAsia="Times New Roman" w:cs="Arial"/>
          <w:bCs/>
          <w:snapToGrid w:val="0"/>
          <w:szCs w:val="24"/>
        </w:rPr>
        <w:t>45,000 to &lt;$55,000</w:t>
      </w:r>
      <w:r w:rsidR="003850F7" w:rsidRPr="008F1678">
        <w:rPr>
          <w:rFonts w:eastAsia="Times New Roman" w:cs="Arial"/>
          <w:bCs/>
          <w:snapToGrid w:val="0"/>
          <w:szCs w:val="24"/>
        </w:rPr>
        <w:t>/QALY for the CsA-naïve population and $</w:t>
      </w:r>
      <w:r w:rsidR="00F10EB1">
        <w:rPr>
          <w:rFonts w:eastAsia="Times New Roman" w:cs="Arial"/>
          <w:bCs/>
          <w:snapToGrid w:val="0"/>
          <w:szCs w:val="24"/>
        </w:rPr>
        <w:t xml:space="preserve">25,000 to </w:t>
      </w:r>
      <w:r w:rsidR="00F10EB1">
        <w:rPr>
          <w:rFonts w:eastAsia="Times New Roman" w:cs="Arial"/>
          <w:bCs/>
          <w:snapToGrid w:val="0"/>
          <w:szCs w:val="24"/>
        </w:rPr>
        <w:lastRenderedPageBreak/>
        <w:t>&lt;$35,000</w:t>
      </w:r>
      <w:r w:rsidR="003850F7" w:rsidRPr="008F1678">
        <w:rPr>
          <w:rFonts w:eastAsia="Times New Roman" w:cs="Arial"/>
          <w:bCs/>
          <w:snapToGrid w:val="0"/>
          <w:szCs w:val="24"/>
        </w:rPr>
        <w:t>/QALY for the CsA-experienced population</w:t>
      </w:r>
      <w:r w:rsidR="00B73A0B" w:rsidRPr="008F1678">
        <w:rPr>
          <w:snapToGrid w:val="0"/>
        </w:rPr>
        <w:t xml:space="preserve">. </w:t>
      </w:r>
      <w:r w:rsidR="006E6464" w:rsidRPr="008F1678">
        <w:rPr>
          <w:snapToGrid w:val="0"/>
        </w:rPr>
        <w:t xml:space="preserve">The PBAC noted that based on the sponsor’s </w:t>
      </w:r>
      <w:r w:rsidR="00D513D2" w:rsidRPr="008F1678">
        <w:rPr>
          <w:snapToGrid w:val="0"/>
        </w:rPr>
        <w:t>proposal</w:t>
      </w:r>
      <w:r w:rsidR="006E6464" w:rsidRPr="008F1678">
        <w:rPr>
          <w:snapToGrid w:val="0"/>
        </w:rPr>
        <w:t>, the ICER was $</w:t>
      </w:r>
      <w:r w:rsidR="00F10EB1">
        <w:rPr>
          <w:snapToGrid w:val="0"/>
        </w:rPr>
        <w:t>45,000 to &lt;$55,000</w:t>
      </w:r>
      <w:r w:rsidR="006E6464" w:rsidRPr="008F1678">
        <w:rPr>
          <w:snapToGrid w:val="0"/>
        </w:rPr>
        <w:t>/QALY for the CsA-naïve population.</w:t>
      </w:r>
    </w:p>
    <w:p w:rsidR="00B73A0B" w:rsidRPr="008F1678" w:rsidRDefault="00D93CDE" w:rsidP="00D60D91">
      <w:pPr>
        <w:pStyle w:val="3Bodytext"/>
        <w:rPr>
          <w:snapToGrid w:val="0"/>
        </w:rPr>
      </w:pPr>
      <w:r w:rsidRPr="008F1678">
        <w:rPr>
          <w:snapToGrid w:val="0"/>
        </w:rPr>
        <w:t xml:space="preserve">In relation to the financial estimates, the PBAC </w:t>
      </w:r>
      <w:r w:rsidR="00FF6E1D" w:rsidRPr="008F1678">
        <w:rPr>
          <w:snapToGrid w:val="0"/>
        </w:rPr>
        <w:t>noted that the sponsor’s proposal resulted in a significant incr</w:t>
      </w:r>
      <w:r w:rsidR="003D1C39" w:rsidRPr="008F1678">
        <w:rPr>
          <w:snapToGrid w:val="0"/>
        </w:rPr>
        <w:t>ease to the total cost of dupilumab</w:t>
      </w:r>
      <w:r w:rsidR="00FF6E1D" w:rsidRPr="008F1678">
        <w:rPr>
          <w:snapToGrid w:val="0"/>
        </w:rPr>
        <w:t xml:space="preserve">, and considered that </w:t>
      </w:r>
      <w:r w:rsidR="003D1C39" w:rsidRPr="008F1678">
        <w:rPr>
          <w:snapToGrid w:val="0"/>
        </w:rPr>
        <w:t>the cost of the listing</w:t>
      </w:r>
      <w:r w:rsidR="003671FA" w:rsidRPr="008F1678">
        <w:rPr>
          <w:snapToGrid w:val="0"/>
        </w:rPr>
        <w:t xml:space="preserve"> </w:t>
      </w:r>
      <w:r w:rsidR="009B505E" w:rsidRPr="008F1678">
        <w:rPr>
          <w:snapToGrid w:val="0"/>
        </w:rPr>
        <w:t xml:space="preserve">should be more closely aligned with the </w:t>
      </w:r>
      <w:r w:rsidR="005C2D1D" w:rsidRPr="008F1678">
        <w:rPr>
          <w:snapToGrid w:val="0"/>
        </w:rPr>
        <w:t>estimates based on the</w:t>
      </w:r>
      <w:r w:rsidR="009B505E" w:rsidRPr="008F1678">
        <w:rPr>
          <w:snapToGrid w:val="0"/>
        </w:rPr>
        <w:t xml:space="preserve"> PBAC’s March 2020 </w:t>
      </w:r>
      <w:r w:rsidR="005C2D1D" w:rsidRPr="008F1678">
        <w:rPr>
          <w:snapToGrid w:val="0"/>
        </w:rPr>
        <w:t>recommended approach (Row B, Table 5)</w:t>
      </w:r>
      <w:r w:rsidR="00FF6E1D" w:rsidRPr="008F1678">
        <w:rPr>
          <w:snapToGrid w:val="0"/>
        </w:rPr>
        <w:t>.</w:t>
      </w:r>
    </w:p>
    <w:p w:rsidR="001B6631" w:rsidRPr="008F1678" w:rsidRDefault="001B6631" w:rsidP="00D60D91">
      <w:pPr>
        <w:pStyle w:val="3Bodytext"/>
        <w:rPr>
          <w:snapToGrid w:val="0"/>
        </w:rPr>
      </w:pPr>
      <w:r w:rsidRPr="008F1678">
        <w:rPr>
          <w:snapToGrid w:val="0"/>
        </w:rPr>
        <w:t xml:space="preserve">The PBAC noted that the inclusion of two phototherapy sessions per week in the </w:t>
      </w:r>
      <w:r w:rsidR="00296FDC" w:rsidRPr="008F1678">
        <w:rPr>
          <w:snapToGrid w:val="0"/>
        </w:rPr>
        <w:t xml:space="preserve">economic </w:t>
      </w:r>
      <w:r w:rsidRPr="008F1678">
        <w:rPr>
          <w:snapToGrid w:val="0"/>
        </w:rPr>
        <w:t>model was poorly supported, especially in the context of not specifically modelling the outcomes associated with phototherapy. The PBAC recalled that there are limited data to inform the assumptions regarding maintenance of response over time. Overall, the PBAC considered that the modifications the sponsor made to the economic model were still potentially based on optimistic assumptions that favoured dupilumab, however considered them to be acceptable in the context of high clinical need in this therapeutic area, along with a corresponding price reduction to achieve the same base case ICERs reviewed in March 2020.</w:t>
      </w:r>
    </w:p>
    <w:p w:rsidR="00DF035F" w:rsidRPr="008F1678" w:rsidRDefault="00DF035F" w:rsidP="00C24211">
      <w:pPr>
        <w:widowControl w:val="0"/>
        <w:numPr>
          <w:ilvl w:val="1"/>
          <w:numId w:val="1"/>
        </w:numPr>
        <w:spacing w:after="120"/>
        <w:rPr>
          <w:rFonts w:asciiTheme="minorHAnsi" w:hAnsiTheme="minorHAnsi" w:cs="Arial"/>
          <w:bCs/>
          <w:snapToGrid w:val="0"/>
        </w:rPr>
      </w:pPr>
      <w:r w:rsidRPr="008F1678">
        <w:rPr>
          <w:rFonts w:asciiTheme="minorHAnsi" w:hAnsiTheme="minorHAnsi" w:cs="Arial"/>
          <w:bCs/>
          <w:snapToGrid w:val="0"/>
        </w:rPr>
        <w:t xml:space="preserve">The PBAC noted that the financial estimates were updated </w:t>
      </w:r>
      <w:r w:rsidR="00E402BD" w:rsidRPr="008F1678">
        <w:rPr>
          <w:rFonts w:asciiTheme="minorHAnsi" w:hAnsiTheme="minorHAnsi" w:cs="Arial"/>
          <w:bCs/>
          <w:snapToGrid w:val="0"/>
        </w:rPr>
        <w:t xml:space="preserve">to include the adolescent (12 to 17 years) population and to remove offsets for phototherapy use. </w:t>
      </w:r>
      <w:r w:rsidR="00681A50" w:rsidRPr="008F1678">
        <w:rPr>
          <w:rFonts w:asciiTheme="minorHAnsi" w:hAnsiTheme="minorHAnsi" w:cs="Arial"/>
          <w:bCs/>
          <w:snapToGrid w:val="0"/>
        </w:rPr>
        <w:t>These amendments were considered consistent with the committee’s March 2020 advice.</w:t>
      </w:r>
    </w:p>
    <w:p w:rsidR="00F27F0B" w:rsidRPr="008F1678" w:rsidRDefault="00B71039" w:rsidP="00C24211">
      <w:pPr>
        <w:widowControl w:val="0"/>
        <w:numPr>
          <w:ilvl w:val="1"/>
          <w:numId w:val="1"/>
        </w:numPr>
        <w:spacing w:after="120"/>
        <w:rPr>
          <w:rFonts w:asciiTheme="minorHAnsi" w:hAnsiTheme="minorHAnsi" w:cs="Arial"/>
          <w:bCs/>
          <w:snapToGrid w:val="0"/>
        </w:rPr>
      </w:pPr>
      <w:r w:rsidRPr="008F1678">
        <w:rPr>
          <w:rFonts w:asciiTheme="minorHAnsi" w:hAnsiTheme="minorHAnsi" w:cs="Arial"/>
          <w:bCs/>
          <w:snapToGrid w:val="0"/>
        </w:rPr>
        <w:t xml:space="preserve">The PBAC noted the sponsor’s revised approach to the uptake rates </w:t>
      </w:r>
      <w:r w:rsidR="00712687" w:rsidRPr="008F1678">
        <w:rPr>
          <w:rFonts w:asciiTheme="minorHAnsi" w:hAnsiTheme="minorHAnsi" w:cs="Arial"/>
          <w:bCs/>
          <w:snapToGrid w:val="0"/>
        </w:rPr>
        <w:t xml:space="preserve">applied </w:t>
      </w:r>
      <w:r w:rsidRPr="008F1678">
        <w:rPr>
          <w:rFonts w:asciiTheme="minorHAnsi" w:hAnsiTheme="minorHAnsi" w:cs="Arial"/>
          <w:bCs/>
          <w:snapToGrid w:val="0"/>
        </w:rPr>
        <w:t>over time</w:t>
      </w:r>
      <w:r w:rsidR="00712687" w:rsidRPr="008F1678">
        <w:rPr>
          <w:rFonts w:asciiTheme="minorHAnsi" w:hAnsiTheme="minorHAnsi" w:cs="Arial"/>
          <w:bCs/>
          <w:snapToGrid w:val="0"/>
        </w:rPr>
        <w:t xml:space="preserve"> to the prevalent pool of eligible patients</w:t>
      </w:r>
      <w:r w:rsidRPr="008F1678">
        <w:rPr>
          <w:rFonts w:asciiTheme="minorHAnsi" w:hAnsiTheme="minorHAnsi" w:cs="Arial"/>
          <w:bCs/>
          <w:snapToGrid w:val="0"/>
        </w:rPr>
        <w:t xml:space="preserve">. While the PBAC noted that this was different to the </w:t>
      </w:r>
      <w:r w:rsidR="000B0089" w:rsidRPr="008F1678">
        <w:rPr>
          <w:rFonts w:asciiTheme="minorHAnsi" w:hAnsiTheme="minorHAnsi" w:cs="Arial"/>
          <w:bCs/>
          <w:snapToGrid w:val="0"/>
        </w:rPr>
        <w:t xml:space="preserve">method </w:t>
      </w:r>
      <w:r w:rsidRPr="008F1678">
        <w:rPr>
          <w:rFonts w:asciiTheme="minorHAnsi" w:hAnsiTheme="minorHAnsi" w:cs="Arial"/>
          <w:bCs/>
          <w:snapToGrid w:val="0"/>
        </w:rPr>
        <w:t xml:space="preserve">PBAC advised in March 2020, </w:t>
      </w:r>
      <w:r w:rsidR="0053088F" w:rsidRPr="008F1678">
        <w:rPr>
          <w:rFonts w:asciiTheme="minorHAnsi" w:hAnsiTheme="minorHAnsi" w:cs="Arial"/>
          <w:bCs/>
          <w:snapToGrid w:val="0"/>
        </w:rPr>
        <w:t xml:space="preserve">the PBAC acknowledged the proposal’s claims </w:t>
      </w:r>
      <w:r w:rsidR="00F16AE5" w:rsidRPr="008F1678">
        <w:rPr>
          <w:rFonts w:asciiTheme="minorHAnsi" w:hAnsiTheme="minorHAnsi" w:cs="Arial"/>
          <w:bCs/>
          <w:snapToGrid w:val="0"/>
        </w:rPr>
        <w:t>that</w:t>
      </w:r>
      <w:r w:rsidR="0053088F" w:rsidRPr="008F1678">
        <w:rPr>
          <w:rFonts w:asciiTheme="minorHAnsi" w:hAnsiTheme="minorHAnsi" w:cs="Arial"/>
          <w:bCs/>
          <w:snapToGrid w:val="0"/>
        </w:rPr>
        <w:t xml:space="preserve"> the proposed uptake</w:t>
      </w:r>
      <w:r w:rsidR="00F16AE5" w:rsidRPr="008F1678">
        <w:rPr>
          <w:rFonts w:asciiTheme="minorHAnsi" w:hAnsiTheme="minorHAnsi" w:cs="Arial"/>
          <w:bCs/>
          <w:snapToGrid w:val="0"/>
        </w:rPr>
        <w:t xml:space="preserve"> rates</w:t>
      </w:r>
      <w:r w:rsidR="0053088F" w:rsidRPr="008F1678">
        <w:rPr>
          <w:rFonts w:asciiTheme="minorHAnsi" w:hAnsiTheme="minorHAnsi" w:cs="Arial"/>
          <w:bCs/>
          <w:snapToGrid w:val="0"/>
        </w:rPr>
        <w:t xml:space="preserve"> </w:t>
      </w:r>
      <w:r w:rsidR="00F16AE5" w:rsidRPr="008F1678">
        <w:rPr>
          <w:rFonts w:asciiTheme="minorHAnsi" w:hAnsiTheme="minorHAnsi" w:cs="Arial"/>
          <w:bCs/>
          <w:snapToGrid w:val="0"/>
        </w:rPr>
        <w:t>were a better</w:t>
      </w:r>
      <w:r w:rsidR="0053088F" w:rsidRPr="008F1678">
        <w:rPr>
          <w:rFonts w:asciiTheme="minorHAnsi" w:hAnsiTheme="minorHAnsi" w:cs="Arial"/>
          <w:bCs/>
          <w:snapToGrid w:val="0"/>
        </w:rPr>
        <w:t xml:space="preserve"> estimate of the pattern of uptake. </w:t>
      </w:r>
      <w:r w:rsidR="002813FB" w:rsidRPr="008F1678">
        <w:rPr>
          <w:rFonts w:asciiTheme="minorHAnsi" w:hAnsiTheme="minorHAnsi" w:cs="Arial"/>
          <w:bCs/>
          <w:snapToGrid w:val="0"/>
        </w:rPr>
        <w:t>I</w:t>
      </w:r>
      <w:r w:rsidR="0003555C" w:rsidRPr="008F1678">
        <w:rPr>
          <w:rFonts w:asciiTheme="minorHAnsi" w:hAnsiTheme="minorHAnsi" w:cs="Arial"/>
          <w:bCs/>
          <w:snapToGrid w:val="0"/>
        </w:rPr>
        <w:t xml:space="preserve">mportantly, </w:t>
      </w:r>
      <w:r w:rsidR="002813FB" w:rsidRPr="008F1678">
        <w:rPr>
          <w:rFonts w:asciiTheme="minorHAnsi" w:hAnsiTheme="minorHAnsi" w:cs="Arial"/>
          <w:bCs/>
          <w:snapToGrid w:val="0"/>
        </w:rPr>
        <w:t xml:space="preserve">the PBAC considered that </w:t>
      </w:r>
      <w:r w:rsidR="0003555C" w:rsidRPr="008F1678">
        <w:rPr>
          <w:rFonts w:asciiTheme="minorHAnsi" w:hAnsiTheme="minorHAnsi" w:cs="Arial"/>
          <w:bCs/>
          <w:snapToGrid w:val="0"/>
        </w:rPr>
        <w:t>the uptake rates</w:t>
      </w:r>
      <w:r w:rsidR="00712687" w:rsidRPr="008F1678">
        <w:rPr>
          <w:rFonts w:asciiTheme="minorHAnsi" w:hAnsiTheme="minorHAnsi" w:cs="Arial"/>
          <w:bCs/>
          <w:snapToGrid w:val="0"/>
        </w:rPr>
        <w:t xml:space="preserve"> of patients from the prevalent pool</w:t>
      </w:r>
      <w:r w:rsidR="0003555C" w:rsidRPr="008F1678">
        <w:rPr>
          <w:rFonts w:asciiTheme="minorHAnsi" w:hAnsiTheme="minorHAnsi" w:cs="Arial"/>
          <w:bCs/>
          <w:snapToGrid w:val="0"/>
        </w:rPr>
        <w:t xml:space="preserve"> proposed by the sponsor decreased over time and </w:t>
      </w:r>
      <w:r w:rsidR="000B0089" w:rsidRPr="008F1678">
        <w:rPr>
          <w:rFonts w:asciiTheme="minorHAnsi" w:hAnsiTheme="minorHAnsi" w:cs="Arial"/>
          <w:bCs/>
          <w:snapToGrid w:val="0"/>
        </w:rPr>
        <w:t xml:space="preserve">therefore </w:t>
      </w:r>
      <w:r w:rsidR="00712687" w:rsidRPr="008F1678">
        <w:rPr>
          <w:rFonts w:asciiTheme="minorHAnsi" w:hAnsiTheme="minorHAnsi" w:cs="Arial"/>
          <w:bCs/>
          <w:snapToGrid w:val="0"/>
        </w:rPr>
        <w:t>were reasonable</w:t>
      </w:r>
      <w:r w:rsidR="0003555C" w:rsidRPr="008F1678">
        <w:rPr>
          <w:rFonts w:asciiTheme="minorHAnsi" w:hAnsiTheme="minorHAnsi" w:cs="Arial"/>
          <w:bCs/>
          <w:snapToGrid w:val="0"/>
        </w:rPr>
        <w:t xml:space="preserve">. </w:t>
      </w:r>
    </w:p>
    <w:p w:rsidR="00B1210A" w:rsidRPr="008F1678" w:rsidRDefault="00C5152A" w:rsidP="005C2A54">
      <w:pPr>
        <w:widowControl w:val="0"/>
        <w:numPr>
          <w:ilvl w:val="1"/>
          <w:numId w:val="1"/>
        </w:numPr>
        <w:spacing w:after="120"/>
        <w:rPr>
          <w:rFonts w:asciiTheme="minorHAnsi" w:hAnsiTheme="minorHAnsi" w:cs="Arial"/>
          <w:bCs/>
          <w:snapToGrid w:val="0"/>
        </w:rPr>
      </w:pPr>
      <w:r w:rsidRPr="008F1678">
        <w:rPr>
          <w:rFonts w:asciiTheme="minorHAnsi" w:hAnsiTheme="minorHAnsi" w:cs="Arial"/>
          <w:bCs/>
          <w:snapToGrid w:val="0"/>
        </w:rPr>
        <w:t xml:space="preserve">The </w:t>
      </w:r>
      <w:r w:rsidR="00BC519C" w:rsidRPr="008F1678">
        <w:rPr>
          <w:rFonts w:asciiTheme="minorHAnsi" w:hAnsiTheme="minorHAnsi" w:cs="Arial"/>
          <w:bCs/>
          <w:snapToGrid w:val="0"/>
        </w:rPr>
        <w:t xml:space="preserve">PBAC noted that the proposed estimates changed the assumption regarding patients being adequately controlled on </w:t>
      </w:r>
      <w:r w:rsidR="002343AA" w:rsidRPr="008F1678">
        <w:rPr>
          <w:rFonts w:asciiTheme="minorHAnsi" w:hAnsiTheme="minorHAnsi" w:cs="Arial"/>
          <w:bCs/>
          <w:snapToGrid w:val="0"/>
        </w:rPr>
        <w:t xml:space="preserve">topical corticosteroids </w:t>
      </w:r>
      <w:r w:rsidR="00BC519C" w:rsidRPr="008F1678">
        <w:rPr>
          <w:rFonts w:asciiTheme="minorHAnsi" w:hAnsiTheme="minorHAnsi" w:cs="Arial"/>
          <w:bCs/>
          <w:snapToGrid w:val="0"/>
        </w:rPr>
        <w:t xml:space="preserve">(from 68% to 100%) although </w:t>
      </w:r>
      <w:r w:rsidRPr="008F1678">
        <w:rPr>
          <w:rFonts w:asciiTheme="minorHAnsi" w:hAnsiTheme="minorHAnsi" w:cs="Arial"/>
          <w:bCs/>
          <w:snapToGrid w:val="0"/>
        </w:rPr>
        <w:t xml:space="preserve">the </w:t>
      </w:r>
      <w:r w:rsidR="00BC519C" w:rsidRPr="008F1678">
        <w:rPr>
          <w:rFonts w:asciiTheme="minorHAnsi" w:hAnsiTheme="minorHAnsi" w:cs="Arial"/>
          <w:bCs/>
          <w:snapToGrid w:val="0"/>
        </w:rPr>
        <w:t xml:space="preserve">PBAC did not specify </w:t>
      </w:r>
      <w:r w:rsidR="002343AA" w:rsidRPr="008F1678">
        <w:rPr>
          <w:rFonts w:asciiTheme="minorHAnsi" w:hAnsiTheme="minorHAnsi" w:cs="Arial"/>
          <w:bCs/>
          <w:snapToGrid w:val="0"/>
        </w:rPr>
        <w:t>that</w:t>
      </w:r>
      <w:r w:rsidR="00BC519C" w:rsidRPr="008F1678">
        <w:rPr>
          <w:rFonts w:asciiTheme="minorHAnsi" w:hAnsiTheme="minorHAnsi" w:cs="Arial"/>
          <w:bCs/>
          <w:snapToGrid w:val="0"/>
        </w:rPr>
        <w:t xml:space="preserve"> this parameter</w:t>
      </w:r>
      <w:r w:rsidR="002343AA" w:rsidRPr="008F1678">
        <w:rPr>
          <w:rFonts w:asciiTheme="minorHAnsi" w:hAnsiTheme="minorHAnsi" w:cs="Arial"/>
          <w:bCs/>
          <w:snapToGrid w:val="0"/>
        </w:rPr>
        <w:t xml:space="preserve"> be changed</w:t>
      </w:r>
      <w:r w:rsidR="00BC519C" w:rsidRPr="008F1678">
        <w:rPr>
          <w:rFonts w:asciiTheme="minorHAnsi" w:hAnsiTheme="minorHAnsi" w:cs="Arial"/>
          <w:bCs/>
          <w:snapToGrid w:val="0"/>
        </w:rPr>
        <w:t xml:space="preserve"> in the outcome of its March 2020 consideration. </w:t>
      </w:r>
      <w:r w:rsidR="00D94098" w:rsidRPr="008F1678">
        <w:rPr>
          <w:rFonts w:asciiTheme="minorHAnsi" w:hAnsiTheme="minorHAnsi" w:cs="Arial"/>
          <w:bCs/>
          <w:snapToGrid w:val="0"/>
        </w:rPr>
        <w:t xml:space="preserve">The PBAC </w:t>
      </w:r>
      <w:r w:rsidR="006C1D57" w:rsidRPr="008F1678">
        <w:rPr>
          <w:rFonts w:asciiTheme="minorHAnsi" w:hAnsiTheme="minorHAnsi" w:cs="Arial"/>
          <w:bCs/>
          <w:snapToGrid w:val="0"/>
        </w:rPr>
        <w:t>noted that</w:t>
      </w:r>
      <w:r w:rsidR="00D94098" w:rsidRPr="008F1678">
        <w:rPr>
          <w:rFonts w:asciiTheme="minorHAnsi" w:hAnsiTheme="minorHAnsi" w:cs="Arial"/>
          <w:bCs/>
          <w:snapToGrid w:val="0"/>
        </w:rPr>
        <w:t xml:space="preserve"> </w:t>
      </w:r>
      <w:r w:rsidR="00BC519C" w:rsidRPr="008F1678">
        <w:rPr>
          <w:rFonts w:asciiTheme="minorHAnsi" w:hAnsiTheme="minorHAnsi" w:cs="Arial"/>
          <w:bCs/>
          <w:snapToGrid w:val="0"/>
        </w:rPr>
        <w:t xml:space="preserve">this revision </w:t>
      </w:r>
      <w:r w:rsidR="006C1D57" w:rsidRPr="008F1678">
        <w:rPr>
          <w:rFonts w:asciiTheme="minorHAnsi" w:hAnsiTheme="minorHAnsi" w:cs="Arial"/>
          <w:bCs/>
          <w:snapToGrid w:val="0"/>
        </w:rPr>
        <w:t xml:space="preserve">to the financial estimates </w:t>
      </w:r>
      <w:r w:rsidR="006F2C8F" w:rsidRPr="008F1678">
        <w:rPr>
          <w:rFonts w:asciiTheme="minorHAnsi" w:hAnsiTheme="minorHAnsi" w:cs="Arial"/>
          <w:bCs/>
          <w:snapToGrid w:val="0"/>
        </w:rPr>
        <w:t xml:space="preserve">(in addition to the proposed adjusted uptake rates) was </w:t>
      </w:r>
      <w:r w:rsidR="0006573D" w:rsidRPr="008F1678">
        <w:rPr>
          <w:rFonts w:asciiTheme="minorHAnsi" w:hAnsiTheme="minorHAnsi" w:cs="Arial"/>
          <w:bCs/>
          <w:snapToGrid w:val="0"/>
        </w:rPr>
        <w:t>the</w:t>
      </w:r>
      <w:r w:rsidR="006F2C8F" w:rsidRPr="008F1678">
        <w:rPr>
          <w:rFonts w:asciiTheme="minorHAnsi" w:hAnsiTheme="minorHAnsi" w:cs="Arial"/>
          <w:bCs/>
          <w:snapToGrid w:val="0"/>
        </w:rPr>
        <w:t xml:space="preserve"> main driver of the</w:t>
      </w:r>
      <w:r w:rsidR="00D94098" w:rsidRPr="008F1678">
        <w:rPr>
          <w:rFonts w:asciiTheme="minorHAnsi" w:hAnsiTheme="minorHAnsi" w:cs="Arial"/>
          <w:bCs/>
          <w:snapToGrid w:val="0"/>
        </w:rPr>
        <w:t xml:space="preserve"> substantial </w:t>
      </w:r>
      <w:r w:rsidR="000717DA" w:rsidRPr="008F1678">
        <w:rPr>
          <w:rFonts w:asciiTheme="minorHAnsi" w:hAnsiTheme="minorHAnsi" w:cs="Arial"/>
          <w:bCs/>
          <w:snapToGrid w:val="0"/>
        </w:rPr>
        <w:t xml:space="preserve">(over 50%) </w:t>
      </w:r>
      <w:r w:rsidR="00D94098" w:rsidRPr="008F1678">
        <w:rPr>
          <w:rFonts w:asciiTheme="minorHAnsi" w:hAnsiTheme="minorHAnsi" w:cs="Arial"/>
          <w:bCs/>
          <w:snapToGrid w:val="0"/>
        </w:rPr>
        <w:t>increase</w:t>
      </w:r>
      <w:r w:rsidR="00B45D9A" w:rsidRPr="008F1678">
        <w:rPr>
          <w:rFonts w:asciiTheme="minorHAnsi" w:hAnsiTheme="minorHAnsi" w:cs="Arial"/>
          <w:bCs/>
          <w:snapToGrid w:val="0"/>
        </w:rPr>
        <w:t xml:space="preserve"> </w:t>
      </w:r>
      <w:r w:rsidR="00A74301" w:rsidRPr="008F1678">
        <w:rPr>
          <w:rFonts w:asciiTheme="minorHAnsi" w:hAnsiTheme="minorHAnsi" w:cs="Arial"/>
          <w:bCs/>
          <w:snapToGrid w:val="0"/>
        </w:rPr>
        <w:t>to</w:t>
      </w:r>
      <w:r w:rsidR="00B45D9A" w:rsidRPr="008F1678">
        <w:rPr>
          <w:rFonts w:asciiTheme="minorHAnsi" w:hAnsiTheme="minorHAnsi" w:cs="Arial"/>
          <w:bCs/>
          <w:snapToGrid w:val="0"/>
        </w:rPr>
        <w:t xml:space="preserve"> </w:t>
      </w:r>
      <w:r w:rsidR="00D94098" w:rsidRPr="008F1678">
        <w:rPr>
          <w:rFonts w:asciiTheme="minorHAnsi" w:hAnsiTheme="minorHAnsi" w:cs="Arial"/>
          <w:bCs/>
          <w:snapToGrid w:val="0"/>
        </w:rPr>
        <w:t>the total cost of dupilumab over the forward estimates</w:t>
      </w:r>
      <w:r w:rsidR="006C1D57" w:rsidRPr="008F1678">
        <w:rPr>
          <w:rFonts w:asciiTheme="minorHAnsi" w:hAnsiTheme="minorHAnsi" w:cs="Arial"/>
          <w:bCs/>
          <w:snapToGrid w:val="0"/>
        </w:rPr>
        <w:t xml:space="preserve"> compared to that based on assumptions from the March 2020 </w:t>
      </w:r>
      <w:r w:rsidR="00EE7A95" w:rsidRPr="008F1678">
        <w:rPr>
          <w:rFonts w:asciiTheme="minorHAnsi" w:hAnsiTheme="minorHAnsi" w:cs="Arial"/>
          <w:bCs/>
          <w:snapToGrid w:val="0"/>
        </w:rPr>
        <w:t>recommendation</w:t>
      </w:r>
      <w:r w:rsidR="00EC113F" w:rsidRPr="008F1678">
        <w:rPr>
          <w:rFonts w:asciiTheme="minorHAnsi" w:hAnsiTheme="minorHAnsi" w:cs="Arial"/>
          <w:bCs/>
          <w:snapToGrid w:val="0"/>
        </w:rPr>
        <w:t xml:space="preserve"> ($</w:t>
      </w:r>
      <w:r w:rsidR="00F10EB1">
        <w:rPr>
          <w:rFonts w:asciiTheme="minorHAnsi" w:hAnsiTheme="minorHAnsi" w:cs="Arial"/>
          <w:bCs/>
          <w:snapToGrid w:val="0"/>
        </w:rPr>
        <w:t>300 to &lt;$400</w:t>
      </w:r>
      <w:r w:rsidR="00EC113F" w:rsidRPr="008F1678">
        <w:rPr>
          <w:rFonts w:asciiTheme="minorHAnsi" w:hAnsiTheme="minorHAnsi" w:cs="Arial"/>
          <w:bCs/>
          <w:snapToGrid w:val="0"/>
        </w:rPr>
        <w:t xml:space="preserve"> million</w:t>
      </w:r>
      <w:r w:rsidR="00E61190" w:rsidRPr="008F1678">
        <w:rPr>
          <w:rFonts w:asciiTheme="minorHAnsi" w:hAnsiTheme="minorHAnsi" w:cs="Arial"/>
          <w:bCs/>
          <w:snapToGrid w:val="0"/>
        </w:rPr>
        <w:t xml:space="preserve"> (Row D, Table 5)</w:t>
      </w:r>
      <w:r w:rsidR="00EC113F" w:rsidRPr="008F1678">
        <w:rPr>
          <w:rFonts w:asciiTheme="minorHAnsi" w:hAnsiTheme="minorHAnsi" w:cs="Arial"/>
          <w:bCs/>
          <w:snapToGrid w:val="0"/>
        </w:rPr>
        <w:t xml:space="preserve"> vs $</w:t>
      </w:r>
      <w:r w:rsidR="00F10EB1">
        <w:rPr>
          <w:rFonts w:asciiTheme="minorHAnsi" w:hAnsiTheme="minorHAnsi" w:cs="Arial"/>
          <w:bCs/>
          <w:snapToGrid w:val="0"/>
        </w:rPr>
        <w:t>200 to &lt;$300</w:t>
      </w:r>
      <w:r w:rsidR="00EC113F" w:rsidRPr="008F1678">
        <w:rPr>
          <w:rFonts w:asciiTheme="minorHAnsi" w:hAnsiTheme="minorHAnsi" w:cs="Arial"/>
          <w:bCs/>
          <w:snapToGrid w:val="0"/>
        </w:rPr>
        <w:t xml:space="preserve"> million</w:t>
      </w:r>
      <w:r w:rsidR="00E61190" w:rsidRPr="008F1678">
        <w:rPr>
          <w:rFonts w:asciiTheme="minorHAnsi" w:hAnsiTheme="minorHAnsi" w:cs="Arial"/>
          <w:bCs/>
          <w:snapToGrid w:val="0"/>
        </w:rPr>
        <w:t xml:space="preserve"> (Row B, Table 5)</w:t>
      </w:r>
      <w:r w:rsidR="00EC113F" w:rsidRPr="008F1678">
        <w:rPr>
          <w:rFonts w:asciiTheme="minorHAnsi" w:hAnsiTheme="minorHAnsi" w:cs="Arial"/>
          <w:bCs/>
          <w:snapToGrid w:val="0"/>
        </w:rPr>
        <w:t xml:space="preserve"> over six years)</w:t>
      </w:r>
      <w:r w:rsidR="00D94098" w:rsidRPr="008F1678">
        <w:rPr>
          <w:rFonts w:asciiTheme="minorHAnsi" w:hAnsiTheme="minorHAnsi" w:cs="Arial"/>
          <w:bCs/>
          <w:snapToGrid w:val="0"/>
        </w:rPr>
        <w:t>. Overall, the PBAC considered that the total cost of dupilumab over six</w:t>
      </w:r>
      <w:r w:rsidR="009C05BA" w:rsidRPr="008F1678">
        <w:rPr>
          <w:rFonts w:asciiTheme="minorHAnsi" w:hAnsiTheme="minorHAnsi" w:cs="Arial"/>
          <w:bCs/>
          <w:snapToGrid w:val="0"/>
        </w:rPr>
        <w:t xml:space="preserve"> years should not exceed </w:t>
      </w:r>
      <w:r w:rsidR="0064409C" w:rsidRPr="008F1678">
        <w:rPr>
          <w:rFonts w:asciiTheme="minorHAnsi" w:hAnsiTheme="minorHAnsi" w:cs="Arial"/>
          <w:bCs/>
          <w:snapToGrid w:val="0"/>
        </w:rPr>
        <w:t xml:space="preserve">the </w:t>
      </w:r>
      <w:r w:rsidR="00B1210A" w:rsidRPr="008F1678">
        <w:rPr>
          <w:rFonts w:asciiTheme="minorHAnsi" w:hAnsiTheme="minorHAnsi" w:cs="Arial"/>
          <w:bCs/>
          <w:snapToGrid w:val="0"/>
        </w:rPr>
        <w:t>levels</w:t>
      </w:r>
      <w:r w:rsidR="0064409C" w:rsidRPr="008F1678">
        <w:rPr>
          <w:rFonts w:asciiTheme="minorHAnsi" w:hAnsiTheme="minorHAnsi" w:cs="Arial"/>
          <w:bCs/>
          <w:snapToGrid w:val="0"/>
        </w:rPr>
        <w:t xml:space="preserve"> described in</w:t>
      </w:r>
      <w:r w:rsidR="002165D6" w:rsidRPr="008F1678">
        <w:rPr>
          <w:rFonts w:asciiTheme="minorHAnsi" w:hAnsiTheme="minorHAnsi" w:cs="Arial"/>
          <w:bCs/>
          <w:snapToGrid w:val="0"/>
        </w:rPr>
        <w:t xml:space="preserve"> Row B,</w:t>
      </w:r>
      <w:r w:rsidR="00D94098" w:rsidRPr="008F1678">
        <w:rPr>
          <w:rFonts w:asciiTheme="minorHAnsi" w:hAnsiTheme="minorHAnsi" w:cs="Arial"/>
          <w:bCs/>
          <w:snapToGrid w:val="0"/>
        </w:rPr>
        <w:t xml:space="preserve"> </w:t>
      </w:r>
      <w:r w:rsidR="00571281" w:rsidRPr="008F1678">
        <w:rPr>
          <w:rFonts w:asciiTheme="minorHAnsi" w:hAnsiTheme="minorHAnsi" w:cs="Arial"/>
          <w:bCs/>
          <w:snapToGrid w:val="0"/>
        </w:rPr>
        <w:t xml:space="preserve">Table </w:t>
      </w:r>
      <w:r w:rsidR="002165D6" w:rsidRPr="008F1678">
        <w:rPr>
          <w:rFonts w:asciiTheme="minorHAnsi" w:hAnsiTheme="minorHAnsi" w:cs="Arial"/>
          <w:bCs/>
          <w:snapToGrid w:val="0"/>
        </w:rPr>
        <w:t>5</w:t>
      </w:r>
      <w:r w:rsidR="0064409C" w:rsidRPr="008F1678">
        <w:rPr>
          <w:rFonts w:asciiTheme="minorHAnsi" w:hAnsiTheme="minorHAnsi" w:cs="Arial"/>
          <w:bCs/>
          <w:snapToGrid w:val="0"/>
        </w:rPr>
        <w:t xml:space="preserve">, </w:t>
      </w:r>
      <w:r w:rsidR="00873930" w:rsidRPr="008F1678">
        <w:rPr>
          <w:rFonts w:asciiTheme="minorHAnsi" w:hAnsiTheme="minorHAnsi" w:cs="Arial"/>
          <w:bCs/>
          <w:snapToGrid w:val="0"/>
        </w:rPr>
        <w:t>with allowance</w:t>
      </w:r>
      <w:r w:rsidR="0064409C" w:rsidRPr="008F1678">
        <w:rPr>
          <w:rFonts w:asciiTheme="minorHAnsi" w:hAnsiTheme="minorHAnsi" w:cs="Arial"/>
          <w:bCs/>
          <w:snapToGrid w:val="0"/>
        </w:rPr>
        <w:t xml:space="preserve"> for</w:t>
      </w:r>
      <w:r w:rsidR="00B1210A" w:rsidRPr="008F1678">
        <w:rPr>
          <w:rFonts w:asciiTheme="minorHAnsi" w:hAnsiTheme="minorHAnsi" w:cs="Arial"/>
          <w:bCs/>
          <w:snapToGrid w:val="0"/>
        </w:rPr>
        <w:t xml:space="preserve"> the following adjustments:</w:t>
      </w:r>
      <w:r w:rsidR="005C2A54" w:rsidRPr="008F1678">
        <w:rPr>
          <w:rFonts w:asciiTheme="minorHAnsi" w:hAnsiTheme="minorHAnsi" w:cs="Arial"/>
          <w:bCs/>
          <w:snapToGrid w:val="0"/>
        </w:rPr>
        <w:t xml:space="preserve"> </w:t>
      </w:r>
      <w:r w:rsidR="000A6B49" w:rsidRPr="008F1678">
        <w:rPr>
          <w:bCs/>
          <w:snapToGrid w:val="0"/>
        </w:rPr>
        <w:t>revised</w:t>
      </w:r>
      <w:r w:rsidR="0064409C" w:rsidRPr="008F1678">
        <w:rPr>
          <w:bCs/>
          <w:snapToGrid w:val="0"/>
        </w:rPr>
        <w:t xml:space="preserve"> uptake rate</w:t>
      </w:r>
      <w:r w:rsidR="000A6B49" w:rsidRPr="008F1678">
        <w:rPr>
          <w:bCs/>
          <w:snapToGrid w:val="0"/>
        </w:rPr>
        <w:t>s</w:t>
      </w:r>
      <w:r w:rsidR="00680935" w:rsidRPr="008F1678">
        <w:rPr>
          <w:bCs/>
          <w:snapToGrid w:val="0"/>
        </w:rPr>
        <w:t xml:space="preserve"> as per the sponsor’s proposal</w:t>
      </w:r>
      <w:r w:rsidR="0064409C" w:rsidRPr="008F1678">
        <w:rPr>
          <w:bCs/>
          <w:snapToGrid w:val="0"/>
        </w:rPr>
        <w:t xml:space="preserve"> (</w:t>
      </w:r>
      <w:r w:rsidR="00680935" w:rsidRPr="008F1678">
        <w:rPr>
          <w:bCs/>
          <w:snapToGrid w:val="0"/>
        </w:rPr>
        <w:t>see</w:t>
      </w:r>
      <w:r w:rsidR="00765E42" w:rsidRPr="008F1678">
        <w:rPr>
          <w:bCs/>
          <w:snapToGrid w:val="0"/>
        </w:rPr>
        <w:t xml:space="preserve"> paragraph</w:t>
      </w:r>
      <w:r w:rsidR="00081CCE" w:rsidRPr="008F1678">
        <w:rPr>
          <w:bCs/>
          <w:snapToGrid w:val="0"/>
        </w:rPr>
        <w:t xml:space="preserve"> 5.</w:t>
      </w:r>
      <w:r w:rsidR="00C103F3" w:rsidRPr="008F1678">
        <w:rPr>
          <w:bCs/>
          <w:snapToGrid w:val="0"/>
        </w:rPr>
        <w:t>6</w:t>
      </w:r>
      <w:r w:rsidR="00081CCE" w:rsidRPr="008F1678">
        <w:rPr>
          <w:bCs/>
          <w:snapToGrid w:val="0"/>
        </w:rPr>
        <w:t>)</w:t>
      </w:r>
      <w:r w:rsidR="00B1210A" w:rsidRPr="008F1678">
        <w:rPr>
          <w:bCs/>
        </w:rPr>
        <w:t>;</w:t>
      </w:r>
      <w:r w:rsidR="00081CCE" w:rsidRPr="008F1678">
        <w:rPr>
          <w:bCs/>
          <w:snapToGrid w:val="0"/>
        </w:rPr>
        <w:t xml:space="preserve"> and </w:t>
      </w:r>
      <w:r w:rsidR="00B1210A" w:rsidRPr="008F1678">
        <w:rPr>
          <w:bCs/>
        </w:rPr>
        <w:t xml:space="preserve">a </w:t>
      </w:r>
      <w:r w:rsidR="00081CCE" w:rsidRPr="008F1678">
        <w:rPr>
          <w:bCs/>
          <w:snapToGrid w:val="0"/>
        </w:rPr>
        <w:t>reduced effectiv</w:t>
      </w:r>
      <w:r w:rsidR="005C2A54" w:rsidRPr="008F1678">
        <w:rPr>
          <w:bCs/>
          <w:snapToGrid w:val="0"/>
        </w:rPr>
        <w:t>e price.</w:t>
      </w:r>
    </w:p>
    <w:p w:rsidR="00F27F0B" w:rsidRPr="008F1678" w:rsidRDefault="0064409C" w:rsidP="00B1210A">
      <w:pPr>
        <w:widowControl w:val="0"/>
        <w:numPr>
          <w:ilvl w:val="1"/>
          <w:numId w:val="1"/>
        </w:numPr>
        <w:spacing w:after="120"/>
        <w:rPr>
          <w:rFonts w:asciiTheme="minorHAnsi" w:hAnsiTheme="minorHAnsi" w:cs="Arial"/>
          <w:bCs/>
          <w:snapToGrid w:val="0"/>
        </w:rPr>
      </w:pPr>
      <w:r w:rsidRPr="008F1678">
        <w:rPr>
          <w:rFonts w:asciiTheme="minorHAnsi" w:hAnsiTheme="minorHAnsi" w:cs="Arial"/>
          <w:bCs/>
          <w:snapToGrid w:val="0"/>
        </w:rPr>
        <w:t>The PBAC restated that</w:t>
      </w:r>
      <w:r w:rsidR="002165D6" w:rsidRPr="008F1678">
        <w:rPr>
          <w:rFonts w:asciiTheme="minorHAnsi" w:hAnsiTheme="minorHAnsi" w:cs="Arial"/>
          <w:bCs/>
          <w:snapToGrid w:val="0"/>
        </w:rPr>
        <w:t xml:space="preserve"> </w:t>
      </w:r>
      <w:r w:rsidR="009F7A4E" w:rsidRPr="008F1678">
        <w:rPr>
          <w:rFonts w:asciiTheme="minorHAnsi" w:hAnsiTheme="minorHAnsi" w:cs="Arial"/>
          <w:bCs/>
          <w:snapToGrid w:val="0"/>
        </w:rPr>
        <w:t>a Risk Sharing Arrangement</w:t>
      </w:r>
      <w:r w:rsidRPr="008F1678">
        <w:rPr>
          <w:rFonts w:asciiTheme="minorHAnsi" w:hAnsiTheme="minorHAnsi" w:cs="Arial"/>
          <w:bCs/>
          <w:snapToGrid w:val="0"/>
        </w:rPr>
        <w:t xml:space="preserve"> would be required</w:t>
      </w:r>
      <w:r w:rsidR="009F7A4E" w:rsidRPr="008F1678">
        <w:rPr>
          <w:rFonts w:asciiTheme="minorHAnsi" w:hAnsiTheme="minorHAnsi" w:cs="Arial"/>
          <w:bCs/>
          <w:snapToGrid w:val="0"/>
        </w:rPr>
        <w:t xml:space="preserve"> consisting of </w:t>
      </w:r>
      <w:r w:rsidR="002165D6" w:rsidRPr="008F1678">
        <w:rPr>
          <w:rFonts w:asciiTheme="minorHAnsi" w:hAnsiTheme="minorHAnsi" w:cs="Arial"/>
          <w:bCs/>
          <w:snapToGrid w:val="0"/>
        </w:rPr>
        <w:t xml:space="preserve">subsidisation caps based on the estimates and </w:t>
      </w:r>
      <w:r w:rsidR="00975575">
        <w:rPr>
          <w:rFonts w:asciiTheme="minorHAnsi" w:hAnsiTheme="minorHAnsi" w:cs="Arial"/>
          <w:bCs/>
          <w:noProof/>
          <w:snapToGrid w:val="0"/>
          <w:color w:val="000000"/>
          <w:highlight w:val="black"/>
        </w:rPr>
        <w:t>''''''''</w:t>
      </w:r>
      <w:r w:rsidR="002165D6" w:rsidRPr="008F1678">
        <w:rPr>
          <w:rFonts w:asciiTheme="minorHAnsi" w:hAnsiTheme="minorHAnsi" w:cs="Arial"/>
          <w:bCs/>
          <w:snapToGrid w:val="0"/>
        </w:rPr>
        <w:t xml:space="preserve">% </w:t>
      </w:r>
      <w:r w:rsidR="00CA606A" w:rsidRPr="008F1678">
        <w:rPr>
          <w:rFonts w:asciiTheme="minorHAnsi" w:hAnsiTheme="minorHAnsi" w:cs="Arial"/>
          <w:bCs/>
          <w:snapToGrid w:val="0"/>
        </w:rPr>
        <w:t>rebate</w:t>
      </w:r>
      <w:r w:rsidR="002165D6" w:rsidRPr="008F1678">
        <w:rPr>
          <w:rFonts w:asciiTheme="minorHAnsi" w:hAnsiTheme="minorHAnsi" w:cs="Arial"/>
          <w:bCs/>
          <w:snapToGrid w:val="0"/>
        </w:rPr>
        <w:t xml:space="preserve"> for any expenditure </w:t>
      </w:r>
      <w:r w:rsidR="00CA606A" w:rsidRPr="008F1678">
        <w:rPr>
          <w:rFonts w:asciiTheme="minorHAnsi" w:hAnsiTheme="minorHAnsi" w:cs="Arial"/>
          <w:bCs/>
          <w:snapToGrid w:val="0"/>
        </w:rPr>
        <w:t>exceeding</w:t>
      </w:r>
      <w:r w:rsidR="002165D6" w:rsidRPr="008F1678">
        <w:rPr>
          <w:rFonts w:asciiTheme="minorHAnsi" w:hAnsiTheme="minorHAnsi" w:cs="Arial"/>
          <w:bCs/>
          <w:snapToGrid w:val="0"/>
        </w:rPr>
        <w:t xml:space="preserve"> these caps.</w:t>
      </w:r>
    </w:p>
    <w:p w:rsidR="00C24211" w:rsidRPr="008F1678" w:rsidRDefault="008167FE" w:rsidP="00C24211">
      <w:pPr>
        <w:widowControl w:val="0"/>
        <w:numPr>
          <w:ilvl w:val="1"/>
          <w:numId w:val="1"/>
        </w:numPr>
        <w:spacing w:after="120"/>
        <w:rPr>
          <w:rFonts w:asciiTheme="minorHAnsi" w:hAnsiTheme="minorHAnsi" w:cs="Arial"/>
          <w:bCs/>
          <w:snapToGrid w:val="0"/>
        </w:rPr>
      </w:pPr>
      <w:r w:rsidRPr="008F1678">
        <w:rPr>
          <w:rFonts w:asciiTheme="minorHAnsi" w:hAnsiTheme="minorHAnsi" w:cs="Arial"/>
          <w:bCs/>
          <w:snapToGrid w:val="0"/>
        </w:rPr>
        <w:lastRenderedPageBreak/>
        <w:t xml:space="preserve">The PBAC reiterated </w:t>
      </w:r>
      <w:r w:rsidR="00A179DF" w:rsidRPr="008F1678">
        <w:rPr>
          <w:rFonts w:asciiTheme="minorHAnsi" w:hAnsiTheme="minorHAnsi" w:cs="Arial"/>
          <w:bCs/>
          <w:snapToGrid w:val="0"/>
        </w:rPr>
        <w:t>that there was a high</w:t>
      </w:r>
      <w:r w:rsidRPr="008F1678">
        <w:rPr>
          <w:rFonts w:asciiTheme="minorHAnsi" w:hAnsiTheme="minorHAnsi" w:cs="Arial"/>
          <w:bCs/>
          <w:snapToGrid w:val="0"/>
        </w:rPr>
        <w:t xml:space="preserve"> </w:t>
      </w:r>
      <w:r w:rsidR="00A179DF" w:rsidRPr="008F1678">
        <w:rPr>
          <w:rFonts w:asciiTheme="minorHAnsi" w:hAnsiTheme="minorHAnsi" w:cs="Arial"/>
          <w:bCs/>
          <w:snapToGrid w:val="0"/>
        </w:rPr>
        <w:t>clinical need for effective treatments for severe atopic dermatitis and noted t</w:t>
      </w:r>
      <w:r w:rsidRPr="008F1678">
        <w:rPr>
          <w:rFonts w:asciiTheme="minorHAnsi" w:hAnsiTheme="minorHAnsi" w:cs="Arial"/>
          <w:bCs/>
          <w:snapToGrid w:val="0"/>
        </w:rPr>
        <w:t xml:space="preserve">he significant disease burden </w:t>
      </w:r>
      <w:r w:rsidR="00742779" w:rsidRPr="008F1678">
        <w:rPr>
          <w:rFonts w:asciiTheme="minorHAnsi" w:hAnsiTheme="minorHAnsi" w:cs="Arial"/>
          <w:bCs/>
          <w:snapToGrid w:val="0"/>
        </w:rPr>
        <w:t>associated with the condition</w:t>
      </w:r>
      <w:r w:rsidRPr="008F1678">
        <w:rPr>
          <w:rFonts w:asciiTheme="minorHAnsi" w:hAnsiTheme="minorHAnsi" w:cs="Arial"/>
          <w:bCs/>
          <w:snapToGrid w:val="0"/>
        </w:rPr>
        <w:t xml:space="preserve">. </w:t>
      </w:r>
      <w:r w:rsidR="00A6026A" w:rsidRPr="008F1678">
        <w:rPr>
          <w:rFonts w:asciiTheme="minorHAnsi" w:hAnsiTheme="minorHAnsi" w:cs="Arial"/>
          <w:bCs/>
          <w:snapToGrid w:val="0"/>
        </w:rPr>
        <w:t>The PBAC noted the large number of consumer comments received in support of the PBS listing</w:t>
      </w:r>
      <w:r w:rsidR="00C24211" w:rsidRPr="008F1678">
        <w:rPr>
          <w:rFonts w:asciiTheme="minorHAnsi" w:hAnsiTheme="minorHAnsi" w:cs="Arial"/>
          <w:bCs/>
          <w:snapToGrid w:val="0"/>
        </w:rPr>
        <w:t>.</w:t>
      </w:r>
    </w:p>
    <w:p w:rsidR="00950BB3" w:rsidRPr="008F1678" w:rsidRDefault="00950BB3" w:rsidP="00950BB3">
      <w:pPr>
        <w:pStyle w:val="3-BodyText"/>
        <w:numPr>
          <w:ilvl w:val="1"/>
          <w:numId w:val="1"/>
        </w:numPr>
      </w:pPr>
      <w:r w:rsidRPr="008F1678">
        <w:t xml:space="preserve">The PBAC </w:t>
      </w:r>
      <w:r w:rsidR="005208C3" w:rsidRPr="008F1678">
        <w:t xml:space="preserve">maintained its advice from March 2020 </w:t>
      </w:r>
      <w:r w:rsidRPr="008F1678">
        <w:t xml:space="preserve">that the criteria prescribed by the </w:t>
      </w:r>
      <w:r w:rsidRPr="008F1678">
        <w:rPr>
          <w:i/>
        </w:rPr>
        <w:t>National Health (Pharmaceutical and Vaccines – Cost Recovery) Regulations 2009</w:t>
      </w:r>
      <w:r w:rsidRPr="008F1678">
        <w:t xml:space="preserve"> for Pricing Pathway A were not met. Specifically, the PBAC found that in the circumstances of its recommendation for dupilumab:</w:t>
      </w:r>
    </w:p>
    <w:p w:rsidR="00950BB3" w:rsidRPr="008F1678" w:rsidRDefault="00950BB3" w:rsidP="00950BB3">
      <w:pPr>
        <w:pStyle w:val="3-BodyText"/>
        <w:numPr>
          <w:ilvl w:val="1"/>
          <w:numId w:val="27"/>
        </w:numPr>
        <w:ind w:left="964" w:hanging="284"/>
      </w:pPr>
      <w:r w:rsidRPr="008F1678">
        <w:t>The treatment is expected to provide a substantial and clinically relevant improvement in efficacy over SoC;</w:t>
      </w:r>
    </w:p>
    <w:p w:rsidR="00950BB3" w:rsidRPr="008F1678" w:rsidRDefault="00950BB3" w:rsidP="00950BB3">
      <w:pPr>
        <w:pStyle w:val="3-BodyText"/>
        <w:numPr>
          <w:ilvl w:val="1"/>
          <w:numId w:val="27"/>
        </w:numPr>
        <w:ind w:left="964" w:hanging="284"/>
      </w:pPr>
      <w:r w:rsidRPr="008F1678">
        <w:t xml:space="preserve">The treatment is expected to address a high and urgent unmet clinical need, however alternative treatments (including cyclosporin) are available and therefore this criterion is not met; and </w:t>
      </w:r>
    </w:p>
    <w:p w:rsidR="00C24211" w:rsidRPr="008F1678" w:rsidRDefault="00950BB3" w:rsidP="00950BB3">
      <w:pPr>
        <w:pStyle w:val="3-BodyText"/>
        <w:numPr>
          <w:ilvl w:val="1"/>
          <w:numId w:val="27"/>
        </w:numPr>
        <w:ind w:left="964" w:hanging="284"/>
      </w:pPr>
      <w:r w:rsidRPr="008F1678">
        <w:rPr>
          <w:rFonts w:cstheme="minorHAnsi"/>
        </w:rPr>
        <w:t>It was not necessary to make a finding in relation to whether it would be in the public interest for the subsequent pricing application to be progressed under Pricing Pathway A because one or more of the preceding tests had failed.</w:t>
      </w:r>
    </w:p>
    <w:p w:rsidR="00C24211" w:rsidRPr="008F1678" w:rsidRDefault="00C24211" w:rsidP="00C24211">
      <w:pPr>
        <w:spacing w:before="240"/>
        <w:rPr>
          <w:rFonts w:asciiTheme="minorHAnsi" w:hAnsiTheme="minorHAnsi" w:cs="Arial"/>
          <w:b/>
          <w:bCs/>
          <w:snapToGrid w:val="0"/>
        </w:rPr>
      </w:pPr>
      <w:r w:rsidRPr="008F1678">
        <w:rPr>
          <w:rFonts w:asciiTheme="minorHAnsi" w:hAnsiTheme="minorHAnsi" w:cs="Arial"/>
          <w:b/>
          <w:bCs/>
          <w:snapToGrid w:val="0"/>
        </w:rPr>
        <w:t>Outcome:</w:t>
      </w:r>
    </w:p>
    <w:p w:rsidR="00C24211" w:rsidRDefault="00951AB4" w:rsidP="007A53C5">
      <w:pPr>
        <w:rPr>
          <w:rFonts w:asciiTheme="minorHAnsi" w:hAnsiTheme="minorHAnsi" w:cs="Arial"/>
          <w:bCs/>
          <w:snapToGrid w:val="0"/>
        </w:rPr>
      </w:pPr>
      <w:r w:rsidRPr="008F1678">
        <w:rPr>
          <w:rFonts w:asciiTheme="minorHAnsi" w:hAnsiTheme="minorHAnsi" w:cs="Arial"/>
          <w:bCs/>
          <w:snapToGrid w:val="0"/>
        </w:rPr>
        <w:t>Advised</w:t>
      </w:r>
    </w:p>
    <w:p w:rsidR="00EF3792" w:rsidRDefault="00EF3792" w:rsidP="007A53C5">
      <w:pPr>
        <w:rPr>
          <w:rFonts w:asciiTheme="minorHAnsi" w:hAnsiTheme="minorHAnsi" w:cs="Arial"/>
          <w:bCs/>
          <w:snapToGrid w:val="0"/>
        </w:rPr>
      </w:pPr>
    </w:p>
    <w:p w:rsidR="00EF3792" w:rsidRPr="005513B1" w:rsidRDefault="00EF3792" w:rsidP="005513B1">
      <w:pPr>
        <w:pStyle w:val="2-SectionHeading"/>
      </w:pPr>
      <w:r w:rsidRPr="00C07617">
        <w:t>Context for Decision</w:t>
      </w:r>
    </w:p>
    <w:p w:rsidR="00EF3792" w:rsidRPr="005513B1" w:rsidRDefault="00EF3792" w:rsidP="005B0757">
      <w:pPr>
        <w:pStyle w:val="3Bodytext"/>
        <w:numPr>
          <w:ilvl w:val="0"/>
          <w:numId w:val="0"/>
        </w:numPr>
        <w:ind w:left="720"/>
        <w:rPr>
          <w:snapToGrid w:val="0"/>
        </w:rPr>
      </w:pPr>
      <w:r w:rsidRPr="005513B1">
        <w:rPr>
          <w:snapToGrid w:val="0"/>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EF3792" w:rsidRPr="00954814" w:rsidRDefault="00EF3792" w:rsidP="005513B1">
      <w:pPr>
        <w:pStyle w:val="2-SectionHeading"/>
      </w:pPr>
      <w:r>
        <w:t>Sponsor’s Comment</w:t>
      </w:r>
    </w:p>
    <w:p w:rsidR="00EF3792" w:rsidRPr="001179AC" w:rsidRDefault="00EF3792" w:rsidP="005513B1">
      <w:pPr>
        <w:spacing w:after="120"/>
        <w:ind w:firstLine="720"/>
        <w:rPr>
          <w:rFonts w:asciiTheme="minorHAnsi" w:hAnsiTheme="minorHAnsi" w:cs="Arial"/>
          <w:bCs/>
        </w:rPr>
      </w:pPr>
      <w:r w:rsidRPr="00C07617">
        <w:rPr>
          <w:rFonts w:asciiTheme="minorHAnsi" w:hAnsiTheme="minorHAnsi" w:cs="Arial"/>
          <w:bCs/>
        </w:rPr>
        <w:t>The sponsor had no comment.</w:t>
      </w:r>
    </w:p>
    <w:p w:rsidR="00EF3792" w:rsidRPr="007A53C5" w:rsidRDefault="00EF3792" w:rsidP="007A53C5">
      <w:pPr>
        <w:rPr>
          <w:rFonts w:asciiTheme="minorHAnsi" w:hAnsiTheme="minorHAnsi" w:cs="Arial"/>
          <w:bCs/>
          <w:snapToGrid w:val="0"/>
        </w:rPr>
      </w:pPr>
    </w:p>
    <w:sectPr w:rsidR="00EF3792" w:rsidRPr="007A53C5" w:rsidSect="00C27B58">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676546" w16cex:dateUtc="2020-11-23T23:56:00Z"/>
  <w16cex:commentExtensible w16cex:durableId="2367660D" w16cex:dateUtc="2020-11-23T23: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9597435" w16cid:durableId="23675F6C"/>
  <w16cid:commentId w16cid:paraId="4ABED146" w16cid:durableId="23676546"/>
  <w16cid:commentId w16cid:paraId="4CB52BC6" w16cid:durableId="2367660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3104" w:rsidRDefault="00CB3104">
      <w:r>
        <w:separator/>
      </w:r>
    </w:p>
    <w:p w:rsidR="00CB3104" w:rsidRDefault="00CB3104"/>
  </w:endnote>
  <w:endnote w:type="continuationSeparator" w:id="0">
    <w:p w:rsidR="00CB3104" w:rsidRDefault="00CB3104">
      <w:r>
        <w:continuationSeparator/>
      </w:r>
    </w:p>
    <w:p w:rsidR="00CB3104" w:rsidRDefault="00CB31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panose1 w:val="00000000000000000000"/>
    <w:charset w:val="00"/>
    <w:family w:val="roman"/>
    <w:notTrueType/>
    <w:pitch w:val="default"/>
    <w:sig w:usb0="00000003" w:usb1="00000000" w:usb2="00000000" w:usb3="00000000" w:csb0="00000001" w:csb1="00000000"/>
  </w:font>
  <w:font w:name="Times">
    <w:altName w:val="Sylfae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F10EB1" w:rsidTr="005A3173">
      <w:trPr>
        <w:trHeight w:val="151"/>
      </w:trPr>
      <w:tc>
        <w:tcPr>
          <w:tcW w:w="2250" w:type="pct"/>
          <w:tcBorders>
            <w:top w:val="nil"/>
            <w:left w:val="nil"/>
            <w:bottom w:val="single" w:sz="4" w:space="0" w:color="4F81BD"/>
            <w:right w:val="nil"/>
          </w:tcBorders>
        </w:tcPr>
        <w:p w:rsidR="00F10EB1" w:rsidRPr="005A3173" w:rsidRDefault="00F10EB1" w:rsidP="005A3173">
          <w:pPr>
            <w:pStyle w:val="Header"/>
            <w:spacing w:line="276" w:lineRule="auto"/>
            <w:rPr>
              <w:rFonts w:eastAsia="MS Gothic"/>
              <w:b/>
              <w:bCs/>
              <w:color w:val="4F81BD"/>
            </w:rPr>
          </w:pPr>
        </w:p>
      </w:tc>
      <w:tc>
        <w:tcPr>
          <w:tcW w:w="500" w:type="pct"/>
          <w:vMerge w:val="restart"/>
          <w:noWrap/>
          <w:vAlign w:val="center"/>
          <w:hideMark/>
        </w:tcPr>
        <w:p w:rsidR="00F10EB1" w:rsidRPr="005A3173" w:rsidRDefault="00F10EB1"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F10EB1" w:rsidRPr="005A3173" w:rsidRDefault="00F10EB1" w:rsidP="005A3173">
          <w:pPr>
            <w:pStyle w:val="Header"/>
            <w:spacing w:line="276" w:lineRule="auto"/>
            <w:rPr>
              <w:rFonts w:eastAsia="MS Gothic"/>
              <w:b/>
              <w:bCs/>
              <w:color w:val="4F81BD"/>
            </w:rPr>
          </w:pPr>
        </w:p>
      </w:tc>
    </w:tr>
    <w:tr w:rsidR="00F10EB1" w:rsidTr="005A3173">
      <w:trPr>
        <w:trHeight w:val="150"/>
      </w:trPr>
      <w:tc>
        <w:tcPr>
          <w:tcW w:w="2250" w:type="pct"/>
          <w:tcBorders>
            <w:top w:val="single" w:sz="4" w:space="0" w:color="4F81BD"/>
            <w:left w:val="nil"/>
            <w:bottom w:val="nil"/>
            <w:right w:val="nil"/>
          </w:tcBorders>
        </w:tcPr>
        <w:p w:rsidR="00F10EB1" w:rsidRPr="005A3173" w:rsidRDefault="00F10EB1" w:rsidP="005A3173">
          <w:pPr>
            <w:pStyle w:val="Header"/>
            <w:spacing w:line="276" w:lineRule="auto"/>
            <w:rPr>
              <w:rFonts w:eastAsia="MS Gothic"/>
              <w:b/>
              <w:bCs/>
              <w:color w:val="4F81BD"/>
            </w:rPr>
          </w:pPr>
        </w:p>
      </w:tc>
      <w:tc>
        <w:tcPr>
          <w:tcW w:w="0" w:type="auto"/>
          <w:vMerge/>
          <w:vAlign w:val="center"/>
          <w:hideMark/>
        </w:tcPr>
        <w:p w:rsidR="00F10EB1" w:rsidRPr="005A3173" w:rsidRDefault="00F10EB1" w:rsidP="005A3173">
          <w:pPr>
            <w:rPr>
              <w:color w:val="365F91"/>
              <w:sz w:val="22"/>
              <w:szCs w:val="22"/>
            </w:rPr>
          </w:pPr>
        </w:p>
      </w:tc>
      <w:tc>
        <w:tcPr>
          <w:tcW w:w="2250" w:type="pct"/>
          <w:tcBorders>
            <w:top w:val="single" w:sz="4" w:space="0" w:color="4F81BD"/>
            <w:left w:val="nil"/>
            <w:bottom w:val="nil"/>
            <w:right w:val="nil"/>
          </w:tcBorders>
        </w:tcPr>
        <w:p w:rsidR="00F10EB1" w:rsidRPr="005A3173" w:rsidRDefault="00F10EB1" w:rsidP="005A3173">
          <w:pPr>
            <w:pStyle w:val="Header"/>
            <w:spacing w:line="276" w:lineRule="auto"/>
            <w:rPr>
              <w:rFonts w:eastAsia="MS Gothic"/>
              <w:b/>
              <w:bCs/>
              <w:color w:val="4F81BD"/>
            </w:rPr>
          </w:pPr>
        </w:p>
      </w:tc>
    </w:tr>
  </w:tbl>
  <w:p w:rsidR="00F10EB1" w:rsidRDefault="00F10EB1"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10EB1" w:rsidRDefault="00F10EB1">
    <w:pPr>
      <w:pStyle w:val="Footer"/>
    </w:pPr>
  </w:p>
  <w:p w:rsidR="00F10EB1" w:rsidRDefault="00F10EB1"/>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EB1" w:rsidRPr="007A53C5" w:rsidRDefault="00F10EB1" w:rsidP="00E27234">
    <w:pPr>
      <w:pStyle w:val="PBACFooter"/>
      <w:rPr>
        <w:rFonts w:asciiTheme="minorHAnsi" w:hAnsiTheme="minorHAnsi" w:cstheme="minorHAnsi"/>
        <w:sz w:val="24"/>
        <w:szCs w:val="24"/>
      </w:rPr>
    </w:pPr>
  </w:p>
  <w:p w:rsidR="00F10EB1" w:rsidRPr="007A53C5" w:rsidRDefault="00F10EB1" w:rsidP="00C24211">
    <w:pPr>
      <w:pStyle w:val="PBACFooter"/>
      <w:rPr>
        <w:rFonts w:asciiTheme="minorHAnsi" w:hAnsiTheme="minorHAnsi" w:cstheme="minorHAnsi"/>
        <w:b w:val="0"/>
        <w:sz w:val="24"/>
        <w:szCs w:val="24"/>
      </w:rPr>
    </w:pPr>
    <w:r w:rsidRPr="007A53C5">
      <w:rPr>
        <w:rFonts w:ascii="Calibri" w:hAnsi="Calibri"/>
        <w:b w:val="0"/>
        <w:sz w:val="24"/>
        <w:szCs w:val="24"/>
      </w:rPr>
      <w:fldChar w:fldCharType="begin"/>
    </w:r>
    <w:r w:rsidRPr="007A53C5">
      <w:rPr>
        <w:rFonts w:ascii="Calibri" w:hAnsi="Calibri"/>
        <w:sz w:val="24"/>
        <w:szCs w:val="24"/>
      </w:rPr>
      <w:instrText xml:space="preserve"> PAGE   \* MERGEFORMAT </w:instrText>
    </w:r>
    <w:r w:rsidRPr="007A53C5">
      <w:rPr>
        <w:rFonts w:ascii="Calibri" w:hAnsi="Calibri"/>
        <w:b w:val="0"/>
        <w:sz w:val="24"/>
        <w:szCs w:val="24"/>
      </w:rPr>
      <w:fldChar w:fldCharType="separate"/>
    </w:r>
    <w:r w:rsidR="00C6729A">
      <w:rPr>
        <w:rFonts w:ascii="Calibri" w:hAnsi="Calibri"/>
        <w:noProof/>
        <w:sz w:val="24"/>
        <w:szCs w:val="24"/>
      </w:rPr>
      <w:t>8</w:t>
    </w:r>
    <w:r w:rsidRPr="007A53C5">
      <w:rPr>
        <w:rFonts w:ascii="Calibri" w:hAnsi="Calibri"/>
        <w:b w:val="0"/>
        <w:noProof/>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887"/>
      <w:gridCol w:w="1252"/>
      <w:gridCol w:w="3887"/>
    </w:tblGrid>
    <w:tr w:rsidR="00F10EB1" w:rsidTr="005A3173">
      <w:trPr>
        <w:trHeight w:val="151"/>
      </w:trPr>
      <w:tc>
        <w:tcPr>
          <w:tcW w:w="2250" w:type="pct"/>
          <w:tcBorders>
            <w:top w:val="nil"/>
            <w:left w:val="nil"/>
            <w:bottom w:val="single" w:sz="4" w:space="0" w:color="4F81BD"/>
            <w:right w:val="nil"/>
          </w:tcBorders>
        </w:tcPr>
        <w:p w:rsidR="00F10EB1" w:rsidRPr="005A3173" w:rsidRDefault="00F10EB1" w:rsidP="005A3173">
          <w:pPr>
            <w:pStyle w:val="Header"/>
            <w:spacing w:line="276" w:lineRule="auto"/>
            <w:rPr>
              <w:rFonts w:eastAsia="MS Gothic"/>
              <w:b/>
              <w:bCs/>
              <w:color w:val="4F81BD"/>
            </w:rPr>
          </w:pPr>
        </w:p>
      </w:tc>
      <w:tc>
        <w:tcPr>
          <w:tcW w:w="500" w:type="pct"/>
          <w:vMerge w:val="restart"/>
          <w:noWrap/>
          <w:vAlign w:val="center"/>
          <w:hideMark/>
        </w:tcPr>
        <w:p w:rsidR="00F10EB1" w:rsidRPr="005A3173" w:rsidRDefault="00F10EB1"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F10EB1" w:rsidRPr="005A3173" w:rsidRDefault="00F10EB1" w:rsidP="005A3173">
          <w:pPr>
            <w:pStyle w:val="Header"/>
            <w:spacing w:line="276" w:lineRule="auto"/>
            <w:rPr>
              <w:rFonts w:eastAsia="MS Gothic"/>
              <w:b/>
              <w:bCs/>
              <w:color w:val="4F81BD"/>
            </w:rPr>
          </w:pPr>
        </w:p>
      </w:tc>
    </w:tr>
    <w:tr w:rsidR="00F10EB1" w:rsidTr="005A3173">
      <w:trPr>
        <w:trHeight w:val="150"/>
      </w:trPr>
      <w:tc>
        <w:tcPr>
          <w:tcW w:w="2250" w:type="pct"/>
          <w:tcBorders>
            <w:top w:val="single" w:sz="4" w:space="0" w:color="4F81BD"/>
            <w:left w:val="nil"/>
            <w:bottom w:val="nil"/>
            <w:right w:val="nil"/>
          </w:tcBorders>
        </w:tcPr>
        <w:p w:rsidR="00F10EB1" w:rsidRPr="005A3173" w:rsidRDefault="00F10EB1" w:rsidP="005A3173">
          <w:pPr>
            <w:pStyle w:val="Header"/>
            <w:spacing w:line="276" w:lineRule="auto"/>
            <w:rPr>
              <w:rFonts w:eastAsia="MS Gothic"/>
              <w:b/>
              <w:bCs/>
              <w:color w:val="4F81BD"/>
            </w:rPr>
          </w:pPr>
        </w:p>
      </w:tc>
      <w:tc>
        <w:tcPr>
          <w:tcW w:w="0" w:type="auto"/>
          <w:vMerge/>
          <w:vAlign w:val="center"/>
          <w:hideMark/>
        </w:tcPr>
        <w:p w:rsidR="00F10EB1" w:rsidRPr="005A3173" w:rsidRDefault="00F10EB1" w:rsidP="005A3173">
          <w:pPr>
            <w:rPr>
              <w:color w:val="365F91"/>
              <w:sz w:val="22"/>
              <w:szCs w:val="22"/>
            </w:rPr>
          </w:pPr>
        </w:p>
      </w:tc>
      <w:tc>
        <w:tcPr>
          <w:tcW w:w="2250" w:type="pct"/>
          <w:tcBorders>
            <w:top w:val="single" w:sz="4" w:space="0" w:color="4F81BD"/>
            <w:left w:val="nil"/>
            <w:bottom w:val="nil"/>
            <w:right w:val="nil"/>
          </w:tcBorders>
        </w:tcPr>
        <w:p w:rsidR="00F10EB1" w:rsidRPr="005A3173" w:rsidRDefault="00F10EB1" w:rsidP="005A3173">
          <w:pPr>
            <w:pStyle w:val="Heade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F10EB1" w:rsidTr="005A3173">
      <w:trPr>
        <w:trHeight w:val="151"/>
      </w:trPr>
      <w:tc>
        <w:tcPr>
          <w:tcW w:w="2250" w:type="pct"/>
          <w:tcBorders>
            <w:top w:val="nil"/>
            <w:left w:val="nil"/>
            <w:bottom w:val="single" w:sz="4" w:space="0" w:color="4F81BD"/>
            <w:right w:val="nil"/>
          </w:tcBorders>
        </w:tcPr>
        <w:p w:rsidR="00F10EB1" w:rsidRPr="005A3173" w:rsidRDefault="00F10EB1" w:rsidP="005A3173">
          <w:pPr>
            <w:pStyle w:val="Header"/>
            <w:spacing w:line="276" w:lineRule="auto"/>
            <w:rPr>
              <w:rFonts w:eastAsia="MS Gothic"/>
              <w:b/>
              <w:bCs/>
              <w:color w:val="4F81BD"/>
            </w:rPr>
          </w:pPr>
        </w:p>
      </w:tc>
      <w:tc>
        <w:tcPr>
          <w:tcW w:w="500" w:type="pct"/>
          <w:vMerge w:val="restart"/>
          <w:noWrap/>
          <w:vAlign w:val="center"/>
          <w:hideMark/>
        </w:tcPr>
        <w:p w:rsidR="00F10EB1" w:rsidRPr="005A3173" w:rsidRDefault="00F10EB1"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F10EB1" w:rsidRPr="005A3173" w:rsidRDefault="00F10EB1" w:rsidP="005A3173">
          <w:pPr>
            <w:pStyle w:val="Header"/>
            <w:spacing w:line="276" w:lineRule="auto"/>
            <w:rPr>
              <w:rFonts w:eastAsia="MS Gothic"/>
              <w:b/>
              <w:bCs/>
              <w:color w:val="4F81BD"/>
            </w:rPr>
          </w:pPr>
        </w:p>
      </w:tc>
    </w:tr>
    <w:tr w:rsidR="00F10EB1" w:rsidTr="005A3173">
      <w:trPr>
        <w:trHeight w:val="150"/>
      </w:trPr>
      <w:tc>
        <w:tcPr>
          <w:tcW w:w="2250" w:type="pct"/>
          <w:tcBorders>
            <w:top w:val="single" w:sz="4" w:space="0" w:color="4F81BD"/>
            <w:left w:val="nil"/>
            <w:bottom w:val="nil"/>
            <w:right w:val="nil"/>
          </w:tcBorders>
        </w:tcPr>
        <w:p w:rsidR="00F10EB1" w:rsidRPr="005A3173" w:rsidRDefault="00F10EB1" w:rsidP="005A3173">
          <w:pPr>
            <w:pStyle w:val="Header"/>
            <w:spacing w:line="276" w:lineRule="auto"/>
            <w:rPr>
              <w:rFonts w:eastAsia="MS Gothic"/>
              <w:b/>
              <w:bCs/>
              <w:color w:val="4F81BD"/>
            </w:rPr>
          </w:pPr>
        </w:p>
      </w:tc>
      <w:tc>
        <w:tcPr>
          <w:tcW w:w="0" w:type="auto"/>
          <w:vMerge/>
          <w:vAlign w:val="center"/>
          <w:hideMark/>
        </w:tcPr>
        <w:p w:rsidR="00F10EB1" w:rsidRPr="005A3173" w:rsidRDefault="00F10EB1" w:rsidP="005A3173">
          <w:pPr>
            <w:rPr>
              <w:color w:val="365F91"/>
              <w:sz w:val="22"/>
              <w:szCs w:val="22"/>
            </w:rPr>
          </w:pPr>
        </w:p>
      </w:tc>
      <w:tc>
        <w:tcPr>
          <w:tcW w:w="2250" w:type="pct"/>
          <w:tcBorders>
            <w:top w:val="single" w:sz="4" w:space="0" w:color="4F81BD"/>
            <w:left w:val="nil"/>
            <w:bottom w:val="nil"/>
            <w:right w:val="nil"/>
          </w:tcBorders>
        </w:tcPr>
        <w:p w:rsidR="00F10EB1" w:rsidRPr="005A3173" w:rsidRDefault="00F10EB1" w:rsidP="005A3173">
          <w:pPr>
            <w:pStyle w:val="Header"/>
            <w:spacing w:line="276" w:lineRule="auto"/>
            <w:rPr>
              <w:rFonts w:eastAsia="MS Gothic"/>
              <w:b/>
              <w:bCs/>
              <w:color w:val="4F81BD"/>
            </w:rPr>
          </w:pPr>
        </w:p>
      </w:tc>
    </w:tr>
  </w:tbl>
  <w:p w:rsidR="00F10EB1" w:rsidRPr="007C0F57" w:rsidRDefault="00F10EB1"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sidR="002E353A">
      <w:rPr>
        <w:rStyle w:val="PageNumber"/>
        <w:noProof/>
      </w:rPr>
      <w:t>1</w:t>
    </w:r>
    <w:r>
      <w:rPr>
        <w:rStyle w:val="PageNumber"/>
      </w:rPr>
      <w:fldChar w:fldCharType="end"/>
    </w:r>
    <w:r w:rsidRPr="007C0F57">
      <w:rPr>
        <w:b/>
        <w:i/>
        <w:sz w:val="20"/>
        <w:szCs w:val="20"/>
      </w:rPr>
      <w:t>BAC Meeting</w:t>
    </w:r>
  </w:p>
  <w:p w:rsidR="00F10EB1" w:rsidRPr="007C0F57" w:rsidRDefault="00F10EB1" w:rsidP="007C0F57">
    <w:pPr>
      <w:pStyle w:val="Footer"/>
      <w:jc w:val="center"/>
      <w:rPr>
        <w:b/>
        <w:i/>
        <w:sz w:val="20"/>
        <w:szCs w:val="20"/>
      </w:rPr>
    </w:pPr>
    <w:r w:rsidRPr="007C0F57">
      <w:rPr>
        <w:b/>
        <w:i/>
        <w:sz w:val="20"/>
        <w:szCs w:val="20"/>
      </w:rPr>
      <w:t>Commercial-in-Confidence</w:t>
    </w:r>
  </w:p>
  <w:p w:rsidR="00F10EB1" w:rsidRDefault="00F10EB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3104" w:rsidRDefault="00CB3104">
      <w:r>
        <w:separator/>
      </w:r>
    </w:p>
    <w:p w:rsidR="00CB3104" w:rsidRDefault="00CB3104"/>
  </w:footnote>
  <w:footnote w:type="continuationSeparator" w:id="0">
    <w:p w:rsidR="00CB3104" w:rsidRDefault="00CB3104">
      <w:r>
        <w:continuationSeparator/>
      </w:r>
    </w:p>
    <w:p w:rsidR="00CB3104" w:rsidRDefault="00CB310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F10EB1" w:rsidRPr="008E0D90" w:rsidTr="00A06225">
      <w:trPr>
        <w:trHeight w:val="151"/>
      </w:trPr>
      <w:tc>
        <w:tcPr>
          <w:tcW w:w="2389" w:type="pct"/>
          <w:tcBorders>
            <w:top w:val="nil"/>
            <w:left w:val="nil"/>
            <w:bottom w:val="single" w:sz="4" w:space="0" w:color="4F81BD"/>
            <w:right w:val="nil"/>
          </w:tcBorders>
        </w:tcPr>
        <w:p w:rsidR="00F10EB1" w:rsidRPr="00A06225" w:rsidRDefault="00F10EB1">
          <w:pPr>
            <w:pStyle w:val="Header"/>
            <w:spacing w:line="276" w:lineRule="auto"/>
            <w:rPr>
              <w:rFonts w:ascii="Cambria" w:eastAsia="MS Gothic" w:hAnsi="Cambria"/>
              <w:b/>
              <w:bCs/>
              <w:color w:val="4F81BD"/>
            </w:rPr>
          </w:pPr>
        </w:p>
      </w:tc>
      <w:tc>
        <w:tcPr>
          <w:tcW w:w="333" w:type="pct"/>
          <w:vMerge w:val="restart"/>
          <w:noWrap/>
          <w:vAlign w:val="center"/>
          <w:hideMark/>
        </w:tcPr>
        <w:p w:rsidR="00F10EB1" w:rsidRPr="00A06225" w:rsidRDefault="00F10EB1"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F10EB1" w:rsidRPr="00A06225" w:rsidRDefault="00F10EB1">
          <w:pPr>
            <w:pStyle w:val="Header"/>
            <w:spacing w:line="276" w:lineRule="auto"/>
            <w:rPr>
              <w:rFonts w:ascii="Cambria" w:eastAsia="MS Gothic" w:hAnsi="Cambria"/>
              <w:b/>
              <w:bCs/>
              <w:color w:val="4F81BD"/>
            </w:rPr>
          </w:pPr>
        </w:p>
      </w:tc>
    </w:tr>
    <w:tr w:rsidR="00F10EB1" w:rsidRPr="008E0D90" w:rsidTr="00A06225">
      <w:trPr>
        <w:trHeight w:val="150"/>
      </w:trPr>
      <w:tc>
        <w:tcPr>
          <w:tcW w:w="2389" w:type="pct"/>
          <w:tcBorders>
            <w:top w:val="single" w:sz="4" w:space="0" w:color="4F81BD"/>
            <w:left w:val="nil"/>
            <w:bottom w:val="nil"/>
            <w:right w:val="nil"/>
          </w:tcBorders>
        </w:tcPr>
        <w:p w:rsidR="00F10EB1" w:rsidRPr="00A06225" w:rsidRDefault="00F10EB1">
          <w:pPr>
            <w:pStyle w:val="Header"/>
            <w:spacing w:line="276" w:lineRule="auto"/>
            <w:rPr>
              <w:rFonts w:ascii="Cambria" w:eastAsia="MS Gothic" w:hAnsi="Cambria"/>
              <w:b/>
              <w:bCs/>
              <w:color w:val="4F81BD"/>
            </w:rPr>
          </w:pPr>
        </w:p>
      </w:tc>
      <w:tc>
        <w:tcPr>
          <w:tcW w:w="0" w:type="auto"/>
          <w:vMerge/>
          <w:vAlign w:val="center"/>
          <w:hideMark/>
        </w:tcPr>
        <w:p w:rsidR="00F10EB1" w:rsidRPr="00A06225" w:rsidRDefault="00F10EB1">
          <w:pPr>
            <w:rPr>
              <w:rFonts w:ascii="Cambria" w:hAnsi="Cambria"/>
              <w:color w:val="4F81BD"/>
              <w:sz w:val="22"/>
              <w:szCs w:val="22"/>
            </w:rPr>
          </w:pPr>
        </w:p>
      </w:tc>
      <w:tc>
        <w:tcPr>
          <w:tcW w:w="2278" w:type="pct"/>
          <w:tcBorders>
            <w:top w:val="single" w:sz="4" w:space="0" w:color="4F81BD"/>
            <w:left w:val="nil"/>
            <w:bottom w:val="nil"/>
            <w:right w:val="nil"/>
          </w:tcBorders>
        </w:tcPr>
        <w:p w:rsidR="00F10EB1" w:rsidRPr="00A06225" w:rsidRDefault="00F10EB1">
          <w:pPr>
            <w:pStyle w:val="Header"/>
            <w:spacing w:line="276" w:lineRule="auto"/>
            <w:rPr>
              <w:rFonts w:ascii="Cambria" w:eastAsia="MS Gothic" w:hAnsi="Cambria"/>
              <w:b/>
              <w:bCs/>
              <w:color w:val="4F81BD"/>
            </w:rPr>
          </w:pPr>
        </w:p>
      </w:tc>
    </w:tr>
  </w:tbl>
  <w:p w:rsidR="00F10EB1" w:rsidRDefault="00F10EB1">
    <w:pPr>
      <w:pStyle w:val="Header"/>
    </w:pPr>
  </w:p>
  <w:p w:rsidR="00F10EB1" w:rsidRDefault="00F10EB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EB1" w:rsidRPr="00056684" w:rsidRDefault="00F10EB1" w:rsidP="00C24211">
    <w:pPr>
      <w:pStyle w:val="Header"/>
      <w:ind w:left="360"/>
      <w:rPr>
        <w:rFonts w:asciiTheme="minorHAnsi" w:hAnsiTheme="minorHAnsi" w:cs="Arial"/>
        <w:i/>
        <w:color w:val="808080"/>
      </w:rPr>
    </w:pPr>
    <w:r>
      <w:rPr>
        <w:rFonts w:asciiTheme="minorHAnsi" w:hAnsiTheme="minorHAnsi" w:cs="Arial"/>
        <w:i/>
        <w:color w:val="808080"/>
      </w:rPr>
      <w:t>Public Summary Document</w:t>
    </w:r>
    <w:r w:rsidRPr="00056684">
      <w:rPr>
        <w:rFonts w:asciiTheme="minorHAnsi" w:hAnsiTheme="minorHAnsi" w:cs="Arial"/>
        <w:i/>
        <w:color w:val="808080"/>
      </w:rPr>
      <w:t xml:space="preserve">– </w:t>
    </w:r>
    <w:r>
      <w:rPr>
        <w:rFonts w:asciiTheme="minorHAnsi" w:hAnsiTheme="minorHAnsi" w:cs="Arial"/>
        <w:i/>
        <w:color w:val="808080"/>
      </w:rPr>
      <w:t>November 2020</w:t>
    </w:r>
    <w:r w:rsidRPr="00056684">
      <w:rPr>
        <w:rFonts w:asciiTheme="minorHAnsi" w:hAnsiTheme="minorHAnsi" w:cs="Arial"/>
        <w:i/>
        <w:color w:val="808080"/>
      </w:rPr>
      <w:t xml:space="preserve"> PBAC Meeting</w:t>
    </w:r>
  </w:p>
  <w:p w:rsidR="00F10EB1" w:rsidRPr="00D60D91" w:rsidRDefault="00F10EB1" w:rsidP="00A128E6">
    <w:pPr>
      <w:pStyle w:val="NoSpacing"/>
      <w:rPr>
        <w:rFonts w:asciiTheme="minorHAnsi" w:hAnsiTheme="minorHAnsi" w:cstheme="minorHAnsi"/>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A83" w:rsidRDefault="00852A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E52495A"/>
    <w:lvl w:ilvl="0">
      <w:start w:val="1"/>
      <w:numFmt w:val="decimal"/>
      <w:pStyle w:val="3-BodyText"/>
      <w:lvlText w:val="%1."/>
      <w:lvlJc w:val="left"/>
      <w:pPr>
        <w:tabs>
          <w:tab w:val="num" w:pos="360"/>
        </w:tabs>
        <w:ind w:left="360" w:hanging="360"/>
      </w:pPr>
    </w:lvl>
  </w:abstractNum>
  <w:abstractNum w:abstractNumId="1" w15:restartNumberingAfterBreak="0">
    <w:nsid w:val="FFFFFF89"/>
    <w:multiLevelType w:val="singleLevel"/>
    <w:tmpl w:val="98E4CF8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50414E7"/>
    <w:multiLevelType w:val="hybridMultilevel"/>
    <w:tmpl w:val="9F7A84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1859B5"/>
    <w:multiLevelType w:val="hybridMultilevel"/>
    <w:tmpl w:val="6CA2149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1BE83A6C"/>
    <w:multiLevelType w:val="hybridMultilevel"/>
    <w:tmpl w:val="1EA4E69C"/>
    <w:lvl w:ilvl="0" w:tplc="0C090019">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D383609"/>
    <w:multiLevelType w:val="hybridMultilevel"/>
    <w:tmpl w:val="E83030C6"/>
    <w:lvl w:ilvl="0" w:tplc="A6D6EF40">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B644AC0"/>
    <w:multiLevelType w:val="hybridMultilevel"/>
    <w:tmpl w:val="BC84C1E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8B775B5"/>
    <w:multiLevelType w:val="hybridMultilevel"/>
    <w:tmpl w:val="C34A921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3E9B0E61"/>
    <w:multiLevelType w:val="singleLevel"/>
    <w:tmpl w:val="58CAAE7C"/>
    <w:lvl w:ilvl="0">
      <w:start w:val="1"/>
      <w:numFmt w:val="decimal"/>
      <w:pStyle w:val="ProcedureStep"/>
      <w:lvlText w:val="%1)"/>
      <w:lvlJc w:val="left"/>
      <w:pPr>
        <w:tabs>
          <w:tab w:val="num" w:pos="1134"/>
        </w:tabs>
        <w:ind w:left="1134" w:hanging="567"/>
      </w:pPr>
      <w:rPr>
        <w:rFonts w:hint="default"/>
      </w:rPr>
    </w:lvl>
  </w:abstractNum>
  <w:abstractNum w:abstractNumId="14" w15:restartNumberingAfterBreak="0">
    <w:nsid w:val="452A0C9A"/>
    <w:multiLevelType w:val="hybridMultilevel"/>
    <w:tmpl w:val="5B1CD01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54E52AC3"/>
    <w:multiLevelType w:val="multilevel"/>
    <w:tmpl w:val="6C384208"/>
    <w:lvl w:ilvl="0">
      <w:start w:val="1"/>
      <w:numFmt w:val="decimal"/>
      <w:lvlText w:val="%1"/>
      <w:lvlJc w:val="left"/>
      <w:pPr>
        <w:ind w:left="720" w:hanging="720"/>
      </w:pPr>
      <w:rPr>
        <w:rFonts w:hint="default"/>
        <w:b/>
        <w:i w:val="0"/>
      </w:rPr>
    </w:lvl>
    <w:lvl w:ilvl="1">
      <w:start w:val="1"/>
      <w:numFmt w:val="lowerLetter"/>
      <w:lvlText w:val="%2)"/>
      <w:lvlJc w:val="left"/>
      <w:pPr>
        <w:ind w:left="720" w:hanging="720"/>
      </w:pPr>
      <w:rPr>
        <w:rFonts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82724C4"/>
    <w:multiLevelType w:val="hybridMultilevel"/>
    <w:tmpl w:val="6B0AE9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AC5FFD"/>
    <w:multiLevelType w:val="hybridMultilevel"/>
    <w:tmpl w:val="36F4BAC2"/>
    <w:lvl w:ilvl="0" w:tplc="309414AC">
      <w:start w:val="1"/>
      <w:numFmt w:val="decimal"/>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15:restartNumberingAfterBreak="0">
    <w:nsid w:val="617C1430"/>
    <w:multiLevelType w:val="hybridMultilevel"/>
    <w:tmpl w:val="2AF2CD1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64D047D4"/>
    <w:multiLevelType w:val="hybridMultilevel"/>
    <w:tmpl w:val="A2E0ED7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784D033C"/>
    <w:multiLevelType w:val="multilevel"/>
    <w:tmpl w:val="861A2ED8"/>
    <w:lvl w:ilvl="0">
      <w:start w:val="1"/>
      <w:numFmt w:val="decimal"/>
      <w:pStyle w:val="2-SectionHeading"/>
      <w:lvlText w:val="%1"/>
      <w:lvlJc w:val="left"/>
      <w:pPr>
        <w:ind w:left="720" w:hanging="720"/>
      </w:pPr>
      <w:rPr>
        <w:rFonts w:hint="default"/>
        <w:b/>
        <w:color w:val="auto"/>
      </w:rPr>
    </w:lvl>
    <w:lvl w:ilvl="1">
      <w:start w:val="1"/>
      <w:numFmt w:val="decimal"/>
      <w:pStyle w:val="3Bodytext"/>
      <w:lvlText w:val="%1.%2"/>
      <w:lvlJc w:val="left"/>
      <w:pPr>
        <w:ind w:left="720"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91A33F4"/>
    <w:multiLevelType w:val="hybridMultilevel"/>
    <w:tmpl w:val="B922D33C"/>
    <w:lvl w:ilvl="0" w:tplc="0C090001">
      <w:start w:val="1"/>
      <w:numFmt w:val="bullet"/>
      <w:lvlText w:val=""/>
      <w:lvlJc w:val="left"/>
      <w:pPr>
        <w:ind w:left="1500" w:hanging="360"/>
      </w:pPr>
      <w:rPr>
        <w:rFonts w:ascii="Symbol" w:hAnsi="Symbol" w:hint="default"/>
      </w:rPr>
    </w:lvl>
    <w:lvl w:ilvl="1" w:tplc="0C090003" w:tentative="1">
      <w:start w:val="1"/>
      <w:numFmt w:val="bullet"/>
      <w:lvlText w:val="o"/>
      <w:lvlJc w:val="left"/>
      <w:pPr>
        <w:ind w:left="2220" w:hanging="360"/>
      </w:pPr>
      <w:rPr>
        <w:rFonts w:ascii="Courier New" w:hAnsi="Courier New" w:cs="Courier New" w:hint="default"/>
      </w:rPr>
    </w:lvl>
    <w:lvl w:ilvl="2" w:tplc="0C090005" w:tentative="1">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abstractNum w:abstractNumId="23" w15:restartNumberingAfterBreak="0">
    <w:nsid w:val="7CB158B0"/>
    <w:multiLevelType w:val="hybridMultilevel"/>
    <w:tmpl w:val="460CD1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1"/>
  </w:num>
  <w:num w:numId="2">
    <w:abstractNumId w:val="0"/>
  </w:num>
  <w:num w:numId="3">
    <w:abstractNumId w:val="18"/>
  </w:num>
  <w:num w:numId="4">
    <w:abstractNumId w:val="13"/>
  </w:num>
  <w:num w:numId="5">
    <w:abstractNumId w:val="1"/>
  </w:num>
  <w:num w:numId="6">
    <w:abstractNumId w:val="21"/>
  </w:num>
  <w:num w:numId="7">
    <w:abstractNumId w:val="12"/>
  </w:num>
  <w:num w:numId="8">
    <w:abstractNumId w:val="7"/>
  </w:num>
  <w:num w:numId="9">
    <w:abstractNumId w:val="6"/>
  </w:num>
  <w:num w:numId="10">
    <w:abstractNumId w:val="21"/>
  </w:num>
  <w:num w:numId="11">
    <w:abstractNumId w:val="17"/>
  </w:num>
  <w:num w:numId="12">
    <w:abstractNumId w:val="10"/>
  </w:num>
  <w:num w:numId="13">
    <w:abstractNumId w:val="19"/>
  </w:num>
  <w:num w:numId="14">
    <w:abstractNumId w:val="20"/>
  </w:num>
  <w:num w:numId="15">
    <w:abstractNumId w:val="21"/>
  </w:num>
  <w:num w:numId="16">
    <w:abstractNumId w:val="5"/>
  </w:num>
  <w:num w:numId="17">
    <w:abstractNumId w:val="14"/>
  </w:num>
  <w:num w:numId="18">
    <w:abstractNumId w:val="21"/>
  </w:num>
  <w:num w:numId="19">
    <w:abstractNumId w:val="3"/>
  </w:num>
  <w:num w:numId="20">
    <w:abstractNumId w:val="23"/>
  </w:num>
  <w:num w:numId="21">
    <w:abstractNumId w:val="16"/>
  </w:num>
  <w:num w:numId="22">
    <w:abstractNumId w:val="4"/>
  </w:num>
  <w:num w:numId="23">
    <w:abstractNumId w:val="2"/>
  </w:num>
  <w:num w:numId="24">
    <w:abstractNumId w:val="9"/>
  </w:num>
  <w:num w:numId="25">
    <w:abstractNumId w:val="11"/>
  </w:num>
  <w:num w:numId="26">
    <w:abstractNumId w:val="8"/>
  </w:num>
  <w:num w:numId="27">
    <w:abstractNumId w:val="15"/>
  </w:num>
  <w:num w:numId="28">
    <w:abstractNumId w:val="22"/>
  </w:num>
  <w:num w:numId="29">
    <w:abstractNumId w:val="21"/>
  </w:num>
  <w:num w:numId="30">
    <w:abstractNumId w:val="21"/>
  </w:num>
  <w:num w:numId="31">
    <w:abstractNumId w:val="21"/>
  </w:num>
  <w:num w:numId="32">
    <w:abstractNumId w:val="21"/>
  </w:num>
  <w:num w:numId="33">
    <w:abstractNumId w:val="21"/>
  </w:num>
  <w:num w:numId="34">
    <w:abstractNumId w:val="21"/>
  </w:num>
  <w:num w:numId="35">
    <w:abstractNumId w:val="21"/>
  </w:num>
  <w:num w:numId="36">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2BB"/>
    <w:rsid w:val="00001663"/>
    <w:rsid w:val="000025AD"/>
    <w:rsid w:val="0000335D"/>
    <w:rsid w:val="000034A6"/>
    <w:rsid w:val="00004573"/>
    <w:rsid w:val="0000471F"/>
    <w:rsid w:val="00005342"/>
    <w:rsid w:val="00006925"/>
    <w:rsid w:val="000073EA"/>
    <w:rsid w:val="0000761C"/>
    <w:rsid w:val="00011A59"/>
    <w:rsid w:val="00016A41"/>
    <w:rsid w:val="00017AAC"/>
    <w:rsid w:val="000214D1"/>
    <w:rsid w:val="00024200"/>
    <w:rsid w:val="0002464A"/>
    <w:rsid w:val="00025E2E"/>
    <w:rsid w:val="0003106B"/>
    <w:rsid w:val="00034905"/>
    <w:rsid w:val="0003555C"/>
    <w:rsid w:val="000421A1"/>
    <w:rsid w:val="0004240E"/>
    <w:rsid w:val="000427B9"/>
    <w:rsid w:val="000433C2"/>
    <w:rsid w:val="00045E26"/>
    <w:rsid w:val="00047AF7"/>
    <w:rsid w:val="000514B5"/>
    <w:rsid w:val="00056620"/>
    <w:rsid w:val="00060E64"/>
    <w:rsid w:val="000653B6"/>
    <w:rsid w:val="0006573D"/>
    <w:rsid w:val="00066755"/>
    <w:rsid w:val="000717DA"/>
    <w:rsid w:val="000763D5"/>
    <w:rsid w:val="00076B5E"/>
    <w:rsid w:val="00077143"/>
    <w:rsid w:val="00077ACF"/>
    <w:rsid w:val="00081482"/>
    <w:rsid w:val="00081CCE"/>
    <w:rsid w:val="00082169"/>
    <w:rsid w:val="00083D3C"/>
    <w:rsid w:val="000918CB"/>
    <w:rsid w:val="00091B06"/>
    <w:rsid w:val="00091B1D"/>
    <w:rsid w:val="00092C2A"/>
    <w:rsid w:val="00094D5D"/>
    <w:rsid w:val="000951C4"/>
    <w:rsid w:val="00095ADA"/>
    <w:rsid w:val="000969AD"/>
    <w:rsid w:val="00097BF8"/>
    <w:rsid w:val="00097CA7"/>
    <w:rsid w:val="000A3550"/>
    <w:rsid w:val="000A3AA2"/>
    <w:rsid w:val="000A44B2"/>
    <w:rsid w:val="000A52F6"/>
    <w:rsid w:val="000A6B49"/>
    <w:rsid w:val="000B0089"/>
    <w:rsid w:val="000B1678"/>
    <w:rsid w:val="000B1BAF"/>
    <w:rsid w:val="000B3F64"/>
    <w:rsid w:val="000B44C3"/>
    <w:rsid w:val="000B558D"/>
    <w:rsid w:val="000B7CCE"/>
    <w:rsid w:val="000C035F"/>
    <w:rsid w:val="000C102D"/>
    <w:rsid w:val="000C5F95"/>
    <w:rsid w:val="000C6996"/>
    <w:rsid w:val="000D015F"/>
    <w:rsid w:val="000D09E9"/>
    <w:rsid w:val="000D113F"/>
    <w:rsid w:val="000D23BA"/>
    <w:rsid w:val="000D475C"/>
    <w:rsid w:val="000D4EC9"/>
    <w:rsid w:val="000D604C"/>
    <w:rsid w:val="000D6792"/>
    <w:rsid w:val="000E3FD3"/>
    <w:rsid w:val="000E469D"/>
    <w:rsid w:val="000E5EA1"/>
    <w:rsid w:val="000E681E"/>
    <w:rsid w:val="000F0003"/>
    <w:rsid w:val="000F3384"/>
    <w:rsid w:val="000F4E6A"/>
    <w:rsid w:val="000F7354"/>
    <w:rsid w:val="00101ABE"/>
    <w:rsid w:val="00102202"/>
    <w:rsid w:val="001025EA"/>
    <w:rsid w:val="00104227"/>
    <w:rsid w:val="00105ADA"/>
    <w:rsid w:val="001107BF"/>
    <w:rsid w:val="00111BAC"/>
    <w:rsid w:val="00113649"/>
    <w:rsid w:val="00113B8D"/>
    <w:rsid w:val="00120897"/>
    <w:rsid w:val="00120D43"/>
    <w:rsid w:val="0012417C"/>
    <w:rsid w:val="00125BE7"/>
    <w:rsid w:val="0012749D"/>
    <w:rsid w:val="001324CA"/>
    <w:rsid w:val="00132C09"/>
    <w:rsid w:val="00133DF9"/>
    <w:rsid w:val="00134547"/>
    <w:rsid w:val="00140019"/>
    <w:rsid w:val="00142395"/>
    <w:rsid w:val="00142714"/>
    <w:rsid w:val="001434E0"/>
    <w:rsid w:val="001452ED"/>
    <w:rsid w:val="00146CD0"/>
    <w:rsid w:val="00147D84"/>
    <w:rsid w:val="00150A02"/>
    <w:rsid w:val="001522FE"/>
    <w:rsid w:val="001549C1"/>
    <w:rsid w:val="00157AB5"/>
    <w:rsid w:val="0016142E"/>
    <w:rsid w:val="00162BDD"/>
    <w:rsid w:val="00162C1A"/>
    <w:rsid w:val="00162D4E"/>
    <w:rsid w:val="00163329"/>
    <w:rsid w:val="00164623"/>
    <w:rsid w:val="001652DE"/>
    <w:rsid w:val="00165B64"/>
    <w:rsid w:val="001660DA"/>
    <w:rsid w:val="00166224"/>
    <w:rsid w:val="001671AE"/>
    <w:rsid w:val="001705E8"/>
    <w:rsid w:val="00172286"/>
    <w:rsid w:val="0017274D"/>
    <w:rsid w:val="00175AE8"/>
    <w:rsid w:val="001768F0"/>
    <w:rsid w:val="00176EE5"/>
    <w:rsid w:val="001804C9"/>
    <w:rsid w:val="00180713"/>
    <w:rsid w:val="00180720"/>
    <w:rsid w:val="001820B6"/>
    <w:rsid w:val="001830CE"/>
    <w:rsid w:val="00184B47"/>
    <w:rsid w:val="001856E1"/>
    <w:rsid w:val="0018643B"/>
    <w:rsid w:val="00187A55"/>
    <w:rsid w:val="00192F9E"/>
    <w:rsid w:val="00196307"/>
    <w:rsid w:val="001A3306"/>
    <w:rsid w:val="001A33EA"/>
    <w:rsid w:val="001A4C4F"/>
    <w:rsid w:val="001A5E79"/>
    <w:rsid w:val="001A76FB"/>
    <w:rsid w:val="001B017F"/>
    <w:rsid w:val="001B2BBC"/>
    <w:rsid w:val="001B2D65"/>
    <w:rsid w:val="001B3A40"/>
    <w:rsid w:val="001B3FFE"/>
    <w:rsid w:val="001B5053"/>
    <w:rsid w:val="001B5129"/>
    <w:rsid w:val="001B594A"/>
    <w:rsid w:val="001B6631"/>
    <w:rsid w:val="001B76C3"/>
    <w:rsid w:val="001B7968"/>
    <w:rsid w:val="001C0B4C"/>
    <w:rsid w:val="001C1195"/>
    <w:rsid w:val="001C2E42"/>
    <w:rsid w:val="001C3656"/>
    <w:rsid w:val="001C7B86"/>
    <w:rsid w:val="001D1F5F"/>
    <w:rsid w:val="001D6059"/>
    <w:rsid w:val="001D69E8"/>
    <w:rsid w:val="001D76FF"/>
    <w:rsid w:val="001E06D2"/>
    <w:rsid w:val="001E52B3"/>
    <w:rsid w:val="001E5D27"/>
    <w:rsid w:val="001E77C8"/>
    <w:rsid w:val="001F005B"/>
    <w:rsid w:val="001F1850"/>
    <w:rsid w:val="001F2700"/>
    <w:rsid w:val="001F3189"/>
    <w:rsid w:val="00203FAC"/>
    <w:rsid w:val="00205EBD"/>
    <w:rsid w:val="00211331"/>
    <w:rsid w:val="00212A7F"/>
    <w:rsid w:val="00213CFB"/>
    <w:rsid w:val="0021553C"/>
    <w:rsid w:val="0021557B"/>
    <w:rsid w:val="00215F43"/>
    <w:rsid w:val="002161C1"/>
    <w:rsid w:val="002165D6"/>
    <w:rsid w:val="002174FD"/>
    <w:rsid w:val="00217BE1"/>
    <w:rsid w:val="00223ACB"/>
    <w:rsid w:val="00234252"/>
    <w:rsid w:val="002343AA"/>
    <w:rsid w:val="00237AC6"/>
    <w:rsid w:val="00240087"/>
    <w:rsid w:val="002407BB"/>
    <w:rsid w:val="0024246C"/>
    <w:rsid w:val="00244490"/>
    <w:rsid w:val="002453E7"/>
    <w:rsid w:val="00245B9C"/>
    <w:rsid w:val="00246CDA"/>
    <w:rsid w:val="0025112C"/>
    <w:rsid w:val="0025176F"/>
    <w:rsid w:val="00253499"/>
    <w:rsid w:val="00254B9A"/>
    <w:rsid w:val="002551A4"/>
    <w:rsid w:val="0025678E"/>
    <w:rsid w:val="00256CF7"/>
    <w:rsid w:val="00257664"/>
    <w:rsid w:val="00262E43"/>
    <w:rsid w:val="00263B53"/>
    <w:rsid w:val="00265151"/>
    <w:rsid w:val="00266509"/>
    <w:rsid w:val="00267ABB"/>
    <w:rsid w:val="00271BA1"/>
    <w:rsid w:val="002762FA"/>
    <w:rsid w:val="00277505"/>
    <w:rsid w:val="002813FB"/>
    <w:rsid w:val="002823B6"/>
    <w:rsid w:val="00294274"/>
    <w:rsid w:val="0029458F"/>
    <w:rsid w:val="00296FDC"/>
    <w:rsid w:val="002A0E04"/>
    <w:rsid w:val="002A104C"/>
    <w:rsid w:val="002A1EF7"/>
    <w:rsid w:val="002A494D"/>
    <w:rsid w:val="002A4960"/>
    <w:rsid w:val="002A6A28"/>
    <w:rsid w:val="002B0AE0"/>
    <w:rsid w:val="002B1AE6"/>
    <w:rsid w:val="002B1D51"/>
    <w:rsid w:val="002B2DE8"/>
    <w:rsid w:val="002B30F8"/>
    <w:rsid w:val="002B388A"/>
    <w:rsid w:val="002B3BDA"/>
    <w:rsid w:val="002B48AC"/>
    <w:rsid w:val="002B5596"/>
    <w:rsid w:val="002C212F"/>
    <w:rsid w:val="002C220D"/>
    <w:rsid w:val="002C7485"/>
    <w:rsid w:val="002D283A"/>
    <w:rsid w:val="002D4543"/>
    <w:rsid w:val="002D58D5"/>
    <w:rsid w:val="002D6F71"/>
    <w:rsid w:val="002E0D91"/>
    <w:rsid w:val="002E3153"/>
    <w:rsid w:val="002E353A"/>
    <w:rsid w:val="002E5292"/>
    <w:rsid w:val="002E72CA"/>
    <w:rsid w:val="002F0DFC"/>
    <w:rsid w:val="002F11D0"/>
    <w:rsid w:val="002F2174"/>
    <w:rsid w:val="002F29AB"/>
    <w:rsid w:val="002F600D"/>
    <w:rsid w:val="00300AD6"/>
    <w:rsid w:val="00300B1B"/>
    <w:rsid w:val="0030155D"/>
    <w:rsid w:val="003019D0"/>
    <w:rsid w:val="00302A82"/>
    <w:rsid w:val="00304B6A"/>
    <w:rsid w:val="003064AF"/>
    <w:rsid w:val="00306B65"/>
    <w:rsid w:val="00306C63"/>
    <w:rsid w:val="00307DAB"/>
    <w:rsid w:val="00310B68"/>
    <w:rsid w:val="00315785"/>
    <w:rsid w:val="00317C6C"/>
    <w:rsid w:val="00320CD3"/>
    <w:rsid w:val="00323C6F"/>
    <w:rsid w:val="00326E79"/>
    <w:rsid w:val="00327D41"/>
    <w:rsid w:val="003301B1"/>
    <w:rsid w:val="00330330"/>
    <w:rsid w:val="00331189"/>
    <w:rsid w:val="0033263D"/>
    <w:rsid w:val="0033518A"/>
    <w:rsid w:val="003367EF"/>
    <w:rsid w:val="00340492"/>
    <w:rsid w:val="00341420"/>
    <w:rsid w:val="00341AE4"/>
    <w:rsid w:val="00344B46"/>
    <w:rsid w:val="003476EE"/>
    <w:rsid w:val="00350EED"/>
    <w:rsid w:val="0035248B"/>
    <w:rsid w:val="00353BC4"/>
    <w:rsid w:val="003541DD"/>
    <w:rsid w:val="00356E5B"/>
    <w:rsid w:val="003605F3"/>
    <w:rsid w:val="003671FA"/>
    <w:rsid w:val="003729AF"/>
    <w:rsid w:val="003736C9"/>
    <w:rsid w:val="0038055A"/>
    <w:rsid w:val="003821D5"/>
    <w:rsid w:val="00384988"/>
    <w:rsid w:val="003850F7"/>
    <w:rsid w:val="003872CF"/>
    <w:rsid w:val="00387962"/>
    <w:rsid w:val="00392F2C"/>
    <w:rsid w:val="00396A30"/>
    <w:rsid w:val="0039782C"/>
    <w:rsid w:val="00397F7D"/>
    <w:rsid w:val="003A018F"/>
    <w:rsid w:val="003A42C5"/>
    <w:rsid w:val="003A5B4A"/>
    <w:rsid w:val="003A5D95"/>
    <w:rsid w:val="003B23C5"/>
    <w:rsid w:val="003B2A75"/>
    <w:rsid w:val="003B2CD4"/>
    <w:rsid w:val="003B3F30"/>
    <w:rsid w:val="003B6124"/>
    <w:rsid w:val="003C093A"/>
    <w:rsid w:val="003C14F4"/>
    <w:rsid w:val="003C1ECF"/>
    <w:rsid w:val="003C2FB5"/>
    <w:rsid w:val="003D19B6"/>
    <w:rsid w:val="003D1C39"/>
    <w:rsid w:val="003D24C5"/>
    <w:rsid w:val="003D4AC4"/>
    <w:rsid w:val="003D4B15"/>
    <w:rsid w:val="003D5FEC"/>
    <w:rsid w:val="003D63B7"/>
    <w:rsid w:val="003D74C5"/>
    <w:rsid w:val="003D7C41"/>
    <w:rsid w:val="003E0D1B"/>
    <w:rsid w:val="003E468B"/>
    <w:rsid w:val="003E4A1B"/>
    <w:rsid w:val="003E62BD"/>
    <w:rsid w:val="003F0C3A"/>
    <w:rsid w:val="003F3228"/>
    <w:rsid w:val="003F32BA"/>
    <w:rsid w:val="003F5C8C"/>
    <w:rsid w:val="003F63CE"/>
    <w:rsid w:val="003F775A"/>
    <w:rsid w:val="00400E55"/>
    <w:rsid w:val="0040128E"/>
    <w:rsid w:val="00401743"/>
    <w:rsid w:val="0040216B"/>
    <w:rsid w:val="00411693"/>
    <w:rsid w:val="004136DC"/>
    <w:rsid w:val="00415397"/>
    <w:rsid w:val="00415BE8"/>
    <w:rsid w:val="00417410"/>
    <w:rsid w:val="004237E4"/>
    <w:rsid w:val="00423849"/>
    <w:rsid w:val="004252EC"/>
    <w:rsid w:val="00430D39"/>
    <w:rsid w:val="00432DED"/>
    <w:rsid w:val="00434004"/>
    <w:rsid w:val="00435204"/>
    <w:rsid w:val="0043520C"/>
    <w:rsid w:val="0043569D"/>
    <w:rsid w:val="00437E60"/>
    <w:rsid w:val="00443C13"/>
    <w:rsid w:val="004442F8"/>
    <w:rsid w:val="004465BD"/>
    <w:rsid w:val="004468AA"/>
    <w:rsid w:val="00446938"/>
    <w:rsid w:val="004537C4"/>
    <w:rsid w:val="0045388A"/>
    <w:rsid w:val="0045780B"/>
    <w:rsid w:val="00461740"/>
    <w:rsid w:val="00461A44"/>
    <w:rsid w:val="00462E97"/>
    <w:rsid w:val="00465432"/>
    <w:rsid w:val="00466ADA"/>
    <w:rsid w:val="0046747E"/>
    <w:rsid w:val="00470158"/>
    <w:rsid w:val="004702BB"/>
    <w:rsid w:val="00470FB2"/>
    <w:rsid w:val="00471656"/>
    <w:rsid w:val="00472626"/>
    <w:rsid w:val="0047494B"/>
    <w:rsid w:val="00476245"/>
    <w:rsid w:val="00477A9B"/>
    <w:rsid w:val="00483035"/>
    <w:rsid w:val="00485940"/>
    <w:rsid w:val="004903A2"/>
    <w:rsid w:val="0049045D"/>
    <w:rsid w:val="004904B9"/>
    <w:rsid w:val="00496662"/>
    <w:rsid w:val="004A2484"/>
    <w:rsid w:val="004A5A85"/>
    <w:rsid w:val="004A71D1"/>
    <w:rsid w:val="004A778A"/>
    <w:rsid w:val="004A7C5B"/>
    <w:rsid w:val="004B034F"/>
    <w:rsid w:val="004B1845"/>
    <w:rsid w:val="004B2E98"/>
    <w:rsid w:val="004B5640"/>
    <w:rsid w:val="004B68DD"/>
    <w:rsid w:val="004C03D0"/>
    <w:rsid w:val="004C1BD7"/>
    <w:rsid w:val="004C28AF"/>
    <w:rsid w:val="004C31FE"/>
    <w:rsid w:val="004C524C"/>
    <w:rsid w:val="004C5FFA"/>
    <w:rsid w:val="004C691D"/>
    <w:rsid w:val="004C6C07"/>
    <w:rsid w:val="004C7CB5"/>
    <w:rsid w:val="004D38EB"/>
    <w:rsid w:val="004D3FD0"/>
    <w:rsid w:val="004D4FF6"/>
    <w:rsid w:val="004D53B2"/>
    <w:rsid w:val="004D5493"/>
    <w:rsid w:val="004E4386"/>
    <w:rsid w:val="004E692D"/>
    <w:rsid w:val="004E714B"/>
    <w:rsid w:val="004E7D87"/>
    <w:rsid w:val="004F219F"/>
    <w:rsid w:val="004F2553"/>
    <w:rsid w:val="004F3C85"/>
    <w:rsid w:val="004F3E3E"/>
    <w:rsid w:val="00501554"/>
    <w:rsid w:val="00502AFE"/>
    <w:rsid w:val="00503AD7"/>
    <w:rsid w:val="00504E0C"/>
    <w:rsid w:val="0051057B"/>
    <w:rsid w:val="005109D4"/>
    <w:rsid w:val="0051344C"/>
    <w:rsid w:val="00514CD7"/>
    <w:rsid w:val="005208C3"/>
    <w:rsid w:val="00520D6A"/>
    <w:rsid w:val="00522DB6"/>
    <w:rsid w:val="0052792D"/>
    <w:rsid w:val="0053088F"/>
    <w:rsid w:val="005319B2"/>
    <w:rsid w:val="00532402"/>
    <w:rsid w:val="00532C74"/>
    <w:rsid w:val="005341EE"/>
    <w:rsid w:val="00534E2E"/>
    <w:rsid w:val="00536796"/>
    <w:rsid w:val="00544552"/>
    <w:rsid w:val="00545130"/>
    <w:rsid w:val="00546636"/>
    <w:rsid w:val="00546EC8"/>
    <w:rsid w:val="005513B1"/>
    <w:rsid w:val="0055286A"/>
    <w:rsid w:val="00555745"/>
    <w:rsid w:val="00556F78"/>
    <w:rsid w:val="00557D4F"/>
    <w:rsid w:val="00557FAB"/>
    <w:rsid w:val="00561BCD"/>
    <w:rsid w:val="0056484E"/>
    <w:rsid w:val="00570076"/>
    <w:rsid w:val="00571281"/>
    <w:rsid w:val="005764CD"/>
    <w:rsid w:val="00577C4D"/>
    <w:rsid w:val="00580532"/>
    <w:rsid w:val="00581309"/>
    <w:rsid w:val="00581932"/>
    <w:rsid w:val="0058344C"/>
    <w:rsid w:val="00595F69"/>
    <w:rsid w:val="005963BB"/>
    <w:rsid w:val="005A3173"/>
    <w:rsid w:val="005A3223"/>
    <w:rsid w:val="005A3DA3"/>
    <w:rsid w:val="005A52C4"/>
    <w:rsid w:val="005B074A"/>
    <w:rsid w:val="005B0757"/>
    <w:rsid w:val="005B4395"/>
    <w:rsid w:val="005B4CD1"/>
    <w:rsid w:val="005C019A"/>
    <w:rsid w:val="005C2A54"/>
    <w:rsid w:val="005C2D1D"/>
    <w:rsid w:val="005C4F73"/>
    <w:rsid w:val="005C778B"/>
    <w:rsid w:val="005D03AB"/>
    <w:rsid w:val="005D5017"/>
    <w:rsid w:val="005D5B5D"/>
    <w:rsid w:val="005D63FA"/>
    <w:rsid w:val="005E0D82"/>
    <w:rsid w:val="005E1333"/>
    <w:rsid w:val="005E3136"/>
    <w:rsid w:val="005E48F3"/>
    <w:rsid w:val="005E4D13"/>
    <w:rsid w:val="005E507D"/>
    <w:rsid w:val="005E5B4A"/>
    <w:rsid w:val="005F068D"/>
    <w:rsid w:val="005F5DD9"/>
    <w:rsid w:val="00600AB1"/>
    <w:rsid w:val="00601A91"/>
    <w:rsid w:val="00602BA3"/>
    <w:rsid w:val="00605B63"/>
    <w:rsid w:val="00605F9A"/>
    <w:rsid w:val="00606EED"/>
    <w:rsid w:val="00612E34"/>
    <w:rsid w:val="006139E0"/>
    <w:rsid w:val="00614159"/>
    <w:rsid w:val="00616C5F"/>
    <w:rsid w:val="00616DAC"/>
    <w:rsid w:val="00616FCC"/>
    <w:rsid w:val="00617C00"/>
    <w:rsid w:val="00621BBF"/>
    <w:rsid w:val="00622257"/>
    <w:rsid w:val="00622575"/>
    <w:rsid w:val="0062508B"/>
    <w:rsid w:val="00625D80"/>
    <w:rsid w:val="006263BF"/>
    <w:rsid w:val="0062748A"/>
    <w:rsid w:val="00630A2C"/>
    <w:rsid w:val="00631101"/>
    <w:rsid w:val="00631EBD"/>
    <w:rsid w:val="0063682E"/>
    <w:rsid w:val="00640E3A"/>
    <w:rsid w:val="00642DA8"/>
    <w:rsid w:val="006434C9"/>
    <w:rsid w:val="006436CD"/>
    <w:rsid w:val="0064409C"/>
    <w:rsid w:val="00651014"/>
    <w:rsid w:val="00651169"/>
    <w:rsid w:val="00653893"/>
    <w:rsid w:val="00653D69"/>
    <w:rsid w:val="006552E6"/>
    <w:rsid w:val="00655794"/>
    <w:rsid w:val="00655940"/>
    <w:rsid w:val="00657C63"/>
    <w:rsid w:val="006670BE"/>
    <w:rsid w:val="006678C8"/>
    <w:rsid w:val="00667E91"/>
    <w:rsid w:val="00670A76"/>
    <w:rsid w:val="006711AA"/>
    <w:rsid w:val="00672B57"/>
    <w:rsid w:val="00672E4D"/>
    <w:rsid w:val="00673F1F"/>
    <w:rsid w:val="006755D2"/>
    <w:rsid w:val="00675622"/>
    <w:rsid w:val="0067665F"/>
    <w:rsid w:val="00677074"/>
    <w:rsid w:val="0067747D"/>
    <w:rsid w:val="00680935"/>
    <w:rsid w:val="00680C6E"/>
    <w:rsid w:val="006818D5"/>
    <w:rsid w:val="00681A50"/>
    <w:rsid w:val="00681CA4"/>
    <w:rsid w:val="00684D6B"/>
    <w:rsid w:val="0069039D"/>
    <w:rsid w:val="006906DB"/>
    <w:rsid w:val="00691E6C"/>
    <w:rsid w:val="00693DFB"/>
    <w:rsid w:val="0069501D"/>
    <w:rsid w:val="00696129"/>
    <w:rsid w:val="0069764D"/>
    <w:rsid w:val="00697CF2"/>
    <w:rsid w:val="006A12A5"/>
    <w:rsid w:val="006A1D05"/>
    <w:rsid w:val="006A5620"/>
    <w:rsid w:val="006A5E20"/>
    <w:rsid w:val="006B0D94"/>
    <w:rsid w:val="006B485D"/>
    <w:rsid w:val="006B4FB9"/>
    <w:rsid w:val="006B75F7"/>
    <w:rsid w:val="006C0AE7"/>
    <w:rsid w:val="006C1D57"/>
    <w:rsid w:val="006C276F"/>
    <w:rsid w:val="006C334C"/>
    <w:rsid w:val="006C5160"/>
    <w:rsid w:val="006C708E"/>
    <w:rsid w:val="006D14E7"/>
    <w:rsid w:val="006D4444"/>
    <w:rsid w:val="006D6493"/>
    <w:rsid w:val="006D6EC7"/>
    <w:rsid w:val="006E0274"/>
    <w:rsid w:val="006E1BCD"/>
    <w:rsid w:val="006E2934"/>
    <w:rsid w:val="006E6464"/>
    <w:rsid w:val="006F0A71"/>
    <w:rsid w:val="006F2C8F"/>
    <w:rsid w:val="006F40C2"/>
    <w:rsid w:val="006F5125"/>
    <w:rsid w:val="006F733D"/>
    <w:rsid w:val="00702B6F"/>
    <w:rsid w:val="00702EF8"/>
    <w:rsid w:val="00706A2F"/>
    <w:rsid w:val="0070718E"/>
    <w:rsid w:val="00710259"/>
    <w:rsid w:val="0071031F"/>
    <w:rsid w:val="00712687"/>
    <w:rsid w:val="0071340B"/>
    <w:rsid w:val="00715BBB"/>
    <w:rsid w:val="007174BB"/>
    <w:rsid w:val="00717610"/>
    <w:rsid w:val="0072025D"/>
    <w:rsid w:val="0072115D"/>
    <w:rsid w:val="00723260"/>
    <w:rsid w:val="00724CDE"/>
    <w:rsid w:val="0073137C"/>
    <w:rsid w:val="007353D3"/>
    <w:rsid w:val="0074156B"/>
    <w:rsid w:val="00741A8C"/>
    <w:rsid w:val="00742779"/>
    <w:rsid w:val="00745864"/>
    <w:rsid w:val="00745EBC"/>
    <w:rsid w:val="00746232"/>
    <w:rsid w:val="00747092"/>
    <w:rsid w:val="00752C8B"/>
    <w:rsid w:val="0075386C"/>
    <w:rsid w:val="007555E8"/>
    <w:rsid w:val="00755994"/>
    <w:rsid w:val="007559E4"/>
    <w:rsid w:val="007567A6"/>
    <w:rsid w:val="0076420C"/>
    <w:rsid w:val="00765E42"/>
    <w:rsid w:val="00771D07"/>
    <w:rsid w:val="00772D8E"/>
    <w:rsid w:val="00773BE3"/>
    <w:rsid w:val="007743DD"/>
    <w:rsid w:val="00774913"/>
    <w:rsid w:val="00774E2C"/>
    <w:rsid w:val="007753C2"/>
    <w:rsid w:val="00783578"/>
    <w:rsid w:val="007838B8"/>
    <w:rsid w:val="00790663"/>
    <w:rsid w:val="007915BA"/>
    <w:rsid w:val="007964DE"/>
    <w:rsid w:val="007A137E"/>
    <w:rsid w:val="007A3521"/>
    <w:rsid w:val="007A53C5"/>
    <w:rsid w:val="007A688E"/>
    <w:rsid w:val="007B0162"/>
    <w:rsid w:val="007B2134"/>
    <w:rsid w:val="007B3DDC"/>
    <w:rsid w:val="007B4742"/>
    <w:rsid w:val="007B72A6"/>
    <w:rsid w:val="007C0F57"/>
    <w:rsid w:val="007C40B6"/>
    <w:rsid w:val="007C593B"/>
    <w:rsid w:val="007C5CAA"/>
    <w:rsid w:val="007C729F"/>
    <w:rsid w:val="007C7946"/>
    <w:rsid w:val="007D503D"/>
    <w:rsid w:val="007E193B"/>
    <w:rsid w:val="007E1D28"/>
    <w:rsid w:val="007F0021"/>
    <w:rsid w:val="007F161E"/>
    <w:rsid w:val="007F2641"/>
    <w:rsid w:val="007F655B"/>
    <w:rsid w:val="007F778C"/>
    <w:rsid w:val="007F7C36"/>
    <w:rsid w:val="007F7C94"/>
    <w:rsid w:val="0080222F"/>
    <w:rsid w:val="00806796"/>
    <w:rsid w:val="00811CC0"/>
    <w:rsid w:val="008128A1"/>
    <w:rsid w:val="008151D6"/>
    <w:rsid w:val="008153B9"/>
    <w:rsid w:val="008167FE"/>
    <w:rsid w:val="00817E40"/>
    <w:rsid w:val="00821527"/>
    <w:rsid w:val="008268BB"/>
    <w:rsid w:val="00826F6D"/>
    <w:rsid w:val="00827C6E"/>
    <w:rsid w:val="008306F3"/>
    <w:rsid w:val="008307D7"/>
    <w:rsid w:val="00830C34"/>
    <w:rsid w:val="00830E40"/>
    <w:rsid w:val="0083142B"/>
    <w:rsid w:val="00832EA5"/>
    <w:rsid w:val="008331C3"/>
    <w:rsid w:val="008336A8"/>
    <w:rsid w:val="00835C62"/>
    <w:rsid w:val="00843E60"/>
    <w:rsid w:val="00846056"/>
    <w:rsid w:val="00847EC0"/>
    <w:rsid w:val="00852A83"/>
    <w:rsid w:val="0085384E"/>
    <w:rsid w:val="00855FD6"/>
    <w:rsid w:val="00856DDD"/>
    <w:rsid w:val="00862A9F"/>
    <w:rsid w:val="00863E68"/>
    <w:rsid w:val="008647B5"/>
    <w:rsid w:val="00873079"/>
    <w:rsid w:val="00873930"/>
    <w:rsid w:val="00875DCB"/>
    <w:rsid w:val="00882085"/>
    <w:rsid w:val="008826E1"/>
    <w:rsid w:val="00883188"/>
    <w:rsid w:val="00884D22"/>
    <w:rsid w:val="0089428E"/>
    <w:rsid w:val="00897109"/>
    <w:rsid w:val="00897D58"/>
    <w:rsid w:val="00897F22"/>
    <w:rsid w:val="008A05D2"/>
    <w:rsid w:val="008A0B39"/>
    <w:rsid w:val="008A1956"/>
    <w:rsid w:val="008A4937"/>
    <w:rsid w:val="008A4F31"/>
    <w:rsid w:val="008A50F1"/>
    <w:rsid w:val="008A59D9"/>
    <w:rsid w:val="008A6819"/>
    <w:rsid w:val="008B2EC0"/>
    <w:rsid w:val="008B5121"/>
    <w:rsid w:val="008B523F"/>
    <w:rsid w:val="008C144B"/>
    <w:rsid w:val="008C178E"/>
    <w:rsid w:val="008C4A61"/>
    <w:rsid w:val="008C7269"/>
    <w:rsid w:val="008D1750"/>
    <w:rsid w:val="008D1B5C"/>
    <w:rsid w:val="008D3C82"/>
    <w:rsid w:val="008D447E"/>
    <w:rsid w:val="008D4908"/>
    <w:rsid w:val="008D6FA5"/>
    <w:rsid w:val="008D753D"/>
    <w:rsid w:val="008D7A41"/>
    <w:rsid w:val="008E2C72"/>
    <w:rsid w:val="008E3680"/>
    <w:rsid w:val="008E54AE"/>
    <w:rsid w:val="008E5870"/>
    <w:rsid w:val="008F01C5"/>
    <w:rsid w:val="008F0213"/>
    <w:rsid w:val="008F1434"/>
    <w:rsid w:val="008F1678"/>
    <w:rsid w:val="008F54C3"/>
    <w:rsid w:val="008F7355"/>
    <w:rsid w:val="008F79B1"/>
    <w:rsid w:val="0090199E"/>
    <w:rsid w:val="009023DC"/>
    <w:rsid w:val="009027C5"/>
    <w:rsid w:val="00902903"/>
    <w:rsid w:val="00905829"/>
    <w:rsid w:val="009067B7"/>
    <w:rsid w:val="00906D5A"/>
    <w:rsid w:val="009140E6"/>
    <w:rsid w:val="00914DD1"/>
    <w:rsid w:val="00915A69"/>
    <w:rsid w:val="00917D27"/>
    <w:rsid w:val="00917D69"/>
    <w:rsid w:val="00923055"/>
    <w:rsid w:val="00926560"/>
    <w:rsid w:val="00930937"/>
    <w:rsid w:val="009324A6"/>
    <w:rsid w:val="009330BF"/>
    <w:rsid w:val="00933E6C"/>
    <w:rsid w:val="009344A2"/>
    <w:rsid w:val="00937958"/>
    <w:rsid w:val="00941602"/>
    <w:rsid w:val="00942160"/>
    <w:rsid w:val="009441D2"/>
    <w:rsid w:val="00944D7B"/>
    <w:rsid w:val="00947D1D"/>
    <w:rsid w:val="00950BB3"/>
    <w:rsid w:val="0095146F"/>
    <w:rsid w:val="00951AB4"/>
    <w:rsid w:val="00954814"/>
    <w:rsid w:val="00957944"/>
    <w:rsid w:val="009602C5"/>
    <w:rsid w:val="00962223"/>
    <w:rsid w:val="00964207"/>
    <w:rsid w:val="00966A01"/>
    <w:rsid w:val="00966D0D"/>
    <w:rsid w:val="0096783C"/>
    <w:rsid w:val="009701CE"/>
    <w:rsid w:val="009722B3"/>
    <w:rsid w:val="00974C21"/>
    <w:rsid w:val="00975575"/>
    <w:rsid w:val="00975948"/>
    <w:rsid w:val="00977BF3"/>
    <w:rsid w:val="009803E4"/>
    <w:rsid w:val="00980B0E"/>
    <w:rsid w:val="00980D62"/>
    <w:rsid w:val="00980EE9"/>
    <w:rsid w:val="00982D34"/>
    <w:rsid w:val="0098330F"/>
    <w:rsid w:val="009836A3"/>
    <w:rsid w:val="009855A8"/>
    <w:rsid w:val="009913F4"/>
    <w:rsid w:val="0099465B"/>
    <w:rsid w:val="00995D80"/>
    <w:rsid w:val="00996E32"/>
    <w:rsid w:val="009A0CDD"/>
    <w:rsid w:val="009A2F4E"/>
    <w:rsid w:val="009A3168"/>
    <w:rsid w:val="009A61CA"/>
    <w:rsid w:val="009B0C64"/>
    <w:rsid w:val="009B0F67"/>
    <w:rsid w:val="009B505E"/>
    <w:rsid w:val="009B50CA"/>
    <w:rsid w:val="009C05BA"/>
    <w:rsid w:val="009C703C"/>
    <w:rsid w:val="009D0BF4"/>
    <w:rsid w:val="009D206E"/>
    <w:rsid w:val="009D3CAA"/>
    <w:rsid w:val="009D6532"/>
    <w:rsid w:val="009E0B03"/>
    <w:rsid w:val="009E2E8E"/>
    <w:rsid w:val="009E40E1"/>
    <w:rsid w:val="009F0EFA"/>
    <w:rsid w:val="009F1465"/>
    <w:rsid w:val="009F4E46"/>
    <w:rsid w:val="009F5B65"/>
    <w:rsid w:val="009F5F2E"/>
    <w:rsid w:val="009F7A4E"/>
    <w:rsid w:val="00A00036"/>
    <w:rsid w:val="00A0010D"/>
    <w:rsid w:val="00A01432"/>
    <w:rsid w:val="00A020BD"/>
    <w:rsid w:val="00A0309C"/>
    <w:rsid w:val="00A04230"/>
    <w:rsid w:val="00A06225"/>
    <w:rsid w:val="00A128E6"/>
    <w:rsid w:val="00A13AFA"/>
    <w:rsid w:val="00A144D3"/>
    <w:rsid w:val="00A15EFE"/>
    <w:rsid w:val="00A16FE1"/>
    <w:rsid w:val="00A179DF"/>
    <w:rsid w:val="00A22AC3"/>
    <w:rsid w:val="00A23F3F"/>
    <w:rsid w:val="00A24067"/>
    <w:rsid w:val="00A2744D"/>
    <w:rsid w:val="00A34E6C"/>
    <w:rsid w:val="00A36398"/>
    <w:rsid w:val="00A37C8D"/>
    <w:rsid w:val="00A4020E"/>
    <w:rsid w:val="00A40FB5"/>
    <w:rsid w:val="00A42265"/>
    <w:rsid w:val="00A42826"/>
    <w:rsid w:val="00A429B3"/>
    <w:rsid w:val="00A44326"/>
    <w:rsid w:val="00A44902"/>
    <w:rsid w:val="00A510E4"/>
    <w:rsid w:val="00A5273B"/>
    <w:rsid w:val="00A53A9D"/>
    <w:rsid w:val="00A54D1E"/>
    <w:rsid w:val="00A55FEE"/>
    <w:rsid w:val="00A57422"/>
    <w:rsid w:val="00A6026A"/>
    <w:rsid w:val="00A62C1A"/>
    <w:rsid w:val="00A6426D"/>
    <w:rsid w:val="00A665C1"/>
    <w:rsid w:val="00A673A4"/>
    <w:rsid w:val="00A70622"/>
    <w:rsid w:val="00A70977"/>
    <w:rsid w:val="00A70D58"/>
    <w:rsid w:val="00A74301"/>
    <w:rsid w:val="00A744F9"/>
    <w:rsid w:val="00A74C90"/>
    <w:rsid w:val="00A77613"/>
    <w:rsid w:val="00A81851"/>
    <w:rsid w:val="00A82A9B"/>
    <w:rsid w:val="00A8390C"/>
    <w:rsid w:val="00A842EB"/>
    <w:rsid w:val="00A85BD0"/>
    <w:rsid w:val="00A86AE0"/>
    <w:rsid w:val="00A928BD"/>
    <w:rsid w:val="00A95C60"/>
    <w:rsid w:val="00A96987"/>
    <w:rsid w:val="00A97DE9"/>
    <w:rsid w:val="00AA12CD"/>
    <w:rsid w:val="00AA4D1C"/>
    <w:rsid w:val="00AA52FD"/>
    <w:rsid w:val="00AA5A45"/>
    <w:rsid w:val="00AB16A8"/>
    <w:rsid w:val="00AB5856"/>
    <w:rsid w:val="00AB67B9"/>
    <w:rsid w:val="00AC09B4"/>
    <w:rsid w:val="00AC193C"/>
    <w:rsid w:val="00AC4D6A"/>
    <w:rsid w:val="00AC4DE5"/>
    <w:rsid w:val="00AC5206"/>
    <w:rsid w:val="00AC5B41"/>
    <w:rsid w:val="00AC6472"/>
    <w:rsid w:val="00AC741A"/>
    <w:rsid w:val="00AD4322"/>
    <w:rsid w:val="00AD7275"/>
    <w:rsid w:val="00AE11A5"/>
    <w:rsid w:val="00AE13E2"/>
    <w:rsid w:val="00AE22D3"/>
    <w:rsid w:val="00AE420A"/>
    <w:rsid w:val="00AE5A49"/>
    <w:rsid w:val="00AF24F4"/>
    <w:rsid w:val="00AF54E4"/>
    <w:rsid w:val="00AF61CF"/>
    <w:rsid w:val="00AF62DF"/>
    <w:rsid w:val="00AF68CC"/>
    <w:rsid w:val="00AF70D7"/>
    <w:rsid w:val="00B0155E"/>
    <w:rsid w:val="00B06478"/>
    <w:rsid w:val="00B068A7"/>
    <w:rsid w:val="00B06BDE"/>
    <w:rsid w:val="00B07CFB"/>
    <w:rsid w:val="00B1059E"/>
    <w:rsid w:val="00B1210A"/>
    <w:rsid w:val="00B15582"/>
    <w:rsid w:val="00B16273"/>
    <w:rsid w:val="00B170A5"/>
    <w:rsid w:val="00B176C8"/>
    <w:rsid w:val="00B17EE5"/>
    <w:rsid w:val="00B205AA"/>
    <w:rsid w:val="00B22E84"/>
    <w:rsid w:val="00B233AD"/>
    <w:rsid w:val="00B23A89"/>
    <w:rsid w:val="00B23E25"/>
    <w:rsid w:val="00B25F75"/>
    <w:rsid w:val="00B26B3F"/>
    <w:rsid w:val="00B2778F"/>
    <w:rsid w:val="00B33635"/>
    <w:rsid w:val="00B37B7D"/>
    <w:rsid w:val="00B37B7F"/>
    <w:rsid w:val="00B41B3A"/>
    <w:rsid w:val="00B42AF4"/>
    <w:rsid w:val="00B43E90"/>
    <w:rsid w:val="00B45D9A"/>
    <w:rsid w:val="00B4618E"/>
    <w:rsid w:val="00B467DC"/>
    <w:rsid w:val="00B52ED2"/>
    <w:rsid w:val="00B56118"/>
    <w:rsid w:val="00B622D8"/>
    <w:rsid w:val="00B66CC9"/>
    <w:rsid w:val="00B6773F"/>
    <w:rsid w:val="00B7028D"/>
    <w:rsid w:val="00B70EB3"/>
    <w:rsid w:val="00B71039"/>
    <w:rsid w:val="00B73A0B"/>
    <w:rsid w:val="00B7525E"/>
    <w:rsid w:val="00B760FB"/>
    <w:rsid w:val="00B764E0"/>
    <w:rsid w:val="00B767AB"/>
    <w:rsid w:val="00B77D56"/>
    <w:rsid w:val="00B801BA"/>
    <w:rsid w:val="00B804B5"/>
    <w:rsid w:val="00B84D5C"/>
    <w:rsid w:val="00B8527C"/>
    <w:rsid w:val="00B85BF6"/>
    <w:rsid w:val="00B875B9"/>
    <w:rsid w:val="00B9437F"/>
    <w:rsid w:val="00B94DDF"/>
    <w:rsid w:val="00B9503F"/>
    <w:rsid w:val="00B95AC4"/>
    <w:rsid w:val="00BA2DA8"/>
    <w:rsid w:val="00BA347C"/>
    <w:rsid w:val="00BA3E5C"/>
    <w:rsid w:val="00BA6D76"/>
    <w:rsid w:val="00BA6DAD"/>
    <w:rsid w:val="00BA6F28"/>
    <w:rsid w:val="00BB0AAC"/>
    <w:rsid w:val="00BB5C49"/>
    <w:rsid w:val="00BB69F5"/>
    <w:rsid w:val="00BB7EC3"/>
    <w:rsid w:val="00BC4B9A"/>
    <w:rsid w:val="00BC519C"/>
    <w:rsid w:val="00BC566B"/>
    <w:rsid w:val="00BC75A2"/>
    <w:rsid w:val="00BD02C3"/>
    <w:rsid w:val="00BD490A"/>
    <w:rsid w:val="00BD7483"/>
    <w:rsid w:val="00BD784C"/>
    <w:rsid w:val="00BE020A"/>
    <w:rsid w:val="00BE0E2E"/>
    <w:rsid w:val="00BE13DF"/>
    <w:rsid w:val="00BE7C29"/>
    <w:rsid w:val="00BF092C"/>
    <w:rsid w:val="00BF24E7"/>
    <w:rsid w:val="00BF27A0"/>
    <w:rsid w:val="00BF4CB6"/>
    <w:rsid w:val="00C00DA7"/>
    <w:rsid w:val="00C04CDE"/>
    <w:rsid w:val="00C04F18"/>
    <w:rsid w:val="00C05062"/>
    <w:rsid w:val="00C103F3"/>
    <w:rsid w:val="00C12768"/>
    <w:rsid w:val="00C12D70"/>
    <w:rsid w:val="00C15671"/>
    <w:rsid w:val="00C21B09"/>
    <w:rsid w:val="00C23786"/>
    <w:rsid w:val="00C24211"/>
    <w:rsid w:val="00C2673A"/>
    <w:rsid w:val="00C27B58"/>
    <w:rsid w:val="00C32D4F"/>
    <w:rsid w:val="00C32F96"/>
    <w:rsid w:val="00C34D22"/>
    <w:rsid w:val="00C35996"/>
    <w:rsid w:val="00C42950"/>
    <w:rsid w:val="00C42D75"/>
    <w:rsid w:val="00C43D37"/>
    <w:rsid w:val="00C46374"/>
    <w:rsid w:val="00C4747E"/>
    <w:rsid w:val="00C5151E"/>
    <w:rsid w:val="00C5152A"/>
    <w:rsid w:val="00C5342C"/>
    <w:rsid w:val="00C5349A"/>
    <w:rsid w:val="00C53B2B"/>
    <w:rsid w:val="00C56002"/>
    <w:rsid w:val="00C56358"/>
    <w:rsid w:val="00C57E52"/>
    <w:rsid w:val="00C60272"/>
    <w:rsid w:val="00C603D4"/>
    <w:rsid w:val="00C6256A"/>
    <w:rsid w:val="00C653AB"/>
    <w:rsid w:val="00C661FD"/>
    <w:rsid w:val="00C6729A"/>
    <w:rsid w:val="00C710E2"/>
    <w:rsid w:val="00C71C3F"/>
    <w:rsid w:val="00C7409E"/>
    <w:rsid w:val="00C74D6D"/>
    <w:rsid w:val="00C76E76"/>
    <w:rsid w:val="00C77891"/>
    <w:rsid w:val="00C8128C"/>
    <w:rsid w:val="00C8447C"/>
    <w:rsid w:val="00C8598A"/>
    <w:rsid w:val="00C91449"/>
    <w:rsid w:val="00C92D10"/>
    <w:rsid w:val="00CA0BBA"/>
    <w:rsid w:val="00CA48D9"/>
    <w:rsid w:val="00CA606A"/>
    <w:rsid w:val="00CB1193"/>
    <w:rsid w:val="00CB3104"/>
    <w:rsid w:val="00CB3772"/>
    <w:rsid w:val="00CB4767"/>
    <w:rsid w:val="00CB493D"/>
    <w:rsid w:val="00CC31D1"/>
    <w:rsid w:val="00CC3B97"/>
    <w:rsid w:val="00CC43AD"/>
    <w:rsid w:val="00CD11B1"/>
    <w:rsid w:val="00CD2B70"/>
    <w:rsid w:val="00CD447B"/>
    <w:rsid w:val="00CD7362"/>
    <w:rsid w:val="00CE10C4"/>
    <w:rsid w:val="00CE1EE5"/>
    <w:rsid w:val="00CE27B5"/>
    <w:rsid w:val="00CE58B7"/>
    <w:rsid w:val="00CE6DAF"/>
    <w:rsid w:val="00CE7095"/>
    <w:rsid w:val="00CF1005"/>
    <w:rsid w:val="00CF22BC"/>
    <w:rsid w:val="00CF410A"/>
    <w:rsid w:val="00CF4EE0"/>
    <w:rsid w:val="00CF79C8"/>
    <w:rsid w:val="00CF7AE3"/>
    <w:rsid w:val="00D0321E"/>
    <w:rsid w:val="00D063C8"/>
    <w:rsid w:val="00D07A8A"/>
    <w:rsid w:val="00D12CF1"/>
    <w:rsid w:val="00D1455A"/>
    <w:rsid w:val="00D1609A"/>
    <w:rsid w:val="00D17B43"/>
    <w:rsid w:val="00D22093"/>
    <w:rsid w:val="00D23791"/>
    <w:rsid w:val="00D23E3D"/>
    <w:rsid w:val="00D31150"/>
    <w:rsid w:val="00D3138B"/>
    <w:rsid w:val="00D3280C"/>
    <w:rsid w:val="00D3406A"/>
    <w:rsid w:val="00D40B11"/>
    <w:rsid w:val="00D40DD1"/>
    <w:rsid w:val="00D441F1"/>
    <w:rsid w:val="00D4572C"/>
    <w:rsid w:val="00D469B2"/>
    <w:rsid w:val="00D47929"/>
    <w:rsid w:val="00D47A25"/>
    <w:rsid w:val="00D5075C"/>
    <w:rsid w:val="00D513D2"/>
    <w:rsid w:val="00D5190A"/>
    <w:rsid w:val="00D53F3F"/>
    <w:rsid w:val="00D54B09"/>
    <w:rsid w:val="00D552EC"/>
    <w:rsid w:val="00D60D91"/>
    <w:rsid w:val="00D615FA"/>
    <w:rsid w:val="00D61B99"/>
    <w:rsid w:val="00D65658"/>
    <w:rsid w:val="00D70952"/>
    <w:rsid w:val="00D72B6F"/>
    <w:rsid w:val="00D741EB"/>
    <w:rsid w:val="00D74AC0"/>
    <w:rsid w:val="00D7679C"/>
    <w:rsid w:val="00D769A6"/>
    <w:rsid w:val="00D76E51"/>
    <w:rsid w:val="00D820F3"/>
    <w:rsid w:val="00D83605"/>
    <w:rsid w:val="00D848C7"/>
    <w:rsid w:val="00D84905"/>
    <w:rsid w:val="00D84934"/>
    <w:rsid w:val="00D91271"/>
    <w:rsid w:val="00D919F5"/>
    <w:rsid w:val="00D93206"/>
    <w:rsid w:val="00D93B01"/>
    <w:rsid w:val="00D93CDE"/>
    <w:rsid w:val="00D94098"/>
    <w:rsid w:val="00D94F03"/>
    <w:rsid w:val="00DA0A82"/>
    <w:rsid w:val="00DA0D14"/>
    <w:rsid w:val="00DA1E12"/>
    <w:rsid w:val="00DA1FC9"/>
    <w:rsid w:val="00DA2CB5"/>
    <w:rsid w:val="00DA4BAC"/>
    <w:rsid w:val="00DA7D5C"/>
    <w:rsid w:val="00DB0151"/>
    <w:rsid w:val="00DB3CBE"/>
    <w:rsid w:val="00DB46E3"/>
    <w:rsid w:val="00DB609F"/>
    <w:rsid w:val="00DC0EA8"/>
    <w:rsid w:val="00DC2C3E"/>
    <w:rsid w:val="00DC39FD"/>
    <w:rsid w:val="00DC4880"/>
    <w:rsid w:val="00DD0552"/>
    <w:rsid w:val="00DD6D10"/>
    <w:rsid w:val="00DE1CE9"/>
    <w:rsid w:val="00DE27EE"/>
    <w:rsid w:val="00DE6D27"/>
    <w:rsid w:val="00DE7927"/>
    <w:rsid w:val="00DF01F8"/>
    <w:rsid w:val="00DF035F"/>
    <w:rsid w:val="00DF217D"/>
    <w:rsid w:val="00DF26A7"/>
    <w:rsid w:val="00DF3277"/>
    <w:rsid w:val="00DF5187"/>
    <w:rsid w:val="00DF6E0D"/>
    <w:rsid w:val="00DF7919"/>
    <w:rsid w:val="00E0207E"/>
    <w:rsid w:val="00E03912"/>
    <w:rsid w:val="00E048E5"/>
    <w:rsid w:val="00E078D9"/>
    <w:rsid w:val="00E10293"/>
    <w:rsid w:val="00E117B5"/>
    <w:rsid w:val="00E13715"/>
    <w:rsid w:val="00E142AF"/>
    <w:rsid w:val="00E1470F"/>
    <w:rsid w:val="00E15627"/>
    <w:rsid w:val="00E164B3"/>
    <w:rsid w:val="00E16910"/>
    <w:rsid w:val="00E17974"/>
    <w:rsid w:val="00E24D37"/>
    <w:rsid w:val="00E24E09"/>
    <w:rsid w:val="00E26FDC"/>
    <w:rsid w:val="00E27234"/>
    <w:rsid w:val="00E30DB7"/>
    <w:rsid w:val="00E31EE2"/>
    <w:rsid w:val="00E3495C"/>
    <w:rsid w:val="00E368DA"/>
    <w:rsid w:val="00E36A5B"/>
    <w:rsid w:val="00E375C0"/>
    <w:rsid w:val="00E37828"/>
    <w:rsid w:val="00E402BD"/>
    <w:rsid w:val="00E4162C"/>
    <w:rsid w:val="00E41735"/>
    <w:rsid w:val="00E42BDB"/>
    <w:rsid w:val="00E4635E"/>
    <w:rsid w:val="00E50476"/>
    <w:rsid w:val="00E51CB1"/>
    <w:rsid w:val="00E52E59"/>
    <w:rsid w:val="00E57EEB"/>
    <w:rsid w:val="00E61190"/>
    <w:rsid w:val="00E62D94"/>
    <w:rsid w:val="00E64BAF"/>
    <w:rsid w:val="00E64F37"/>
    <w:rsid w:val="00E65E54"/>
    <w:rsid w:val="00E661C7"/>
    <w:rsid w:val="00E67A1A"/>
    <w:rsid w:val="00E73B17"/>
    <w:rsid w:val="00E80155"/>
    <w:rsid w:val="00E81091"/>
    <w:rsid w:val="00E8134B"/>
    <w:rsid w:val="00E81E0D"/>
    <w:rsid w:val="00E81F28"/>
    <w:rsid w:val="00E848C0"/>
    <w:rsid w:val="00E91B96"/>
    <w:rsid w:val="00E9220F"/>
    <w:rsid w:val="00E92495"/>
    <w:rsid w:val="00E93D1E"/>
    <w:rsid w:val="00E941A1"/>
    <w:rsid w:val="00E95CE3"/>
    <w:rsid w:val="00E96F6C"/>
    <w:rsid w:val="00E97F96"/>
    <w:rsid w:val="00EA252F"/>
    <w:rsid w:val="00EA2825"/>
    <w:rsid w:val="00EA2C89"/>
    <w:rsid w:val="00EA633B"/>
    <w:rsid w:val="00EA6518"/>
    <w:rsid w:val="00EA7466"/>
    <w:rsid w:val="00EA7EDE"/>
    <w:rsid w:val="00EB0B63"/>
    <w:rsid w:val="00EB1936"/>
    <w:rsid w:val="00EB37BE"/>
    <w:rsid w:val="00EB3C3E"/>
    <w:rsid w:val="00EB5088"/>
    <w:rsid w:val="00EB7C12"/>
    <w:rsid w:val="00EC113F"/>
    <w:rsid w:val="00EC4D0C"/>
    <w:rsid w:val="00ED1644"/>
    <w:rsid w:val="00ED2593"/>
    <w:rsid w:val="00ED7D55"/>
    <w:rsid w:val="00ED7D9C"/>
    <w:rsid w:val="00EE27ED"/>
    <w:rsid w:val="00EE31A2"/>
    <w:rsid w:val="00EE7A95"/>
    <w:rsid w:val="00EF0069"/>
    <w:rsid w:val="00EF3792"/>
    <w:rsid w:val="00EF44A0"/>
    <w:rsid w:val="00EF4CF9"/>
    <w:rsid w:val="00EF4FED"/>
    <w:rsid w:val="00EF6FB3"/>
    <w:rsid w:val="00F007C6"/>
    <w:rsid w:val="00F0172E"/>
    <w:rsid w:val="00F035E5"/>
    <w:rsid w:val="00F050BD"/>
    <w:rsid w:val="00F05657"/>
    <w:rsid w:val="00F06FC4"/>
    <w:rsid w:val="00F10EB1"/>
    <w:rsid w:val="00F11876"/>
    <w:rsid w:val="00F121C0"/>
    <w:rsid w:val="00F16AE5"/>
    <w:rsid w:val="00F17ED6"/>
    <w:rsid w:val="00F209E2"/>
    <w:rsid w:val="00F22040"/>
    <w:rsid w:val="00F230F2"/>
    <w:rsid w:val="00F25578"/>
    <w:rsid w:val="00F258E5"/>
    <w:rsid w:val="00F25B9C"/>
    <w:rsid w:val="00F26556"/>
    <w:rsid w:val="00F26CC6"/>
    <w:rsid w:val="00F27F0B"/>
    <w:rsid w:val="00F300BC"/>
    <w:rsid w:val="00F30D4B"/>
    <w:rsid w:val="00F31531"/>
    <w:rsid w:val="00F3263C"/>
    <w:rsid w:val="00F3334E"/>
    <w:rsid w:val="00F34FF5"/>
    <w:rsid w:val="00F36C23"/>
    <w:rsid w:val="00F36CCB"/>
    <w:rsid w:val="00F374E5"/>
    <w:rsid w:val="00F37B93"/>
    <w:rsid w:val="00F37BAD"/>
    <w:rsid w:val="00F37ECA"/>
    <w:rsid w:val="00F42717"/>
    <w:rsid w:val="00F43AF2"/>
    <w:rsid w:val="00F5007E"/>
    <w:rsid w:val="00F50EC4"/>
    <w:rsid w:val="00F52232"/>
    <w:rsid w:val="00F5338D"/>
    <w:rsid w:val="00F54EE2"/>
    <w:rsid w:val="00F550CF"/>
    <w:rsid w:val="00F5548F"/>
    <w:rsid w:val="00F57A6D"/>
    <w:rsid w:val="00F60821"/>
    <w:rsid w:val="00F61056"/>
    <w:rsid w:val="00F61B45"/>
    <w:rsid w:val="00F638CC"/>
    <w:rsid w:val="00F64C9E"/>
    <w:rsid w:val="00F64CC1"/>
    <w:rsid w:val="00F65F36"/>
    <w:rsid w:val="00F72317"/>
    <w:rsid w:val="00F741B9"/>
    <w:rsid w:val="00F80475"/>
    <w:rsid w:val="00F8247A"/>
    <w:rsid w:val="00F82E5C"/>
    <w:rsid w:val="00F82F56"/>
    <w:rsid w:val="00F86A55"/>
    <w:rsid w:val="00F9629A"/>
    <w:rsid w:val="00F97EFC"/>
    <w:rsid w:val="00FA0ECF"/>
    <w:rsid w:val="00FA1BDD"/>
    <w:rsid w:val="00FA305C"/>
    <w:rsid w:val="00FA4DD5"/>
    <w:rsid w:val="00FA5883"/>
    <w:rsid w:val="00FA6055"/>
    <w:rsid w:val="00FA6530"/>
    <w:rsid w:val="00FA7E39"/>
    <w:rsid w:val="00FB0B39"/>
    <w:rsid w:val="00FB322F"/>
    <w:rsid w:val="00FB442F"/>
    <w:rsid w:val="00FB75F7"/>
    <w:rsid w:val="00FC118C"/>
    <w:rsid w:val="00FC1929"/>
    <w:rsid w:val="00FC3AEE"/>
    <w:rsid w:val="00FC5B46"/>
    <w:rsid w:val="00FC6AC9"/>
    <w:rsid w:val="00FC6E6F"/>
    <w:rsid w:val="00FD07C3"/>
    <w:rsid w:val="00FD6D8E"/>
    <w:rsid w:val="00FE0663"/>
    <w:rsid w:val="00FE0860"/>
    <w:rsid w:val="00FE0E94"/>
    <w:rsid w:val="00FE27FB"/>
    <w:rsid w:val="00FE3CD9"/>
    <w:rsid w:val="00FE45A6"/>
    <w:rsid w:val="00FE7048"/>
    <w:rsid w:val="00FF00BD"/>
    <w:rsid w:val="00FF08CD"/>
    <w:rsid w:val="00FF1ED4"/>
    <w:rsid w:val="00FF2801"/>
    <w:rsid w:val="00FF6E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73A25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1" w:qFormat="1"/>
    <w:lsdException w:name="heading 3" w:semiHidden="1" w:uiPriority="9" w:unhideWhenUsed="1" w:qFormat="1"/>
    <w:lsdException w:name="heading 4" w:semiHidden="1" w:unhideWhenUsed="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31" w:qFormat="1"/>
    <w:lsdException w:name="Intense Reference" w:uiPriority="68"/>
    <w:lsdException w:name="Book Title" w:uiPriority="69"/>
    <w:lsdException w:name="Bibliography" w:semiHidden="1" w:uiPriority="70"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6DAD"/>
    <w:pPr>
      <w:jc w:val="both"/>
    </w:pPr>
    <w:rPr>
      <w:rFonts w:ascii="Calibri" w:hAnsi="Calibri"/>
      <w:sz w:val="24"/>
      <w:szCs w:val="24"/>
    </w:rPr>
  </w:style>
  <w:style w:type="paragraph" w:styleId="Heading1">
    <w:name w:val="heading 1"/>
    <w:basedOn w:val="ListParagraph"/>
    <w:next w:val="Normal"/>
    <w:link w:val="Heading1Char"/>
    <w:uiPriority w:val="1"/>
    <w:qFormat/>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uiPriority w:val="9"/>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rsid w:val="00D1609A"/>
    <w:pPr>
      <w:keepNext/>
      <w:spacing w:before="240" w:after="60"/>
      <w:outlineLvl w:val="3"/>
    </w:pPr>
    <w:rPr>
      <w:rFonts w:cs="Arial"/>
      <w:b/>
      <w:bCs/>
      <w:i/>
      <w:sz w:val="26"/>
      <w:szCs w:val="28"/>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paragraph" w:styleId="Heading7">
    <w:name w:val="heading 7"/>
    <w:basedOn w:val="Normal"/>
    <w:next w:val="Normal"/>
    <w:link w:val="Heading7Char"/>
    <w:rsid w:val="00D1609A"/>
    <w:pPr>
      <w:keepNext/>
      <w:jc w:val="center"/>
      <w:outlineLvl w:val="6"/>
    </w:pPr>
    <w:rPr>
      <w:rFonts w:cs="Arial"/>
      <w:b/>
      <w:sz w:val="20"/>
    </w:rPr>
  </w:style>
  <w:style w:type="paragraph" w:styleId="Heading8">
    <w:name w:val="heading 8"/>
    <w:basedOn w:val="Normal"/>
    <w:next w:val="Normal"/>
    <w:link w:val="Heading8Char"/>
    <w:uiPriority w:val="7"/>
    <w:rsid w:val="00D1609A"/>
    <w:pPr>
      <w:keepNext/>
      <w:jc w:val="right"/>
      <w:outlineLvl w:val="7"/>
    </w:pPr>
    <w:rPr>
      <w:rFonts w:cs="Arial"/>
      <w:b/>
    </w:rPr>
  </w:style>
  <w:style w:type="paragraph" w:styleId="Heading9">
    <w:name w:val="heading 9"/>
    <w:basedOn w:val="Normal"/>
    <w:next w:val="Normal"/>
    <w:link w:val="Heading9Char"/>
    <w:rsid w:val="00D1609A"/>
    <w:pPr>
      <w:keepNext/>
      <w:jc w:val="center"/>
      <w:outlineLvl w:val="8"/>
    </w:pPr>
    <w:rPr>
      <w:rFonts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Points,Numbered para,Body Text Bullet Points,List Paragraph1,Bullet point,List Paragraph11,Recommendation,Section heading,Footnote,ES Paragraph,PBAC ES Paragraph,PBAC normal points,Bullet List,Figure_name,Numbered Indented Text,lp1"/>
    <w:next w:val="ListBullet"/>
    <w:link w:val="ListParagraphChar"/>
    <w:uiPriority w:val="34"/>
    <w:qFormat/>
    <w:rsid w:val="00446938"/>
    <w:pPr>
      <w:spacing w:after="120"/>
      <w:ind w:left="1134" w:hanging="357"/>
    </w:pPr>
    <w:rPr>
      <w:rFonts w:asciiTheme="minorHAnsi" w:hAnsiTheme="minorHAnsi" w:cs="Arial"/>
      <w:snapToGrid w:val="0"/>
      <w:sz w:val="24"/>
      <w:szCs w:val="24"/>
    </w:rPr>
  </w:style>
  <w:style w:type="paragraph" w:styleId="ListBullet">
    <w:name w:val="List Bullet"/>
    <w:basedOn w:val="Normal"/>
    <w:unhideWhenUsed/>
    <w:rsid w:val="006F40C2"/>
    <w:pPr>
      <w:numPr>
        <w:numId w:val="5"/>
      </w:numPr>
      <w:contextualSpacing/>
    </w:p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ES Paragraph Char,PBAC ES Paragraph Char,lp1 Char"/>
    <w:basedOn w:val="DefaultParagraphFont"/>
    <w:link w:val="ListParagraph"/>
    <w:uiPriority w:val="34"/>
    <w:qFormat/>
    <w:rsid w:val="00446938"/>
    <w:rPr>
      <w:rFonts w:asciiTheme="minorHAnsi" w:hAnsiTheme="minorHAnsi" w:cs="Arial"/>
      <w:snapToGrid w:val="0"/>
      <w:sz w:val="24"/>
      <w:szCs w:val="24"/>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character" w:customStyle="1" w:styleId="Heading3Char">
    <w:name w:val="Heading 3 Char"/>
    <w:basedOn w:val="DefaultParagraphFont"/>
    <w:link w:val="Heading3"/>
    <w:uiPriority w:val="9"/>
    <w:rsid w:val="00856DDD"/>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rsid w:val="00D1609A"/>
    <w:rPr>
      <w:rFonts w:ascii="Calibri" w:hAnsi="Calibri" w:cs="Arial"/>
      <w:b/>
      <w:bCs/>
      <w:i/>
      <w:sz w:val="26"/>
      <w:szCs w:val="28"/>
    </w:rPr>
  </w:style>
  <w:style w:type="character" w:customStyle="1" w:styleId="Heading7Char">
    <w:name w:val="Heading 7 Char"/>
    <w:basedOn w:val="DefaultParagraphFont"/>
    <w:link w:val="Heading7"/>
    <w:rsid w:val="00D1609A"/>
    <w:rPr>
      <w:rFonts w:ascii="Calibri" w:hAnsi="Calibri" w:cs="Arial"/>
      <w:b/>
      <w:szCs w:val="24"/>
    </w:rPr>
  </w:style>
  <w:style w:type="character" w:customStyle="1" w:styleId="Heading8Char">
    <w:name w:val="Heading 8 Char"/>
    <w:basedOn w:val="DefaultParagraphFont"/>
    <w:link w:val="Heading8"/>
    <w:uiPriority w:val="7"/>
    <w:rsid w:val="00D1609A"/>
    <w:rPr>
      <w:rFonts w:ascii="Calibri" w:hAnsi="Calibri" w:cs="Arial"/>
      <w:b/>
      <w:sz w:val="24"/>
      <w:szCs w:val="24"/>
    </w:rPr>
  </w:style>
  <w:style w:type="character" w:customStyle="1" w:styleId="Heading9Char">
    <w:name w:val="Heading 9 Char"/>
    <w:basedOn w:val="DefaultParagraphFont"/>
    <w:link w:val="Heading9"/>
    <w:rsid w:val="00D1609A"/>
    <w:rPr>
      <w:rFonts w:ascii="Calibri" w:hAnsi="Calibri" w:cs="Arial"/>
      <w:b/>
      <w:color w:val="000000"/>
      <w:szCs w:val="24"/>
    </w:rPr>
  </w:style>
  <w:style w:type="paragraph" w:styleId="Header">
    <w:name w:val="header"/>
    <w:aliases w:val="Page Header,Header title,he=header,cntr/bld"/>
    <w:basedOn w:val="Normal"/>
    <w:link w:val="HeaderChar"/>
    <w:uiPriority w:val="99"/>
    <w:qFormat/>
    <w:rsid w:val="00446938"/>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uiPriority w:val="99"/>
    <w:rsid w:val="00446938"/>
    <w:rPr>
      <w:rFonts w:ascii="Calibri" w:hAnsi="Calibri"/>
      <w:sz w:val="24"/>
      <w:szCs w:val="24"/>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sid w:val="00B205AA"/>
    <w:rPr>
      <w:sz w:val="24"/>
      <w:szCs w:val="24"/>
    </w:rPr>
  </w:style>
  <w:style w:type="character" w:styleId="PageNumber">
    <w:name w:val="page number"/>
    <w:basedOn w:val="DefaultParagraphFont"/>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sid w:val="00D1609A"/>
    <w:rPr>
      <w:rFonts w:ascii="Tahoma" w:hAnsi="Tahoma" w:cs="Tahoma"/>
      <w:sz w:val="16"/>
      <w:szCs w:val="16"/>
    </w:rPr>
  </w:style>
  <w:style w:type="table" w:styleId="TableGrid">
    <w:name w:val="Table Grid"/>
    <w:aliases w:val="Summary box,Table Gridbeth,CMA Table Template,ASD Table"/>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qFormat/>
    <w:pPr>
      <w:spacing w:after="120"/>
    </w:pPr>
    <w:rPr>
      <w:rFonts w:ascii="Arial" w:hAnsi="Arial"/>
      <w:sz w:val="20"/>
      <w:szCs w:val="20"/>
      <w:lang w:eastAsia="en-US"/>
    </w:rPr>
  </w:style>
  <w:style w:type="character" w:customStyle="1" w:styleId="TabletextChar">
    <w:name w:val="Table text Char"/>
    <w:link w:val="Tabletext"/>
    <w:rsid w:val="00C7409E"/>
    <w:rPr>
      <w:rFonts w:ascii="Arial" w:hAnsi="Arial"/>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TableHeading">
    <w:name w:val="TableHeading"/>
    <w:basedOn w:val="Normal"/>
    <w:qFormat/>
    <w:pPr>
      <w:keepNext/>
      <w:spacing w:before="40" w:after="40"/>
    </w:pPr>
    <w:rPr>
      <w:rFonts w:ascii="Arial Narrow" w:hAnsi="Arial Narrow" w:cs="Arial Narrow"/>
      <w:b/>
      <w:bCs/>
      <w:sz w:val="20"/>
      <w:szCs w:val="20"/>
      <w:lang w:eastAsia="en-US"/>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rPr>
      <w:lang w:val="en-AU" w:eastAsia="en-US" w:bidi="ar-SA"/>
    </w:rPr>
  </w:style>
  <w:style w:type="paragraph" w:styleId="Subtitle">
    <w:name w:val="Subtitle"/>
    <w:basedOn w:val="Normal"/>
    <w:link w:val="SubtitleChar"/>
    <w:qFormat/>
    <w:rPr>
      <w:sz w:val="20"/>
      <w:szCs w:val="20"/>
      <w:lang w:eastAsia="en-US"/>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uiPriority w:val="99"/>
    <w:rsid w:val="00BB7EC3"/>
    <w:rPr>
      <w:sz w:val="20"/>
      <w:szCs w:val="20"/>
    </w:rPr>
  </w:style>
  <w:style w:type="character" w:customStyle="1" w:styleId="CommentTextChar">
    <w:name w:val="Comment Text Char"/>
    <w:basedOn w:val="DefaultParagraphFont"/>
    <w:link w:val="CommentText"/>
    <w:uiPriority w:val="99"/>
    <w:rsid w:val="00BB7EC3"/>
  </w:style>
  <w:style w:type="paragraph" w:styleId="CommentSubject">
    <w:name w:val="annotation subject"/>
    <w:basedOn w:val="CommentText"/>
    <w:next w:val="CommentText"/>
    <w:link w:val="CommentSubjectChar"/>
    <w:uiPriority w:val="99"/>
    <w:rsid w:val="00BB7EC3"/>
    <w:rPr>
      <w:b/>
      <w:bCs/>
    </w:rPr>
  </w:style>
  <w:style w:type="character" w:customStyle="1" w:styleId="CommentSubjectChar">
    <w:name w:val="Comment Subject Char"/>
    <w:basedOn w:val="CommentTextChar"/>
    <w:link w:val="CommentSubject"/>
    <w:uiPriority w:val="99"/>
    <w:rsid w:val="00BB7EC3"/>
    <w:rPr>
      <w:b/>
      <w:bCs/>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rPr>
      <w:rFonts w:ascii="Arial" w:hAnsi="Arial"/>
      <w:sz w:val="22"/>
      <w:szCs w:val="22"/>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paragraph" w:customStyle="1" w:styleId="2Sections">
    <w:name w:val="2. Sections"/>
    <w:qFormat/>
    <w:rsid w:val="0033263D"/>
    <w:pPr>
      <w:spacing w:before="240" w:after="120"/>
      <w:outlineLvl w:val="0"/>
    </w:pPr>
    <w:rPr>
      <w:rFonts w:asciiTheme="minorHAnsi" w:hAnsiTheme="minorHAnsi" w:cs="Arial"/>
      <w:b/>
      <w:snapToGrid w:val="0"/>
      <w:sz w:val="32"/>
      <w:szCs w:val="32"/>
      <w:lang w:eastAsia="en-US"/>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D60D91"/>
    <w:pPr>
      <w:numPr>
        <w:ilvl w:val="1"/>
        <w:numId w:val="1"/>
      </w:numPr>
      <w:jc w:val="both"/>
    </w:pPr>
    <w:rPr>
      <w:rFonts w:eastAsiaTheme="minorHAnsi" w:cstheme="minorBidi"/>
      <w:snapToGrid/>
      <w:szCs w:val="22"/>
    </w:rPr>
  </w:style>
  <w:style w:type="character" w:customStyle="1" w:styleId="3BodytextChar">
    <w:name w:val="3. Body text Char"/>
    <w:basedOn w:val="ListParagraphChar"/>
    <w:link w:val="3Bodytext"/>
    <w:rsid w:val="00D60D91"/>
    <w:rPr>
      <w:rFonts w:asciiTheme="minorHAnsi" w:eastAsiaTheme="minorHAnsi" w:hAnsiTheme="minorHAnsi" w:cstheme="minorBidi"/>
      <w:snapToGrid/>
      <w:sz w:val="24"/>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qFormat/>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446938"/>
    <w:pPr>
      <w:keepNext/>
    </w:pPr>
    <w:rPr>
      <w:rFonts w:ascii="Arial Narrow" w:eastAsiaTheme="majorEastAsia" w:hAnsi="Arial Narrow" w:cstheme="majorBidi"/>
      <w:bCs/>
      <w:szCs w:val="24"/>
    </w:rPr>
  </w:style>
  <w:style w:type="character" w:customStyle="1" w:styleId="TableTextChar0">
    <w:name w:val="Table Text Char"/>
    <w:basedOn w:val="DefaultParagraphFont"/>
    <w:link w:val="TableText0"/>
    <w:rsid w:val="00446938"/>
    <w:rPr>
      <w:rFonts w:ascii="Arial Narrow" w:eastAsiaTheme="majorEastAsia" w:hAnsi="Arial Narrow" w:cstheme="majorBidi"/>
      <w:bCs/>
      <w:szCs w:val="24"/>
    </w:rPr>
  </w:style>
  <w:style w:type="paragraph" w:customStyle="1" w:styleId="Lists">
    <w:name w:val="Lists"/>
    <w:basedOn w:val="3Bodytext"/>
    <w:link w:val="ListsChar"/>
    <w:rsid w:val="000A44B2"/>
    <w:pPr>
      <w:numPr>
        <w:numId w:val="3"/>
      </w:numPr>
    </w:p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character" w:styleId="FollowedHyperlink">
    <w:name w:val="FollowedHyperlink"/>
    <w:basedOn w:val="DefaultParagraphFont"/>
    <w:uiPriority w:val="99"/>
    <w:semiHidden/>
    <w:unhideWhenUsed/>
    <w:rsid w:val="00FA4DD5"/>
    <w:rPr>
      <w:color w:val="800080" w:themeColor="followedHyperlink"/>
      <w:u w:val="single"/>
    </w:rPr>
  </w:style>
  <w:style w:type="paragraph" w:customStyle="1" w:styleId="Bulletpoints">
    <w:name w:val="Bullet points"/>
    <w:basedOn w:val="ListParagraph"/>
    <w:qFormat/>
    <w:rsid w:val="00FA305C"/>
    <w:pPr>
      <w:ind w:left="720" w:hanging="360"/>
    </w:pPr>
    <w:rPr>
      <w:rFonts w:cstheme="minorHAnsi"/>
      <w:color w:val="000000" w:themeColor="text1"/>
    </w:rPr>
  </w:style>
  <w:style w:type="paragraph" w:customStyle="1" w:styleId="TableFooter">
    <w:name w:val="Table Footer"/>
    <w:basedOn w:val="Normal"/>
    <w:link w:val="TableFooterChar"/>
    <w:qFormat/>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unhideWhenUsed/>
    <w:rsid w:val="00E03912"/>
    <w:pPr>
      <w:spacing w:after="120"/>
    </w:pPr>
  </w:style>
  <w:style w:type="character" w:customStyle="1" w:styleId="BodyTextChar">
    <w:name w:val="Body Text Char"/>
    <w:basedOn w:val="DefaultParagraphFont"/>
    <w:link w:val="BodyText"/>
    <w:rsid w:val="00E03912"/>
    <w:rPr>
      <w:sz w:val="24"/>
      <w:szCs w:val="24"/>
    </w:rPr>
  </w:style>
  <w:style w:type="paragraph" w:styleId="Caption">
    <w:name w:val="caption"/>
    <w:aliases w:val="V5.0 Caption,Caption Char2 Char,Caption Char Char Char2,Caption Char1 Char Char Char1,Caption Char2 Char Char Char1 Char1,Caption Char Char1 Char Char Char1 Char1,Caption Char1 Char Char Char Char Char Char,Caption Char2,Caption Char1,c,Char1"/>
    <w:basedOn w:val="Normal"/>
    <w:next w:val="Normal"/>
    <w:link w:val="CaptionChar"/>
    <w:unhideWhenUsed/>
    <w:qFormat/>
    <w:rsid w:val="00BF092C"/>
    <w:pPr>
      <w:spacing w:after="200"/>
    </w:pPr>
    <w:rPr>
      <w:i/>
      <w:iCs/>
      <w:color w:val="000000" w:themeColor="text1"/>
      <w:sz w:val="18"/>
      <w:szCs w:val="18"/>
    </w:rPr>
  </w:style>
  <w:style w:type="character" w:customStyle="1" w:styleId="CaptionChar">
    <w:name w:val="Caption Char"/>
    <w:aliases w:val="V5.0 Caption Char,Caption Char2 Char Char,Caption Char Char Char2 Char,Caption Char1 Char Char Char1 Char,Caption Char2 Char Char Char1 Char1 Char,Caption Char Char1 Char Char Char1 Char1 Char,Caption Char2 Char1,Caption Char1 Char,c Char"/>
    <w:link w:val="Caption"/>
    <w:rsid w:val="00D1609A"/>
    <w:rPr>
      <w:rFonts w:ascii="Calibri" w:hAnsi="Calibri"/>
      <w:i/>
      <w:iCs/>
      <w:color w:val="000000" w:themeColor="text1"/>
      <w:sz w:val="18"/>
      <w:szCs w:val="18"/>
    </w:rPr>
  </w:style>
  <w:style w:type="paragraph" w:customStyle="1" w:styleId="ProcedureStep">
    <w:name w:val="ProcedureStep"/>
    <w:basedOn w:val="Normal"/>
    <w:rsid w:val="00BF27A0"/>
    <w:pPr>
      <w:numPr>
        <w:numId w:val="4"/>
      </w:numPr>
      <w:spacing w:before="60" w:after="60" w:line="300" w:lineRule="atLeast"/>
      <w:ind w:right="567"/>
    </w:pPr>
    <w:rPr>
      <w:rFonts w:ascii="Tahoma" w:hAnsi="Tahoma"/>
      <w:sz w:val="22"/>
      <w:szCs w:val="20"/>
    </w:rPr>
  </w:style>
  <w:style w:type="paragraph" w:customStyle="1" w:styleId="GeneralHeading">
    <w:name w:val="General Heading"/>
    <w:qFormat/>
    <w:rsid w:val="00446938"/>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446938"/>
    <w:pPr>
      <w:keepNext/>
    </w:pPr>
    <w:rPr>
      <w:rFonts w:ascii="Arial Narrow" w:eastAsiaTheme="majorEastAsia" w:hAnsi="Arial Narrow"/>
      <w:b/>
      <w:szCs w:val="24"/>
      <w:lang w:val="en-US"/>
    </w:rPr>
  </w:style>
  <w:style w:type="paragraph" w:customStyle="1" w:styleId="2-SectionHeading">
    <w:name w:val="2-Section Heading"/>
    <w:qFormat/>
    <w:rsid w:val="00446938"/>
    <w:pPr>
      <w:keepNext/>
      <w:numPr>
        <w:numId w:val="6"/>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446938"/>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46938"/>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46938"/>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46938"/>
    <w:rPr>
      <w:rFonts w:ascii="Arial Narrow" w:eastAsiaTheme="majorEastAsia" w:hAnsi="Arial Narrow" w:cstheme="majorBidi"/>
      <w:b/>
      <w:bCs/>
      <w:szCs w:val="24"/>
    </w:rPr>
  </w:style>
  <w:style w:type="paragraph" w:customStyle="1" w:styleId="3-BodyText">
    <w:name w:val="3-Body Text"/>
    <w:link w:val="3-BodyTextChar"/>
    <w:qFormat/>
    <w:rsid w:val="00446938"/>
    <w:pPr>
      <w:numPr>
        <w:ilvl w:val="1"/>
        <w:numId w:val="2"/>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46938"/>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46938"/>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446938"/>
    <w:rPr>
      <w:rFonts w:ascii="Calibri" w:hAnsi="Calibri" w:cs="Arial"/>
      <w:b/>
      <w:sz w:val="24"/>
      <w:szCs w:val="24"/>
    </w:rPr>
  </w:style>
  <w:style w:type="paragraph" w:customStyle="1" w:styleId="TableFigureFooter">
    <w:name w:val="Table/Figure Footer"/>
    <w:basedOn w:val="Normal"/>
    <w:link w:val="TableFigureFooterChar"/>
    <w:qFormat/>
    <w:rsid w:val="00446938"/>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446938"/>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46938"/>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446938"/>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446938"/>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446938"/>
    <w:rPr>
      <w:rFonts w:asciiTheme="minorHAnsi" w:eastAsiaTheme="majorEastAsia" w:hAnsiTheme="minorHAnsi" w:cstheme="majorBidi"/>
      <w:b/>
      <w:bCs w:val="0"/>
      <w:color w:val="000000" w:themeColor="text1"/>
      <w:sz w:val="24"/>
      <w:szCs w:val="24"/>
    </w:rPr>
  </w:style>
  <w:style w:type="paragraph" w:customStyle="1" w:styleId="BodyText1">
    <w:name w:val="Body Text1"/>
    <w:basedOn w:val="Normal"/>
    <w:link w:val="BodytextChar0"/>
    <w:qFormat/>
    <w:rsid w:val="00C653AB"/>
    <w:pPr>
      <w:keepNext/>
      <w:keepLines/>
      <w:spacing w:before="120" w:after="120" w:line="360" w:lineRule="auto"/>
    </w:pPr>
    <w:rPr>
      <w:rFonts w:asciiTheme="minorHAnsi" w:eastAsiaTheme="minorHAnsi" w:hAnsiTheme="minorHAnsi" w:cstheme="minorBidi"/>
      <w:sz w:val="22"/>
      <w:szCs w:val="22"/>
      <w:lang w:eastAsia="en-US"/>
    </w:rPr>
  </w:style>
  <w:style w:type="character" w:customStyle="1" w:styleId="BodytextChar0">
    <w:name w:val="Body text Char"/>
    <w:basedOn w:val="DefaultParagraphFont"/>
    <w:link w:val="BodyText1"/>
    <w:rsid w:val="00C653AB"/>
    <w:rPr>
      <w:rFonts w:asciiTheme="minorHAnsi" w:eastAsiaTheme="minorHAnsi" w:hAnsiTheme="minorHAnsi" w:cstheme="minorBidi"/>
      <w:sz w:val="22"/>
      <w:szCs w:val="22"/>
      <w:lang w:eastAsia="en-US"/>
    </w:rPr>
  </w:style>
  <w:style w:type="paragraph" w:styleId="FootnoteText">
    <w:name w:val="footnote text"/>
    <w:basedOn w:val="Normal"/>
    <w:link w:val="FootnoteTextChar"/>
    <w:uiPriority w:val="99"/>
    <w:unhideWhenUsed/>
    <w:rsid w:val="00C653AB"/>
    <w:pPr>
      <w:jc w:val="left"/>
    </w:pPr>
    <w:rPr>
      <w:rFonts w:asciiTheme="minorHAnsi" w:eastAsiaTheme="minorHAnsi" w:hAnsiTheme="minorHAnsi" w:cstheme="minorBidi"/>
      <w:sz w:val="18"/>
      <w:szCs w:val="20"/>
      <w:lang w:eastAsia="en-US"/>
    </w:rPr>
  </w:style>
  <w:style w:type="character" w:customStyle="1" w:styleId="FootnoteTextChar">
    <w:name w:val="Footnote Text Char"/>
    <w:basedOn w:val="DefaultParagraphFont"/>
    <w:link w:val="FootnoteText"/>
    <w:uiPriority w:val="99"/>
    <w:rsid w:val="00C653AB"/>
    <w:rPr>
      <w:rFonts w:asciiTheme="minorHAnsi" w:eastAsiaTheme="minorHAnsi" w:hAnsiTheme="minorHAnsi" w:cstheme="minorBidi"/>
      <w:sz w:val="18"/>
      <w:lang w:eastAsia="en-US"/>
    </w:rPr>
  </w:style>
  <w:style w:type="character" w:styleId="FootnoteReference">
    <w:name w:val="footnote reference"/>
    <w:basedOn w:val="DefaultParagraphFont"/>
    <w:uiPriority w:val="99"/>
    <w:unhideWhenUsed/>
    <w:rsid w:val="00C653AB"/>
    <w:rPr>
      <w:vertAlign w:val="superscript"/>
    </w:rPr>
  </w:style>
  <w:style w:type="paragraph" w:customStyle="1" w:styleId="TableHeader">
    <w:name w:val="Table Header"/>
    <w:basedOn w:val="Normal"/>
    <w:uiPriority w:val="3"/>
    <w:rsid w:val="00D1609A"/>
    <w:rPr>
      <w:rFonts w:cs="Arial"/>
      <w:b/>
      <w:sz w:val="20"/>
    </w:rPr>
  </w:style>
  <w:style w:type="paragraph" w:customStyle="1" w:styleId="RegularText">
    <w:name w:val="Regular Text"/>
    <w:basedOn w:val="BodyText"/>
    <w:link w:val="RegularTextChar"/>
    <w:rsid w:val="00D1609A"/>
    <w:pPr>
      <w:spacing w:after="0"/>
      <w:jc w:val="left"/>
    </w:pPr>
    <w:rPr>
      <w:rFonts w:cs="Arial"/>
      <w:b/>
    </w:rPr>
  </w:style>
  <w:style w:type="character" w:customStyle="1" w:styleId="RegularTextChar">
    <w:name w:val="Regular Text Char"/>
    <w:basedOn w:val="BodyTextChar"/>
    <w:link w:val="RegularText"/>
    <w:rsid w:val="00D1609A"/>
    <w:rPr>
      <w:rFonts w:ascii="Calibri" w:hAnsi="Calibri" w:cs="Arial"/>
      <w:b/>
      <w:sz w:val="24"/>
      <w:szCs w:val="24"/>
    </w:rPr>
  </w:style>
  <w:style w:type="paragraph" w:customStyle="1" w:styleId="Corpsdetextemarge">
    <w:name w:val="Corps de texte marge"/>
    <w:basedOn w:val="BodyText"/>
    <w:uiPriority w:val="99"/>
    <w:rsid w:val="00D1609A"/>
    <w:pPr>
      <w:spacing w:after="0"/>
    </w:pPr>
    <w:rPr>
      <w:rFonts w:ascii="Times" w:hAnsi="Times"/>
      <w:snapToGrid w:val="0"/>
      <w:lang w:val="en-US"/>
    </w:rPr>
  </w:style>
  <w:style w:type="paragraph" w:styleId="NormalWeb">
    <w:name w:val="Normal (Web)"/>
    <w:basedOn w:val="Normal"/>
    <w:uiPriority w:val="99"/>
    <w:rsid w:val="00D1609A"/>
    <w:pPr>
      <w:spacing w:before="100" w:after="100"/>
      <w:jc w:val="left"/>
    </w:pPr>
    <w:rPr>
      <w:rFonts w:ascii="Times New Roman" w:hAnsi="Times New Roman"/>
      <w:snapToGrid w:val="0"/>
      <w:lang w:val="en-GB"/>
    </w:rPr>
  </w:style>
  <w:style w:type="paragraph" w:styleId="TOC2">
    <w:name w:val="toc 2"/>
    <w:basedOn w:val="Normal"/>
    <w:next w:val="Normal"/>
    <w:autoRedefine/>
    <w:uiPriority w:val="39"/>
    <w:rsid w:val="00D1609A"/>
    <w:pPr>
      <w:tabs>
        <w:tab w:val="left" w:pos="713"/>
        <w:tab w:val="left" w:pos="880"/>
        <w:tab w:val="right" w:leader="dot" w:pos="9016"/>
      </w:tabs>
      <w:spacing w:before="40"/>
      <w:ind w:left="221"/>
      <w:jc w:val="left"/>
    </w:pPr>
    <w:rPr>
      <w:rFonts w:cs="Arial"/>
      <w:iCs/>
      <w:sz w:val="20"/>
    </w:rPr>
  </w:style>
  <w:style w:type="paragraph" w:styleId="TOC1">
    <w:name w:val="toc 1"/>
    <w:basedOn w:val="Normal"/>
    <w:next w:val="Normal"/>
    <w:autoRedefine/>
    <w:uiPriority w:val="39"/>
    <w:rsid w:val="00D1609A"/>
    <w:pPr>
      <w:tabs>
        <w:tab w:val="left" w:pos="440"/>
        <w:tab w:val="right" w:leader="dot" w:pos="9016"/>
      </w:tabs>
      <w:spacing w:after="120"/>
      <w:jc w:val="left"/>
    </w:pPr>
    <w:rPr>
      <w:rFonts w:cs="Arial"/>
      <w:bCs/>
      <w:sz w:val="20"/>
    </w:rPr>
  </w:style>
  <w:style w:type="paragraph" w:styleId="TOCHeading">
    <w:name w:val="TOC Heading"/>
    <w:basedOn w:val="Heading1"/>
    <w:next w:val="Normal"/>
    <w:uiPriority w:val="39"/>
    <w:unhideWhenUsed/>
    <w:rsid w:val="00D1609A"/>
    <w:pPr>
      <w:keepNext/>
      <w:keepLines/>
      <w:spacing w:before="480" w:after="0" w:line="276" w:lineRule="auto"/>
      <w:ind w:firstLine="0"/>
      <w:outlineLvl w:val="9"/>
    </w:pPr>
    <w:rPr>
      <w:rFonts w:asciiTheme="majorHAnsi" w:eastAsiaTheme="majorEastAsia" w:hAnsiTheme="majorHAnsi" w:cstheme="majorBidi"/>
      <w:bCs/>
      <w:caps/>
      <w:color w:val="365F91" w:themeColor="accent1" w:themeShade="BF"/>
      <w:sz w:val="28"/>
      <w:szCs w:val="28"/>
      <w:lang w:val="en-US" w:eastAsia="ja-JP"/>
    </w:rPr>
  </w:style>
  <w:style w:type="paragraph" w:styleId="TOC3">
    <w:name w:val="toc 3"/>
    <w:basedOn w:val="Normal"/>
    <w:next w:val="Normal"/>
    <w:autoRedefine/>
    <w:uiPriority w:val="39"/>
    <w:unhideWhenUsed/>
    <w:rsid w:val="00D1609A"/>
    <w:pPr>
      <w:ind w:left="440"/>
      <w:jc w:val="left"/>
    </w:pPr>
    <w:rPr>
      <w:rFonts w:asciiTheme="minorHAnsi" w:hAnsiTheme="minorHAnsi" w:cs="Arial"/>
      <w:sz w:val="20"/>
    </w:rPr>
  </w:style>
  <w:style w:type="paragraph" w:styleId="TOC4">
    <w:name w:val="toc 4"/>
    <w:basedOn w:val="Normal"/>
    <w:next w:val="Normal"/>
    <w:autoRedefine/>
    <w:rsid w:val="00D1609A"/>
    <w:pPr>
      <w:ind w:left="660"/>
      <w:jc w:val="left"/>
    </w:pPr>
    <w:rPr>
      <w:rFonts w:asciiTheme="minorHAnsi" w:hAnsiTheme="minorHAnsi" w:cs="Arial"/>
      <w:sz w:val="20"/>
    </w:rPr>
  </w:style>
  <w:style w:type="paragraph" w:styleId="TOC5">
    <w:name w:val="toc 5"/>
    <w:basedOn w:val="Normal"/>
    <w:next w:val="Normal"/>
    <w:autoRedefine/>
    <w:rsid w:val="00D1609A"/>
    <w:pPr>
      <w:ind w:left="880"/>
      <w:jc w:val="left"/>
    </w:pPr>
    <w:rPr>
      <w:rFonts w:asciiTheme="minorHAnsi" w:hAnsiTheme="minorHAnsi" w:cs="Arial"/>
      <w:sz w:val="20"/>
    </w:rPr>
  </w:style>
  <w:style w:type="paragraph" w:styleId="TOC6">
    <w:name w:val="toc 6"/>
    <w:basedOn w:val="Normal"/>
    <w:next w:val="Normal"/>
    <w:autoRedefine/>
    <w:rsid w:val="00D1609A"/>
    <w:pPr>
      <w:ind w:left="1100"/>
      <w:jc w:val="left"/>
    </w:pPr>
    <w:rPr>
      <w:rFonts w:asciiTheme="minorHAnsi" w:hAnsiTheme="minorHAnsi" w:cs="Arial"/>
      <w:sz w:val="20"/>
    </w:rPr>
  </w:style>
  <w:style w:type="paragraph" w:styleId="TOC7">
    <w:name w:val="toc 7"/>
    <w:basedOn w:val="Normal"/>
    <w:next w:val="Normal"/>
    <w:autoRedefine/>
    <w:rsid w:val="00D1609A"/>
    <w:pPr>
      <w:ind w:left="1320"/>
      <w:jc w:val="left"/>
    </w:pPr>
    <w:rPr>
      <w:rFonts w:asciiTheme="minorHAnsi" w:hAnsiTheme="minorHAnsi" w:cs="Arial"/>
      <w:sz w:val="20"/>
    </w:rPr>
  </w:style>
  <w:style w:type="paragraph" w:styleId="TOC8">
    <w:name w:val="toc 8"/>
    <w:basedOn w:val="Normal"/>
    <w:next w:val="Normal"/>
    <w:autoRedefine/>
    <w:rsid w:val="00D1609A"/>
    <w:pPr>
      <w:ind w:left="1540"/>
      <w:jc w:val="left"/>
    </w:pPr>
    <w:rPr>
      <w:rFonts w:asciiTheme="minorHAnsi" w:hAnsiTheme="minorHAnsi" w:cs="Arial"/>
      <w:sz w:val="20"/>
    </w:rPr>
  </w:style>
  <w:style w:type="paragraph" w:styleId="TOC9">
    <w:name w:val="toc 9"/>
    <w:basedOn w:val="Normal"/>
    <w:next w:val="Normal"/>
    <w:autoRedefine/>
    <w:rsid w:val="00D1609A"/>
    <w:pPr>
      <w:ind w:left="1760"/>
      <w:jc w:val="left"/>
    </w:pPr>
    <w:rPr>
      <w:rFonts w:asciiTheme="minorHAnsi" w:hAnsiTheme="minorHAnsi" w:cs="Arial"/>
      <w:sz w:val="20"/>
    </w:rPr>
  </w:style>
  <w:style w:type="paragraph" w:customStyle="1" w:styleId="TableName">
    <w:name w:val="TableName"/>
    <w:basedOn w:val="Normal"/>
    <w:rsid w:val="00D1609A"/>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D1609A"/>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D1609A"/>
    <w:pPr>
      <w:keepNext/>
      <w:spacing w:after="0"/>
    </w:pPr>
  </w:style>
  <w:style w:type="paragraph" w:styleId="BodyTextIndent">
    <w:name w:val="Body Text Indent"/>
    <w:basedOn w:val="Normal"/>
    <w:link w:val="BodyTextIndentChar"/>
    <w:rsid w:val="00D1609A"/>
    <w:pPr>
      <w:spacing w:after="120"/>
      <w:ind w:left="283"/>
    </w:pPr>
    <w:rPr>
      <w:rFonts w:cs="Arial"/>
    </w:rPr>
  </w:style>
  <w:style w:type="character" w:customStyle="1" w:styleId="BodyTextIndentChar">
    <w:name w:val="Body Text Indent Char"/>
    <w:basedOn w:val="DefaultParagraphFont"/>
    <w:link w:val="BodyTextIndent"/>
    <w:rsid w:val="00D1609A"/>
    <w:rPr>
      <w:rFonts w:ascii="Calibri" w:hAnsi="Calibri" w:cs="Arial"/>
      <w:sz w:val="24"/>
      <w:szCs w:val="24"/>
    </w:rPr>
  </w:style>
  <w:style w:type="character" w:customStyle="1" w:styleId="SubtitleChar1">
    <w:name w:val="Subtitle Char1"/>
    <w:basedOn w:val="DefaultParagraphFont"/>
    <w:rsid w:val="00D1609A"/>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Commentitalics">
    <w:name w:val="Comment (italics)"/>
    <w:basedOn w:val="Normal"/>
    <w:next w:val="Normal"/>
    <w:rsid w:val="00D1609A"/>
    <w:rPr>
      <w:rFonts w:cs="Arial"/>
      <w:i/>
    </w:rPr>
  </w:style>
  <w:style w:type="paragraph" w:customStyle="1" w:styleId="V50Tablename">
    <w:name w:val="V5.0 Table name"/>
    <w:basedOn w:val="Normal"/>
    <w:link w:val="V50TablenameChar"/>
    <w:rsid w:val="00D1609A"/>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D1609A"/>
    <w:rPr>
      <w:rFonts w:asciiTheme="minorHAnsi" w:eastAsiaTheme="minorHAnsi" w:hAnsiTheme="minorHAnsi" w:cstheme="minorBidi"/>
      <w:b/>
      <w:snapToGrid w:val="0"/>
      <w:szCs w:val="24"/>
      <w:lang w:val="en-US"/>
    </w:rPr>
  </w:style>
  <w:style w:type="paragraph" w:customStyle="1" w:styleId="TableFigNoteLast">
    <w:name w:val="TableFigNote Last"/>
    <w:basedOn w:val="Normal"/>
    <w:next w:val="Normal"/>
    <w:qFormat/>
    <w:rsid w:val="00D1609A"/>
    <w:pPr>
      <w:spacing w:after="120"/>
      <w:jc w:val="left"/>
    </w:pPr>
    <w:rPr>
      <w:rFonts w:asciiTheme="minorHAnsi" w:eastAsiaTheme="minorHAnsi" w:hAnsiTheme="minorHAnsi" w:cstheme="minorBidi"/>
      <w:sz w:val="16"/>
      <w:szCs w:val="22"/>
      <w:lang w:eastAsia="en-US"/>
    </w:rPr>
  </w:style>
  <w:style w:type="paragraph" w:customStyle="1" w:styleId="TableHeading0">
    <w:name w:val="Table Heading"/>
    <w:basedOn w:val="Normal"/>
    <w:qFormat/>
    <w:rsid w:val="00D1609A"/>
    <w:pPr>
      <w:keepNext/>
      <w:spacing w:after="60"/>
      <w:jc w:val="left"/>
    </w:pPr>
    <w:rPr>
      <w:rFonts w:ascii="Arial Narrow" w:eastAsiaTheme="minorHAnsi" w:hAnsi="Arial Narrow" w:cstheme="minorBidi"/>
      <w:b/>
      <w:sz w:val="20"/>
      <w:szCs w:val="22"/>
      <w:lang w:eastAsia="en-US"/>
    </w:rPr>
  </w:style>
  <w:style w:type="paragraph" w:customStyle="1" w:styleId="TableFigNote">
    <w:name w:val="TableFigNote"/>
    <w:basedOn w:val="Normal"/>
    <w:qFormat/>
    <w:rsid w:val="00D1609A"/>
    <w:pPr>
      <w:jc w:val="left"/>
    </w:pPr>
    <w:rPr>
      <w:rFonts w:asciiTheme="minorHAnsi" w:eastAsiaTheme="minorHAnsi" w:hAnsiTheme="minorHAnsi" w:cstheme="minorBidi"/>
      <w:sz w:val="16"/>
      <w:szCs w:val="22"/>
      <w:lang w:eastAsia="en-US"/>
    </w:rPr>
  </w:style>
  <w:style w:type="paragraph" w:customStyle="1" w:styleId="TableBullet">
    <w:name w:val="Table Bullet"/>
    <w:basedOn w:val="TableText0"/>
    <w:rsid w:val="00D1609A"/>
    <w:pPr>
      <w:keepNext w:val="0"/>
      <w:numPr>
        <w:numId w:val="8"/>
      </w:numPr>
      <w:spacing w:before="40" w:after="40"/>
      <w:ind w:left="357" w:hanging="357"/>
    </w:pPr>
    <w:rPr>
      <w:rFonts w:asciiTheme="minorHAnsi" w:eastAsiaTheme="minorHAnsi" w:hAnsiTheme="minorHAnsi" w:cstheme="minorHAnsi"/>
      <w:bCs w:val="0"/>
      <w:sz w:val="18"/>
      <w:szCs w:val="18"/>
      <w:lang w:eastAsia="en-US"/>
    </w:rPr>
  </w:style>
  <w:style w:type="paragraph" w:customStyle="1" w:styleId="TableNotes1">
    <w:name w:val="TableNotes"/>
    <w:basedOn w:val="Normal"/>
    <w:qFormat/>
    <w:rsid w:val="00D1609A"/>
    <w:pPr>
      <w:spacing w:after="160" w:line="256" w:lineRule="auto"/>
      <w:contextualSpacing/>
      <w:jc w:val="left"/>
    </w:pPr>
    <w:rPr>
      <w:rFonts w:asciiTheme="minorHAnsi" w:eastAsiaTheme="minorHAnsi" w:hAnsiTheme="minorHAnsi" w:cstheme="minorBidi"/>
      <w:sz w:val="16"/>
      <w:szCs w:val="16"/>
      <w:lang w:eastAsia="en-US"/>
    </w:rPr>
  </w:style>
  <w:style w:type="character" w:styleId="Emphasis">
    <w:name w:val="Emphasis"/>
    <w:basedOn w:val="DefaultParagraphFont"/>
    <w:uiPriority w:val="20"/>
    <w:rsid w:val="00D1609A"/>
    <w:rPr>
      <w:b w:val="0"/>
      <w:i/>
      <w:iCs/>
    </w:rPr>
  </w:style>
  <w:style w:type="table" w:customStyle="1" w:styleId="TableGrid1">
    <w:name w:val="Table Grid1"/>
    <w:basedOn w:val="TableNormal"/>
    <w:uiPriority w:val="59"/>
    <w:rsid w:val="00D1609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1">
    <w:name w:val="TableText"/>
    <w:basedOn w:val="Normal"/>
    <w:qFormat/>
    <w:rsid w:val="00D1609A"/>
    <w:pPr>
      <w:keepNext/>
      <w:spacing w:before="60" w:after="60"/>
      <w:jc w:val="left"/>
    </w:pPr>
    <w:rPr>
      <w:color w:val="000000"/>
      <w:sz w:val="22"/>
      <w:szCs w:val="21"/>
    </w:rPr>
  </w:style>
  <w:style w:type="paragraph" w:customStyle="1" w:styleId="Default">
    <w:name w:val="Default"/>
    <w:rsid w:val="00D1609A"/>
    <w:pPr>
      <w:autoSpaceDE w:val="0"/>
      <w:autoSpaceDN w:val="0"/>
      <w:adjustRightInd w:val="0"/>
    </w:pPr>
    <w:rPr>
      <w:color w:val="000000"/>
      <w:sz w:val="24"/>
      <w:szCs w:val="24"/>
    </w:rPr>
  </w:style>
  <w:style w:type="paragraph" w:customStyle="1" w:styleId="PBACheading10">
    <w:name w:val="PBAC heading 1"/>
    <w:qFormat/>
    <w:rsid w:val="00D1609A"/>
    <w:pPr>
      <w:ind w:left="720" w:hanging="720"/>
      <w:outlineLvl w:val="0"/>
    </w:pPr>
    <w:rPr>
      <w:rFonts w:ascii="Arial" w:hAnsi="Arial" w:cs="Arial"/>
      <w:b/>
      <w:snapToGrid w:val="0"/>
      <w:sz w:val="22"/>
      <w:szCs w:val="22"/>
      <w:lang w:eastAsia="en-US"/>
    </w:rPr>
  </w:style>
  <w:style w:type="character" w:styleId="SubtleReference">
    <w:name w:val="Subtle Reference"/>
    <w:basedOn w:val="DefaultParagraphFont"/>
    <w:uiPriority w:val="31"/>
    <w:qFormat/>
    <w:rsid w:val="00D1609A"/>
    <w:rPr>
      <w:smallCaps/>
      <w:color w:val="5A5A5A" w:themeColor="text1" w:themeTint="A5"/>
    </w:rPr>
  </w:style>
  <w:style w:type="table" w:customStyle="1" w:styleId="TableGrid2">
    <w:name w:val="Table Grid2"/>
    <w:basedOn w:val="TableNormal"/>
    <w:next w:val="TableGrid"/>
    <w:uiPriority w:val="39"/>
    <w:rsid w:val="00631EB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02EF8"/>
    <w:rPr>
      <w:rFonts w:ascii="Calibri" w:hAnsi="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155875905">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446999669">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86538F-031A-4B60-90BC-C251CBE24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4177</Words>
  <Characters>24219</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2021-03-03T04:54:00Z</dcterms:created>
  <dcterms:modified xsi:type="dcterms:W3CDTF">2021-03-03T04:54:00Z</dcterms:modified>
</cp:coreProperties>
</file>